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40" w:rsidRDefault="00D56940" w:rsidP="00D5694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232410</wp:posOffset>
                </wp:positionV>
                <wp:extent cx="2105025" cy="32004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940" w:rsidRDefault="00D56940" w:rsidP="00D56940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body"/>
                                <w:b/>
                                <w:sz w:val="20"/>
                                <w:szCs w:val="20"/>
                              </w:rPr>
                              <w:t>Multimodal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18.3pt;width:165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Lp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" filled="f" stroked="f">
                <v:textbox>
                  <w:txbxContent>
                    <w:p w:rsidR="00D56940" w:rsidRDefault="00D56940" w:rsidP="00D56940">
                      <w:pPr>
                        <w:pStyle w:val="Header"/>
                        <w:rPr>
                          <w:b/>
                        </w:rPr>
                      </w:pPr>
                      <w:r>
                        <w:rPr>
                          <w:rStyle w:val="body"/>
                          <w:b/>
                          <w:sz w:val="20"/>
                          <w:szCs w:val="20"/>
                        </w:rPr>
                        <w:t>Multimodal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219075</wp:posOffset>
                </wp:positionV>
                <wp:extent cx="3409950" cy="7239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940" w:rsidRPr="00824B07" w:rsidRDefault="00D56940" w:rsidP="00D56940">
                            <w:pPr>
                              <w:pStyle w:val="BasicParagraph"/>
                              <w:tabs>
                                <w:tab w:val="left" w:pos="180"/>
                              </w:tabs>
                              <w:suppressAutoHyphens/>
                              <w:spacing w:line="240" w:lineRule="auto"/>
                              <w:jc w:val="right"/>
                              <w:rPr>
                                <w:rStyle w:val="body"/>
                                <w:sz w:val="20"/>
                                <w:szCs w:val="16"/>
                              </w:rPr>
                            </w:pPr>
                            <w:r w:rsidRPr="00824B07">
                              <w:rPr>
                                <w:rStyle w:val="body"/>
                                <w:b/>
                                <w:bCs/>
                                <w:sz w:val="20"/>
                                <w:szCs w:val="16"/>
                              </w:rPr>
                              <w:t>Janice K. Brewer</w:t>
                            </w:r>
                            <w:r w:rsidRPr="00824B07">
                              <w:rPr>
                                <w:rStyle w:val="body"/>
                                <w:sz w:val="20"/>
                                <w:szCs w:val="16"/>
                              </w:rPr>
                              <w:t>, Governor</w:t>
                            </w:r>
                          </w:p>
                          <w:p w:rsidR="00D56940" w:rsidRPr="00824B07" w:rsidRDefault="00D56940" w:rsidP="00D56940">
                            <w:pPr>
                              <w:pStyle w:val="Header"/>
                              <w:jc w:val="right"/>
                              <w:rPr>
                                <w:rStyle w:val="body"/>
                                <w:sz w:val="20"/>
                                <w:szCs w:val="16"/>
                              </w:rPr>
                            </w:pPr>
                            <w:r w:rsidRPr="00824B07">
                              <w:rPr>
                                <w:rStyle w:val="body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John S. </w:t>
                            </w:r>
                            <w:proofErr w:type="spellStart"/>
                            <w:r w:rsidRPr="00824B07">
                              <w:rPr>
                                <w:rStyle w:val="body"/>
                                <w:b/>
                                <w:bCs/>
                                <w:sz w:val="20"/>
                                <w:szCs w:val="16"/>
                              </w:rPr>
                              <w:t>Halikowski</w:t>
                            </w:r>
                            <w:proofErr w:type="spellEnd"/>
                            <w:r w:rsidRPr="00824B07">
                              <w:rPr>
                                <w:rStyle w:val="body"/>
                                <w:sz w:val="20"/>
                                <w:szCs w:val="16"/>
                              </w:rPr>
                              <w:t>, Director</w:t>
                            </w:r>
                          </w:p>
                          <w:p w:rsidR="00D56940" w:rsidRPr="00824B07" w:rsidRDefault="00D56940" w:rsidP="00D56940">
                            <w:pPr>
                              <w:pStyle w:val="Header"/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Style w:val="body"/>
                                <w:b/>
                                <w:sz w:val="20"/>
                                <w:szCs w:val="16"/>
                              </w:rPr>
                              <w:t>Scott Omer</w:t>
                            </w:r>
                            <w:r w:rsidRPr="00824B07">
                              <w:rPr>
                                <w:rStyle w:val="body"/>
                                <w:b/>
                                <w:sz w:val="20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Style w:val="body"/>
                                <w:sz w:val="20"/>
                                <w:szCs w:val="16"/>
                              </w:rPr>
                              <w:t>Division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205.5pt;margin-top:17.25pt;width:268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" filled="f" stroked="f">
                <v:textbox>
                  <w:txbxContent>
                    <w:p w:rsidR="00D56940" w:rsidRPr="00824B07" w:rsidRDefault="00D56940" w:rsidP="00D56940">
                      <w:pPr>
                        <w:pStyle w:val="BasicParagraph"/>
                        <w:tabs>
                          <w:tab w:val="left" w:pos="180"/>
                        </w:tabs>
                        <w:suppressAutoHyphens/>
                        <w:spacing w:line="240" w:lineRule="auto"/>
                        <w:jc w:val="right"/>
                        <w:rPr>
                          <w:rStyle w:val="body"/>
                          <w:sz w:val="20"/>
                          <w:szCs w:val="16"/>
                        </w:rPr>
                      </w:pPr>
                      <w:r w:rsidRPr="00824B07">
                        <w:rPr>
                          <w:rStyle w:val="body"/>
                          <w:b/>
                          <w:bCs/>
                          <w:sz w:val="20"/>
                          <w:szCs w:val="16"/>
                        </w:rPr>
                        <w:t>Janice K. Brewer</w:t>
                      </w:r>
                      <w:r w:rsidRPr="00824B07">
                        <w:rPr>
                          <w:rStyle w:val="body"/>
                          <w:sz w:val="20"/>
                          <w:szCs w:val="16"/>
                        </w:rPr>
                        <w:t>, Governor</w:t>
                      </w:r>
                    </w:p>
                    <w:p w:rsidR="00D56940" w:rsidRPr="00824B07" w:rsidRDefault="00D56940" w:rsidP="00D56940">
                      <w:pPr>
                        <w:pStyle w:val="Header"/>
                        <w:jc w:val="right"/>
                        <w:rPr>
                          <w:rStyle w:val="body"/>
                          <w:sz w:val="20"/>
                          <w:szCs w:val="16"/>
                        </w:rPr>
                      </w:pPr>
                      <w:r w:rsidRPr="00824B07">
                        <w:rPr>
                          <w:rStyle w:val="body"/>
                          <w:b/>
                          <w:bCs/>
                          <w:sz w:val="20"/>
                          <w:szCs w:val="16"/>
                        </w:rPr>
                        <w:t>John S. Halikowski</w:t>
                      </w:r>
                      <w:r w:rsidRPr="00824B07">
                        <w:rPr>
                          <w:rStyle w:val="body"/>
                          <w:sz w:val="20"/>
                          <w:szCs w:val="16"/>
                        </w:rPr>
                        <w:t>, Director</w:t>
                      </w:r>
                    </w:p>
                    <w:p w:rsidR="00D56940" w:rsidRPr="00824B07" w:rsidRDefault="00D56940" w:rsidP="00D56940">
                      <w:pPr>
                        <w:pStyle w:val="Header"/>
                        <w:jc w:val="right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rStyle w:val="body"/>
                          <w:b/>
                          <w:sz w:val="20"/>
                          <w:szCs w:val="16"/>
                        </w:rPr>
                        <w:t>Scott Omer</w:t>
                      </w:r>
                      <w:r w:rsidRPr="00824B07">
                        <w:rPr>
                          <w:rStyle w:val="body"/>
                          <w:b/>
                          <w:sz w:val="20"/>
                          <w:szCs w:val="16"/>
                        </w:rPr>
                        <w:t xml:space="preserve">, </w:t>
                      </w:r>
                      <w:r>
                        <w:rPr>
                          <w:rStyle w:val="body"/>
                          <w:sz w:val="20"/>
                          <w:szCs w:val="16"/>
                        </w:rPr>
                        <w:t>Division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256539</wp:posOffset>
                </wp:positionV>
                <wp:extent cx="59721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5pt,20.2pt" to="466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"/>
            </w:pict>
          </mc:Fallback>
        </mc:AlternateContent>
      </w:r>
      <w:r>
        <w:rPr>
          <w:rFonts w:cs="Calibri"/>
          <w:b/>
          <w:noProof/>
          <w:color w:val="FF0000"/>
          <w:spacing w:val="-2"/>
          <w:sz w:val="20"/>
          <w:szCs w:val="20"/>
        </w:rPr>
        <w:drawing>
          <wp:inline distT="0" distB="0" distL="0" distR="0">
            <wp:extent cx="127635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7B" w:rsidRPr="00A02614" w:rsidRDefault="00C6107B" w:rsidP="00D56940">
      <w:pPr>
        <w:rPr>
          <w:sz w:val="24"/>
          <w:szCs w:val="24"/>
        </w:rPr>
      </w:pPr>
    </w:p>
    <w:p w:rsidR="000F3CF3" w:rsidRDefault="000F3CF3" w:rsidP="00C6107B">
      <w:pPr>
        <w:jc w:val="center"/>
        <w:rPr>
          <w:sz w:val="24"/>
          <w:szCs w:val="24"/>
          <w:u w:val="single"/>
        </w:rPr>
      </w:pPr>
    </w:p>
    <w:p w:rsidR="000F3CF3" w:rsidRDefault="000F3CF3" w:rsidP="00C6107B">
      <w:pPr>
        <w:jc w:val="center"/>
        <w:rPr>
          <w:sz w:val="24"/>
          <w:szCs w:val="24"/>
          <w:u w:val="single"/>
        </w:rPr>
      </w:pPr>
    </w:p>
    <w:p w:rsidR="00B22C53" w:rsidRDefault="00C6107B" w:rsidP="00C6107B">
      <w:pPr>
        <w:jc w:val="center"/>
        <w:rPr>
          <w:sz w:val="24"/>
          <w:szCs w:val="24"/>
          <w:u w:val="single"/>
        </w:rPr>
      </w:pPr>
      <w:r w:rsidRPr="00A02614">
        <w:rPr>
          <w:sz w:val="24"/>
          <w:szCs w:val="24"/>
          <w:u w:val="single"/>
        </w:rPr>
        <w:t>5307/ 5339 New Process:  Effective June</w:t>
      </w:r>
      <w:r w:rsidR="00E50A0C">
        <w:rPr>
          <w:sz w:val="24"/>
          <w:szCs w:val="24"/>
          <w:u w:val="single"/>
        </w:rPr>
        <w:t xml:space="preserve"> 14,</w:t>
      </w:r>
      <w:r w:rsidRPr="00A02614">
        <w:rPr>
          <w:sz w:val="24"/>
          <w:szCs w:val="24"/>
          <w:u w:val="single"/>
        </w:rPr>
        <w:t xml:space="preserve"> 2013</w:t>
      </w:r>
    </w:p>
    <w:p w:rsidR="000F3CF3" w:rsidRPr="00A02614" w:rsidRDefault="000F3CF3" w:rsidP="00C6107B">
      <w:pPr>
        <w:jc w:val="center"/>
        <w:rPr>
          <w:sz w:val="24"/>
          <w:szCs w:val="24"/>
          <w:u w:val="single"/>
        </w:rPr>
      </w:pPr>
    </w:p>
    <w:p w:rsidR="00D12057" w:rsidRPr="00A02614" w:rsidRDefault="00E145B6" w:rsidP="00A429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2614">
        <w:rPr>
          <w:sz w:val="24"/>
          <w:szCs w:val="24"/>
        </w:rPr>
        <w:t xml:space="preserve">ADOT is the </w:t>
      </w:r>
      <w:r w:rsidRPr="00A02614">
        <w:rPr>
          <w:b/>
          <w:sz w:val="24"/>
          <w:szCs w:val="24"/>
        </w:rPr>
        <w:t>Designated Recipient</w:t>
      </w:r>
      <w:r w:rsidR="0017639C" w:rsidRPr="00A02614">
        <w:rPr>
          <w:sz w:val="24"/>
          <w:szCs w:val="24"/>
        </w:rPr>
        <w:t xml:space="preserve"> for all 5307 and 5339 grant funds.</w:t>
      </w:r>
    </w:p>
    <w:p w:rsidR="0017639C" w:rsidRPr="00A02614" w:rsidRDefault="00012CF9" w:rsidP="00A429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Governor</w:t>
      </w:r>
      <w:r w:rsidR="009B2934" w:rsidRPr="00A02614">
        <w:rPr>
          <w:sz w:val="24"/>
          <w:szCs w:val="24"/>
        </w:rPr>
        <w:t xml:space="preserve"> assigns </w:t>
      </w:r>
      <w:r w:rsidR="009B2934" w:rsidRPr="00A02614">
        <w:rPr>
          <w:b/>
          <w:sz w:val="24"/>
          <w:szCs w:val="24"/>
        </w:rPr>
        <w:t>Direct Recipient</w:t>
      </w:r>
      <w:r w:rsidR="009B2934" w:rsidRPr="00A02614">
        <w:rPr>
          <w:sz w:val="24"/>
          <w:szCs w:val="24"/>
        </w:rPr>
        <w:t xml:space="preserve"> status </w:t>
      </w:r>
      <w:r w:rsidR="00643ACC">
        <w:rPr>
          <w:sz w:val="24"/>
          <w:szCs w:val="24"/>
        </w:rPr>
        <w:t xml:space="preserve">for the 5307 program </w:t>
      </w:r>
      <w:r w:rsidR="009B2934" w:rsidRPr="00A02614">
        <w:rPr>
          <w:sz w:val="24"/>
          <w:szCs w:val="24"/>
        </w:rPr>
        <w:t>as outlined in the table below:</w:t>
      </w:r>
    </w:p>
    <w:p w:rsidR="00B22C53" w:rsidRPr="00A02614" w:rsidRDefault="00B22C53" w:rsidP="00B22C53">
      <w:pPr>
        <w:pStyle w:val="ListParagraph"/>
        <w:spacing w:after="0" w:line="240" w:lineRule="auto"/>
        <w:rPr>
          <w:sz w:val="24"/>
          <w:szCs w:val="24"/>
        </w:rPr>
      </w:pPr>
    </w:p>
    <w:p w:rsidR="0017639C" w:rsidRPr="00A02614" w:rsidRDefault="0017639C" w:rsidP="0017639C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0"/>
        <w:gridCol w:w="1800"/>
      </w:tblGrid>
      <w:tr w:rsidR="0017639C" w:rsidRPr="00A02614" w:rsidTr="00241FA0">
        <w:trPr>
          <w:trHeight w:val="278"/>
        </w:trPr>
        <w:tc>
          <w:tcPr>
            <w:tcW w:w="6300" w:type="dxa"/>
          </w:tcPr>
          <w:p w:rsidR="0017639C" w:rsidRPr="00A02614" w:rsidRDefault="00C6107B" w:rsidP="0017639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Times New Roman" w:cs="Arial"/>
                <w:b/>
                <w:noProof/>
                <w:sz w:val="24"/>
                <w:szCs w:val="24"/>
              </w:rPr>
            </w:pPr>
            <w:r w:rsidRPr="00A02614">
              <w:rPr>
                <w:rFonts w:eastAsia="Times New Roman" w:cs="Arial"/>
                <w:b/>
                <w:noProof/>
                <w:sz w:val="24"/>
                <w:szCs w:val="24"/>
              </w:rPr>
              <w:t>Eligible Direct Reci</w:t>
            </w:r>
            <w:bookmarkStart w:id="0" w:name="_GoBack"/>
            <w:bookmarkEnd w:id="0"/>
            <w:r w:rsidRPr="00A02614">
              <w:rPr>
                <w:rFonts w:eastAsia="Times New Roman" w:cs="Arial"/>
                <w:b/>
                <w:noProof/>
                <w:sz w:val="24"/>
                <w:szCs w:val="24"/>
              </w:rPr>
              <w:t>pient’s</w:t>
            </w:r>
          </w:p>
        </w:tc>
        <w:tc>
          <w:tcPr>
            <w:tcW w:w="1800" w:type="dxa"/>
          </w:tcPr>
          <w:p w:rsidR="0017639C" w:rsidRPr="00A02614" w:rsidRDefault="0017639C" w:rsidP="006D0DF4">
            <w:pPr>
              <w:rPr>
                <w:rFonts w:cs="Arial"/>
                <w:b/>
                <w:sz w:val="24"/>
                <w:szCs w:val="24"/>
              </w:rPr>
            </w:pPr>
            <w:r w:rsidRPr="00A02614">
              <w:rPr>
                <w:rFonts w:cs="Arial"/>
                <w:b/>
                <w:sz w:val="24"/>
                <w:szCs w:val="24"/>
              </w:rPr>
              <w:t>UZA</w:t>
            </w:r>
          </w:p>
        </w:tc>
      </w:tr>
      <w:tr w:rsidR="0017639C" w:rsidRPr="00A02614" w:rsidTr="0017639C">
        <w:tc>
          <w:tcPr>
            <w:tcW w:w="6300" w:type="dxa"/>
          </w:tcPr>
          <w:p w:rsidR="0017639C" w:rsidRPr="00A02614" w:rsidRDefault="0017639C" w:rsidP="006D0DF4">
            <w:pPr>
              <w:rPr>
                <w:rFonts w:cs="Arial"/>
                <w:sz w:val="24"/>
                <w:szCs w:val="24"/>
              </w:rPr>
            </w:pPr>
            <w:r w:rsidRPr="00A02614">
              <w:rPr>
                <w:rFonts w:cs="Arial"/>
                <w:sz w:val="24"/>
                <w:szCs w:val="24"/>
              </w:rPr>
              <w:t xml:space="preserve">Northern Arizona Intergovernmental Public Transportation </w:t>
            </w:r>
            <w:r w:rsidR="00012CF9">
              <w:rPr>
                <w:rFonts w:cs="Arial"/>
                <w:sz w:val="24"/>
                <w:szCs w:val="24"/>
              </w:rPr>
              <w:t xml:space="preserve">Authority </w:t>
            </w:r>
            <w:r w:rsidRPr="00A02614">
              <w:rPr>
                <w:rFonts w:cs="Arial"/>
                <w:sz w:val="24"/>
                <w:szCs w:val="24"/>
              </w:rPr>
              <w:t>(NAIPTA)</w:t>
            </w:r>
          </w:p>
        </w:tc>
        <w:tc>
          <w:tcPr>
            <w:tcW w:w="1800" w:type="dxa"/>
          </w:tcPr>
          <w:p w:rsidR="0017639C" w:rsidRPr="00A02614" w:rsidRDefault="0017639C" w:rsidP="006D0DF4">
            <w:pPr>
              <w:rPr>
                <w:rFonts w:cs="Arial"/>
                <w:sz w:val="24"/>
                <w:szCs w:val="24"/>
              </w:rPr>
            </w:pPr>
            <w:r w:rsidRPr="00A02614">
              <w:rPr>
                <w:rFonts w:cs="Arial"/>
                <w:sz w:val="24"/>
                <w:szCs w:val="24"/>
              </w:rPr>
              <w:t>Flagstaff</w:t>
            </w:r>
          </w:p>
        </w:tc>
      </w:tr>
      <w:tr w:rsidR="0017639C" w:rsidRPr="00A02614" w:rsidTr="0017639C">
        <w:tc>
          <w:tcPr>
            <w:tcW w:w="6300" w:type="dxa"/>
          </w:tcPr>
          <w:p w:rsidR="0017639C" w:rsidRPr="00A02614" w:rsidRDefault="0017639C" w:rsidP="006D0DF4">
            <w:pPr>
              <w:rPr>
                <w:rFonts w:cs="Arial"/>
                <w:sz w:val="24"/>
                <w:szCs w:val="24"/>
              </w:rPr>
            </w:pPr>
            <w:r w:rsidRPr="00A02614">
              <w:rPr>
                <w:rFonts w:cs="Arial"/>
                <w:sz w:val="24"/>
                <w:szCs w:val="24"/>
              </w:rPr>
              <w:t>Yuma County Intergovernmental Public Transportation Authority (YCIPTA)</w:t>
            </w:r>
          </w:p>
        </w:tc>
        <w:tc>
          <w:tcPr>
            <w:tcW w:w="1800" w:type="dxa"/>
          </w:tcPr>
          <w:p w:rsidR="0017639C" w:rsidRPr="00A02614" w:rsidRDefault="0017639C" w:rsidP="006D0DF4">
            <w:pPr>
              <w:rPr>
                <w:rFonts w:cs="Arial"/>
                <w:sz w:val="24"/>
                <w:szCs w:val="24"/>
              </w:rPr>
            </w:pPr>
            <w:r w:rsidRPr="00A02614">
              <w:rPr>
                <w:rFonts w:cs="Arial"/>
                <w:sz w:val="24"/>
                <w:szCs w:val="24"/>
              </w:rPr>
              <w:t>Yuma</w:t>
            </w:r>
          </w:p>
        </w:tc>
      </w:tr>
      <w:tr w:rsidR="0017639C" w:rsidRPr="00A02614" w:rsidTr="0017639C">
        <w:tc>
          <w:tcPr>
            <w:tcW w:w="6300" w:type="dxa"/>
          </w:tcPr>
          <w:p w:rsidR="0017639C" w:rsidRPr="00A02614" w:rsidRDefault="0017639C" w:rsidP="006D0DF4">
            <w:pPr>
              <w:rPr>
                <w:rFonts w:cs="Arial"/>
                <w:sz w:val="24"/>
                <w:szCs w:val="24"/>
              </w:rPr>
            </w:pPr>
            <w:r w:rsidRPr="00A02614">
              <w:rPr>
                <w:rFonts w:cs="Arial"/>
                <w:sz w:val="24"/>
                <w:szCs w:val="24"/>
              </w:rPr>
              <w:t>City of Phoenix</w:t>
            </w:r>
          </w:p>
        </w:tc>
        <w:tc>
          <w:tcPr>
            <w:tcW w:w="1800" w:type="dxa"/>
          </w:tcPr>
          <w:p w:rsidR="0017639C" w:rsidRPr="00A02614" w:rsidRDefault="0017639C" w:rsidP="006D0DF4">
            <w:pPr>
              <w:rPr>
                <w:rFonts w:cs="Arial"/>
                <w:sz w:val="24"/>
                <w:szCs w:val="24"/>
              </w:rPr>
            </w:pPr>
            <w:r w:rsidRPr="00A02614">
              <w:rPr>
                <w:rFonts w:cs="Arial"/>
                <w:sz w:val="24"/>
                <w:szCs w:val="24"/>
              </w:rPr>
              <w:t>Avondale</w:t>
            </w:r>
            <w:r w:rsidR="00012CF9">
              <w:rPr>
                <w:rFonts w:cs="Arial"/>
                <w:sz w:val="24"/>
                <w:szCs w:val="24"/>
              </w:rPr>
              <w:t>-Goodyear</w:t>
            </w:r>
          </w:p>
        </w:tc>
      </w:tr>
      <w:tr w:rsidR="0017639C" w:rsidRPr="00A02614" w:rsidTr="0017639C">
        <w:tc>
          <w:tcPr>
            <w:tcW w:w="6300" w:type="dxa"/>
          </w:tcPr>
          <w:p w:rsidR="0017639C" w:rsidRPr="00A02614" w:rsidRDefault="0017639C" w:rsidP="006D0DF4">
            <w:pPr>
              <w:rPr>
                <w:rFonts w:cs="Arial"/>
                <w:sz w:val="24"/>
                <w:szCs w:val="24"/>
              </w:rPr>
            </w:pPr>
            <w:r w:rsidRPr="00A02614">
              <w:rPr>
                <w:rFonts w:cs="Arial"/>
                <w:sz w:val="24"/>
                <w:szCs w:val="24"/>
              </w:rPr>
              <w:t>City of Sierra Vista</w:t>
            </w:r>
          </w:p>
        </w:tc>
        <w:tc>
          <w:tcPr>
            <w:tcW w:w="1800" w:type="dxa"/>
          </w:tcPr>
          <w:p w:rsidR="0017639C" w:rsidRPr="00A02614" w:rsidRDefault="0017639C" w:rsidP="006D0DF4">
            <w:pPr>
              <w:rPr>
                <w:rFonts w:cs="Arial"/>
                <w:sz w:val="24"/>
                <w:szCs w:val="24"/>
              </w:rPr>
            </w:pPr>
            <w:r w:rsidRPr="00A02614">
              <w:rPr>
                <w:rFonts w:cs="Arial"/>
                <w:sz w:val="24"/>
                <w:szCs w:val="24"/>
              </w:rPr>
              <w:t>Sierra Vista</w:t>
            </w:r>
          </w:p>
        </w:tc>
      </w:tr>
      <w:tr w:rsidR="0017639C" w:rsidRPr="00A02614" w:rsidTr="0017639C">
        <w:tc>
          <w:tcPr>
            <w:tcW w:w="6300" w:type="dxa"/>
          </w:tcPr>
          <w:p w:rsidR="0017639C" w:rsidRPr="00A02614" w:rsidRDefault="0017639C" w:rsidP="006D0DF4">
            <w:pPr>
              <w:rPr>
                <w:rFonts w:cs="Arial"/>
                <w:sz w:val="24"/>
                <w:szCs w:val="24"/>
              </w:rPr>
            </w:pPr>
            <w:r w:rsidRPr="00A02614">
              <w:rPr>
                <w:rFonts w:cs="Arial"/>
                <w:sz w:val="24"/>
                <w:szCs w:val="24"/>
              </w:rPr>
              <w:t>Lake Havasu City</w:t>
            </w:r>
          </w:p>
        </w:tc>
        <w:tc>
          <w:tcPr>
            <w:tcW w:w="1800" w:type="dxa"/>
          </w:tcPr>
          <w:p w:rsidR="0017639C" w:rsidRPr="00A02614" w:rsidRDefault="0017639C" w:rsidP="006D0DF4">
            <w:pPr>
              <w:rPr>
                <w:rFonts w:cs="Arial"/>
                <w:sz w:val="24"/>
                <w:szCs w:val="24"/>
              </w:rPr>
            </w:pPr>
            <w:r w:rsidRPr="00A02614">
              <w:rPr>
                <w:rFonts w:cs="Arial"/>
                <w:sz w:val="24"/>
                <w:szCs w:val="24"/>
              </w:rPr>
              <w:t xml:space="preserve">Lake Havasu </w:t>
            </w:r>
          </w:p>
        </w:tc>
      </w:tr>
    </w:tbl>
    <w:p w:rsidR="0017639C" w:rsidRPr="00A02614" w:rsidRDefault="0017639C" w:rsidP="0015074C">
      <w:pPr>
        <w:spacing w:after="0" w:line="240" w:lineRule="auto"/>
        <w:rPr>
          <w:sz w:val="24"/>
          <w:szCs w:val="24"/>
        </w:rPr>
      </w:pPr>
    </w:p>
    <w:p w:rsidR="00B22C53" w:rsidRPr="00A02614" w:rsidRDefault="00B22C53" w:rsidP="0015074C">
      <w:pPr>
        <w:spacing w:after="0" w:line="240" w:lineRule="auto"/>
        <w:rPr>
          <w:sz w:val="24"/>
          <w:szCs w:val="24"/>
        </w:rPr>
      </w:pPr>
    </w:p>
    <w:p w:rsidR="00481F5A" w:rsidRDefault="00172B42" w:rsidP="00481F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2614">
        <w:rPr>
          <w:sz w:val="24"/>
          <w:szCs w:val="24"/>
        </w:rPr>
        <w:t>Direct Recipients</w:t>
      </w:r>
      <w:r w:rsidR="00643ACC">
        <w:rPr>
          <w:sz w:val="24"/>
          <w:szCs w:val="24"/>
        </w:rPr>
        <w:t>, for the 5307 program,</w:t>
      </w:r>
      <w:r w:rsidRPr="00A02614">
        <w:rPr>
          <w:sz w:val="24"/>
          <w:szCs w:val="24"/>
        </w:rPr>
        <w:t xml:space="preserve"> apply </w:t>
      </w:r>
      <w:r w:rsidR="00C6107B" w:rsidRPr="00A02614">
        <w:rPr>
          <w:sz w:val="24"/>
          <w:szCs w:val="24"/>
        </w:rPr>
        <w:t xml:space="preserve">for grants </w:t>
      </w:r>
      <w:r w:rsidRPr="00A02614">
        <w:rPr>
          <w:sz w:val="24"/>
          <w:szCs w:val="24"/>
        </w:rPr>
        <w:t xml:space="preserve">directly through TEAM.  The competitive </w:t>
      </w:r>
      <w:r w:rsidR="003D140C">
        <w:rPr>
          <w:sz w:val="24"/>
          <w:szCs w:val="24"/>
        </w:rPr>
        <w:t xml:space="preserve">funding pool </w:t>
      </w:r>
      <w:r w:rsidRPr="00A02614">
        <w:rPr>
          <w:sz w:val="24"/>
          <w:szCs w:val="24"/>
        </w:rPr>
        <w:t xml:space="preserve">process </w:t>
      </w:r>
      <w:r w:rsidR="003D140C">
        <w:rPr>
          <w:sz w:val="24"/>
          <w:szCs w:val="24"/>
        </w:rPr>
        <w:t>will begin as soon as apportionments are published</w:t>
      </w:r>
      <w:r w:rsidR="009B2934" w:rsidRPr="00A02614">
        <w:rPr>
          <w:sz w:val="24"/>
          <w:szCs w:val="24"/>
        </w:rPr>
        <w:t>, beginning in FFY2014,</w:t>
      </w:r>
      <w:r w:rsidR="00481F5A" w:rsidRPr="00A02614">
        <w:rPr>
          <w:sz w:val="24"/>
          <w:szCs w:val="24"/>
        </w:rPr>
        <w:t xml:space="preserve"> enabling</w:t>
      </w:r>
      <w:r w:rsidRPr="00A02614">
        <w:rPr>
          <w:sz w:val="24"/>
          <w:szCs w:val="24"/>
        </w:rPr>
        <w:t xml:space="preserve"> Direct Recipients to apply in TEAM only once</w:t>
      </w:r>
      <w:r w:rsidR="0015074C" w:rsidRPr="00A02614">
        <w:rPr>
          <w:sz w:val="24"/>
          <w:szCs w:val="24"/>
        </w:rPr>
        <w:t xml:space="preserve"> for competitive funds</w:t>
      </w:r>
      <w:r w:rsidR="00643ACC">
        <w:rPr>
          <w:sz w:val="24"/>
          <w:szCs w:val="24"/>
        </w:rPr>
        <w:t xml:space="preserve"> (from the 5307 program)</w:t>
      </w:r>
      <w:r w:rsidR="0015074C" w:rsidRPr="00A02614">
        <w:rPr>
          <w:sz w:val="24"/>
          <w:szCs w:val="24"/>
        </w:rPr>
        <w:t xml:space="preserve"> as well as their basic apportionment</w:t>
      </w:r>
      <w:r w:rsidRPr="00A02614">
        <w:rPr>
          <w:sz w:val="24"/>
          <w:szCs w:val="24"/>
        </w:rPr>
        <w:t>.</w:t>
      </w:r>
      <w:r w:rsidR="009B2934" w:rsidRPr="00A02614">
        <w:rPr>
          <w:sz w:val="24"/>
          <w:szCs w:val="24"/>
        </w:rPr>
        <w:t xml:space="preserve">  However, if </w:t>
      </w:r>
      <w:r w:rsidR="00C6107B" w:rsidRPr="00A02614">
        <w:rPr>
          <w:sz w:val="24"/>
          <w:szCs w:val="24"/>
        </w:rPr>
        <w:t xml:space="preserve">a </w:t>
      </w:r>
      <w:r w:rsidR="009B2934" w:rsidRPr="00A02614">
        <w:rPr>
          <w:sz w:val="24"/>
          <w:szCs w:val="24"/>
        </w:rPr>
        <w:t>Direct Recipient wants to make application for</w:t>
      </w:r>
      <w:r w:rsidR="00C6107B" w:rsidRPr="00A02614">
        <w:rPr>
          <w:sz w:val="24"/>
          <w:szCs w:val="24"/>
        </w:rPr>
        <w:t xml:space="preserve"> their</w:t>
      </w:r>
      <w:r w:rsidR="009B2934" w:rsidRPr="00A02614">
        <w:rPr>
          <w:sz w:val="24"/>
          <w:szCs w:val="24"/>
        </w:rPr>
        <w:t xml:space="preserve"> basic apportionment prior to</w:t>
      </w:r>
      <w:r w:rsidR="00C6107B" w:rsidRPr="00A02614">
        <w:rPr>
          <w:sz w:val="24"/>
          <w:szCs w:val="24"/>
        </w:rPr>
        <w:t xml:space="preserve"> completion of the</w:t>
      </w:r>
      <w:r w:rsidR="009B2934" w:rsidRPr="00A02614">
        <w:rPr>
          <w:sz w:val="24"/>
          <w:szCs w:val="24"/>
        </w:rPr>
        <w:t xml:space="preserve"> competitive process, they may do so</w:t>
      </w:r>
      <w:r w:rsidR="00481F5A" w:rsidRPr="00A02614">
        <w:rPr>
          <w:sz w:val="24"/>
          <w:szCs w:val="24"/>
        </w:rPr>
        <w:t xml:space="preserve"> then submit</w:t>
      </w:r>
      <w:r w:rsidR="009B2934" w:rsidRPr="00A02614">
        <w:rPr>
          <w:sz w:val="24"/>
          <w:szCs w:val="24"/>
        </w:rPr>
        <w:t xml:space="preserve"> an amendment to </w:t>
      </w:r>
      <w:r w:rsidR="00C6107B" w:rsidRPr="00A02614">
        <w:rPr>
          <w:sz w:val="24"/>
          <w:szCs w:val="24"/>
        </w:rPr>
        <w:t xml:space="preserve">the </w:t>
      </w:r>
      <w:r w:rsidR="009B2934" w:rsidRPr="00A02614">
        <w:rPr>
          <w:sz w:val="24"/>
          <w:szCs w:val="24"/>
        </w:rPr>
        <w:t>application</w:t>
      </w:r>
      <w:r w:rsidR="00C6107B" w:rsidRPr="00A02614">
        <w:rPr>
          <w:sz w:val="24"/>
          <w:szCs w:val="24"/>
        </w:rPr>
        <w:t xml:space="preserve"> for any</w:t>
      </w:r>
      <w:r w:rsidR="009B2934" w:rsidRPr="00A02614">
        <w:rPr>
          <w:sz w:val="24"/>
          <w:szCs w:val="24"/>
        </w:rPr>
        <w:t xml:space="preserve"> competitive funding award</w:t>
      </w:r>
      <w:r w:rsidR="003D140C">
        <w:rPr>
          <w:sz w:val="24"/>
          <w:szCs w:val="24"/>
        </w:rPr>
        <w:t>ed</w:t>
      </w:r>
      <w:r w:rsidR="009B2934" w:rsidRPr="00A02614">
        <w:rPr>
          <w:sz w:val="24"/>
          <w:szCs w:val="24"/>
        </w:rPr>
        <w:t>.</w:t>
      </w:r>
    </w:p>
    <w:p w:rsidR="00643ACC" w:rsidRPr="00A02614" w:rsidRDefault="00643ACC" w:rsidP="00481F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5339 program, if awarded competitive funding, applicants will become sub-recipients with the funds and reimbursement flowing through ADOT.</w:t>
      </w:r>
    </w:p>
    <w:p w:rsidR="00D92F75" w:rsidRPr="00A02614" w:rsidRDefault="00D92F75" w:rsidP="00A429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2614">
        <w:rPr>
          <w:sz w:val="24"/>
          <w:szCs w:val="24"/>
        </w:rPr>
        <w:t>Direct Recipients</w:t>
      </w:r>
      <w:r w:rsidR="00C6107B" w:rsidRPr="00A02614">
        <w:rPr>
          <w:sz w:val="24"/>
          <w:szCs w:val="24"/>
        </w:rPr>
        <w:t xml:space="preserve"> must</w:t>
      </w:r>
      <w:r w:rsidR="00481F5A" w:rsidRPr="00A02614">
        <w:rPr>
          <w:sz w:val="24"/>
          <w:szCs w:val="24"/>
        </w:rPr>
        <w:t xml:space="preserve"> attach </w:t>
      </w:r>
      <w:r w:rsidR="00C6107B" w:rsidRPr="00A02614">
        <w:rPr>
          <w:sz w:val="24"/>
          <w:szCs w:val="24"/>
        </w:rPr>
        <w:t xml:space="preserve">the </w:t>
      </w:r>
      <w:r w:rsidR="00481F5A" w:rsidRPr="00A02614">
        <w:rPr>
          <w:sz w:val="24"/>
          <w:szCs w:val="24"/>
        </w:rPr>
        <w:t>ADOT/Direct Recipient</w:t>
      </w:r>
      <w:r w:rsidR="00C6107B" w:rsidRPr="00A02614">
        <w:rPr>
          <w:sz w:val="24"/>
          <w:szCs w:val="24"/>
        </w:rPr>
        <w:t xml:space="preserve"> “</w:t>
      </w:r>
      <w:r w:rsidR="00481F5A" w:rsidRPr="00A02614">
        <w:rPr>
          <w:sz w:val="24"/>
          <w:szCs w:val="24"/>
        </w:rPr>
        <w:t>Supplemental Agreement” to TEAM application and</w:t>
      </w:r>
      <w:r w:rsidRPr="00A02614">
        <w:rPr>
          <w:sz w:val="24"/>
          <w:szCs w:val="24"/>
        </w:rPr>
        <w:t xml:space="preserve"> check the “Supplemental Agreement” box in their TEAM </w:t>
      </w:r>
      <w:proofErr w:type="gramStart"/>
      <w:r w:rsidRPr="00A02614">
        <w:rPr>
          <w:sz w:val="24"/>
          <w:szCs w:val="24"/>
        </w:rPr>
        <w:t>application</w:t>
      </w:r>
      <w:proofErr w:type="gramEnd"/>
      <w:r w:rsidRPr="00A02614">
        <w:rPr>
          <w:sz w:val="24"/>
          <w:szCs w:val="24"/>
        </w:rPr>
        <w:t>.</w:t>
      </w:r>
    </w:p>
    <w:p w:rsidR="00481F5A" w:rsidRPr="00A02614" w:rsidRDefault="00481F5A" w:rsidP="00A429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2614">
        <w:rPr>
          <w:sz w:val="24"/>
          <w:szCs w:val="24"/>
        </w:rPr>
        <w:t>Direct Recipient notifies ADOT that an application is pending in TEAM.</w:t>
      </w:r>
    </w:p>
    <w:p w:rsidR="0015074C" w:rsidRPr="00A02614" w:rsidRDefault="00C6107B" w:rsidP="00A429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2614">
        <w:rPr>
          <w:sz w:val="24"/>
          <w:szCs w:val="24"/>
        </w:rPr>
        <w:t>ADOT maintains</w:t>
      </w:r>
      <w:r w:rsidR="0015074C" w:rsidRPr="00A02614">
        <w:rPr>
          <w:sz w:val="24"/>
          <w:szCs w:val="24"/>
        </w:rPr>
        <w:t xml:space="preserve"> financial oversig</w:t>
      </w:r>
      <w:r w:rsidR="00AF1E17" w:rsidRPr="00A02614">
        <w:rPr>
          <w:sz w:val="24"/>
          <w:szCs w:val="24"/>
        </w:rPr>
        <w:t xml:space="preserve">ht by </w:t>
      </w:r>
      <w:proofErr w:type="spellStart"/>
      <w:r w:rsidR="00AF1E17" w:rsidRPr="00A02614">
        <w:rPr>
          <w:sz w:val="24"/>
          <w:szCs w:val="24"/>
        </w:rPr>
        <w:t>PIN</w:t>
      </w:r>
      <w:r w:rsidR="0015074C" w:rsidRPr="00A02614">
        <w:rPr>
          <w:sz w:val="24"/>
          <w:szCs w:val="24"/>
        </w:rPr>
        <w:t>ning</w:t>
      </w:r>
      <w:proofErr w:type="spellEnd"/>
      <w:r w:rsidR="0015074C" w:rsidRPr="00A02614">
        <w:rPr>
          <w:sz w:val="24"/>
          <w:szCs w:val="24"/>
        </w:rPr>
        <w:t xml:space="preserve"> the Supplemental Agreement</w:t>
      </w:r>
      <w:r w:rsidR="00D92F75" w:rsidRPr="00A02614">
        <w:rPr>
          <w:sz w:val="24"/>
          <w:szCs w:val="24"/>
        </w:rPr>
        <w:t xml:space="preserve"> in</w:t>
      </w:r>
      <w:r w:rsidR="0015074C" w:rsidRPr="00A02614">
        <w:rPr>
          <w:sz w:val="24"/>
          <w:szCs w:val="24"/>
        </w:rPr>
        <w:t xml:space="preserve"> each grant application prior to FTA award.</w:t>
      </w:r>
    </w:p>
    <w:p w:rsidR="00012CF9" w:rsidRDefault="00012CF9" w:rsidP="000F3CF3">
      <w:pPr>
        <w:rPr>
          <w:sz w:val="24"/>
          <w:szCs w:val="24"/>
        </w:rPr>
      </w:pPr>
    </w:p>
    <w:p w:rsidR="00514241" w:rsidRPr="000F3CF3" w:rsidRDefault="00514241" w:rsidP="000F3CF3">
      <w:pPr>
        <w:rPr>
          <w:rFonts w:eastAsia="Times New Roman" w:cs="Arial"/>
          <w:noProof/>
          <w:sz w:val="24"/>
          <w:szCs w:val="24"/>
          <w:u w:val="single"/>
        </w:rPr>
      </w:pPr>
      <w:r w:rsidRPr="00A02614">
        <w:rPr>
          <w:rFonts w:cs="Arial"/>
          <w:sz w:val="24"/>
          <w:szCs w:val="24"/>
          <w:u w:val="single"/>
        </w:rPr>
        <w:lastRenderedPageBreak/>
        <w:t>BASIC FUNDING ALLOCATION</w:t>
      </w:r>
    </w:p>
    <w:p w:rsidR="002A7C24" w:rsidRPr="00A02614" w:rsidRDefault="00514241" w:rsidP="002A7C24">
      <w:pPr>
        <w:pStyle w:val="Informal1"/>
        <w:numPr>
          <w:ilvl w:val="0"/>
          <w:numId w:val="1"/>
        </w:numPr>
        <w:tabs>
          <w:tab w:val="left" w:pos="36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A02614">
        <w:rPr>
          <w:rFonts w:asciiTheme="minorHAnsi" w:hAnsiTheme="minorHAnsi" w:cs="Arial"/>
          <w:sz w:val="24"/>
          <w:szCs w:val="24"/>
        </w:rPr>
        <w:t>Do not compete for basic funding (that apportioned</w:t>
      </w:r>
      <w:r w:rsidR="005F7306" w:rsidRPr="00A02614">
        <w:rPr>
          <w:rFonts w:asciiTheme="minorHAnsi" w:hAnsiTheme="minorHAnsi" w:cs="Arial"/>
          <w:sz w:val="24"/>
          <w:szCs w:val="24"/>
        </w:rPr>
        <w:t xml:space="preserve"> for specific UZA</w:t>
      </w:r>
      <w:r w:rsidRPr="00A02614">
        <w:rPr>
          <w:rFonts w:asciiTheme="minorHAnsi" w:hAnsiTheme="minorHAnsi" w:cs="Arial"/>
          <w:sz w:val="24"/>
          <w:szCs w:val="24"/>
        </w:rPr>
        <w:t xml:space="preserve"> </w:t>
      </w:r>
      <w:r w:rsidR="00A429BC" w:rsidRPr="00A02614">
        <w:rPr>
          <w:rFonts w:asciiTheme="minorHAnsi" w:hAnsiTheme="minorHAnsi" w:cs="Arial"/>
          <w:sz w:val="24"/>
          <w:szCs w:val="24"/>
        </w:rPr>
        <w:t>through Federal Register)</w:t>
      </w:r>
      <w:r w:rsidR="00393E26" w:rsidRPr="00A02614">
        <w:rPr>
          <w:rFonts w:asciiTheme="minorHAnsi" w:hAnsiTheme="minorHAnsi" w:cs="Arial"/>
          <w:sz w:val="24"/>
          <w:szCs w:val="24"/>
        </w:rPr>
        <w:t xml:space="preserve">.  </w:t>
      </w:r>
    </w:p>
    <w:p w:rsidR="00514241" w:rsidRPr="00A02614" w:rsidRDefault="00514241" w:rsidP="002A7C24">
      <w:pPr>
        <w:pStyle w:val="Informal1"/>
        <w:numPr>
          <w:ilvl w:val="0"/>
          <w:numId w:val="1"/>
        </w:numPr>
        <w:tabs>
          <w:tab w:val="left" w:pos="36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A02614">
        <w:rPr>
          <w:rFonts w:asciiTheme="minorHAnsi" w:hAnsiTheme="minorHAnsi" w:cs="Arial"/>
          <w:sz w:val="24"/>
          <w:szCs w:val="24"/>
        </w:rPr>
        <w:t>The Federal Register disbursement</w:t>
      </w:r>
      <w:r w:rsidR="00393E26" w:rsidRPr="00A02614">
        <w:rPr>
          <w:rFonts w:asciiTheme="minorHAnsi" w:hAnsiTheme="minorHAnsi" w:cs="Arial"/>
          <w:sz w:val="24"/>
          <w:szCs w:val="24"/>
        </w:rPr>
        <w:t xml:space="preserve"> remains </w:t>
      </w:r>
      <w:r w:rsidR="00DD6AA8" w:rsidRPr="00A02614">
        <w:rPr>
          <w:rFonts w:asciiTheme="minorHAnsi" w:hAnsiTheme="minorHAnsi" w:cs="Arial"/>
          <w:sz w:val="24"/>
          <w:szCs w:val="24"/>
        </w:rPr>
        <w:t>in place for that recipient</w:t>
      </w:r>
      <w:r w:rsidR="00393E26" w:rsidRPr="00A02614">
        <w:rPr>
          <w:rFonts w:asciiTheme="minorHAnsi" w:hAnsiTheme="minorHAnsi" w:cs="Arial"/>
          <w:sz w:val="24"/>
          <w:szCs w:val="24"/>
        </w:rPr>
        <w:t xml:space="preserve"> for two years</w:t>
      </w:r>
      <w:r w:rsidR="00481F5A" w:rsidRPr="00A02614">
        <w:rPr>
          <w:rFonts w:asciiTheme="minorHAnsi" w:hAnsiTheme="minorHAnsi" w:cs="Arial"/>
          <w:sz w:val="24"/>
          <w:szCs w:val="24"/>
        </w:rPr>
        <w:t xml:space="preserve"> (apportionment year plus one year)</w:t>
      </w:r>
      <w:r w:rsidR="00E11493" w:rsidRPr="00A02614">
        <w:rPr>
          <w:rFonts w:asciiTheme="minorHAnsi" w:hAnsiTheme="minorHAnsi" w:cs="Arial"/>
          <w:sz w:val="24"/>
          <w:szCs w:val="24"/>
        </w:rPr>
        <w:t>.</w:t>
      </w:r>
    </w:p>
    <w:p w:rsidR="00393E26" w:rsidRPr="00A02614" w:rsidRDefault="00393E26" w:rsidP="00393E26">
      <w:pPr>
        <w:pStyle w:val="Informal1"/>
        <w:numPr>
          <w:ilvl w:val="0"/>
          <w:numId w:val="1"/>
        </w:numPr>
        <w:tabs>
          <w:tab w:val="left" w:pos="36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A02614">
        <w:rPr>
          <w:rFonts w:asciiTheme="minorHAnsi" w:hAnsiTheme="minorHAnsi" w:cs="Arial"/>
          <w:sz w:val="24"/>
          <w:szCs w:val="24"/>
        </w:rPr>
        <w:t xml:space="preserve">Direct Recipients </w:t>
      </w:r>
      <w:r w:rsidR="00E11493" w:rsidRPr="00A02614">
        <w:rPr>
          <w:rFonts w:asciiTheme="minorHAnsi" w:hAnsiTheme="minorHAnsi" w:cs="Arial"/>
          <w:sz w:val="24"/>
          <w:szCs w:val="24"/>
        </w:rPr>
        <w:t xml:space="preserve">apply </w:t>
      </w:r>
      <w:r w:rsidR="005F7306" w:rsidRPr="00A02614">
        <w:rPr>
          <w:rFonts w:asciiTheme="minorHAnsi" w:hAnsiTheme="minorHAnsi" w:cs="Arial"/>
          <w:sz w:val="24"/>
          <w:szCs w:val="24"/>
        </w:rPr>
        <w:t xml:space="preserve">to FTA </w:t>
      </w:r>
      <w:r w:rsidR="00E11493" w:rsidRPr="00A02614">
        <w:rPr>
          <w:rFonts w:asciiTheme="minorHAnsi" w:hAnsiTheme="minorHAnsi" w:cs="Arial"/>
          <w:sz w:val="24"/>
          <w:szCs w:val="24"/>
        </w:rPr>
        <w:t>through TEAM</w:t>
      </w:r>
      <w:r w:rsidRPr="00A02614">
        <w:rPr>
          <w:rFonts w:asciiTheme="minorHAnsi" w:hAnsiTheme="minorHAnsi" w:cs="Arial"/>
          <w:sz w:val="24"/>
          <w:szCs w:val="24"/>
        </w:rPr>
        <w:t>.</w:t>
      </w:r>
    </w:p>
    <w:p w:rsidR="00393E26" w:rsidRPr="00A02614" w:rsidRDefault="007A5ABB" w:rsidP="00393E26">
      <w:pPr>
        <w:pStyle w:val="Informal1"/>
        <w:numPr>
          <w:ilvl w:val="0"/>
          <w:numId w:val="1"/>
        </w:numPr>
        <w:tabs>
          <w:tab w:val="left" w:pos="36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A02614">
        <w:rPr>
          <w:rFonts w:asciiTheme="minorHAnsi" w:hAnsiTheme="minorHAnsi" w:cs="Arial"/>
          <w:sz w:val="24"/>
          <w:szCs w:val="24"/>
        </w:rPr>
        <w:t xml:space="preserve">Direct Recipients </w:t>
      </w:r>
      <w:r w:rsidR="0063366B" w:rsidRPr="00A02614">
        <w:rPr>
          <w:rFonts w:asciiTheme="minorHAnsi" w:hAnsiTheme="minorHAnsi" w:cs="Arial"/>
          <w:sz w:val="24"/>
          <w:szCs w:val="24"/>
        </w:rPr>
        <w:t>submit their application in TEAM</w:t>
      </w:r>
      <w:r w:rsidR="00481F5A" w:rsidRPr="00A02614">
        <w:rPr>
          <w:rFonts w:asciiTheme="minorHAnsi" w:hAnsiTheme="minorHAnsi" w:cs="Arial"/>
          <w:sz w:val="24"/>
          <w:szCs w:val="24"/>
        </w:rPr>
        <w:t>, att</w:t>
      </w:r>
      <w:r w:rsidR="00D12273">
        <w:rPr>
          <w:rFonts w:asciiTheme="minorHAnsi" w:hAnsiTheme="minorHAnsi" w:cs="Arial"/>
          <w:sz w:val="24"/>
          <w:szCs w:val="24"/>
        </w:rPr>
        <w:t>a</w:t>
      </w:r>
      <w:r w:rsidR="00481F5A" w:rsidRPr="00A02614">
        <w:rPr>
          <w:rFonts w:asciiTheme="minorHAnsi" w:hAnsiTheme="minorHAnsi" w:cs="Arial"/>
          <w:sz w:val="24"/>
          <w:szCs w:val="24"/>
        </w:rPr>
        <w:t>ch the Supplemental Agreement</w:t>
      </w:r>
      <w:r w:rsidR="006D4A82">
        <w:rPr>
          <w:rFonts w:asciiTheme="minorHAnsi" w:hAnsiTheme="minorHAnsi" w:cs="Arial"/>
          <w:sz w:val="24"/>
          <w:szCs w:val="24"/>
        </w:rPr>
        <w:t xml:space="preserve"> and check the “Supplemental</w:t>
      </w:r>
      <w:r w:rsidR="00012CF9">
        <w:rPr>
          <w:rFonts w:asciiTheme="minorHAnsi" w:hAnsiTheme="minorHAnsi" w:cs="Arial"/>
          <w:sz w:val="24"/>
          <w:szCs w:val="24"/>
        </w:rPr>
        <w:t xml:space="preserve"> A</w:t>
      </w:r>
      <w:r w:rsidR="0063366B" w:rsidRPr="00A02614">
        <w:rPr>
          <w:rFonts w:asciiTheme="minorHAnsi" w:hAnsiTheme="minorHAnsi" w:cs="Arial"/>
          <w:sz w:val="24"/>
          <w:szCs w:val="24"/>
        </w:rPr>
        <w:t>greement” box</w:t>
      </w:r>
      <w:r w:rsidR="00393E26" w:rsidRPr="00A02614">
        <w:rPr>
          <w:rFonts w:asciiTheme="minorHAnsi" w:hAnsiTheme="minorHAnsi" w:cs="Arial"/>
          <w:sz w:val="24"/>
          <w:szCs w:val="24"/>
        </w:rPr>
        <w:t xml:space="preserve">.  </w:t>
      </w:r>
    </w:p>
    <w:p w:rsidR="00481F5A" w:rsidRPr="00A02614" w:rsidRDefault="00481F5A" w:rsidP="00393E26">
      <w:pPr>
        <w:pStyle w:val="Informal1"/>
        <w:numPr>
          <w:ilvl w:val="0"/>
          <w:numId w:val="1"/>
        </w:numPr>
        <w:tabs>
          <w:tab w:val="left" w:pos="36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A02614">
        <w:rPr>
          <w:rFonts w:asciiTheme="minorHAnsi" w:hAnsiTheme="minorHAnsi" w:cs="Arial"/>
          <w:sz w:val="24"/>
          <w:szCs w:val="24"/>
        </w:rPr>
        <w:t>Direct Recipient notifies ADOT that an application is pending in TEAM.</w:t>
      </w:r>
    </w:p>
    <w:p w:rsidR="00964271" w:rsidRPr="00A02614" w:rsidRDefault="0063366B" w:rsidP="00A429BC">
      <w:pPr>
        <w:pStyle w:val="Informal1"/>
        <w:numPr>
          <w:ilvl w:val="0"/>
          <w:numId w:val="1"/>
        </w:numPr>
        <w:tabs>
          <w:tab w:val="left" w:pos="36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A02614">
        <w:rPr>
          <w:rFonts w:asciiTheme="minorHAnsi" w:hAnsiTheme="minorHAnsi" w:cs="Arial"/>
          <w:sz w:val="24"/>
          <w:szCs w:val="24"/>
        </w:rPr>
        <w:t>ADOT then PINs the</w:t>
      </w:r>
      <w:r w:rsidR="00AF1E17" w:rsidRPr="00A02614">
        <w:rPr>
          <w:rFonts w:asciiTheme="minorHAnsi" w:hAnsiTheme="minorHAnsi" w:cs="Arial"/>
          <w:sz w:val="24"/>
          <w:szCs w:val="24"/>
        </w:rPr>
        <w:t xml:space="preserve"> application </w:t>
      </w:r>
      <w:r w:rsidR="005767C9" w:rsidRPr="00A02614">
        <w:rPr>
          <w:rFonts w:asciiTheme="minorHAnsi" w:hAnsiTheme="minorHAnsi" w:cs="Arial"/>
          <w:sz w:val="24"/>
          <w:szCs w:val="24"/>
        </w:rPr>
        <w:t>in TEAM</w:t>
      </w:r>
      <w:r w:rsidR="00320D29">
        <w:rPr>
          <w:rFonts w:asciiTheme="minorHAnsi" w:hAnsiTheme="minorHAnsi" w:cs="Arial"/>
          <w:sz w:val="24"/>
          <w:szCs w:val="24"/>
        </w:rPr>
        <w:t>,</w:t>
      </w:r>
      <w:r w:rsidR="005767C9" w:rsidRPr="00A02614">
        <w:rPr>
          <w:rFonts w:asciiTheme="minorHAnsi" w:hAnsiTheme="minorHAnsi" w:cs="Arial"/>
          <w:sz w:val="24"/>
          <w:szCs w:val="24"/>
        </w:rPr>
        <w:t xml:space="preserve"> as entered by Direct Recipients</w:t>
      </w:r>
      <w:r w:rsidR="00320D29">
        <w:rPr>
          <w:rFonts w:asciiTheme="minorHAnsi" w:hAnsiTheme="minorHAnsi" w:cs="Arial"/>
          <w:sz w:val="24"/>
          <w:szCs w:val="24"/>
        </w:rPr>
        <w:t>,</w:t>
      </w:r>
      <w:r w:rsidRPr="00A02614">
        <w:rPr>
          <w:rFonts w:asciiTheme="minorHAnsi" w:hAnsiTheme="minorHAnsi" w:cs="Arial"/>
          <w:sz w:val="24"/>
          <w:szCs w:val="24"/>
        </w:rPr>
        <w:t xml:space="preserve"> before FTA will award the grant.</w:t>
      </w:r>
    </w:p>
    <w:p w:rsidR="00481F5A" w:rsidRPr="00A02614" w:rsidRDefault="00481F5A" w:rsidP="00481F5A">
      <w:pPr>
        <w:pStyle w:val="Informal1"/>
        <w:numPr>
          <w:ilvl w:val="0"/>
          <w:numId w:val="1"/>
        </w:numPr>
        <w:tabs>
          <w:tab w:val="left" w:pos="36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A02614">
        <w:rPr>
          <w:rFonts w:asciiTheme="minorHAnsi" w:hAnsiTheme="minorHAnsi" w:cs="Arial"/>
          <w:sz w:val="24"/>
          <w:szCs w:val="24"/>
        </w:rPr>
        <w:t>ADOT provides FTA with a split letter den</w:t>
      </w:r>
      <w:r w:rsidR="00D12273">
        <w:rPr>
          <w:rFonts w:asciiTheme="minorHAnsi" w:hAnsiTheme="minorHAnsi" w:cs="Arial"/>
          <w:sz w:val="24"/>
          <w:szCs w:val="24"/>
        </w:rPr>
        <w:t>oting basic funding plus competi</w:t>
      </w:r>
      <w:r w:rsidRPr="00A02614">
        <w:rPr>
          <w:rFonts w:asciiTheme="minorHAnsi" w:hAnsiTheme="minorHAnsi" w:cs="Arial"/>
          <w:sz w:val="24"/>
          <w:szCs w:val="24"/>
        </w:rPr>
        <w:t>tive funding</w:t>
      </w:r>
      <w:r w:rsidR="00FB5FD4">
        <w:rPr>
          <w:rFonts w:asciiTheme="minorHAnsi" w:hAnsiTheme="minorHAnsi" w:cs="Arial"/>
          <w:sz w:val="24"/>
          <w:szCs w:val="24"/>
        </w:rPr>
        <w:t xml:space="preserve"> 5307</w:t>
      </w:r>
      <w:r w:rsidRPr="00A02614">
        <w:rPr>
          <w:rFonts w:asciiTheme="minorHAnsi" w:hAnsiTheme="minorHAnsi" w:cs="Arial"/>
          <w:sz w:val="24"/>
          <w:szCs w:val="24"/>
        </w:rPr>
        <w:t xml:space="preserve"> award for each applicant.</w:t>
      </w:r>
    </w:p>
    <w:p w:rsidR="00635CC2" w:rsidRPr="00A02614" w:rsidRDefault="00964271" w:rsidP="00635CC2">
      <w:pPr>
        <w:pStyle w:val="Informal1"/>
        <w:numPr>
          <w:ilvl w:val="0"/>
          <w:numId w:val="1"/>
        </w:numPr>
        <w:tabs>
          <w:tab w:val="left" w:pos="36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A02614">
        <w:rPr>
          <w:rFonts w:asciiTheme="minorHAnsi" w:hAnsiTheme="minorHAnsi" w:cs="Arial"/>
          <w:sz w:val="24"/>
          <w:szCs w:val="24"/>
        </w:rPr>
        <w:t>Award and reimbursement occur be</w:t>
      </w:r>
      <w:r w:rsidR="0063366B" w:rsidRPr="00A02614">
        <w:rPr>
          <w:rFonts w:asciiTheme="minorHAnsi" w:hAnsiTheme="minorHAnsi" w:cs="Arial"/>
          <w:sz w:val="24"/>
          <w:szCs w:val="24"/>
        </w:rPr>
        <w:t>tw</w:t>
      </w:r>
      <w:r w:rsidRPr="00A02614">
        <w:rPr>
          <w:rFonts w:asciiTheme="minorHAnsi" w:hAnsiTheme="minorHAnsi" w:cs="Arial"/>
          <w:sz w:val="24"/>
          <w:szCs w:val="24"/>
        </w:rPr>
        <w:t>een Direct Recipient and FTA.</w:t>
      </w:r>
    </w:p>
    <w:p w:rsidR="006B4B72" w:rsidRPr="00A02614" w:rsidRDefault="006B4B72" w:rsidP="00E1149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>All Direct Recipients will report to ADOT by November of each year the amount of any unobligated funds</w:t>
      </w:r>
      <w:r w:rsidR="00481F5A" w:rsidRPr="00A02614">
        <w:rPr>
          <w:rFonts w:cs="Arial"/>
          <w:sz w:val="24"/>
          <w:szCs w:val="24"/>
        </w:rPr>
        <w:t xml:space="preserve"> from previous year</w:t>
      </w:r>
      <w:r w:rsidRPr="00A02614">
        <w:rPr>
          <w:rFonts w:cs="Arial"/>
          <w:sz w:val="24"/>
          <w:szCs w:val="24"/>
        </w:rPr>
        <w:t xml:space="preserve"> and the reason they are unobligated.</w:t>
      </w:r>
    </w:p>
    <w:p w:rsidR="00E11493" w:rsidRPr="00A02614" w:rsidRDefault="00E11493" w:rsidP="00E1149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 xml:space="preserve">Following </w:t>
      </w:r>
      <w:r w:rsidR="00BA6404" w:rsidRPr="00A02614">
        <w:rPr>
          <w:rFonts w:cs="Arial"/>
          <w:sz w:val="24"/>
          <w:szCs w:val="24"/>
        </w:rPr>
        <w:t>2n</w:t>
      </w:r>
      <w:r w:rsidR="00C027E4" w:rsidRPr="00A02614">
        <w:rPr>
          <w:rFonts w:cs="Arial"/>
          <w:sz w:val="24"/>
          <w:szCs w:val="24"/>
        </w:rPr>
        <w:t>d</w:t>
      </w:r>
      <w:r w:rsidRPr="00A02614">
        <w:rPr>
          <w:rFonts w:cs="Arial"/>
          <w:sz w:val="24"/>
          <w:szCs w:val="24"/>
        </w:rPr>
        <w:t xml:space="preserve"> year, funds that have not been obligated</w:t>
      </w:r>
      <w:r w:rsidR="00F1508F" w:rsidRPr="00A02614">
        <w:rPr>
          <w:rFonts w:cs="Arial"/>
          <w:sz w:val="24"/>
          <w:szCs w:val="24"/>
        </w:rPr>
        <w:t xml:space="preserve"> will be reallocated</w:t>
      </w:r>
      <w:r w:rsidRPr="00A02614">
        <w:rPr>
          <w:rFonts w:cs="Arial"/>
          <w:sz w:val="24"/>
          <w:szCs w:val="24"/>
        </w:rPr>
        <w:t xml:space="preserve"> for distribution by ADOT through a competitive process** </w:t>
      </w:r>
    </w:p>
    <w:p w:rsidR="00E11493" w:rsidRPr="00A02614" w:rsidRDefault="00E11493" w:rsidP="0063366B">
      <w:pPr>
        <w:pStyle w:val="Informal1"/>
        <w:tabs>
          <w:tab w:val="left" w:pos="360"/>
        </w:tabs>
        <w:spacing w:before="0" w:after="0"/>
        <w:ind w:left="720"/>
        <w:rPr>
          <w:rFonts w:asciiTheme="minorHAnsi" w:hAnsiTheme="minorHAnsi" w:cs="Arial"/>
          <w:sz w:val="24"/>
          <w:szCs w:val="24"/>
        </w:rPr>
      </w:pPr>
    </w:p>
    <w:p w:rsidR="00514241" w:rsidRPr="00A02614" w:rsidRDefault="00514241" w:rsidP="00A429BC">
      <w:pPr>
        <w:spacing w:after="0"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>**If the funds are not obligated</w:t>
      </w:r>
      <w:r w:rsidR="00F1508F" w:rsidRPr="00A02614">
        <w:rPr>
          <w:rFonts w:cs="Arial"/>
          <w:sz w:val="24"/>
          <w:szCs w:val="24"/>
        </w:rPr>
        <w:t>,</w:t>
      </w:r>
      <w:r w:rsidRPr="00A02614">
        <w:rPr>
          <w:rFonts w:cs="Arial"/>
          <w:sz w:val="24"/>
          <w:szCs w:val="24"/>
        </w:rPr>
        <w:t xml:space="preserve"> after </w:t>
      </w:r>
      <w:r w:rsidR="00BA6404" w:rsidRPr="00A02614">
        <w:rPr>
          <w:rFonts w:cs="Arial"/>
          <w:sz w:val="24"/>
          <w:szCs w:val="24"/>
        </w:rPr>
        <w:t>apportionment year plus one year</w:t>
      </w:r>
      <w:r w:rsidR="00F1508F" w:rsidRPr="00A02614">
        <w:rPr>
          <w:rFonts w:cs="Arial"/>
          <w:sz w:val="24"/>
          <w:szCs w:val="24"/>
        </w:rPr>
        <w:t>, the money will be reallocated</w:t>
      </w:r>
      <w:r w:rsidRPr="00A02614">
        <w:rPr>
          <w:rFonts w:cs="Arial"/>
          <w:sz w:val="24"/>
          <w:szCs w:val="24"/>
        </w:rPr>
        <w:t xml:space="preserve"> into a</w:t>
      </w:r>
      <w:r w:rsidR="00FB5FD4">
        <w:rPr>
          <w:rFonts w:cs="Arial"/>
          <w:sz w:val="24"/>
          <w:szCs w:val="24"/>
        </w:rPr>
        <w:t xml:space="preserve"> competitive</w:t>
      </w:r>
      <w:r w:rsidRPr="00A02614">
        <w:rPr>
          <w:rFonts w:cs="Arial"/>
          <w:sz w:val="24"/>
          <w:szCs w:val="24"/>
        </w:rPr>
        <w:t xml:space="preserve"> pool.  A competitive process will be used to </w:t>
      </w:r>
      <w:r w:rsidR="00F1508F" w:rsidRPr="00A02614">
        <w:rPr>
          <w:rFonts w:cs="Arial"/>
          <w:sz w:val="24"/>
          <w:szCs w:val="24"/>
        </w:rPr>
        <w:t>distribute the funding from this</w:t>
      </w:r>
      <w:r w:rsidRPr="00A02614">
        <w:rPr>
          <w:rFonts w:cs="Arial"/>
          <w:sz w:val="24"/>
          <w:szCs w:val="24"/>
        </w:rPr>
        <w:t xml:space="preserve"> pool.  If the</w:t>
      </w:r>
      <w:r w:rsidR="00C027E4" w:rsidRPr="00A02614">
        <w:rPr>
          <w:rFonts w:cs="Arial"/>
          <w:sz w:val="24"/>
          <w:szCs w:val="24"/>
        </w:rPr>
        <w:t xml:space="preserve"> Short Range T</w:t>
      </w:r>
      <w:r w:rsidRPr="00A02614">
        <w:rPr>
          <w:rFonts w:cs="Arial"/>
          <w:sz w:val="24"/>
          <w:szCs w:val="24"/>
        </w:rPr>
        <w:t xml:space="preserve">ransit </w:t>
      </w:r>
      <w:r w:rsidR="00C027E4" w:rsidRPr="00A02614">
        <w:rPr>
          <w:rFonts w:cs="Arial"/>
          <w:sz w:val="24"/>
          <w:szCs w:val="24"/>
        </w:rPr>
        <w:t>P</w:t>
      </w:r>
      <w:r w:rsidRPr="00A02614">
        <w:rPr>
          <w:rFonts w:cs="Arial"/>
          <w:sz w:val="24"/>
          <w:szCs w:val="24"/>
        </w:rPr>
        <w:t>lan identified the expenditure and the reason funds are not obligated</w:t>
      </w:r>
      <w:r w:rsidR="00C027E4" w:rsidRPr="00A02614">
        <w:rPr>
          <w:rFonts w:cs="Arial"/>
          <w:sz w:val="24"/>
          <w:szCs w:val="24"/>
        </w:rPr>
        <w:t>, and is discussed with ADOT along with</w:t>
      </w:r>
      <w:r w:rsidRPr="00A02614">
        <w:rPr>
          <w:rFonts w:cs="Arial"/>
          <w:sz w:val="24"/>
          <w:szCs w:val="24"/>
        </w:rPr>
        <w:t xml:space="preserve"> an Action Plan including corrective action</w:t>
      </w:r>
      <w:r w:rsidR="00C027E4" w:rsidRPr="00A02614">
        <w:rPr>
          <w:rFonts w:cs="Arial"/>
          <w:sz w:val="24"/>
          <w:szCs w:val="24"/>
        </w:rPr>
        <w:t>, and is agreed upon</w:t>
      </w:r>
      <w:r w:rsidRPr="00A02614">
        <w:rPr>
          <w:rFonts w:cs="Arial"/>
          <w:sz w:val="24"/>
          <w:szCs w:val="24"/>
        </w:rPr>
        <w:t xml:space="preserve"> – the funds will not be moved to the</w:t>
      </w:r>
      <w:r w:rsidR="00C027E4" w:rsidRPr="00A02614">
        <w:rPr>
          <w:rFonts w:cs="Arial"/>
          <w:sz w:val="24"/>
          <w:szCs w:val="24"/>
        </w:rPr>
        <w:t xml:space="preserve"> </w:t>
      </w:r>
      <w:r w:rsidR="00B22C53" w:rsidRPr="00A02614">
        <w:rPr>
          <w:rFonts w:cs="Arial"/>
          <w:sz w:val="24"/>
          <w:szCs w:val="24"/>
        </w:rPr>
        <w:t>competitive</w:t>
      </w:r>
      <w:r w:rsidRPr="00A02614">
        <w:rPr>
          <w:rFonts w:cs="Arial"/>
          <w:sz w:val="24"/>
          <w:szCs w:val="24"/>
        </w:rPr>
        <w:t xml:space="preserve"> pool.</w:t>
      </w:r>
    </w:p>
    <w:p w:rsidR="00514241" w:rsidRPr="00A02614" w:rsidRDefault="00514241" w:rsidP="00514241">
      <w:pPr>
        <w:rPr>
          <w:sz w:val="24"/>
          <w:szCs w:val="24"/>
        </w:rPr>
      </w:pPr>
    </w:p>
    <w:p w:rsidR="004D64BA" w:rsidRDefault="004D64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190F7B" w:rsidRPr="00A02614" w:rsidRDefault="00190F7B" w:rsidP="00190F7B">
      <w:pPr>
        <w:spacing w:line="240" w:lineRule="auto"/>
        <w:rPr>
          <w:sz w:val="24"/>
          <w:szCs w:val="24"/>
          <w:u w:val="single"/>
        </w:rPr>
      </w:pPr>
      <w:r w:rsidRPr="00A02614">
        <w:rPr>
          <w:sz w:val="24"/>
          <w:szCs w:val="24"/>
          <w:u w:val="single"/>
        </w:rPr>
        <w:lastRenderedPageBreak/>
        <w:t xml:space="preserve">COMPETITIVE PROCESS FOR </w:t>
      </w:r>
      <w:r w:rsidR="00012CF9">
        <w:rPr>
          <w:sz w:val="24"/>
          <w:szCs w:val="24"/>
          <w:u w:val="single"/>
        </w:rPr>
        <w:t xml:space="preserve">5307 </w:t>
      </w:r>
      <w:r w:rsidRPr="00A02614">
        <w:rPr>
          <w:sz w:val="24"/>
          <w:szCs w:val="24"/>
          <w:u w:val="single"/>
        </w:rPr>
        <w:t>UNOBLIGATED</w:t>
      </w:r>
      <w:r w:rsidR="00012CF9">
        <w:rPr>
          <w:sz w:val="24"/>
          <w:szCs w:val="24"/>
          <w:u w:val="single"/>
        </w:rPr>
        <w:t xml:space="preserve"> &amp; 5339</w:t>
      </w:r>
      <w:r w:rsidRPr="00A02614">
        <w:rPr>
          <w:sz w:val="24"/>
          <w:szCs w:val="24"/>
          <w:u w:val="single"/>
        </w:rPr>
        <w:t xml:space="preserve"> FUNDS</w:t>
      </w:r>
    </w:p>
    <w:p w:rsidR="008275C6" w:rsidRPr="00A02614" w:rsidRDefault="008275C6" w:rsidP="006267C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>ADOT will notify all eligible entities of amount available in competitive pool with a call for applications each December or when full year’s apportionments are announced.</w:t>
      </w:r>
    </w:p>
    <w:p w:rsidR="006267C9" w:rsidRPr="00A02614" w:rsidRDefault="006267C9" w:rsidP="006267C9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 xml:space="preserve">All Direct Recipients will submit to ADOT, at least every five years, a </w:t>
      </w:r>
      <w:r w:rsidR="006B4B72" w:rsidRPr="00A02614">
        <w:rPr>
          <w:rFonts w:cs="Arial"/>
          <w:sz w:val="24"/>
          <w:szCs w:val="24"/>
        </w:rPr>
        <w:t>Short Range Transit P</w:t>
      </w:r>
      <w:r w:rsidRPr="00A02614">
        <w:rPr>
          <w:rFonts w:cs="Arial"/>
          <w:sz w:val="24"/>
          <w:szCs w:val="24"/>
        </w:rPr>
        <w:t>lan demonstrating entities plan for using</w:t>
      </w:r>
      <w:r w:rsidR="006B4B72" w:rsidRPr="00A02614">
        <w:rPr>
          <w:rFonts w:cs="Arial"/>
          <w:sz w:val="24"/>
          <w:szCs w:val="24"/>
        </w:rPr>
        <w:t xml:space="preserve"> 5307 / 5339</w:t>
      </w:r>
      <w:r w:rsidRPr="00A02614">
        <w:rPr>
          <w:rFonts w:cs="Arial"/>
          <w:sz w:val="24"/>
          <w:szCs w:val="24"/>
        </w:rPr>
        <w:t xml:space="preserve"> funds.</w:t>
      </w:r>
    </w:p>
    <w:p w:rsidR="002B23CC" w:rsidRPr="00A02614" w:rsidRDefault="00186C73" w:rsidP="002B23CC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 xml:space="preserve">ADOT </w:t>
      </w:r>
      <w:r w:rsidR="002B23CC" w:rsidRPr="00A02614">
        <w:rPr>
          <w:rFonts w:cs="Arial"/>
          <w:sz w:val="24"/>
          <w:szCs w:val="24"/>
        </w:rPr>
        <w:t xml:space="preserve">consultation process </w:t>
      </w:r>
      <w:r w:rsidRPr="00A02614">
        <w:rPr>
          <w:rFonts w:cs="Arial"/>
          <w:sz w:val="24"/>
          <w:szCs w:val="24"/>
        </w:rPr>
        <w:t xml:space="preserve">with </w:t>
      </w:r>
      <w:r w:rsidR="006B4B72" w:rsidRPr="00A02614">
        <w:rPr>
          <w:rFonts w:cs="Arial"/>
          <w:sz w:val="24"/>
          <w:szCs w:val="24"/>
        </w:rPr>
        <w:t xml:space="preserve">any </w:t>
      </w:r>
      <w:r w:rsidR="002B23CC" w:rsidRPr="00A02614">
        <w:rPr>
          <w:rFonts w:cs="Arial"/>
          <w:sz w:val="24"/>
          <w:szCs w:val="24"/>
        </w:rPr>
        <w:t xml:space="preserve">entity </w:t>
      </w:r>
      <w:r w:rsidR="002718E2" w:rsidRPr="00A02614">
        <w:rPr>
          <w:rFonts w:cs="Arial"/>
          <w:sz w:val="24"/>
          <w:szCs w:val="24"/>
        </w:rPr>
        <w:t>that</w:t>
      </w:r>
      <w:r w:rsidR="002B23CC" w:rsidRPr="00A02614">
        <w:rPr>
          <w:rFonts w:cs="Arial"/>
          <w:sz w:val="24"/>
          <w:szCs w:val="24"/>
        </w:rPr>
        <w:t xml:space="preserve"> has</w:t>
      </w:r>
      <w:r w:rsidRPr="00A02614">
        <w:rPr>
          <w:rFonts w:cs="Arial"/>
          <w:sz w:val="24"/>
          <w:szCs w:val="24"/>
        </w:rPr>
        <w:t xml:space="preserve"> unobligated funds for transfer into competitive funding pool.</w:t>
      </w:r>
    </w:p>
    <w:p w:rsidR="00BF3B68" w:rsidRPr="00A02614" w:rsidRDefault="00BF3B68" w:rsidP="002B23CC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>These funds, if awarded, are one-time</w:t>
      </w:r>
      <w:r w:rsidR="006B4B72" w:rsidRPr="00A02614">
        <w:rPr>
          <w:rFonts w:cs="Arial"/>
          <w:sz w:val="24"/>
          <w:szCs w:val="24"/>
        </w:rPr>
        <w:t xml:space="preserve"> capital</w:t>
      </w:r>
      <w:r w:rsidR="003E7514">
        <w:rPr>
          <w:rFonts w:cs="Arial"/>
          <w:sz w:val="24"/>
          <w:szCs w:val="24"/>
        </w:rPr>
        <w:t xml:space="preserve"> or operating</w:t>
      </w:r>
      <w:r w:rsidR="006B4B72" w:rsidRPr="00A02614">
        <w:rPr>
          <w:rFonts w:cs="Arial"/>
          <w:sz w:val="24"/>
          <w:szCs w:val="24"/>
        </w:rPr>
        <w:t xml:space="preserve"> project</w:t>
      </w:r>
      <w:r w:rsidRPr="00A02614">
        <w:rPr>
          <w:rFonts w:cs="Arial"/>
          <w:sz w:val="24"/>
          <w:szCs w:val="24"/>
        </w:rPr>
        <w:t xml:space="preserve"> funds</w:t>
      </w:r>
      <w:r w:rsidR="006B4B72" w:rsidRPr="00A02614">
        <w:rPr>
          <w:rFonts w:cs="Arial"/>
          <w:sz w:val="24"/>
          <w:szCs w:val="24"/>
        </w:rPr>
        <w:t xml:space="preserve">, </w:t>
      </w:r>
      <w:r w:rsidRPr="00A02614">
        <w:rPr>
          <w:rFonts w:cs="Arial"/>
          <w:sz w:val="24"/>
          <w:szCs w:val="24"/>
        </w:rPr>
        <w:t>priority</w:t>
      </w:r>
      <w:r w:rsidR="006B4B72" w:rsidRPr="00A02614">
        <w:rPr>
          <w:rFonts w:cs="Arial"/>
          <w:sz w:val="24"/>
          <w:szCs w:val="24"/>
        </w:rPr>
        <w:t xml:space="preserve"> will be</w:t>
      </w:r>
      <w:r w:rsidRPr="00A02614">
        <w:rPr>
          <w:rFonts w:cs="Arial"/>
          <w:sz w:val="24"/>
          <w:szCs w:val="24"/>
        </w:rPr>
        <w:t xml:space="preserve"> given to capital projects that</w:t>
      </w:r>
      <w:r w:rsidR="006B4B72" w:rsidRPr="00A02614">
        <w:rPr>
          <w:rFonts w:cs="Arial"/>
          <w:sz w:val="24"/>
          <w:szCs w:val="24"/>
        </w:rPr>
        <w:t xml:space="preserve"> show they have demonst</w:t>
      </w:r>
      <w:r w:rsidR="00770AD8" w:rsidRPr="00A02614">
        <w:rPr>
          <w:rFonts w:cs="Arial"/>
          <w:sz w:val="24"/>
          <w:szCs w:val="24"/>
        </w:rPr>
        <w:t>r</w:t>
      </w:r>
      <w:r w:rsidR="006B4B72" w:rsidRPr="00A02614">
        <w:rPr>
          <w:rFonts w:cs="Arial"/>
          <w:sz w:val="24"/>
          <w:szCs w:val="24"/>
        </w:rPr>
        <w:t>ated readiness to procure</w:t>
      </w:r>
      <w:r w:rsidR="00F02EDE" w:rsidRPr="00A02614">
        <w:rPr>
          <w:rFonts w:cs="Arial"/>
          <w:sz w:val="24"/>
          <w:szCs w:val="24"/>
        </w:rPr>
        <w:t xml:space="preserve"> or construct</w:t>
      </w:r>
      <w:r w:rsidR="006B4B72" w:rsidRPr="00A02614">
        <w:rPr>
          <w:rFonts w:cs="Arial"/>
          <w:sz w:val="24"/>
          <w:szCs w:val="24"/>
        </w:rPr>
        <w:t>.</w:t>
      </w:r>
    </w:p>
    <w:p w:rsidR="001361D6" w:rsidRPr="001361D6" w:rsidRDefault="00D92862" w:rsidP="001361D6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>Direct Recipients will apply for this f</w:t>
      </w:r>
      <w:r w:rsidR="00F02EDE" w:rsidRPr="00A02614">
        <w:rPr>
          <w:rFonts w:cs="Arial"/>
          <w:sz w:val="24"/>
          <w:szCs w:val="24"/>
        </w:rPr>
        <w:t>unding</w:t>
      </w:r>
      <w:r w:rsidR="00FB5FD4">
        <w:rPr>
          <w:rFonts w:cs="Arial"/>
          <w:sz w:val="24"/>
          <w:szCs w:val="24"/>
        </w:rPr>
        <w:t xml:space="preserve"> pool</w:t>
      </w:r>
      <w:r w:rsidR="001F5E47">
        <w:rPr>
          <w:rFonts w:cs="Arial"/>
          <w:sz w:val="24"/>
          <w:szCs w:val="24"/>
        </w:rPr>
        <w:t xml:space="preserve"> (limit 3 projects)</w:t>
      </w:r>
      <w:r w:rsidR="00F02EDE" w:rsidRPr="00A02614">
        <w:rPr>
          <w:rFonts w:cs="Arial"/>
          <w:sz w:val="24"/>
          <w:szCs w:val="24"/>
        </w:rPr>
        <w:t xml:space="preserve"> via the submittal of an application</w:t>
      </w:r>
      <w:r w:rsidRPr="00A02614">
        <w:rPr>
          <w:rFonts w:cs="Arial"/>
          <w:sz w:val="24"/>
          <w:szCs w:val="24"/>
        </w:rPr>
        <w:t xml:space="preserve"> to ADOT demonstrating the following evaluation </w:t>
      </w:r>
      <w:r w:rsidR="002718E2" w:rsidRPr="00A02614">
        <w:rPr>
          <w:rFonts w:cs="Arial"/>
          <w:sz w:val="24"/>
          <w:szCs w:val="24"/>
        </w:rPr>
        <w:t>criterion</w:t>
      </w:r>
      <w:r w:rsidRPr="00A02614">
        <w:rPr>
          <w:rFonts w:cs="Arial"/>
          <w:sz w:val="24"/>
          <w:szCs w:val="24"/>
        </w:rPr>
        <w:t>:</w:t>
      </w:r>
    </w:p>
    <w:p w:rsidR="0059546F" w:rsidRDefault="0059546F" w:rsidP="00261F81">
      <w:pPr>
        <w:pStyle w:val="ListParagraph"/>
        <w:numPr>
          <w:ilvl w:val="1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State of Good Repair (20%)</w:t>
      </w:r>
    </w:p>
    <w:p w:rsidR="0059546F" w:rsidRDefault="008C6D1F" w:rsidP="0059546F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Need </w:t>
      </w:r>
      <w:r w:rsidR="0059546F">
        <w:rPr>
          <w:rFonts w:cs="Arial"/>
          <w:sz w:val="24"/>
          <w:szCs w:val="24"/>
        </w:rPr>
        <w:t>related to maintaining the system</w:t>
      </w:r>
      <w:r>
        <w:rPr>
          <w:rFonts w:cs="Arial"/>
          <w:sz w:val="24"/>
          <w:szCs w:val="24"/>
        </w:rPr>
        <w:t>s</w:t>
      </w:r>
      <w:r w:rsidR="0059546F">
        <w:rPr>
          <w:rFonts w:cs="Arial"/>
          <w:sz w:val="24"/>
          <w:szCs w:val="24"/>
        </w:rPr>
        <w:t xml:space="preserve"> state of good repair, including rehabilitation and replacement of vehicles that are past useful life in accordance with FTA guidelines.</w:t>
      </w:r>
    </w:p>
    <w:p w:rsidR="008C6D1F" w:rsidRDefault="008C6D1F" w:rsidP="0059546F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Description of components that contribute to improving safety and security of system.</w:t>
      </w:r>
    </w:p>
    <w:p w:rsidR="00261F81" w:rsidRDefault="008C6D1F" w:rsidP="00261F81">
      <w:pPr>
        <w:pStyle w:val="ListParagraph"/>
        <w:numPr>
          <w:ilvl w:val="1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Project Readiness (2</w:t>
      </w:r>
      <w:r w:rsidR="00261F81">
        <w:rPr>
          <w:rFonts w:cs="Arial"/>
          <w:sz w:val="24"/>
          <w:szCs w:val="24"/>
        </w:rPr>
        <w:t>0%)</w:t>
      </w:r>
    </w:p>
    <w:p w:rsidR="00261F81" w:rsidRDefault="00261F81" w:rsidP="00261F81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TIP Project Number or documented project need based on local planning efforts</w:t>
      </w:r>
    </w:p>
    <w:p w:rsidR="00261F81" w:rsidRDefault="00261F81" w:rsidP="00261F81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Commitment to submit application in TEAM within 180 days of award</w:t>
      </w:r>
    </w:p>
    <w:p w:rsidR="00261F81" w:rsidRPr="00A02614" w:rsidRDefault="00261F81" w:rsidP="00261F81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 xml:space="preserve">% Design Completion </w:t>
      </w:r>
    </w:p>
    <w:p w:rsidR="00261F81" w:rsidRPr="00261F81" w:rsidRDefault="00261F81" w:rsidP="00261F81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 xml:space="preserve">NEPA Process </w:t>
      </w:r>
      <w:r>
        <w:rPr>
          <w:rFonts w:cs="Arial"/>
          <w:sz w:val="24"/>
          <w:szCs w:val="24"/>
        </w:rPr>
        <w:t xml:space="preserve">Completion </w:t>
      </w:r>
      <w:r w:rsidRPr="00A02614">
        <w:rPr>
          <w:rFonts w:cs="Arial"/>
          <w:sz w:val="24"/>
          <w:szCs w:val="24"/>
        </w:rPr>
        <w:t>Status</w:t>
      </w:r>
    </w:p>
    <w:p w:rsidR="002F5A07" w:rsidRDefault="002F5A07" w:rsidP="00D92862">
      <w:pPr>
        <w:pStyle w:val="ListParagraph"/>
        <w:numPr>
          <w:ilvl w:val="1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Financial Readiness: (2</w:t>
      </w:r>
      <w:r w:rsidR="008C6D1F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%)</w:t>
      </w:r>
    </w:p>
    <w:p w:rsidR="002F5A07" w:rsidRDefault="004C04F2" w:rsidP="002F5A07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Documented commitment to </w:t>
      </w:r>
      <w:r w:rsidR="00D92862" w:rsidRPr="00A02614">
        <w:rPr>
          <w:rFonts w:cs="Arial"/>
          <w:sz w:val="24"/>
          <w:szCs w:val="24"/>
        </w:rPr>
        <w:t>provide local match</w:t>
      </w:r>
      <w:r w:rsidR="00E37FD1">
        <w:rPr>
          <w:rFonts w:cs="Arial"/>
          <w:sz w:val="24"/>
          <w:szCs w:val="24"/>
        </w:rPr>
        <w:t>: letter from CFO stating amount and source of local match funds committed to the proposed project</w:t>
      </w:r>
      <w:r w:rsidR="002F5A07">
        <w:rPr>
          <w:rFonts w:cs="Arial"/>
          <w:sz w:val="24"/>
          <w:szCs w:val="24"/>
        </w:rPr>
        <w:t xml:space="preserve"> </w:t>
      </w:r>
    </w:p>
    <w:p w:rsidR="009E7044" w:rsidRPr="002F5A07" w:rsidRDefault="004D5D9F" w:rsidP="002F5A07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 w:rsidRPr="002F5A07">
        <w:rPr>
          <w:rFonts w:cs="Arial"/>
          <w:sz w:val="24"/>
          <w:szCs w:val="24"/>
        </w:rPr>
        <w:t>Benefit/ Cost or economic analysis</w:t>
      </w:r>
      <w:r w:rsidR="00E37FD1" w:rsidRPr="002F5A07">
        <w:rPr>
          <w:rFonts w:cs="Arial"/>
          <w:sz w:val="24"/>
          <w:szCs w:val="24"/>
        </w:rPr>
        <w:t xml:space="preserve"> demonstrating how the proposed project would help your agency achieve its stated performance goals</w:t>
      </w:r>
      <w:r w:rsidR="004418C0" w:rsidRPr="002F5A07">
        <w:rPr>
          <w:rFonts w:cs="Arial"/>
          <w:sz w:val="24"/>
          <w:szCs w:val="24"/>
        </w:rPr>
        <w:t xml:space="preserve"> or maintain the agency’s State of Good Repair</w:t>
      </w:r>
      <w:r w:rsidR="00E37FD1" w:rsidRPr="002F5A07">
        <w:rPr>
          <w:rFonts w:cs="Arial"/>
          <w:sz w:val="24"/>
          <w:szCs w:val="24"/>
        </w:rPr>
        <w:t>?</w:t>
      </w:r>
      <w:r w:rsidR="002F5A07" w:rsidRPr="002F5A07">
        <w:rPr>
          <w:rFonts w:cs="Arial"/>
          <w:sz w:val="24"/>
          <w:szCs w:val="24"/>
        </w:rPr>
        <w:t xml:space="preserve"> </w:t>
      </w:r>
    </w:p>
    <w:p w:rsidR="0077543D" w:rsidRDefault="0077543D" w:rsidP="00D92862">
      <w:pPr>
        <w:pStyle w:val="ListParagraph"/>
        <w:numPr>
          <w:ilvl w:val="1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Agency performance measures</w:t>
      </w:r>
      <w:r w:rsidR="008C6D1F">
        <w:rPr>
          <w:rFonts w:cs="Arial"/>
          <w:sz w:val="24"/>
          <w:szCs w:val="24"/>
        </w:rPr>
        <w:t xml:space="preserve"> (20</w:t>
      </w:r>
      <w:r w:rsidR="002F5A07">
        <w:rPr>
          <w:rFonts w:cs="Arial"/>
          <w:sz w:val="24"/>
          <w:szCs w:val="24"/>
        </w:rPr>
        <w:t>%)</w:t>
      </w:r>
    </w:p>
    <w:p w:rsidR="00C62410" w:rsidRDefault="00C62410" w:rsidP="00C62410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Average cost per passenger boarding</w:t>
      </w:r>
    </w:p>
    <w:p w:rsidR="00C62410" w:rsidRDefault="00C62410" w:rsidP="00C62410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Average cost per revenue mile</w:t>
      </w:r>
    </w:p>
    <w:p w:rsidR="00C62410" w:rsidRPr="00C62410" w:rsidRDefault="00261F81" w:rsidP="00C62410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Average passenger boarding</w:t>
      </w:r>
      <w:r w:rsidR="00C62410" w:rsidRPr="00C62410">
        <w:rPr>
          <w:rFonts w:cs="Arial"/>
          <w:sz w:val="24"/>
          <w:szCs w:val="24"/>
        </w:rPr>
        <w:t xml:space="preserve"> per revenue mile</w:t>
      </w:r>
    </w:p>
    <w:p w:rsidR="00990EA0" w:rsidRPr="00990EA0" w:rsidRDefault="00990EA0" w:rsidP="00990EA0">
      <w:pPr>
        <w:pStyle w:val="ListParagraph"/>
        <w:numPr>
          <w:ilvl w:val="1"/>
          <w:numId w:val="3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Demonstrated g</w:t>
      </w:r>
      <w:r w:rsidRPr="00A02614">
        <w:rPr>
          <w:rFonts w:cs="Arial"/>
          <w:sz w:val="24"/>
          <w:szCs w:val="24"/>
        </w:rPr>
        <w:t xml:space="preserve">ood standing with FTA </w:t>
      </w:r>
      <w:r>
        <w:rPr>
          <w:rFonts w:cs="Arial"/>
          <w:sz w:val="24"/>
          <w:szCs w:val="24"/>
        </w:rPr>
        <w:t>(10%)</w:t>
      </w:r>
    </w:p>
    <w:p w:rsidR="00BF3B68" w:rsidRDefault="00BF3B68" w:rsidP="00D92862">
      <w:pPr>
        <w:pStyle w:val="ListParagraph"/>
        <w:numPr>
          <w:ilvl w:val="1"/>
          <w:numId w:val="3"/>
        </w:numPr>
        <w:spacing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>Stakeholder support/ involvement</w:t>
      </w:r>
      <w:r w:rsidR="002F5A07">
        <w:rPr>
          <w:rFonts w:cs="Arial"/>
          <w:sz w:val="24"/>
          <w:szCs w:val="24"/>
        </w:rPr>
        <w:t xml:space="preserve"> (10%)</w:t>
      </w:r>
    </w:p>
    <w:p w:rsidR="00C62410" w:rsidRPr="00C62410" w:rsidRDefault="00C62410" w:rsidP="00C62410">
      <w:pPr>
        <w:pStyle w:val="ListParagraph"/>
        <w:numPr>
          <w:ilvl w:val="2"/>
          <w:numId w:val="3"/>
        </w:numPr>
        <w:spacing w:line="240" w:lineRule="auto"/>
        <w:rPr>
          <w:rFonts w:cs="Arial"/>
          <w:sz w:val="24"/>
          <w:szCs w:val="24"/>
        </w:rPr>
      </w:pPr>
      <w:r w:rsidRPr="00C62410">
        <w:rPr>
          <w:rFonts w:cs="Arial"/>
          <w:sz w:val="24"/>
          <w:szCs w:val="24"/>
        </w:rPr>
        <w:t>Letters of support</w:t>
      </w:r>
      <w:r>
        <w:rPr>
          <w:rFonts w:cs="Arial"/>
          <w:sz w:val="24"/>
          <w:szCs w:val="24"/>
        </w:rPr>
        <w:t xml:space="preserve">: </w:t>
      </w:r>
      <w:r w:rsidRPr="00C62410">
        <w:rPr>
          <w:rFonts w:cs="Arial"/>
          <w:sz w:val="24"/>
          <w:szCs w:val="24"/>
        </w:rPr>
        <w:t>elected officials, human services, education, environmental</w:t>
      </w:r>
      <w:r>
        <w:rPr>
          <w:rFonts w:cs="Arial"/>
          <w:sz w:val="24"/>
          <w:szCs w:val="24"/>
        </w:rPr>
        <w:t xml:space="preserve"> or land use partners</w:t>
      </w:r>
    </w:p>
    <w:p w:rsidR="00D372B0" w:rsidRPr="00A02614" w:rsidRDefault="00D372B0" w:rsidP="00D372B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A02614">
        <w:rPr>
          <w:rFonts w:cs="Arial"/>
          <w:sz w:val="24"/>
          <w:szCs w:val="24"/>
        </w:rPr>
        <w:t>Following ADOT determination of allocation, notice to Direct Recipient</w:t>
      </w:r>
      <w:r w:rsidR="0017023D" w:rsidRPr="00A02614">
        <w:rPr>
          <w:rFonts w:cs="Arial"/>
          <w:sz w:val="24"/>
          <w:szCs w:val="24"/>
        </w:rPr>
        <w:t xml:space="preserve"> </w:t>
      </w:r>
      <w:r w:rsidRPr="00A02614">
        <w:rPr>
          <w:rFonts w:cs="Arial"/>
          <w:sz w:val="24"/>
          <w:szCs w:val="24"/>
        </w:rPr>
        <w:t>and</w:t>
      </w:r>
      <w:r w:rsidR="0017023D" w:rsidRPr="00A02614">
        <w:rPr>
          <w:rFonts w:cs="Arial"/>
          <w:sz w:val="24"/>
          <w:szCs w:val="24"/>
        </w:rPr>
        <w:t xml:space="preserve"> split letter </w:t>
      </w:r>
      <w:r w:rsidR="002E7210" w:rsidRPr="00A02614">
        <w:rPr>
          <w:rFonts w:cs="Arial"/>
          <w:sz w:val="24"/>
          <w:szCs w:val="24"/>
        </w:rPr>
        <w:t xml:space="preserve">to </w:t>
      </w:r>
      <w:r w:rsidR="00A71B5E" w:rsidRPr="00A02614">
        <w:rPr>
          <w:rFonts w:cs="Arial"/>
          <w:sz w:val="24"/>
          <w:szCs w:val="24"/>
        </w:rPr>
        <w:t>FTA</w:t>
      </w:r>
      <w:r w:rsidR="0017023D" w:rsidRPr="00A02614">
        <w:rPr>
          <w:rFonts w:cs="Arial"/>
          <w:sz w:val="24"/>
          <w:szCs w:val="24"/>
        </w:rPr>
        <w:t xml:space="preserve"> sent.</w:t>
      </w:r>
    </w:p>
    <w:p w:rsidR="00D92862" w:rsidRPr="00A02614" w:rsidRDefault="00D372B0" w:rsidP="00261F8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261F81">
        <w:rPr>
          <w:rFonts w:cs="Arial"/>
          <w:sz w:val="24"/>
          <w:szCs w:val="24"/>
        </w:rPr>
        <w:lastRenderedPageBreak/>
        <w:t xml:space="preserve">Direct Recipient applies for any </w:t>
      </w:r>
      <w:r w:rsidR="00320D29" w:rsidRPr="00261F81">
        <w:rPr>
          <w:rFonts w:cs="Arial"/>
          <w:sz w:val="24"/>
          <w:szCs w:val="24"/>
        </w:rPr>
        <w:t>competitive</w:t>
      </w:r>
      <w:r w:rsidR="005767C9" w:rsidRPr="00261F81">
        <w:rPr>
          <w:rFonts w:cs="Arial"/>
          <w:sz w:val="24"/>
          <w:szCs w:val="24"/>
        </w:rPr>
        <w:t xml:space="preserve"> funds</w:t>
      </w:r>
      <w:r w:rsidR="00202173" w:rsidRPr="00261F81">
        <w:rPr>
          <w:rFonts w:cs="Arial"/>
          <w:sz w:val="24"/>
          <w:szCs w:val="24"/>
        </w:rPr>
        <w:t xml:space="preserve"> awarded by ADOT</w:t>
      </w:r>
      <w:r w:rsidR="00981551">
        <w:rPr>
          <w:rFonts w:cs="Arial"/>
          <w:sz w:val="24"/>
          <w:szCs w:val="24"/>
        </w:rPr>
        <w:t xml:space="preserve"> (5307)</w:t>
      </w:r>
      <w:r w:rsidR="005767C9" w:rsidRPr="00261F81">
        <w:rPr>
          <w:rFonts w:cs="Arial"/>
          <w:sz w:val="24"/>
          <w:szCs w:val="24"/>
        </w:rPr>
        <w:t xml:space="preserve"> </w:t>
      </w:r>
      <w:r w:rsidRPr="00261F81">
        <w:rPr>
          <w:rFonts w:cs="Arial"/>
          <w:sz w:val="24"/>
          <w:szCs w:val="24"/>
        </w:rPr>
        <w:t>through TEAM</w:t>
      </w:r>
      <w:r w:rsidR="00A71B5E" w:rsidRPr="00261F81">
        <w:rPr>
          <w:rFonts w:cs="Arial"/>
          <w:sz w:val="24"/>
          <w:szCs w:val="24"/>
        </w:rPr>
        <w:t xml:space="preserve"> in conjunction with application for basic funding allocation.</w:t>
      </w:r>
      <w:r w:rsidR="00981551">
        <w:rPr>
          <w:rFonts w:cs="Arial"/>
          <w:sz w:val="24"/>
          <w:szCs w:val="24"/>
        </w:rPr>
        <w:t xml:space="preserve">  5339 competitive funds will flow through ADOT separately than the 5307 funds.</w:t>
      </w:r>
    </w:p>
    <w:sectPr w:rsidR="00D92862" w:rsidRPr="00A0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BC" w:rsidRDefault="007E22BC" w:rsidP="00CE1ABC">
      <w:pPr>
        <w:spacing w:after="0" w:line="240" w:lineRule="auto"/>
      </w:pPr>
      <w:r>
        <w:separator/>
      </w:r>
    </w:p>
  </w:endnote>
  <w:endnote w:type="continuationSeparator" w:id="0">
    <w:p w:rsidR="007E22BC" w:rsidRDefault="007E22BC" w:rsidP="00CE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BC" w:rsidRDefault="007E22BC" w:rsidP="00CE1ABC">
      <w:pPr>
        <w:spacing w:after="0" w:line="240" w:lineRule="auto"/>
      </w:pPr>
      <w:r>
        <w:separator/>
      </w:r>
    </w:p>
  </w:footnote>
  <w:footnote w:type="continuationSeparator" w:id="0">
    <w:p w:rsidR="007E22BC" w:rsidRDefault="007E22BC" w:rsidP="00CE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52"/>
    <w:multiLevelType w:val="hybridMultilevel"/>
    <w:tmpl w:val="995A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49D5"/>
    <w:multiLevelType w:val="hybridMultilevel"/>
    <w:tmpl w:val="4E52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AA7"/>
    <w:multiLevelType w:val="hybridMultilevel"/>
    <w:tmpl w:val="ADFAB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6"/>
    <w:rsid w:val="00007140"/>
    <w:rsid w:val="00012CF9"/>
    <w:rsid w:val="000B2048"/>
    <w:rsid w:val="000C365C"/>
    <w:rsid w:val="000F3CF3"/>
    <w:rsid w:val="000F5083"/>
    <w:rsid w:val="001361D6"/>
    <w:rsid w:val="0015074C"/>
    <w:rsid w:val="0015181F"/>
    <w:rsid w:val="0017023D"/>
    <w:rsid w:val="00172B42"/>
    <w:rsid w:val="0017639C"/>
    <w:rsid w:val="00186C73"/>
    <w:rsid w:val="00190F7B"/>
    <w:rsid w:val="001F5E47"/>
    <w:rsid w:val="00202173"/>
    <w:rsid w:val="00237354"/>
    <w:rsid w:val="00241FA0"/>
    <w:rsid w:val="00261F81"/>
    <w:rsid w:val="002718E2"/>
    <w:rsid w:val="002A7C24"/>
    <w:rsid w:val="002B23CC"/>
    <w:rsid w:val="002E7210"/>
    <w:rsid w:val="002F5A07"/>
    <w:rsid w:val="00320D29"/>
    <w:rsid w:val="0034741C"/>
    <w:rsid w:val="00393E26"/>
    <w:rsid w:val="003D08B2"/>
    <w:rsid w:val="003D140C"/>
    <w:rsid w:val="003E7514"/>
    <w:rsid w:val="004418C0"/>
    <w:rsid w:val="00481F5A"/>
    <w:rsid w:val="0048269F"/>
    <w:rsid w:val="004B2159"/>
    <w:rsid w:val="004C04F2"/>
    <w:rsid w:val="004D5D9F"/>
    <w:rsid w:val="004D64BA"/>
    <w:rsid w:val="00514241"/>
    <w:rsid w:val="005767C9"/>
    <w:rsid w:val="0057753B"/>
    <w:rsid w:val="0059546F"/>
    <w:rsid w:val="005A6CEA"/>
    <w:rsid w:val="005F7306"/>
    <w:rsid w:val="00604D24"/>
    <w:rsid w:val="006267C9"/>
    <w:rsid w:val="0063366B"/>
    <w:rsid w:val="00635CC2"/>
    <w:rsid w:val="00643ACC"/>
    <w:rsid w:val="006B4B72"/>
    <w:rsid w:val="006D4A82"/>
    <w:rsid w:val="00770AD8"/>
    <w:rsid w:val="0077543D"/>
    <w:rsid w:val="007A5ABB"/>
    <w:rsid w:val="007E22BC"/>
    <w:rsid w:val="007F4377"/>
    <w:rsid w:val="0080677D"/>
    <w:rsid w:val="00817F6E"/>
    <w:rsid w:val="008275C6"/>
    <w:rsid w:val="008B31CE"/>
    <w:rsid w:val="008C6D1F"/>
    <w:rsid w:val="008F26C0"/>
    <w:rsid w:val="00916948"/>
    <w:rsid w:val="00964271"/>
    <w:rsid w:val="00981551"/>
    <w:rsid w:val="009857DD"/>
    <w:rsid w:val="00990EA0"/>
    <w:rsid w:val="009B2934"/>
    <w:rsid w:val="009E7044"/>
    <w:rsid w:val="00A02614"/>
    <w:rsid w:val="00A1676E"/>
    <w:rsid w:val="00A429BC"/>
    <w:rsid w:val="00A71B5E"/>
    <w:rsid w:val="00AA5D53"/>
    <w:rsid w:val="00AF1E17"/>
    <w:rsid w:val="00B05288"/>
    <w:rsid w:val="00B22C53"/>
    <w:rsid w:val="00B52114"/>
    <w:rsid w:val="00B533AA"/>
    <w:rsid w:val="00B75260"/>
    <w:rsid w:val="00B83A95"/>
    <w:rsid w:val="00BA6404"/>
    <w:rsid w:val="00BF3B68"/>
    <w:rsid w:val="00C027E4"/>
    <w:rsid w:val="00C04839"/>
    <w:rsid w:val="00C1398B"/>
    <w:rsid w:val="00C52183"/>
    <w:rsid w:val="00C6107B"/>
    <w:rsid w:val="00C62410"/>
    <w:rsid w:val="00CE1ABC"/>
    <w:rsid w:val="00CE4097"/>
    <w:rsid w:val="00D12057"/>
    <w:rsid w:val="00D12273"/>
    <w:rsid w:val="00D13339"/>
    <w:rsid w:val="00D372B0"/>
    <w:rsid w:val="00D54D22"/>
    <w:rsid w:val="00D56940"/>
    <w:rsid w:val="00D92862"/>
    <w:rsid w:val="00D92F75"/>
    <w:rsid w:val="00DB054A"/>
    <w:rsid w:val="00DC2788"/>
    <w:rsid w:val="00DD6AA8"/>
    <w:rsid w:val="00DE7D3E"/>
    <w:rsid w:val="00E11493"/>
    <w:rsid w:val="00E145B6"/>
    <w:rsid w:val="00E37FD1"/>
    <w:rsid w:val="00E50A0C"/>
    <w:rsid w:val="00E57368"/>
    <w:rsid w:val="00EC7821"/>
    <w:rsid w:val="00F02EDE"/>
    <w:rsid w:val="00F06965"/>
    <w:rsid w:val="00F1508F"/>
    <w:rsid w:val="00F27A1F"/>
    <w:rsid w:val="00F320A8"/>
    <w:rsid w:val="0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B6"/>
    <w:pPr>
      <w:ind w:left="720"/>
      <w:contextualSpacing/>
    </w:pPr>
  </w:style>
  <w:style w:type="paragraph" w:customStyle="1" w:styleId="Informal1">
    <w:name w:val="Informal1"/>
    <w:rsid w:val="00514241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0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BC"/>
  </w:style>
  <w:style w:type="paragraph" w:styleId="Footer">
    <w:name w:val="footer"/>
    <w:basedOn w:val="Normal"/>
    <w:link w:val="FooterChar"/>
    <w:uiPriority w:val="99"/>
    <w:unhideWhenUsed/>
    <w:rsid w:val="00CE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BC"/>
  </w:style>
  <w:style w:type="table" w:styleId="TableGrid">
    <w:name w:val="Table Grid"/>
    <w:basedOn w:val="TableNormal"/>
    <w:uiPriority w:val="59"/>
    <w:rsid w:val="0017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A8"/>
    <w:rPr>
      <w:rFonts w:ascii="Tahoma" w:hAnsi="Tahoma" w:cs="Tahoma"/>
      <w:sz w:val="16"/>
      <w:szCs w:val="16"/>
    </w:rPr>
  </w:style>
  <w:style w:type="character" w:customStyle="1" w:styleId="body">
    <w:name w:val="body"/>
    <w:uiPriority w:val="99"/>
    <w:rsid w:val="00D56940"/>
    <w:rPr>
      <w:rFonts w:ascii="Calibri" w:hAnsi="Calibri" w:cs="Calibri"/>
      <w:color w:val="000000"/>
      <w:spacing w:val="-2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569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B6"/>
    <w:pPr>
      <w:ind w:left="720"/>
      <w:contextualSpacing/>
    </w:pPr>
  </w:style>
  <w:style w:type="paragraph" w:customStyle="1" w:styleId="Informal1">
    <w:name w:val="Informal1"/>
    <w:rsid w:val="00514241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0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BC"/>
  </w:style>
  <w:style w:type="paragraph" w:styleId="Footer">
    <w:name w:val="footer"/>
    <w:basedOn w:val="Normal"/>
    <w:link w:val="FooterChar"/>
    <w:uiPriority w:val="99"/>
    <w:unhideWhenUsed/>
    <w:rsid w:val="00CE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BC"/>
  </w:style>
  <w:style w:type="table" w:styleId="TableGrid">
    <w:name w:val="Table Grid"/>
    <w:basedOn w:val="TableNormal"/>
    <w:uiPriority w:val="59"/>
    <w:rsid w:val="0017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A8"/>
    <w:rPr>
      <w:rFonts w:ascii="Tahoma" w:hAnsi="Tahoma" w:cs="Tahoma"/>
      <w:sz w:val="16"/>
      <w:szCs w:val="16"/>
    </w:rPr>
  </w:style>
  <w:style w:type="character" w:customStyle="1" w:styleId="body">
    <w:name w:val="body"/>
    <w:uiPriority w:val="99"/>
    <w:rsid w:val="00D56940"/>
    <w:rPr>
      <w:rFonts w:ascii="Calibri" w:hAnsi="Calibri" w:cs="Calibri"/>
      <w:color w:val="000000"/>
      <w:spacing w:val="-2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569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ADA7-ED40-4C78-B947-B9BAE87D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5307/5339 Process</dc:title>
  <dc:creator>ADOT</dc:creator>
  <cp:lastModifiedBy>Rebeca Hensler</cp:lastModifiedBy>
  <cp:revision>3</cp:revision>
  <cp:lastPrinted>2013-03-20T20:57:00Z</cp:lastPrinted>
  <dcterms:created xsi:type="dcterms:W3CDTF">2013-07-09T19:05:00Z</dcterms:created>
  <dcterms:modified xsi:type="dcterms:W3CDTF">2019-08-15T18:23:00Z</dcterms:modified>
</cp:coreProperties>
</file>