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61"/>
        <w:tblW w:w="0" w:type="auto"/>
        <w:tblLook w:val="04A0" w:firstRow="1" w:lastRow="0" w:firstColumn="1" w:lastColumn="0" w:noHBand="0" w:noVBand="1"/>
      </w:tblPr>
      <w:tblGrid>
        <w:gridCol w:w="4086"/>
        <w:gridCol w:w="5868"/>
      </w:tblGrid>
      <w:tr w:rsidR="00CC6D77" w:rsidTr="00CC6D77">
        <w:tc>
          <w:tcPr>
            <w:tcW w:w="9954" w:type="dxa"/>
            <w:gridSpan w:val="2"/>
            <w:shd w:val="clear" w:color="auto" w:fill="244061" w:themeFill="accent1" w:themeFillShade="80"/>
          </w:tcPr>
          <w:p w:rsidR="00CC6D77" w:rsidRPr="000654E9" w:rsidRDefault="00CC6D77" w:rsidP="00CC6D77">
            <w:pPr>
              <w:jc w:val="center"/>
              <w:rPr>
                <w:b/>
                <w:color w:val="FFFFFF" w:themeColor="background1"/>
                <w:sz w:val="24"/>
                <w:szCs w:val="24"/>
                <w:u w:val="single"/>
              </w:rPr>
            </w:pPr>
            <w:r w:rsidRPr="000654E9">
              <w:rPr>
                <w:b/>
                <w:color w:val="FFFFFF" w:themeColor="background1"/>
                <w:sz w:val="24"/>
                <w:szCs w:val="24"/>
                <w:u w:val="single"/>
              </w:rPr>
              <w:t>Transition Plan Checklist:</w:t>
            </w:r>
          </w:p>
          <w:p w:rsidR="00CC6D77" w:rsidRPr="008069BB" w:rsidRDefault="00CC6D77" w:rsidP="00CC6D77">
            <w:pPr>
              <w:jc w:val="center"/>
              <w:rPr>
                <w:sz w:val="18"/>
                <w:szCs w:val="18"/>
              </w:rPr>
            </w:pPr>
            <w:r w:rsidRPr="000654E9">
              <w:rPr>
                <w:b/>
                <w:color w:val="FFFFFF" w:themeColor="background1"/>
                <w:sz w:val="18"/>
                <w:szCs w:val="18"/>
              </w:rPr>
              <w:t>All Elements posted conspicuously on website, for internal and external use</w:t>
            </w:r>
          </w:p>
        </w:tc>
      </w:tr>
      <w:tr w:rsidR="00CC6D77" w:rsidRPr="008069BB" w:rsidTr="00CC6D77">
        <w:trPr>
          <w:trHeight w:val="372"/>
        </w:trPr>
        <w:tc>
          <w:tcPr>
            <w:tcW w:w="4086" w:type="dxa"/>
            <w:shd w:val="clear" w:color="auto" w:fill="D9D9D9" w:themeFill="background1" w:themeFillShade="D9"/>
            <w:vAlign w:val="center"/>
          </w:tcPr>
          <w:p w:rsidR="00CC6D77" w:rsidRPr="00380B88" w:rsidRDefault="00CC6D77" w:rsidP="00CC6D77">
            <w:pPr>
              <w:jc w:val="center"/>
              <w:rPr>
                <w:b/>
                <w:sz w:val="20"/>
                <w:szCs w:val="20"/>
              </w:rPr>
            </w:pPr>
            <w:r w:rsidRPr="00380B88">
              <w:rPr>
                <w:b/>
                <w:sz w:val="20"/>
                <w:szCs w:val="20"/>
              </w:rPr>
              <w:t>Transition Plan Attribute</w:t>
            </w:r>
          </w:p>
        </w:tc>
        <w:tc>
          <w:tcPr>
            <w:tcW w:w="5868" w:type="dxa"/>
            <w:shd w:val="clear" w:color="auto" w:fill="D9D9D9" w:themeFill="background1" w:themeFillShade="D9"/>
            <w:vAlign w:val="center"/>
          </w:tcPr>
          <w:p w:rsidR="00CC6D77" w:rsidRPr="00380B88" w:rsidRDefault="00CC6D77" w:rsidP="00CC6D77">
            <w:pPr>
              <w:jc w:val="center"/>
              <w:rPr>
                <w:b/>
                <w:sz w:val="20"/>
                <w:szCs w:val="20"/>
              </w:rPr>
            </w:pPr>
            <w:r w:rsidRPr="00380B88">
              <w:rPr>
                <w:b/>
                <w:sz w:val="20"/>
                <w:szCs w:val="20"/>
              </w:rPr>
              <w:t>Review Comments</w:t>
            </w:r>
          </w:p>
        </w:tc>
      </w:tr>
      <w:tr w:rsidR="00CC6D77" w:rsidRPr="008069BB" w:rsidTr="00CC6D77">
        <w:tc>
          <w:tcPr>
            <w:tcW w:w="4086" w:type="dxa"/>
            <w:shd w:val="clear" w:color="auto" w:fill="DBE5F1" w:themeFill="accent1" w:themeFillTint="33"/>
          </w:tcPr>
          <w:p w:rsidR="00CC6D77" w:rsidRPr="008069BB" w:rsidRDefault="00CC6D77" w:rsidP="00CC6D77">
            <w:pPr>
              <w:rPr>
                <w:sz w:val="16"/>
                <w:szCs w:val="16"/>
              </w:rPr>
            </w:pPr>
            <w:r w:rsidRPr="008069BB">
              <w:rPr>
                <w:b/>
                <w:sz w:val="16"/>
                <w:szCs w:val="16"/>
              </w:rPr>
              <w:t>Official responsible</w:t>
            </w:r>
            <w:r w:rsidRPr="008069BB">
              <w:rPr>
                <w:sz w:val="16"/>
                <w:szCs w:val="16"/>
              </w:rPr>
              <w:t xml:space="preserve"> for implementation of the TP, i.e., Executive Director, Secretary, Commissioner, Chief Engineer, etc.  28 CFR 35.150(d)(3)(iv)</w:t>
            </w:r>
          </w:p>
        </w:tc>
        <w:tc>
          <w:tcPr>
            <w:tcW w:w="5868" w:type="dxa"/>
            <w:shd w:val="clear" w:color="auto" w:fill="auto"/>
          </w:tcPr>
          <w:p w:rsidR="00CC6D77" w:rsidRPr="008069BB" w:rsidRDefault="00CC6D77" w:rsidP="00CC6D77">
            <w:pPr>
              <w:rPr>
                <w:sz w:val="16"/>
                <w:szCs w:val="16"/>
              </w:rPr>
            </w:pPr>
          </w:p>
        </w:tc>
      </w:tr>
      <w:tr w:rsidR="00CC6D77" w:rsidRPr="008069BB" w:rsidTr="00CC6D77">
        <w:tc>
          <w:tcPr>
            <w:tcW w:w="4086" w:type="dxa"/>
            <w:shd w:val="clear" w:color="auto" w:fill="DBE5F1" w:themeFill="accent1" w:themeFillTint="33"/>
          </w:tcPr>
          <w:p w:rsidR="00CC6D77" w:rsidRPr="004104CC" w:rsidRDefault="00CC6D77" w:rsidP="00CC6D77">
            <w:pPr>
              <w:rPr>
                <w:sz w:val="16"/>
                <w:szCs w:val="16"/>
              </w:rPr>
            </w:pPr>
            <w:r w:rsidRPr="004104CC">
              <w:rPr>
                <w:b/>
                <w:sz w:val="16"/>
                <w:szCs w:val="16"/>
              </w:rPr>
              <w:t>Inventory of barriers</w:t>
            </w:r>
            <w:r w:rsidRPr="004104CC">
              <w:rPr>
                <w:sz w:val="16"/>
                <w:szCs w:val="16"/>
              </w:rPr>
              <w:t xml:space="preserve"> (identification of physical obstacles) 28 CFR 35.150(d)(3)(i); 28 CFR 35.105 (a) – </w:t>
            </w:r>
            <w:r w:rsidR="00C57684" w:rsidRPr="00BC2E42">
              <w:rPr>
                <w:sz w:val="16"/>
                <w:szCs w:val="16"/>
              </w:rPr>
              <w:t xml:space="preserve"> Entity</w:t>
            </w:r>
            <w:r w:rsidR="00C57684" w:rsidRPr="004104CC">
              <w:rPr>
                <w:sz w:val="16"/>
                <w:szCs w:val="16"/>
              </w:rPr>
              <w:t xml:space="preserve">  </w:t>
            </w:r>
            <w:r w:rsidRPr="004104CC">
              <w:rPr>
                <w:sz w:val="16"/>
                <w:szCs w:val="16"/>
              </w:rPr>
              <w:t xml:space="preserve"> demonstrates good faith by identifying intersection information, including curb ramps and other associated accessibility elements, as a starting point and showing movement and commitment toward developing a full inventory.</w:t>
            </w:r>
          </w:p>
          <w:p w:rsidR="00CC6D77" w:rsidRPr="004104CC" w:rsidRDefault="00CC6D77" w:rsidP="00CC6D77">
            <w:pPr>
              <w:pStyle w:val="ListParagraph"/>
              <w:rPr>
                <w:sz w:val="16"/>
                <w:szCs w:val="16"/>
              </w:rPr>
            </w:pPr>
          </w:p>
          <w:p w:rsidR="00CC6D77" w:rsidRPr="004104CC" w:rsidRDefault="00CC6D77" w:rsidP="00CC6D77">
            <w:pPr>
              <w:rPr>
                <w:sz w:val="16"/>
                <w:szCs w:val="16"/>
              </w:rPr>
            </w:pPr>
            <w:r w:rsidRPr="004104CC">
              <w:rPr>
                <w:sz w:val="16"/>
                <w:szCs w:val="16"/>
              </w:rPr>
              <w:t xml:space="preserve">Require an Action Plan to develop an inventory of sidewalks (slopes, obstructions, protruding objects, changes in levels, etc.), signals (APS), bus stops (bus pads), buildings, parking, rest areas (tourist areas, picnic areas, visitor centers, etc.), mixed use trails, linkages to transit.  </w:t>
            </w:r>
          </w:p>
          <w:p w:rsidR="00CC6D77" w:rsidRPr="004104CC" w:rsidRDefault="00CC6D77" w:rsidP="00CC6D77">
            <w:pPr>
              <w:pStyle w:val="ListParagraph"/>
              <w:rPr>
                <w:sz w:val="16"/>
                <w:szCs w:val="16"/>
              </w:rPr>
            </w:pPr>
          </w:p>
          <w:p w:rsidR="00CC6D77" w:rsidRPr="008069BB" w:rsidRDefault="00CC6D77" w:rsidP="00CC6D77">
            <w:pPr>
              <w:rPr>
                <w:sz w:val="16"/>
                <w:szCs w:val="16"/>
              </w:rPr>
            </w:pPr>
            <w:r w:rsidRPr="004104CC">
              <w:rPr>
                <w:sz w:val="16"/>
                <w:szCs w:val="16"/>
              </w:rPr>
              <w:t>Best practice - have discussion of jurisdictional issues/responsibilities for sidewalks</w:t>
            </w:r>
            <w:r>
              <w:rPr>
                <w:sz w:val="16"/>
                <w:szCs w:val="16"/>
              </w:rPr>
              <w:t xml:space="preserve"> </w:t>
            </w:r>
          </w:p>
        </w:tc>
        <w:tc>
          <w:tcPr>
            <w:tcW w:w="5868" w:type="dxa"/>
            <w:shd w:val="clear" w:color="auto" w:fill="FFFFFF" w:themeFill="background1"/>
          </w:tcPr>
          <w:p w:rsidR="00CC6D77" w:rsidRPr="008069BB" w:rsidRDefault="00CC6D77" w:rsidP="00CC6D77">
            <w:pPr>
              <w:rPr>
                <w:sz w:val="16"/>
                <w:szCs w:val="16"/>
              </w:rPr>
            </w:pPr>
          </w:p>
        </w:tc>
      </w:tr>
      <w:tr w:rsidR="00CC6D77" w:rsidRPr="008069BB" w:rsidTr="00CC6D77">
        <w:tc>
          <w:tcPr>
            <w:tcW w:w="4086" w:type="dxa"/>
            <w:shd w:val="clear" w:color="auto" w:fill="DBE5F1" w:themeFill="accent1" w:themeFillTint="33"/>
          </w:tcPr>
          <w:p w:rsidR="00CC6D77" w:rsidRPr="004104CC" w:rsidRDefault="00CC6D77" w:rsidP="00CC6D77">
            <w:pPr>
              <w:rPr>
                <w:b/>
                <w:sz w:val="16"/>
                <w:szCs w:val="16"/>
              </w:rPr>
            </w:pPr>
            <w:r w:rsidRPr="004104CC">
              <w:rPr>
                <w:b/>
                <w:sz w:val="16"/>
                <w:szCs w:val="16"/>
              </w:rPr>
              <w:t xml:space="preserve">Schedule – </w:t>
            </w:r>
            <w:r w:rsidRPr="004104CC">
              <w:rPr>
                <w:sz w:val="16"/>
                <w:szCs w:val="16"/>
              </w:rPr>
              <w:t>Show a strong commitment toward upgrading ADA elements identified in the inventory of barriers in the short term (planned capital improvement projects) and a strong commitment over time toward prioritizing curb ramps at walkways serving entities covered by the ADA.  28 CFR 35.150(d</w:t>
            </w:r>
            <w:proofErr w:type="gramStart"/>
            <w:r w:rsidRPr="004104CC">
              <w:rPr>
                <w:sz w:val="16"/>
                <w:szCs w:val="16"/>
              </w:rPr>
              <w:t>)(</w:t>
            </w:r>
            <w:proofErr w:type="gramEnd"/>
            <w:r w:rsidRPr="004104CC">
              <w:rPr>
                <w:sz w:val="16"/>
                <w:szCs w:val="16"/>
              </w:rPr>
              <w:t>2)  This would also include planning and investments directed at eliminating other identified barriers over time. 28 CFR 35.150(d)(3)</w:t>
            </w:r>
            <w:r w:rsidR="00C57684">
              <w:rPr>
                <w:sz w:val="16"/>
                <w:szCs w:val="16"/>
              </w:rPr>
              <w:t>(iii)</w:t>
            </w:r>
            <w:r w:rsidRPr="004104CC">
              <w:rPr>
                <w:sz w:val="16"/>
                <w:szCs w:val="16"/>
              </w:rPr>
              <w:t xml:space="preserve">   </w:t>
            </w:r>
          </w:p>
          <w:p w:rsidR="00CC6D77" w:rsidRPr="004104CC" w:rsidRDefault="00CC6D77" w:rsidP="00CC6D77">
            <w:pPr>
              <w:pStyle w:val="ListParagraph"/>
              <w:rPr>
                <w:b/>
                <w:sz w:val="16"/>
                <w:szCs w:val="16"/>
              </w:rPr>
            </w:pPr>
          </w:p>
          <w:p w:rsidR="00CC6D77" w:rsidRPr="008069BB" w:rsidRDefault="00CC6D77" w:rsidP="00CC6D77">
            <w:pPr>
              <w:rPr>
                <w:sz w:val="16"/>
                <w:szCs w:val="16"/>
              </w:rPr>
            </w:pPr>
            <w:r w:rsidRPr="004104CC">
              <w:rPr>
                <w:sz w:val="16"/>
                <w:szCs w:val="16"/>
              </w:rPr>
              <w:t xml:space="preserve">Best practice - dedicate resources to eliminate identified ADA deficiencies </w:t>
            </w:r>
          </w:p>
        </w:tc>
        <w:tc>
          <w:tcPr>
            <w:tcW w:w="5868" w:type="dxa"/>
          </w:tcPr>
          <w:p w:rsidR="00CC6D77" w:rsidRPr="008069BB" w:rsidRDefault="00CC6D77" w:rsidP="00CC6D77">
            <w:pPr>
              <w:rPr>
                <w:sz w:val="16"/>
                <w:szCs w:val="16"/>
              </w:rPr>
            </w:pPr>
          </w:p>
        </w:tc>
      </w:tr>
      <w:tr w:rsidR="00CC6D77" w:rsidRPr="008069BB" w:rsidTr="00CC6D77">
        <w:tc>
          <w:tcPr>
            <w:tcW w:w="4086" w:type="dxa"/>
            <w:shd w:val="clear" w:color="auto" w:fill="DBE5F1" w:themeFill="accent1" w:themeFillTint="33"/>
          </w:tcPr>
          <w:p w:rsidR="00CC6D77" w:rsidRPr="004104CC" w:rsidRDefault="00CC6D77" w:rsidP="00CC6D77">
            <w:pPr>
              <w:rPr>
                <w:sz w:val="16"/>
                <w:szCs w:val="16"/>
              </w:rPr>
            </w:pPr>
            <w:r w:rsidRPr="004104CC">
              <w:rPr>
                <w:sz w:val="16"/>
                <w:szCs w:val="16"/>
              </w:rPr>
              <w:t xml:space="preserve">Describe in detail the </w:t>
            </w:r>
            <w:r w:rsidRPr="004104CC">
              <w:rPr>
                <w:b/>
                <w:sz w:val="16"/>
                <w:szCs w:val="16"/>
              </w:rPr>
              <w:t xml:space="preserve">Methods </w:t>
            </w:r>
            <w:r w:rsidRPr="004104CC">
              <w:rPr>
                <w:sz w:val="16"/>
                <w:szCs w:val="16"/>
              </w:rPr>
              <w:t>that will be used to make the facilities accessible.  28 CFR 35.150(d)(3)(ii)</w:t>
            </w:r>
          </w:p>
          <w:p w:rsidR="00CC6D77" w:rsidRPr="004104CC" w:rsidRDefault="00CC6D77" w:rsidP="00CC6D77">
            <w:pPr>
              <w:pStyle w:val="ListParagraph"/>
              <w:rPr>
                <w:sz w:val="16"/>
                <w:szCs w:val="16"/>
              </w:rPr>
            </w:pPr>
          </w:p>
          <w:p w:rsidR="00CC6D77" w:rsidRPr="008069BB" w:rsidRDefault="00CC6D77" w:rsidP="00CC6D77">
            <w:pPr>
              <w:rPr>
                <w:sz w:val="16"/>
                <w:szCs w:val="16"/>
              </w:rPr>
            </w:pPr>
            <w:r w:rsidRPr="004104CC">
              <w:rPr>
                <w:sz w:val="16"/>
                <w:szCs w:val="16"/>
              </w:rPr>
              <w:t>Best practice – i</w:t>
            </w:r>
            <w:r w:rsidR="00C57684">
              <w:rPr>
                <w:sz w:val="16"/>
                <w:szCs w:val="16"/>
              </w:rPr>
              <w:t>nclude the Standard that the entity</w:t>
            </w:r>
            <w:r w:rsidRPr="004104CC">
              <w:rPr>
                <w:sz w:val="16"/>
                <w:szCs w:val="16"/>
              </w:rPr>
              <w:t xml:space="preserve"> is following (i.e., 2010 ADAAG, 2011 PROWAG)</w:t>
            </w:r>
          </w:p>
        </w:tc>
        <w:tc>
          <w:tcPr>
            <w:tcW w:w="5868" w:type="dxa"/>
          </w:tcPr>
          <w:p w:rsidR="00CC6D77" w:rsidRPr="008069BB" w:rsidRDefault="00CC6D77" w:rsidP="00CC6D77">
            <w:pPr>
              <w:rPr>
                <w:sz w:val="16"/>
                <w:szCs w:val="16"/>
              </w:rPr>
            </w:pPr>
          </w:p>
        </w:tc>
      </w:tr>
      <w:tr w:rsidR="00CC6D77" w:rsidRPr="008069BB" w:rsidTr="00CC6D77">
        <w:trPr>
          <w:trHeight w:val="399"/>
        </w:trPr>
        <w:tc>
          <w:tcPr>
            <w:tcW w:w="4086" w:type="dxa"/>
            <w:shd w:val="clear" w:color="auto" w:fill="D9D9D9" w:themeFill="background1" w:themeFillShade="D9"/>
            <w:vAlign w:val="center"/>
          </w:tcPr>
          <w:p w:rsidR="00CC6D77" w:rsidRPr="004104CC" w:rsidRDefault="00CC6D77" w:rsidP="00CC6D77">
            <w:pPr>
              <w:jc w:val="center"/>
              <w:rPr>
                <w:b/>
                <w:sz w:val="20"/>
                <w:szCs w:val="20"/>
              </w:rPr>
            </w:pPr>
            <w:r w:rsidRPr="004104CC">
              <w:rPr>
                <w:b/>
                <w:sz w:val="20"/>
                <w:szCs w:val="20"/>
              </w:rPr>
              <w:t>Other ADA Requirements</w:t>
            </w:r>
          </w:p>
        </w:tc>
        <w:tc>
          <w:tcPr>
            <w:tcW w:w="5868" w:type="dxa"/>
            <w:shd w:val="clear" w:color="auto" w:fill="D9D9D9" w:themeFill="background1" w:themeFillShade="D9"/>
            <w:vAlign w:val="center"/>
          </w:tcPr>
          <w:p w:rsidR="00CC6D77" w:rsidRPr="004104CC" w:rsidRDefault="00CC6D77" w:rsidP="00CC6D77">
            <w:pPr>
              <w:jc w:val="center"/>
              <w:rPr>
                <w:b/>
                <w:sz w:val="20"/>
                <w:szCs w:val="20"/>
              </w:rPr>
            </w:pPr>
            <w:r w:rsidRPr="004104CC">
              <w:rPr>
                <w:b/>
                <w:sz w:val="20"/>
                <w:szCs w:val="20"/>
              </w:rPr>
              <w:t>Review Comments</w:t>
            </w:r>
          </w:p>
        </w:tc>
      </w:tr>
      <w:tr w:rsidR="00CC6D77" w:rsidRPr="008069BB" w:rsidTr="00CC6D77">
        <w:trPr>
          <w:trHeight w:val="399"/>
        </w:trPr>
        <w:tc>
          <w:tcPr>
            <w:tcW w:w="4086" w:type="dxa"/>
            <w:shd w:val="clear" w:color="auto" w:fill="DBE5F1" w:themeFill="accent1" w:themeFillTint="33"/>
            <w:vAlign w:val="center"/>
          </w:tcPr>
          <w:p w:rsidR="00CC6D77" w:rsidRDefault="00CC6D77" w:rsidP="00CC6D77">
            <w:pPr>
              <w:rPr>
                <w:sz w:val="16"/>
                <w:szCs w:val="16"/>
              </w:rPr>
            </w:pPr>
            <w:r w:rsidRPr="004104CC">
              <w:rPr>
                <w:b/>
                <w:sz w:val="16"/>
                <w:szCs w:val="16"/>
              </w:rPr>
              <w:t>Public Involvement</w:t>
            </w:r>
            <w:r w:rsidRPr="004104CC">
              <w:rPr>
                <w:sz w:val="16"/>
                <w:szCs w:val="16"/>
              </w:rPr>
              <w:t xml:space="preserve"> – Description of process to allow public to readily access and submit comments for both self-evaluation and transition plan. 28 CFR 35.150(d)(1); 28 CFR 35.105(b)</w:t>
            </w:r>
          </w:p>
          <w:p w:rsidR="00CC6D77" w:rsidRDefault="00CC6D77" w:rsidP="00CC6D77">
            <w:pPr>
              <w:rPr>
                <w:sz w:val="16"/>
                <w:szCs w:val="16"/>
              </w:rPr>
            </w:pPr>
          </w:p>
          <w:p w:rsidR="00CC6D77" w:rsidRPr="004104CC" w:rsidRDefault="00CC6D77" w:rsidP="00CC6D77">
            <w:pPr>
              <w:rPr>
                <w:b/>
                <w:sz w:val="16"/>
                <w:szCs w:val="16"/>
              </w:rPr>
            </w:pPr>
            <w:r w:rsidRPr="004104CC">
              <w:rPr>
                <w:sz w:val="16"/>
                <w:szCs w:val="16"/>
              </w:rPr>
              <w:t xml:space="preserve">Best practices:  a) detailed list of individuals consulted posted conspicuously on website, does not have to be in actual TP, but </w:t>
            </w:r>
            <w:bookmarkStart w:id="0" w:name="_GoBack"/>
            <w:bookmarkEnd w:id="0"/>
            <w:r w:rsidRPr="004104CC">
              <w:rPr>
                <w:sz w:val="16"/>
                <w:szCs w:val="16"/>
              </w:rPr>
              <w:t>must be documented and available; b) have both electronic and hard copy notice. 28 CFR 35.105(c)</w:t>
            </w:r>
          </w:p>
        </w:tc>
        <w:tc>
          <w:tcPr>
            <w:tcW w:w="5868" w:type="dxa"/>
            <w:shd w:val="clear" w:color="auto" w:fill="FFFFFF" w:themeFill="background1"/>
            <w:vAlign w:val="center"/>
          </w:tcPr>
          <w:p w:rsidR="00CC6D77" w:rsidRPr="004104CC" w:rsidRDefault="00CC6D77" w:rsidP="00CC6D77">
            <w:pPr>
              <w:jc w:val="center"/>
              <w:rPr>
                <w:b/>
                <w:sz w:val="20"/>
                <w:szCs w:val="20"/>
              </w:rPr>
            </w:pPr>
          </w:p>
        </w:tc>
      </w:tr>
      <w:tr w:rsidR="00CC6D77" w:rsidRPr="008069BB" w:rsidTr="00CC6D77">
        <w:tc>
          <w:tcPr>
            <w:tcW w:w="4086" w:type="dxa"/>
            <w:shd w:val="clear" w:color="auto" w:fill="DBE5F1" w:themeFill="accent1" w:themeFillTint="33"/>
          </w:tcPr>
          <w:p w:rsidR="00CC6D77" w:rsidRDefault="00CC6D77" w:rsidP="00CC6D77">
            <w:pPr>
              <w:rPr>
                <w:sz w:val="16"/>
                <w:szCs w:val="16"/>
              </w:rPr>
            </w:pPr>
            <w:r w:rsidRPr="004104CC">
              <w:rPr>
                <w:b/>
                <w:sz w:val="16"/>
                <w:szCs w:val="16"/>
              </w:rPr>
              <w:t>ADA policy statement</w:t>
            </w:r>
            <w:r w:rsidRPr="004104CC">
              <w:rPr>
                <w:sz w:val="16"/>
                <w:szCs w:val="16"/>
              </w:rPr>
              <w:t xml:space="preserve"> is a requirement </w:t>
            </w:r>
            <w:r w:rsidR="00C57684" w:rsidRPr="004104CC">
              <w:rPr>
                <w:sz w:val="16"/>
                <w:szCs w:val="16"/>
              </w:rPr>
              <w:t xml:space="preserve">of </w:t>
            </w:r>
            <w:r w:rsidR="00C57684">
              <w:rPr>
                <w:sz w:val="16"/>
                <w:szCs w:val="16"/>
              </w:rPr>
              <w:t>Public</w:t>
            </w:r>
            <w:r w:rsidR="00C57684">
              <w:rPr>
                <w:sz w:val="16"/>
                <w:szCs w:val="16"/>
              </w:rPr>
              <w:t xml:space="preserve"> Entities</w:t>
            </w:r>
            <w:r w:rsidRPr="004104CC">
              <w:rPr>
                <w:sz w:val="16"/>
                <w:szCs w:val="16"/>
              </w:rPr>
              <w:t>, but does not have to be in the TP per se, but it is a good practice and needs to be easily accessible by the public.  28 CFR 35.106</w:t>
            </w:r>
          </w:p>
          <w:p w:rsidR="00CC6D77" w:rsidRPr="004104CC" w:rsidRDefault="00CC6D77" w:rsidP="00CC6D77">
            <w:pPr>
              <w:rPr>
                <w:sz w:val="16"/>
                <w:szCs w:val="16"/>
              </w:rPr>
            </w:pPr>
          </w:p>
          <w:p w:rsidR="00CC6D77" w:rsidRPr="004104CC" w:rsidRDefault="00CC6D77" w:rsidP="00CC6D77">
            <w:pPr>
              <w:rPr>
                <w:sz w:val="16"/>
                <w:szCs w:val="16"/>
              </w:rPr>
            </w:pPr>
            <w:r w:rsidRPr="004104CC">
              <w:rPr>
                <w:sz w:val="16"/>
                <w:szCs w:val="16"/>
              </w:rPr>
              <w:t>Best practice - post conspicuously on website, for internal and external use</w:t>
            </w:r>
          </w:p>
        </w:tc>
        <w:tc>
          <w:tcPr>
            <w:tcW w:w="5868" w:type="dxa"/>
          </w:tcPr>
          <w:p w:rsidR="00CC6D77" w:rsidRPr="008069BB" w:rsidRDefault="00CC6D77" w:rsidP="00CC6D77">
            <w:pPr>
              <w:rPr>
                <w:sz w:val="16"/>
                <w:szCs w:val="16"/>
              </w:rPr>
            </w:pPr>
          </w:p>
        </w:tc>
      </w:tr>
      <w:tr w:rsidR="00CC6D77" w:rsidRPr="008069BB" w:rsidTr="00CC6D77">
        <w:tc>
          <w:tcPr>
            <w:tcW w:w="4086" w:type="dxa"/>
            <w:shd w:val="clear" w:color="auto" w:fill="DBE5F1" w:themeFill="accent1" w:themeFillTint="33"/>
          </w:tcPr>
          <w:p w:rsidR="00CC6D77" w:rsidRPr="00CC6D77" w:rsidRDefault="00CC6D77" w:rsidP="00CC6D77">
            <w:pPr>
              <w:rPr>
                <w:sz w:val="16"/>
                <w:szCs w:val="16"/>
              </w:rPr>
            </w:pPr>
            <w:r w:rsidRPr="00CC6D77">
              <w:rPr>
                <w:sz w:val="16"/>
                <w:szCs w:val="16"/>
              </w:rPr>
              <w:t xml:space="preserve">Clear identification of the </w:t>
            </w:r>
            <w:r w:rsidRPr="00CC6D77">
              <w:rPr>
                <w:b/>
                <w:sz w:val="16"/>
                <w:szCs w:val="16"/>
              </w:rPr>
              <w:t xml:space="preserve">ADA Coordinator </w:t>
            </w:r>
            <w:r w:rsidRPr="00CC6D77">
              <w:rPr>
                <w:sz w:val="16"/>
                <w:szCs w:val="16"/>
              </w:rPr>
              <w:t>(dedicated trained staff) with contact information</w:t>
            </w:r>
            <w:r w:rsidRPr="00CC6D77">
              <w:rPr>
                <w:b/>
                <w:sz w:val="16"/>
                <w:szCs w:val="16"/>
              </w:rPr>
              <w:t xml:space="preserve"> </w:t>
            </w:r>
            <w:r w:rsidRPr="00CC6D77">
              <w:rPr>
                <w:sz w:val="16"/>
                <w:szCs w:val="16"/>
              </w:rPr>
              <w:t>(i.e., name, office address, telephone number, email address, fax number) 28 CFR 35.107(a)</w:t>
            </w:r>
          </w:p>
        </w:tc>
        <w:tc>
          <w:tcPr>
            <w:tcW w:w="5868" w:type="dxa"/>
          </w:tcPr>
          <w:p w:rsidR="00CC6D77" w:rsidRPr="008069BB" w:rsidRDefault="00CC6D77" w:rsidP="00CC6D77">
            <w:pPr>
              <w:rPr>
                <w:sz w:val="16"/>
                <w:szCs w:val="16"/>
              </w:rPr>
            </w:pPr>
          </w:p>
        </w:tc>
      </w:tr>
      <w:tr w:rsidR="00CC6D77" w:rsidRPr="008069BB" w:rsidTr="00CC6D77">
        <w:tc>
          <w:tcPr>
            <w:tcW w:w="4086" w:type="dxa"/>
            <w:shd w:val="clear" w:color="auto" w:fill="DBE5F1" w:themeFill="accent1" w:themeFillTint="33"/>
          </w:tcPr>
          <w:p w:rsidR="00CC6D77" w:rsidRPr="00CC6D77" w:rsidRDefault="00CC6D77" w:rsidP="00C57684">
            <w:pPr>
              <w:rPr>
                <w:sz w:val="16"/>
                <w:szCs w:val="16"/>
              </w:rPr>
            </w:pPr>
            <w:r w:rsidRPr="00CC6D77">
              <w:rPr>
                <w:sz w:val="16"/>
                <w:szCs w:val="16"/>
              </w:rPr>
              <w:t xml:space="preserve">Clear </w:t>
            </w:r>
            <w:r w:rsidRPr="00CC6D77">
              <w:rPr>
                <w:b/>
                <w:sz w:val="16"/>
                <w:szCs w:val="16"/>
              </w:rPr>
              <w:t>Complaint/Grievance Process</w:t>
            </w:r>
            <w:r w:rsidRPr="00CC6D77">
              <w:rPr>
                <w:sz w:val="16"/>
                <w:szCs w:val="16"/>
              </w:rPr>
              <w:t xml:space="preserve"> to receive and address complaints/grievances from the public (is a requirement of </w:t>
            </w:r>
            <w:r w:rsidR="00C57684">
              <w:rPr>
                <w:sz w:val="16"/>
                <w:szCs w:val="16"/>
              </w:rPr>
              <w:t xml:space="preserve"> </w:t>
            </w:r>
            <w:r w:rsidR="00C57684">
              <w:rPr>
                <w:sz w:val="16"/>
                <w:szCs w:val="16"/>
              </w:rPr>
              <w:t>Public Entities</w:t>
            </w:r>
            <w:r w:rsidRPr="00CC6D77">
              <w:rPr>
                <w:sz w:val="16"/>
                <w:szCs w:val="16"/>
              </w:rPr>
              <w:t>, but does not have to be in the TP per se, but it is a good practice and needs to be easily accessible by the public).  28 CFR 35.107(b)</w:t>
            </w:r>
          </w:p>
        </w:tc>
        <w:tc>
          <w:tcPr>
            <w:tcW w:w="5868" w:type="dxa"/>
          </w:tcPr>
          <w:p w:rsidR="00CC6D77" w:rsidRPr="008069BB" w:rsidRDefault="00CC6D77" w:rsidP="00CC6D77">
            <w:pPr>
              <w:rPr>
                <w:sz w:val="16"/>
                <w:szCs w:val="16"/>
              </w:rPr>
            </w:pPr>
          </w:p>
        </w:tc>
      </w:tr>
      <w:tr w:rsidR="00CC6D77" w:rsidRPr="008069BB" w:rsidTr="00CC6D77">
        <w:tc>
          <w:tcPr>
            <w:tcW w:w="9954" w:type="dxa"/>
            <w:gridSpan w:val="2"/>
            <w:shd w:val="clear" w:color="auto" w:fill="D9D9D9" w:themeFill="background1" w:themeFillShade="D9"/>
            <w:vAlign w:val="bottom"/>
          </w:tcPr>
          <w:p w:rsidR="00CC6D77" w:rsidRPr="006A1831" w:rsidRDefault="00CC6D77" w:rsidP="00CC6D77">
            <w:pPr>
              <w:jc w:val="center"/>
              <w:rPr>
                <w:b/>
                <w:sz w:val="20"/>
                <w:szCs w:val="20"/>
              </w:rPr>
            </w:pPr>
          </w:p>
          <w:p w:rsidR="00CC6D77" w:rsidRDefault="00CC6D77" w:rsidP="00CC6D77">
            <w:pPr>
              <w:jc w:val="center"/>
              <w:rPr>
                <w:b/>
                <w:sz w:val="16"/>
                <w:szCs w:val="16"/>
              </w:rPr>
            </w:pPr>
            <w:r w:rsidRPr="006A1831">
              <w:rPr>
                <w:b/>
                <w:sz w:val="20"/>
                <w:szCs w:val="20"/>
              </w:rPr>
              <w:t>REVIEWER_____________________________________________________     DATE ____________________________</w:t>
            </w:r>
          </w:p>
          <w:p w:rsidR="00CC6D77" w:rsidRPr="00EC7628" w:rsidRDefault="00CC6D77" w:rsidP="00CC6D77">
            <w:pPr>
              <w:jc w:val="center"/>
              <w:rPr>
                <w:b/>
                <w:sz w:val="16"/>
                <w:szCs w:val="16"/>
              </w:rPr>
            </w:pPr>
          </w:p>
        </w:tc>
      </w:tr>
    </w:tbl>
    <w:p w:rsidR="006A1831" w:rsidRPr="008069BB" w:rsidRDefault="006A1831" w:rsidP="00CC6D77">
      <w:pPr>
        <w:rPr>
          <w:sz w:val="16"/>
          <w:szCs w:val="16"/>
        </w:rPr>
      </w:pPr>
    </w:p>
    <w:sectPr w:rsidR="006A1831" w:rsidRPr="008069BB" w:rsidSect="00A04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D67DD"/>
    <w:multiLevelType w:val="hybridMultilevel"/>
    <w:tmpl w:val="F6A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1446"/>
    <w:multiLevelType w:val="hybridMultilevel"/>
    <w:tmpl w:val="959C04B2"/>
    <w:lvl w:ilvl="0" w:tplc="69D6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B"/>
    <w:rsid w:val="000074CD"/>
    <w:rsid w:val="000654E9"/>
    <w:rsid w:val="001718AF"/>
    <w:rsid w:val="00380B88"/>
    <w:rsid w:val="0039286B"/>
    <w:rsid w:val="004104CC"/>
    <w:rsid w:val="006A1831"/>
    <w:rsid w:val="008069BB"/>
    <w:rsid w:val="009711AF"/>
    <w:rsid w:val="00A0410F"/>
    <w:rsid w:val="00B676F6"/>
    <w:rsid w:val="00B77EB2"/>
    <w:rsid w:val="00C071EB"/>
    <w:rsid w:val="00C57684"/>
    <w:rsid w:val="00CC6D77"/>
    <w:rsid w:val="00EC7628"/>
    <w:rsid w:val="00F865A1"/>
    <w:rsid w:val="00FE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Krystal Smith</cp:lastModifiedBy>
  <cp:revision>4</cp:revision>
  <cp:lastPrinted>2015-09-25T12:12:00Z</cp:lastPrinted>
  <dcterms:created xsi:type="dcterms:W3CDTF">2015-12-02T17:11:00Z</dcterms:created>
  <dcterms:modified xsi:type="dcterms:W3CDTF">2016-08-05T21:27:00Z</dcterms:modified>
</cp:coreProperties>
</file>