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13" w:rsidRDefault="008A4A13" w:rsidP="0024177A">
      <w:pPr>
        <w:pStyle w:val="Heading1"/>
        <w:spacing w:before="120"/>
        <w:ind w:left="-720"/>
        <w:rPr>
          <w:rFonts w:ascii="Book Antiqua" w:hAnsi="Book Antiqua"/>
          <w:b w:val="0"/>
          <w:color w:val="auto"/>
          <w:sz w:val="32"/>
          <w:szCs w:val="32"/>
        </w:rPr>
      </w:pPr>
      <w:bookmarkStart w:id="0" w:name="_GoBack"/>
      <w:r w:rsidRPr="00683ECF">
        <w:rPr>
          <w:rFonts w:ascii="Book Antiqua" w:hAnsi="Book Antiqua"/>
          <w:b w:val="0"/>
          <w:color w:val="auto"/>
          <w:sz w:val="32"/>
          <w:szCs w:val="32"/>
        </w:rPr>
        <w:t xml:space="preserve">Project Level </w:t>
      </w:r>
      <w:r w:rsidR="000503E9">
        <w:rPr>
          <w:rFonts w:ascii="Book Antiqua" w:hAnsi="Book Antiqua"/>
          <w:b w:val="0"/>
          <w:color w:val="auto"/>
          <w:sz w:val="32"/>
          <w:szCs w:val="32"/>
        </w:rPr>
        <w:t>CO</w:t>
      </w:r>
      <w:r w:rsidR="006F1786" w:rsidRPr="000B66B1">
        <w:rPr>
          <w:rFonts w:ascii="Book Antiqua" w:hAnsi="Book Antiqua"/>
          <w:b w:val="0"/>
          <w:color w:val="auto"/>
          <w:sz w:val="32"/>
          <w:szCs w:val="32"/>
        </w:rPr>
        <w:t xml:space="preserve"> Quantitative Hot</w:t>
      </w:r>
      <w:r w:rsidR="00CB3F56">
        <w:rPr>
          <w:rFonts w:ascii="Book Antiqua" w:hAnsi="Book Antiqua"/>
          <w:b w:val="0"/>
          <w:color w:val="auto"/>
          <w:sz w:val="32"/>
          <w:szCs w:val="32"/>
        </w:rPr>
        <w:t>-S</w:t>
      </w:r>
      <w:r w:rsidR="006F1786" w:rsidRPr="000B66B1">
        <w:rPr>
          <w:rFonts w:ascii="Book Antiqua" w:hAnsi="Book Antiqua"/>
          <w:b w:val="0"/>
          <w:color w:val="auto"/>
          <w:sz w:val="32"/>
          <w:szCs w:val="32"/>
        </w:rPr>
        <w:t xml:space="preserve">pot Analysis </w:t>
      </w:r>
      <w:r>
        <w:rPr>
          <w:rFonts w:ascii="Book Antiqua" w:hAnsi="Book Antiqua"/>
          <w:b w:val="0"/>
          <w:color w:val="auto"/>
          <w:sz w:val="32"/>
          <w:szCs w:val="32"/>
        </w:rPr>
        <w:t>–</w:t>
      </w:r>
    </w:p>
    <w:p w:rsidR="006F1786" w:rsidRPr="000B66B1" w:rsidRDefault="006F1786" w:rsidP="0024177A">
      <w:pPr>
        <w:pStyle w:val="Heading1"/>
        <w:spacing w:before="120"/>
        <w:ind w:left="-720"/>
        <w:rPr>
          <w:rFonts w:ascii="Book Antiqua" w:hAnsi="Book Antiqua"/>
          <w:b w:val="0"/>
          <w:color w:val="auto"/>
          <w:sz w:val="32"/>
          <w:szCs w:val="32"/>
        </w:rPr>
      </w:pPr>
      <w:r w:rsidRPr="000B66B1">
        <w:rPr>
          <w:rFonts w:ascii="Book Antiqua" w:hAnsi="Book Antiqua"/>
          <w:b w:val="0"/>
          <w:color w:val="auto"/>
          <w:sz w:val="32"/>
          <w:szCs w:val="32"/>
        </w:rPr>
        <w:t xml:space="preserve">Consultation Document </w:t>
      </w:r>
      <w:bookmarkEnd w:id="0"/>
    </w:p>
    <w:p w:rsidR="006F1786" w:rsidRPr="00D51576" w:rsidRDefault="001B35EC" w:rsidP="0024177A">
      <w:pPr>
        <w:spacing w:after="240"/>
        <w:ind w:left="-720"/>
        <w:rPr>
          <w:rFonts w:ascii="Book Antiqua" w:hAnsi="Book Antiqua"/>
          <w:sz w:val="32"/>
          <w:szCs w:val="32"/>
        </w:rPr>
      </w:pPr>
      <w:r>
        <w:rPr>
          <w:rFonts w:ascii="Book Antiqua" w:hAnsi="Book Antiqua"/>
          <w:sz w:val="32"/>
          <w:szCs w:val="32"/>
        </w:rPr>
        <w:pict>
          <v:rect id="_x0000_i1025" style="width:0;height:1.5pt" o:hralign="center" o:hrstd="t" o:hr="t" fillcolor="gray" stroked="f"/>
        </w:pict>
      </w:r>
    </w:p>
    <w:p w:rsidR="006F1786" w:rsidRPr="00C33235" w:rsidRDefault="006F1786" w:rsidP="0024177A">
      <w:pPr>
        <w:ind w:left="-720"/>
        <w:rPr>
          <w:rFonts w:ascii="Book Antiqua" w:hAnsi="Book Antiqua"/>
          <w:i/>
          <w:color w:val="548DD4" w:themeColor="text2" w:themeTint="99"/>
          <w:sz w:val="22"/>
        </w:rPr>
      </w:pPr>
      <w:r>
        <w:rPr>
          <w:rFonts w:ascii="Book Antiqua" w:hAnsi="Book Antiqua"/>
          <w:i/>
          <w:color w:val="548DD4" w:themeColor="text2" w:themeTint="99"/>
        </w:rPr>
        <w:t xml:space="preserve">General </w:t>
      </w:r>
      <w:r w:rsidRPr="00C33235">
        <w:rPr>
          <w:rFonts w:ascii="Book Antiqua" w:hAnsi="Book Antiqua"/>
          <w:i/>
          <w:color w:val="548DD4" w:themeColor="text2" w:themeTint="99"/>
        </w:rPr>
        <w:t>Instructions:</w:t>
      </w:r>
      <w:r w:rsidRPr="00C33235">
        <w:rPr>
          <w:rFonts w:ascii="Book Antiqua" w:hAnsi="Book Antiqua"/>
          <w:i/>
          <w:color w:val="548DD4" w:themeColor="text2" w:themeTint="99"/>
          <w:sz w:val="28"/>
          <w:szCs w:val="28"/>
        </w:rPr>
        <w:t xml:space="preserve"> </w:t>
      </w:r>
      <w:r w:rsidRPr="00C33235">
        <w:rPr>
          <w:rFonts w:ascii="Book Antiqua" w:hAnsi="Book Antiqua"/>
          <w:i/>
          <w:color w:val="548DD4" w:themeColor="text2" w:themeTint="99"/>
          <w:sz w:val="22"/>
        </w:rPr>
        <w:t xml:space="preserve">The Arizona Department of Transportation (ADOT) developed the following </w:t>
      </w:r>
      <w:r>
        <w:rPr>
          <w:rFonts w:ascii="Book Antiqua" w:hAnsi="Book Antiqua"/>
          <w:i/>
          <w:color w:val="548DD4" w:themeColor="text2" w:themeTint="99"/>
          <w:sz w:val="22"/>
        </w:rPr>
        <w:t xml:space="preserve">consultation document </w:t>
      </w:r>
      <w:r w:rsidRPr="00C33235">
        <w:rPr>
          <w:rFonts w:ascii="Book Antiqua" w:hAnsi="Book Antiqua"/>
          <w:i/>
          <w:color w:val="548DD4" w:themeColor="text2" w:themeTint="99"/>
          <w:sz w:val="22"/>
        </w:rPr>
        <w:t xml:space="preserve">for </w:t>
      </w:r>
      <w:r w:rsidR="00134594">
        <w:rPr>
          <w:rFonts w:ascii="Book Antiqua" w:hAnsi="Book Antiqua"/>
          <w:i/>
          <w:color w:val="548DD4" w:themeColor="text2" w:themeTint="99"/>
          <w:sz w:val="22"/>
        </w:rPr>
        <w:t xml:space="preserve">the </w:t>
      </w:r>
      <w:r>
        <w:rPr>
          <w:rFonts w:ascii="Book Antiqua" w:hAnsi="Book Antiqua"/>
          <w:i/>
          <w:color w:val="548DD4" w:themeColor="text2" w:themeTint="99"/>
          <w:sz w:val="22"/>
        </w:rPr>
        <w:t xml:space="preserve">projects </w:t>
      </w:r>
      <w:r w:rsidR="00134594">
        <w:rPr>
          <w:rFonts w:ascii="Book Antiqua" w:hAnsi="Book Antiqua"/>
          <w:i/>
          <w:color w:val="548DD4" w:themeColor="text2" w:themeTint="99"/>
          <w:sz w:val="22"/>
        </w:rPr>
        <w:t xml:space="preserve">of air quality concern </w:t>
      </w:r>
      <w:r>
        <w:rPr>
          <w:rFonts w:ascii="Book Antiqua" w:hAnsi="Book Antiqua"/>
          <w:i/>
          <w:color w:val="548DD4" w:themeColor="text2" w:themeTint="99"/>
          <w:sz w:val="22"/>
        </w:rPr>
        <w:t>that are</w:t>
      </w:r>
      <w:r w:rsidR="00134594">
        <w:rPr>
          <w:rFonts w:ascii="Book Antiqua" w:hAnsi="Book Antiqua"/>
          <w:i/>
          <w:color w:val="548DD4" w:themeColor="text2" w:themeTint="99"/>
          <w:sz w:val="22"/>
        </w:rPr>
        <w:t xml:space="preserve"> funded by</w:t>
      </w:r>
      <w:r w:rsidRPr="00C33235">
        <w:rPr>
          <w:rFonts w:ascii="Book Antiqua" w:hAnsi="Book Antiqua"/>
          <w:i/>
          <w:color w:val="548DD4" w:themeColor="text2" w:themeTint="99"/>
          <w:sz w:val="22"/>
        </w:rPr>
        <w:t xml:space="preserve"> Federal Highway Administration (FHWA) and Feder</w:t>
      </w:r>
      <w:r w:rsidR="00134594">
        <w:rPr>
          <w:rFonts w:ascii="Book Antiqua" w:hAnsi="Book Antiqua"/>
          <w:i/>
          <w:color w:val="548DD4" w:themeColor="text2" w:themeTint="99"/>
          <w:sz w:val="22"/>
        </w:rPr>
        <w:t>al Transit Administration (FTA).</w:t>
      </w:r>
      <w:r>
        <w:rPr>
          <w:rFonts w:ascii="Book Antiqua" w:hAnsi="Book Antiqua"/>
          <w:i/>
          <w:color w:val="548DD4" w:themeColor="text2" w:themeTint="99"/>
          <w:sz w:val="22"/>
        </w:rPr>
        <w:t xml:space="preserve"> The Purpose of this document is to describe the methods, m</w:t>
      </w:r>
      <w:r w:rsidR="00134594">
        <w:rPr>
          <w:rFonts w:ascii="Book Antiqua" w:hAnsi="Book Antiqua"/>
          <w:i/>
          <w:color w:val="548DD4" w:themeColor="text2" w:themeTint="99"/>
          <w:sz w:val="22"/>
        </w:rPr>
        <w:t>odels and assumptions used for a CO</w:t>
      </w:r>
      <w:r>
        <w:rPr>
          <w:rFonts w:ascii="Book Antiqua" w:hAnsi="Book Antiqua"/>
          <w:i/>
          <w:color w:val="548DD4" w:themeColor="text2" w:themeTint="99"/>
          <w:sz w:val="22"/>
        </w:rPr>
        <w:t xml:space="preserve"> quantitative Hot-spot analysis as required in 40 CFR </w:t>
      </w:r>
      <w:r w:rsidR="00134594">
        <w:rPr>
          <w:rFonts w:ascii="Book Antiqua" w:hAnsi="Book Antiqua"/>
          <w:i/>
          <w:color w:val="548DD4" w:themeColor="text2" w:themeTint="99"/>
          <w:sz w:val="22"/>
        </w:rPr>
        <w:t>93.105(c)(1)(</w:t>
      </w:r>
      <w:proofErr w:type="spellStart"/>
      <w:r w:rsidR="00134594">
        <w:rPr>
          <w:rFonts w:ascii="Book Antiqua" w:hAnsi="Book Antiqua"/>
          <w:i/>
          <w:color w:val="548DD4" w:themeColor="text2" w:themeTint="99"/>
          <w:sz w:val="22"/>
        </w:rPr>
        <w:t>i</w:t>
      </w:r>
      <w:proofErr w:type="spellEnd"/>
      <w:r w:rsidR="00134594">
        <w:rPr>
          <w:rFonts w:ascii="Book Antiqua" w:hAnsi="Book Antiqua"/>
          <w:i/>
          <w:color w:val="548DD4" w:themeColor="text2" w:themeTint="99"/>
          <w:sz w:val="22"/>
        </w:rPr>
        <w:t>), 93.123, 93.116.</w:t>
      </w:r>
    </w:p>
    <w:p w:rsidR="006F1786" w:rsidRPr="009C0C66" w:rsidRDefault="006F1786" w:rsidP="006F1786">
      <w:pPr>
        <w:rPr>
          <w:rFonts w:ascii="Book Antiqua" w:hAnsi="Book Antiqua"/>
          <w:b/>
          <w:sz w:val="22"/>
          <w:szCs w:val="22"/>
        </w:rPr>
      </w:pPr>
    </w:p>
    <w:p w:rsidR="006F1786" w:rsidRPr="00BF2446" w:rsidRDefault="00902997" w:rsidP="0024177A">
      <w:pPr>
        <w:ind w:left="-720"/>
        <w:jc w:val="left"/>
        <w:rPr>
          <w:rFonts w:ascii="Book Antiqua" w:hAnsi="Book Antiqua"/>
          <w:sz w:val="32"/>
          <w:szCs w:val="32"/>
        </w:rPr>
      </w:pPr>
      <w:r>
        <w:rPr>
          <w:rFonts w:ascii="Book Antiqua" w:hAnsi="Book Antiqua"/>
          <w:sz w:val="28"/>
          <w:szCs w:val="28"/>
        </w:rPr>
        <w:t>Completing a Carbon Monoxide (CO</w:t>
      </w:r>
      <w:r w:rsidR="006F1786" w:rsidRPr="000B66B1">
        <w:rPr>
          <w:rFonts w:ascii="Book Antiqua" w:hAnsi="Book Antiqua"/>
          <w:sz w:val="28"/>
          <w:szCs w:val="28"/>
        </w:rPr>
        <w:t>) Hot-Spot Analysis</w:t>
      </w:r>
      <w:r w:rsidR="006F1786">
        <w:rPr>
          <w:rFonts w:ascii="Book Antiqua" w:hAnsi="Book Antiqua"/>
          <w:sz w:val="32"/>
          <w:szCs w:val="32"/>
        </w:rPr>
        <w:br/>
      </w:r>
      <w:proofErr w:type="gramStart"/>
      <w:r w:rsidR="007D480A">
        <w:rPr>
          <w:rFonts w:ascii="Book Antiqua" w:hAnsi="Book Antiqua"/>
          <w:sz w:val="22"/>
          <w:szCs w:val="22"/>
        </w:rPr>
        <w:t>The</w:t>
      </w:r>
      <w:proofErr w:type="gramEnd"/>
      <w:r w:rsidR="007D480A">
        <w:rPr>
          <w:rFonts w:ascii="Book Antiqua" w:hAnsi="Book Antiqua"/>
          <w:sz w:val="22"/>
          <w:szCs w:val="22"/>
        </w:rPr>
        <w:t xml:space="preserve"> general steps requir</w:t>
      </w:r>
      <w:r w:rsidR="00337C92">
        <w:rPr>
          <w:rFonts w:ascii="Book Antiqua" w:hAnsi="Book Antiqua"/>
          <w:sz w:val="22"/>
          <w:szCs w:val="22"/>
        </w:rPr>
        <w:t>ed to complete a quantitative CO</w:t>
      </w:r>
      <w:r w:rsidR="007D480A">
        <w:rPr>
          <w:rFonts w:ascii="Book Antiqua" w:hAnsi="Book Antiqua"/>
          <w:sz w:val="22"/>
          <w:szCs w:val="22"/>
        </w:rPr>
        <w:t xml:space="preserve"> hot-spot analysis are outlined below and described in detail in the EPA </w:t>
      </w:r>
      <w:r w:rsidR="007D480A" w:rsidRPr="00156DF9">
        <w:rPr>
          <w:rFonts w:ascii="Book Antiqua" w:hAnsi="Book Antiqua"/>
          <w:sz w:val="22"/>
          <w:szCs w:val="22"/>
        </w:rPr>
        <w:t>Office of Transportation and Air Quality</w:t>
      </w:r>
      <w:r w:rsidR="007D480A">
        <w:rPr>
          <w:rFonts w:ascii="Book Antiqua" w:hAnsi="Book Antiqua"/>
          <w:sz w:val="22"/>
          <w:szCs w:val="22"/>
        </w:rPr>
        <w:t xml:space="preserve"> guidance document</w:t>
      </w:r>
      <w:r w:rsidR="007D480A" w:rsidRPr="00156DF9">
        <w:rPr>
          <w:rFonts w:ascii="Book Antiqua" w:hAnsi="Book Antiqua"/>
          <w:sz w:val="22"/>
          <w:szCs w:val="22"/>
        </w:rPr>
        <w:t xml:space="preserve"> </w:t>
      </w:r>
      <w:r w:rsidR="007D480A">
        <w:rPr>
          <w:rFonts w:ascii="Book Antiqua" w:hAnsi="Book Antiqua"/>
          <w:sz w:val="22"/>
          <w:szCs w:val="22"/>
        </w:rPr>
        <w:t>“</w:t>
      </w:r>
      <w:r w:rsidR="00320A46">
        <w:rPr>
          <w:rFonts w:ascii="Book Antiqua" w:hAnsi="Book Antiqua"/>
          <w:sz w:val="22"/>
          <w:szCs w:val="22"/>
        </w:rPr>
        <w:t>Using MOVES2014 in Project-Level Carbon Monoxide Analyses</w:t>
      </w:r>
      <w:r w:rsidR="007D480A">
        <w:rPr>
          <w:rFonts w:ascii="Book Antiqua" w:hAnsi="Book Antiqua"/>
          <w:sz w:val="22"/>
          <w:szCs w:val="22"/>
        </w:rPr>
        <w:t xml:space="preserve">” </w:t>
      </w:r>
      <w:r w:rsidR="00320A46">
        <w:rPr>
          <w:rFonts w:ascii="Book Antiqua" w:hAnsi="Book Antiqua"/>
          <w:sz w:val="22"/>
          <w:szCs w:val="22"/>
        </w:rPr>
        <w:t>EPA-420-B-15-028, March</w:t>
      </w:r>
      <w:r w:rsidR="007D480A" w:rsidRPr="00955154">
        <w:rPr>
          <w:rFonts w:ascii="Book Antiqua" w:hAnsi="Book Antiqua"/>
          <w:sz w:val="22"/>
          <w:szCs w:val="22"/>
        </w:rPr>
        <w:t xml:space="preserve"> 2015</w:t>
      </w:r>
      <w:r w:rsidR="00320A46">
        <w:rPr>
          <w:rFonts w:ascii="Book Antiqua" w:hAnsi="Book Antiqua"/>
          <w:sz w:val="22"/>
          <w:szCs w:val="22"/>
        </w:rPr>
        <w:t>, and “Guideline for Modeling Carbon Monoxide from Roadway Intersections” EPA-454/R-92-005, November 1992.</w:t>
      </w:r>
    </w:p>
    <w:p w:rsidR="006F1786" w:rsidRDefault="006F1786" w:rsidP="006F1786">
      <w:pPr>
        <w:rPr>
          <w:rFonts w:ascii="Book Antiqua" w:hAnsi="Book Antiqua"/>
          <w:sz w:val="22"/>
          <w:szCs w:val="22"/>
        </w:rPr>
      </w:pPr>
    </w:p>
    <w:p w:rsidR="006F1786" w:rsidRDefault="006F1786" w:rsidP="006F1786">
      <w:pPr>
        <w:ind w:left="720"/>
        <w:rPr>
          <w:rFonts w:ascii="Book Antiqua" w:hAnsi="Book Antiqua"/>
          <w:sz w:val="22"/>
          <w:szCs w:val="22"/>
        </w:rPr>
      </w:pPr>
      <w:r>
        <w:rPr>
          <w:rFonts w:ascii="Times New Roman" w:hAnsi="Times New Roman"/>
          <w:b/>
          <w:noProof/>
        </w:rPr>
        <mc:AlternateContent>
          <mc:Choice Requires="wpg">
            <w:drawing>
              <wp:anchor distT="0" distB="0" distL="114300" distR="114300" simplePos="0" relativeHeight="251659264" behindDoc="0" locked="0" layoutInCell="1" allowOverlap="1" wp14:anchorId="025E7628" wp14:editId="7CE7855D">
                <wp:simplePos x="0" y="0"/>
                <wp:positionH relativeFrom="column">
                  <wp:posOffset>-1725</wp:posOffset>
                </wp:positionH>
                <wp:positionV relativeFrom="paragraph">
                  <wp:posOffset>115750</wp:posOffset>
                </wp:positionV>
                <wp:extent cx="5581015" cy="2518914"/>
                <wp:effectExtent l="0" t="0" r="19685" b="15240"/>
                <wp:wrapNone/>
                <wp:docPr id="2" name="Group 2"/>
                <wp:cNvGraphicFramePr/>
                <a:graphic xmlns:a="http://schemas.openxmlformats.org/drawingml/2006/main">
                  <a:graphicData uri="http://schemas.microsoft.com/office/word/2010/wordprocessingGroup">
                    <wpg:wgp>
                      <wpg:cNvGrpSpPr/>
                      <wpg:grpSpPr>
                        <a:xfrm>
                          <a:off x="0" y="0"/>
                          <a:ext cx="5581015" cy="2518914"/>
                          <a:chOff x="0" y="0"/>
                          <a:chExt cx="5581218" cy="2567051"/>
                        </a:xfrm>
                      </wpg:grpSpPr>
                      <wps:wsp>
                        <wps:cNvPr id="3" name="Text Box 2"/>
                        <wps:cNvSpPr txBox="1">
                          <a:spLocks noChangeArrowheads="1"/>
                        </wps:cNvSpPr>
                        <wps:spPr bwMode="auto">
                          <a:xfrm>
                            <a:off x="0" y="929031"/>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wps:txbx>
                        <wps:bodyPr rot="0" vert="horz" wrap="square" lIns="91440" tIns="45720" rIns="91440" bIns="45720" anchor="t" anchorCtr="0">
                          <a:noAutofit/>
                        </wps:bodyPr>
                      </wps:wsp>
                      <wps:wsp>
                        <wps:cNvPr id="4" name="Text Box 4"/>
                        <wps:cNvSpPr txBox="1">
                          <a:spLocks noChangeArrowheads="1"/>
                        </wps:cNvSpPr>
                        <wps:spPr bwMode="auto">
                          <a:xfrm>
                            <a:off x="1989734" y="0"/>
                            <a:ext cx="1623695" cy="701675"/>
                          </a:xfrm>
                          <a:prstGeom prst="rect">
                            <a:avLst/>
                          </a:prstGeom>
                          <a:solidFill>
                            <a:srgbClr val="FFFFFF"/>
                          </a:solidFill>
                          <a:ln w="9525">
                            <a:solidFill>
                              <a:srgbClr val="000000"/>
                            </a:solidFill>
                            <a:miter lim="800000"/>
                            <a:headEnd/>
                            <a:tailEnd/>
                          </a:ln>
                        </wps:spPr>
                        <wps:txbx>
                          <w:txbxContent>
                            <w:p w:rsidR="00D00C2B" w:rsidRPr="002968E1" w:rsidRDefault="00D00C2B" w:rsidP="00D00C2B">
                              <w:pPr>
                                <w:jc w:val="center"/>
                                <w:rPr>
                                  <w:sz w:val="20"/>
                                  <w:szCs w:val="20"/>
                                  <w:u w:val="single"/>
                                </w:rPr>
                              </w:pPr>
                              <w:r>
                                <w:rPr>
                                  <w:sz w:val="20"/>
                                  <w:szCs w:val="20"/>
                                  <w:u w:val="single"/>
                                </w:rPr>
                                <w:t>Step 4</w:t>
                              </w:r>
                            </w:p>
                            <w:p w:rsidR="00D00C2B" w:rsidRPr="002968E1" w:rsidRDefault="00D00C2B" w:rsidP="00D00C2B">
                              <w:pPr>
                                <w:jc w:val="center"/>
                                <w:rPr>
                                  <w:sz w:val="20"/>
                                  <w:szCs w:val="20"/>
                                </w:rPr>
                              </w:pPr>
                              <w:r w:rsidRPr="002968E1">
                                <w:rPr>
                                  <w:sz w:val="20"/>
                                  <w:szCs w:val="20"/>
                                </w:rPr>
                                <w:t>Select Air Quality Model, Data Inputs, and Receptors</w:t>
                              </w:r>
                              <w:r>
                                <w:rPr>
                                  <w:sz w:val="20"/>
                                  <w:szCs w:val="20"/>
                                </w:rPr>
                                <w:t xml:space="preserve"> (CAL3QHC)</w:t>
                              </w:r>
                            </w:p>
                            <w:p w:rsidR="006F1786" w:rsidRPr="004D0A39" w:rsidRDefault="006F1786" w:rsidP="006F1786">
                              <w:pPr>
                                <w:jc w:val="center"/>
                                <w:rPr>
                                  <w:sz w:val="20"/>
                                  <w:szCs w:val="20"/>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1989734" y="929031"/>
                            <a:ext cx="1623695" cy="701675"/>
                          </a:xfrm>
                          <a:prstGeom prst="rect">
                            <a:avLst/>
                          </a:prstGeom>
                          <a:solidFill>
                            <a:srgbClr val="FFFFFF"/>
                          </a:solidFill>
                          <a:ln w="9525">
                            <a:solidFill>
                              <a:srgbClr val="000000"/>
                            </a:solidFill>
                            <a:miter lim="800000"/>
                            <a:headEnd/>
                            <a:tailEnd/>
                          </a:ln>
                        </wps:spPr>
                        <wps:txbx>
                          <w:txbxContent>
                            <w:p w:rsidR="00786DDA" w:rsidRPr="00417ACE" w:rsidRDefault="00786DDA" w:rsidP="00786DDA">
                              <w:pPr>
                                <w:jc w:val="center"/>
                                <w:rPr>
                                  <w:sz w:val="20"/>
                                  <w:szCs w:val="20"/>
                                  <w:u w:val="single"/>
                                </w:rPr>
                              </w:pPr>
                              <w:r>
                                <w:rPr>
                                  <w:sz w:val="20"/>
                                  <w:szCs w:val="20"/>
                                  <w:u w:val="single"/>
                                </w:rPr>
                                <w:t>Step 5</w:t>
                              </w:r>
                            </w:p>
                            <w:p w:rsidR="00786DDA" w:rsidRPr="00417ACE" w:rsidRDefault="00786DDA" w:rsidP="00786DDA">
                              <w:pPr>
                                <w:jc w:val="center"/>
                                <w:rPr>
                                  <w:sz w:val="20"/>
                                  <w:szCs w:val="20"/>
                                </w:rPr>
                              </w:pPr>
                              <w:r>
                                <w:rPr>
                                  <w:sz w:val="20"/>
                                  <w:szCs w:val="20"/>
                                </w:rPr>
                                <w:t>Document Methods, Models and Assumptions</w:t>
                              </w:r>
                            </w:p>
                            <w:p w:rsidR="00D00C2B" w:rsidRDefault="00D00C2B"/>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1630680" cy="701675"/>
                          </a:xfrm>
                          <a:prstGeom prst="rect">
                            <a:avLst/>
                          </a:prstGeom>
                          <a:solidFill>
                            <a:srgbClr val="FFFFFF"/>
                          </a:solidFill>
                          <a:ln w="9525">
                            <a:solidFill>
                              <a:srgbClr val="000000"/>
                            </a:solidFill>
                            <a:miter lim="800000"/>
                            <a:headEnd/>
                            <a:tailEnd/>
                          </a:ln>
                        </wps:spPr>
                        <wps:txb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wps:txbx>
                        <wps:bodyPr rot="0" vert="horz" wrap="square" lIns="91440" tIns="45720" rIns="91440" bIns="45720" anchor="t" anchorCtr="0">
                          <a:noAutofit/>
                        </wps:bodyPr>
                      </wps:wsp>
                      <wps:wsp>
                        <wps:cNvPr id="7" name="Text Box 7"/>
                        <wps:cNvSpPr txBox="1">
                          <a:spLocks noChangeArrowheads="1"/>
                        </wps:cNvSpPr>
                        <wps:spPr bwMode="auto">
                          <a:xfrm>
                            <a:off x="3957523" y="0"/>
                            <a:ext cx="1623695" cy="701675"/>
                          </a:xfrm>
                          <a:prstGeom prst="rect">
                            <a:avLst/>
                          </a:prstGeom>
                          <a:solidFill>
                            <a:srgbClr val="FFFFFF"/>
                          </a:solidFill>
                          <a:ln w="9525">
                            <a:solidFill>
                              <a:srgbClr val="000000"/>
                            </a:solidFill>
                            <a:miter lim="800000"/>
                            <a:headEnd/>
                            <a:tailEnd/>
                          </a:ln>
                        </wps:spPr>
                        <wps:txb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7</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Determine Design Values and Determine Conformity</w:t>
                              </w:r>
                              <w:r>
                                <w:rPr>
                                  <w:color w:val="8DB3E2" w:themeColor="text2" w:themeTint="66"/>
                                  <w:sz w:val="20"/>
                                  <w:szCs w:val="20"/>
                                </w:rPr>
                                <w:t xml:space="preserve"> **</w:t>
                              </w:r>
                            </w:p>
                            <w:p w:rsidR="00786DDA" w:rsidRDefault="00786DDA"/>
                          </w:txbxContent>
                        </wps:txbx>
                        <wps:bodyPr rot="0" vert="horz" wrap="square" lIns="91440" tIns="45720" rIns="91440" bIns="45720" anchor="t" anchorCtr="0">
                          <a:noAutofit/>
                        </wps:bodyPr>
                      </wps:wsp>
                      <wps:wsp>
                        <wps:cNvPr id="8" name="Text Box 8"/>
                        <wps:cNvSpPr txBox="1">
                          <a:spLocks noChangeArrowheads="1"/>
                        </wps:cNvSpPr>
                        <wps:spPr bwMode="auto">
                          <a:xfrm>
                            <a:off x="3957523" y="929031"/>
                            <a:ext cx="1623695" cy="701675"/>
                          </a:xfrm>
                          <a:prstGeom prst="rect">
                            <a:avLst/>
                          </a:prstGeom>
                          <a:solidFill>
                            <a:srgbClr val="FFFFFF"/>
                          </a:solidFill>
                          <a:ln w="9525">
                            <a:solidFill>
                              <a:srgbClr val="000000"/>
                            </a:solidFill>
                            <a:miter lim="800000"/>
                            <a:headEnd/>
                            <a:tailEnd/>
                          </a:ln>
                        </wps:spPr>
                        <wps:txb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8</w:t>
                              </w:r>
                            </w:p>
                            <w:p w:rsidR="00786DDA" w:rsidRDefault="00786DDA" w:rsidP="00786DDA">
                              <w:r w:rsidRPr="002D5744">
                                <w:rPr>
                                  <w:color w:val="8DB3E2" w:themeColor="text2" w:themeTint="66"/>
                                  <w:sz w:val="20"/>
                                  <w:szCs w:val="20"/>
                                </w:rPr>
                                <w:t>Consider Mitigation or Control Measures</w:t>
                              </w:r>
                              <w:r>
                                <w:rPr>
                                  <w:color w:val="8DB3E2" w:themeColor="text2" w:themeTint="66"/>
                                  <w:sz w:val="20"/>
                                  <w:szCs w:val="20"/>
                                </w:rPr>
                                <w:t>**</w:t>
                              </w:r>
                            </w:p>
                            <w:p w:rsidR="006F1786" w:rsidRPr="002D5744" w:rsidRDefault="006F1786" w:rsidP="006F1786">
                              <w:pPr>
                                <w:jc w:val="center"/>
                                <w:rPr>
                                  <w:color w:val="8DB3E2" w:themeColor="text2" w:themeTint="66"/>
                                  <w:sz w:val="20"/>
                                  <w:szCs w:val="20"/>
                                </w:rPr>
                              </w:pPr>
                            </w:p>
                          </w:txbxContent>
                        </wps:txbx>
                        <wps:bodyPr rot="0" vert="horz" wrap="square" lIns="91440" tIns="45720" rIns="91440" bIns="45720" anchor="t" anchorCtr="0">
                          <a:noAutofit/>
                        </wps:bodyPr>
                      </wps:wsp>
                      <wps:wsp>
                        <wps:cNvPr id="9" name="Straight Arrow Connector 9"/>
                        <wps:cNvCnPr/>
                        <wps:spPr>
                          <a:xfrm>
                            <a:off x="819302"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819302" y="1623975"/>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809037"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816352" y="1631290"/>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776825" y="694944"/>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0" y="1865376"/>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r w:rsidR="00D00C2B">
                                <w:rPr>
                                  <w:sz w:val="20"/>
                                  <w:szCs w:val="20"/>
                                </w:rPr>
                                <w:t xml:space="preserve"> (MOVES2014a)</w:t>
                              </w:r>
                            </w:p>
                          </w:txbxContent>
                        </wps:txbx>
                        <wps:bodyPr rot="0" vert="horz" wrap="square" lIns="91440" tIns="45720" rIns="91440" bIns="45720" anchor="t" anchorCtr="0">
                          <a:noAutofit/>
                        </wps:bodyPr>
                      </wps:wsp>
                      <wps:wsp>
                        <wps:cNvPr id="16" name="Text Box 2"/>
                        <wps:cNvSpPr txBox="1">
                          <a:spLocks noChangeArrowheads="1"/>
                        </wps:cNvSpPr>
                        <wps:spPr bwMode="auto">
                          <a:xfrm>
                            <a:off x="1989734" y="1865376"/>
                            <a:ext cx="1623060" cy="701675"/>
                          </a:xfrm>
                          <a:prstGeom prst="rect">
                            <a:avLst/>
                          </a:prstGeom>
                          <a:solidFill>
                            <a:srgbClr val="FFFFFF"/>
                          </a:solidFill>
                          <a:ln w="9525">
                            <a:solidFill>
                              <a:srgbClr val="000000"/>
                            </a:solidFill>
                            <a:miter lim="800000"/>
                            <a:headEnd/>
                            <a:tailEnd/>
                          </a:ln>
                        </wps:spPr>
                        <wps:txbx>
                          <w:txbxContent>
                            <w:p w:rsidR="00786DDA" w:rsidRPr="00417ACE" w:rsidRDefault="00786DDA" w:rsidP="00786DDA">
                              <w:pPr>
                                <w:jc w:val="center"/>
                                <w:rPr>
                                  <w:sz w:val="20"/>
                                  <w:szCs w:val="20"/>
                                  <w:u w:val="single"/>
                                </w:rPr>
                              </w:pPr>
                              <w:r>
                                <w:rPr>
                                  <w:sz w:val="20"/>
                                  <w:szCs w:val="20"/>
                                  <w:u w:val="single"/>
                                </w:rPr>
                                <w:t>Step 6</w:t>
                              </w:r>
                            </w:p>
                            <w:p w:rsidR="00786DDA" w:rsidRPr="00417ACE" w:rsidRDefault="00786DDA" w:rsidP="00786DDA">
                              <w:pPr>
                                <w:jc w:val="center"/>
                                <w:rPr>
                                  <w:sz w:val="20"/>
                                  <w:szCs w:val="20"/>
                                </w:rPr>
                              </w:pPr>
                              <w:r>
                                <w:rPr>
                                  <w:sz w:val="20"/>
                                  <w:szCs w:val="20"/>
                                </w:rPr>
                                <w:t>Determine Background Concentrations</w:t>
                              </w:r>
                            </w:p>
                            <w:p w:rsidR="00D00C2B" w:rsidRDefault="00D00C2B"/>
                          </w:txbxContent>
                        </wps:txbx>
                        <wps:bodyPr rot="0" vert="horz" wrap="square" lIns="91440" tIns="45720" rIns="91440" bIns="45720" anchor="t" anchorCtr="0">
                          <a:noAutofit/>
                        </wps:bodyPr>
                      </wps:wsp>
                      <wps:wsp>
                        <wps:cNvPr id="18" name="Elbow Connector 18"/>
                        <wps:cNvCnPr/>
                        <wps:spPr>
                          <a:xfrm flipV="1">
                            <a:off x="163128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wps:spPr>
                          <a:xfrm flipV="1">
                            <a:off x="361370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left:0;text-align:left;margin-left:-.15pt;margin-top:9.1pt;width:439.45pt;height:198.35pt;z-index:251659264;mso-height-relative:margin" coordsize="55812,2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">
                <v:shapetype id="_x0000_t202" coordsize="21600,21600" o:spt="202" path="m,l,21600r21600,l21600,xe">
                  <v:stroke joinstyle="miter"/>
                  <v:path gradientshapeok="t" o:connecttype="rect"/>
                </v:shapetype>
                <v:shape id="Text Box 2" o:spid="_x0000_s1027" type="#_x0000_t202" style="position:absolute;top:9290;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v:textbox>
                </v:shape>
                <v:shape id="Text Box 4" o:spid="_x0000_s1028" type="#_x0000_t202" style="position:absolute;left:19897;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00C2B" w:rsidRPr="002968E1" w:rsidRDefault="00D00C2B" w:rsidP="00D00C2B">
                        <w:pPr>
                          <w:jc w:val="center"/>
                          <w:rPr>
                            <w:sz w:val="20"/>
                            <w:szCs w:val="20"/>
                            <w:u w:val="single"/>
                          </w:rPr>
                        </w:pPr>
                        <w:r>
                          <w:rPr>
                            <w:sz w:val="20"/>
                            <w:szCs w:val="20"/>
                            <w:u w:val="single"/>
                          </w:rPr>
                          <w:t>Step 4</w:t>
                        </w:r>
                      </w:p>
                      <w:p w:rsidR="00D00C2B" w:rsidRPr="002968E1" w:rsidRDefault="00D00C2B" w:rsidP="00D00C2B">
                        <w:pPr>
                          <w:jc w:val="center"/>
                          <w:rPr>
                            <w:sz w:val="20"/>
                            <w:szCs w:val="20"/>
                          </w:rPr>
                        </w:pPr>
                        <w:r w:rsidRPr="002968E1">
                          <w:rPr>
                            <w:sz w:val="20"/>
                            <w:szCs w:val="20"/>
                          </w:rPr>
                          <w:t>Select Air Quality Model, Data Inputs, and Receptors</w:t>
                        </w:r>
                        <w:r>
                          <w:rPr>
                            <w:sz w:val="20"/>
                            <w:szCs w:val="20"/>
                          </w:rPr>
                          <w:t xml:space="preserve"> (CAL3QHC)</w:t>
                        </w:r>
                      </w:p>
                      <w:p w:rsidR="006F1786" w:rsidRPr="004D0A39" w:rsidRDefault="006F1786" w:rsidP="006F1786">
                        <w:pPr>
                          <w:jc w:val="center"/>
                          <w:rPr>
                            <w:sz w:val="20"/>
                            <w:szCs w:val="20"/>
                          </w:rPr>
                        </w:pPr>
                      </w:p>
                    </w:txbxContent>
                  </v:textbox>
                </v:shape>
                <v:shape id="Text Box 2" o:spid="_x0000_s1029" type="#_x0000_t202" style="position:absolute;left:19897;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86DDA" w:rsidRPr="00417ACE" w:rsidRDefault="00786DDA" w:rsidP="00786DDA">
                        <w:pPr>
                          <w:jc w:val="center"/>
                          <w:rPr>
                            <w:sz w:val="20"/>
                            <w:szCs w:val="20"/>
                            <w:u w:val="single"/>
                          </w:rPr>
                        </w:pPr>
                        <w:r>
                          <w:rPr>
                            <w:sz w:val="20"/>
                            <w:szCs w:val="20"/>
                            <w:u w:val="single"/>
                          </w:rPr>
                          <w:t xml:space="preserve">Step </w:t>
                        </w:r>
                        <w:r>
                          <w:rPr>
                            <w:sz w:val="20"/>
                            <w:szCs w:val="20"/>
                            <w:u w:val="single"/>
                          </w:rPr>
                          <w:t>5</w:t>
                        </w:r>
                      </w:p>
                      <w:p w:rsidR="00786DDA" w:rsidRPr="00417ACE" w:rsidRDefault="00786DDA" w:rsidP="00786DDA">
                        <w:pPr>
                          <w:jc w:val="center"/>
                          <w:rPr>
                            <w:sz w:val="20"/>
                            <w:szCs w:val="20"/>
                          </w:rPr>
                        </w:pPr>
                        <w:r>
                          <w:rPr>
                            <w:sz w:val="20"/>
                            <w:szCs w:val="20"/>
                          </w:rPr>
                          <w:t>Document Methods, Models and Assumptions</w:t>
                        </w:r>
                      </w:p>
                      <w:p w:rsidR="00D00C2B" w:rsidRDefault="00D00C2B"/>
                    </w:txbxContent>
                  </v:textbox>
                </v:shape>
                <v:shape id="Text Box 2" o:spid="_x0000_s1030" type="#_x0000_t202" style="position:absolute;width:16306;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v:textbox>
                </v:shape>
                <v:shape id="Text Box 7" o:spid="_x0000_s1031" type="#_x0000_t202" style="position:absolute;left:39575;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 xml:space="preserve">Step </w:t>
                        </w:r>
                        <w:r>
                          <w:rPr>
                            <w:color w:val="8DB3E2" w:themeColor="text2" w:themeTint="66"/>
                            <w:sz w:val="20"/>
                            <w:szCs w:val="20"/>
                            <w:u w:val="single"/>
                          </w:rPr>
                          <w:t>7</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Determine Design Values and Determine Conformity</w:t>
                        </w:r>
                        <w:r>
                          <w:rPr>
                            <w:color w:val="8DB3E2" w:themeColor="text2" w:themeTint="66"/>
                            <w:sz w:val="20"/>
                            <w:szCs w:val="20"/>
                          </w:rPr>
                          <w:t xml:space="preserve"> **</w:t>
                        </w:r>
                      </w:p>
                      <w:p w:rsidR="00786DDA" w:rsidRDefault="00786DDA"/>
                    </w:txbxContent>
                  </v:textbox>
                </v:shape>
                <v:shape id="Text Box 8" o:spid="_x0000_s1032" type="#_x0000_t202" style="position:absolute;left:39575;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 xml:space="preserve">Step </w:t>
                        </w:r>
                        <w:r>
                          <w:rPr>
                            <w:color w:val="8DB3E2" w:themeColor="text2" w:themeTint="66"/>
                            <w:sz w:val="20"/>
                            <w:szCs w:val="20"/>
                            <w:u w:val="single"/>
                          </w:rPr>
                          <w:t>8</w:t>
                        </w:r>
                      </w:p>
                      <w:p w:rsidR="00786DDA" w:rsidRDefault="00786DDA" w:rsidP="00786DDA">
                        <w:r w:rsidRPr="002D5744">
                          <w:rPr>
                            <w:color w:val="8DB3E2" w:themeColor="text2" w:themeTint="66"/>
                            <w:sz w:val="20"/>
                            <w:szCs w:val="20"/>
                          </w:rPr>
                          <w:t>Consider Mitigation or Control Measures</w:t>
                        </w:r>
                        <w:r>
                          <w:rPr>
                            <w:color w:val="8DB3E2" w:themeColor="text2" w:themeTint="66"/>
                            <w:sz w:val="20"/>
                            <w:szCs w:val="20"/>
                          </w:rPr>
                          <w:t>**</w:t>
                        </w:r>
                      </w:p>
                      <w:p w:rsidR="006F1786" w:rsidRPr="002D5744" w:rsidRDefault="006F1786" w:rsidP="006F1786">
                        <w:pPr>
                          <w:jc w:val="center"/>
                          <w:rPr>
                            <w:color w:val="8DB3E2" w:themeColor="text2" w:themeTint="66"/>
                            <w:sz w:val="20"/>
                            <w:szCs w:val="20"/>
                          </w:rPr>
                        </w:pP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8193;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AWMMAAADaAAAADwAAAGRycy9kb3ducmV2LnhtbESPQWvCQBSE7wX/w/IEL6VuIkRrdJVW&#10;aJsWL7V6f2SfSTD7NmRXk/z7rlDocZiZb5j1tje1uFHrKssK4mkEgji3uuJCwfHn7ekZhPPIGmvL&#10;pGAgB9vN6GGNqbYdf9Pt4AsRIOxSVFB636RSurwkg25qG+LgnW1r0AfZFlK32AW4qeUsiubSYMVh&#10;ocSGdiXll8PVKHj//Np/PJ6qBJPXIUcv436RxUpNxv3LCoSn3v+H/9qZVrCE+5V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kQFjDAAAA2gAAAA8AAAAAAAAAAAAA&#10;AAAAoQIAAGRycy9kb3ducmV2LnhtbFBLBQYAAAAABAAEAPkAAACRAwAAAAA=&#10;" strokecolor="black [3213]" strokeweight="1.25pt">
                  <v:stroke endarrow="classic" joinstyle="miter"/>
                </v:shape>
                <v:shape id="Straight Arrow Connector 10" o:spid="_x0000_s1034" type="#_x0000_t32" style="position:absolute;left:8193;top:16239;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FvJ8UAAADbAAAADwAAAGRycy9kb3ducmV2LnhtbESPT2vCQBDF74LfYRmhl1I3KVhLmo1o&#10;oa2WXvzT+5Adk2B2NmS3Gr995yB4m+G9ee83+WJwrTpTHxrPBtJpAoq49LbhysBh//H0CipEZIut&#10;ZzJwpQCLYjzKMbP+wls672KlJIRDhgbqGLtM61DW5DBMfUcs2tH3DqOsfaVtjxcJd61+TpIX7bBh&#10;aaixo/eaytPuzxn43Hz/fD3+NjOcra4lRp0O83VqzMNkWL6BijTEu/l2vbaCL/Tyiwy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FvJ8UAAADbAAAADwAAAAAAAAAA&#10;AAAAAAChAgAAZHJzL2Rvd25yZXYueG1sUEsFBgAAAAAEAAQA+QAAAJMDAAAAAA==&#10;" strokecolor="black [3213]" strokeweight="1.25pt">
                  <v:stroke endarrow="classic" joinstyle="miter"/>
                </v:shape>
                <v:shape id="Straight Arrow Connector 11" o:spid="_x0000_s1035" type="#_x0000_t32" style="position:absolute;left:28090;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3KvL8AAADbAAAADwAAAGRycy9kb3ducmV2LnhtbERPS4vCMBC+C/6HMMJeRNMKPqhGcRd8&#10;4sXXfWjGtthMSpPV+u83C4K3+fieM1s0phQPql1hWUHcj0AQp1YXnCm4nFe9CQjnkTWWlknBixws&#10;5u3WDBNtn3ykx8lnIoSwS1BB7n2VSOnSnAy6vq2IA3eztUEfYJ1JXeMzhJtSDqJoJA0WHBpyrOgn&#10;p/R++jUK1rv9YdO9FkMcfr9S9DJuxttYqa9Os5yC8NT4j/jt3uowP4b/X8I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3KvL8AAADbAAAADwAAAAAAAAAAAAAAAACh&#10;AgAAZHJzL2Rvd25yZXYueG1sUEsFBgAAAAAEAAQA+QAAAI0DAAAAAA==&#10;" strokecolor="black [3213]" strokeweight="1.25pt">
                  <v:stroke endarrow="classic" joinstyle="miter"/>
                </v:shape>
                <v:shape id="Straight Arrow Connector 12" o:spid="_x0000_s1036" type="#_x0000_t32" style="position:absolute;left:28163;top:16312;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9Uy8IAAADbAAAADwAAAGRycy9kb3ducmV2LnhtbERPTWvCQBC9C/6HZYRepG4SsJbUTVDB&#10;1ooXbXsfsmMSzM6G7DbGf98tCN7m8T5nmQ+mET11rrasIJ5FIIgLq2suFXx/bZ9fQTiPrLGxTApu&#10;5CDPxqMlptpe+Uj9yZcihLBLUUHlfZtK6YqKDLqZbYkDd7adQR9gV0rd4TWEm0YmUfQiDdYcGips&#10;aVNRcTn9GgXvn/vDx/SnnuN8fSvQy3hY7GKlnibD6g2Ep8E/xHf3Tof5Cfz/Eg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9Uy8IAAADbAAAADwAAAAAAAAAAAAAA&#10;AAChAgAAZHJzL2Rvd25yZXYueG1sUEsFBgAAAAAEAAQA+QAAAJADAAAAAA==&#10;" strokecolor="black [3213]" strokeweight="1.25pt">
                  <v:stroke endarrow="classic" joinstyle="miter"/>
                </v:shape>
                <v:shape id="Straight Arrow Connector 13" o:spid="_x0000_s1037" type="#_x0000_t32" style="position:absolute;left:47768;top:6949;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UMIAAADbAAAADwAAAGRycy9kb3ducmV2LnhtbERPTWvCQBC9F/wPywi9SN1E0UrMRlqh&#10;1RYvtXofsmMSzM6G7NYk/75bEHqbx/ucdNObWtyodZVlBfE0AkGcW11xoeD0/fa0AuE8ssbaMikY&#10;yMEmGz2kmGjb8Rfdjr4QIYRdggpK75tESpeXZNBNbUMcuIttDfoA20LqFrsQbmo5i6KlNFhxaCix&#10;oW1J+fX4YxS8f3wedpNztcDF65Cjl3H/vI+Vehz3L2sQnnr/L7679zrMn8P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xUMIAAADbAAAADwAAAAAAAAAAAAAA&#10;AAChAgAAZHJzL2Rvd25yZXYueG1sUEsFBgAAAAAEAAQA+QAAAJADAAAAAA==&#10;" strokecolor="black [3213]" strokeweight="1.25pt">
                  <v:stroke endarrow="classic" joinstyle="miter"/>
                </v:shape>
                <v:shape id="Text Box 2" o:spid="_x0000_s1038" type="#_x0000_t202" style="position:absolute;top:18653;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r w:rsidR="00D00C2B">
                          <w:rPr>
                            <w:sz w:val="20"/>
                            <w:szCs w:val="20"/>
                          </w:rPr>
                          <w:t xml:space="preserve"> (MOVES2014a)</w:t>
                        </w:r>
                      </w:p>
                    </w:txbxContent>
                  </v:textbox>
                </v:shape>
                <v:shape id="Text Box 2" o:spid="_x0000_s1039" type="#_x0000_t202" style="position:absolute;left:19897;top:18653;width:16230;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86DDA" w:rsidRPr="00417ACE" w:rsidRDefault="00786DDA" w:rsidP="00786DDA">
                        <w:pPr>
                          <w:jc w:val="center"/>
                          <w:rPr>
                            <w:sz w:val="20"/>
                            <w:szCs w:val="20"/>
                            <w:u w:val="single"/>
                          </w:rPr>
                        </w:pPr>
                        <w:r>
                          <w:rPr>
                            <w:sz w:val="20"/>
                            <w:szCs w:val="20"/>
                            <w:u w:val="single"/>
                          </w:rPr>
                          <w:t xml:space="preserve">Step </w:t>
                        </w:r>
                        <w:r>
                          <w:rPr>
                            <w:sz w:val="20"/>
                            <w:szCs w:val="20"/>
                            <w:u w:val="single"/>
                          </w:rPr>
                          <w:t>6</w:t>
                        </w:r>
                      </w:p>
                      <w:p w:rsidR="00786DDA" w:rsidRPr="00417ACE" w:rsidRDefault="00786DDA" w:rsidP="00786DDA">
                        <w:pPr>
                          <w:jc w:val="center"/>
                          <w:rPr>
                            <w:sz w:val="20"/>
                            <w:szCs w:val="20"/>
                          </w:rPr>
                        </w:pPr>
                        <w:r>
                          <w:rPr>
                            <w:sz w:val="20"/>
                            <w:szCs w:val="20"/>
                          </w:rPr>
                          <w:t>Determine Background Concentrations</w:t>
                        </w:r>
                      </w:p>
                      <w:p w:rsidR="00D00C2B" w:rsidRDefault="00D00C2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0" type="#_x0000_t34" style="position:absolute;left:16312;top:2999;width:3588;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LfcIAAADbAAAADwAAAGRycy9kb3ducmV2LnhtbESPQWvCQBCF7wX/wzKCt7pRJNToKrYg&#10;5NJDjeh1yI5JMDsbsmuM/75zKPQ2w3vz3jfb/ehaNVAfGs8GFvMEFHHpbcOVgXNxfP8AFSKyxdYz&#10;GXhRgP1u8rbFzPon/9BwipWSEA4ZGqhj7DKtQ1mTwzD3HbFoN987jLL2lbY9PiXctXqZJKl22LA0&#10;1NjRV03l/fRwBtxnfl37ZRpXQ/PtL21aUH4sjJlNx8MGVKQx/pv/rnMr+AIrv8g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nLfcIAAADbAAAADwAAAAAAAAAAAAAA&#10;AAChAgAAZHJzL2Rvd25yZXYueG1sUEsFBgAAAAAEAAQA+QAAAJADAAAAAA==&#10;" strokecolor="black [3213]" strokeweight="1pt">
                  <v:stroke endarrow="classic"/>
                </v:shape>
                <v:shape id="Elbow Connector 19" o:spid="_x0000_s1041" type="#_x0000_t34" style="position:absolute;left:36137;top:2999;width:3587;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u5r4AAADbAAAADwAAAGRycy9kb3ducmV2LnhtbERPTYvCMBC9C/6HMII3TRUpazWKCkIv&#10;HrSi16EZ22IzKU2s3X+/EYS9zeN9znrbm1p01LrKsoLZNAJBnFtdcaHgmh0nPyCcR9ZYWyYFv+Rg&#10;uxkO1pho++YzdRdfiBDCLkEFpfdNIqXLSzLoprYhDtzDtgZ9gG0hdYvvEG5qOY+iWBqsODSU2NCh&#10;pPx5eRkFZp/el3Ye+0VXneytjjNKj5lS41G/W4Hw1Pt/8ded6jB/CZ9fwgFy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W7mvgAAANsAAAAPAAAAAAAAAAAAAAAAAKEC&#10;AABkcnMvZG93bnJldi54bWxQSwUGAAAAAAQABAD5AAAAjAMAAAAA&#10;" strokecolor="black [3213]" strokeweight="1pt">
                  <v:stroke endarrow="classic"/>
                </v:shape>
              </v:group>
            </w:pict>
          </mc:Fallback>
        </mc:AlternateContent>
      </w: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786DDA" w:rsidP="006F1786">
      <w:pPr>
        <w:rPr>
          <w:rFonts w:ascii="Book Antiqua" w:hAnsi="Book Antiqua"/>
          <w:sz w:val="22"/>
          <w:szCs w:val="22"/>
        </w:rPr>
      </w:pPr>
      <w:r w:rsidRPr="00786DDA">
        <w:rPr>
          <w:rFonts w:ascii="Book Antiqua" w:hAnsi="Book Antiqua"/>
          <w:noProof/>
          <w:sz w:val="22"/>
          <w:szCs w:val="22"/>
        </w:rPr>
        <mc:AlternateContent>
          <mc:Choice Requires="wps">
            <w:drawing>
              <wp:anchor distT="0" distB="0" distL="114300" distR="114300" simplePos="0" relativeHeight="251662336" behindDoc="0" locked="0" layoutInCell="1" allowOverlap="1" wp14:anchorId="38D489C6" wp14:editId="4CB64932">
                <wp:simplePos x="0" y="0"/>
                <wp:positionH relativeFrom="column">
                  <wp:posOffset>3974465</wp:posOffset>
                </wp:positionH>
                <wp:positionV relativeFrom="paragraph">
                  <wp:posOffset>381635</wp:posOffset>
                </wp:positionV>
                <wp:extent cx="1623060" cy="687705"/>
                <wp:effectExtent l="0" t="0" r="1524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87705"/>
                        </a:xfrm>
                        <a:prstGeom prst="rect">
                          <a:avLst/>
                        </a:prstGeom>
                        <a:solidFill>
                          <a:srgbClr val="FFFFFF"/>
                        </a:solidFill>
                        <a:ln w="9525">
                          <a:solidFill>
                            <a:srgbClr val="000000"/>
                          </a:solidFill>
                          <a:miter lim="800000"/>
                          <a:headEnd/>
                          <a:tailEnd/>
                        </a:ln>
                      </wps:spPr>
                      <wps:txb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9</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p w:rsidR="00786DDA" w:rsidRPr="002D5744" w:rsidRDefault="00786DDA" w:rsidP="00786DDA">
                            <w:pPr>
                              <w:jc w:val="center"/>
                              <w:rPr>
                                <w:color w:val="8DB3E2" w:themeColor="text2" w:themeTint="66"/>
                                <w:sz w:val="20"/>
                                <w:szCs w:val="20"/>
                              </w:rPr>
                            </w:pPr>
                          </w:p>
                        </w:txbxContent>
                      </wps:txbx>
                      <wps:bodyPr rot="0" vert="horz" wrap="square" lIns="91440" tIns="45720" rIns="91440" bIns="45720" anchor="t" anchorCtr="0">
                        <a:noAutofit/>
                      </wps:bodyPr>
                    </wps:wsp>
                  </a:graphicData>
                </a:graphic>
              </wp:anchor>
            </w:drawing>
          </mc:Choice>
          <mc:Fallback>
            <w:pict>
              <v:shape id="Text Box 17" o:spid="_x0000_s1042" type="#_x0000_t202" style="position:absolute;left:0;text-align:left;margin-left:312.95pt;margin-top:30.05pt;width:127.8pt;height:5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">
                <v:textbo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 xml:space="preserve">Step </w:t>
                      </w:r>
                      <w:r>
                        <w:rPr>
                          <w:color w:val="8DB3E2" w:themeColor="text2" w:themeTint="66"/>
                          <w:sz w:val="20"/>
                          <w:szCs w:val="20"/>
                          <w:u w:val="single"/>
                        </w:rPr>
                        <w:t>9</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p w:rsidR="00786DDA" w:rsidRPr="002D5744" w:rsidRDefault="00786DDA" w:rsidP="00786DDA">
                      <w:pPr>
                        <w:jc w:val="center"/>
                        <w:rPr>
                          <w:color w:val="8DB3E2" w:themeColor="text2" w:themeTint="66"/>
                          <w:sz w:val="20"/>
                          <w:szCs w:val="20"/>
                        </w:rPr>
                      </w:pPr>
                    </w:p>
                  </w:txbxContent>
                </v:textbox>
              </v:shape>
            </w:pict>
          </mc:Fallback>
        </mc:AlternateContent>
      </w:r>
      <w:r w:rsidRPr="00786DDA">
        <w:rPr>
          <w:rFonts w:ascii="Book Antiqua" w:hAnsi="Book Antiqua"/>
          <w:noProof/>
          <w:sz w:val="22"/>
          <w:szCs w:val="22"/>
        </w:rPr>
        <mc:AlternateContent>
          <mc:Choice Requires="wps">
            <w:drawing>
              <wp:anchor distT="0" distB="0" distL="114300" distR="114300" simplePos="0" relativeHeight="251661312" behindDoc="0" locked="0" layoutInCell="1" allowOverlap="1" wp14:anchorId="492F12EB" wp14:editId="2DF58CC0">
                <wp:simplePos x="0" y="0"/>
                <wp:positionH relativeFrom="column">
                  <wp:posOffset>4800600</wp:posOffset>
                </wp:positionH>
                <wp:positionV relativeFrom="paragraph">
                  <wp:posOffset>152400</wp:posOffset>
                </wp:positionV>
                <wp:extent cx="0" cy="222885"/>
                <wp:effectExtent l="76200" t="0" r="57150" b="62865"/>
                <wp:wrapNone/>
                <wp:docPr id="14" name="Straight Arrow Connector 14"/>
                <wp:cNvGraphicFramePr/>
                <a:graphic xmlns:a="http://schemas.openxmlformats.org/drawingml/2006/main">
                  <a:graphicData uri="http://schemas.microsoft.com/office/word/2010/wordprocessingShape">
                    <wps:wsp>
                      <wps:cNvCnPr/>
                      <wps:spPr>
                        <a:xfrm>
                          <a:off x="0" y="0"/>
                          <a:ext cx="0" cy="222885"/>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78pt;margin-top:12pt;width:0;height:1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" strokecolor="black [3213]" strokeweight="1.25pt">
                <v:stroke endarrow="classic" joinstyle="miter"/>
              </v:shape>
            </w:pict>
          </mc:Fallback>
        </mc:AlternateContent>
      </w: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pStyle w:val="ListParagraph"/>
        <w:rPr>
          <w:rFonts w:ascii="Book Antiqua" w:hAnsi="Book Antiqua"/>
          <w:sz w:val="22"/>
          <w:szCs w:val="22"/>
        </w:rPr>
      </w:pPr>
    </w:p>
    <w:p w:rsidR="00D00C2B" w:rsidRDefault="006F1786" w:rsidP="0024177A">
      <w:pPr>
        <w:ind w:left="-720"/>
        <w:jc w:val="left"/>
        <w:rPr>
          <w:rFonts w:ascii="Book Antiqua" w:hAnsi="Book Antiqua"/>
          <w:b/>
        </w:rPr>
      </w:pP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xml:space="preserve"> </w:t>
      </w:r>
      <w:r w:rsidRPr="002D6037">
        <w:rPr>
          <w:rFonts w:ascii="Book Antiqua" w:hAnsi="Book Antiqua"/>
          <w:color w:val="8DB3E2" w:themeColor="text2" w:themeTint="66"/>
          <w:sz w:val="22"/>
          <w:szCs w:val="22"/>
        </w:rPr>
        <w:t>Described in the previous section (Air Quality Concern Questionnaire).</w:t>
      </w:r>
      <w:r>
        <w:rPr>
          <w:rFonts w:ascii="Book Antiqua" w:hAnsi="Book Antiqua"/>
          <w:color w:val="8DB3E2" w:themeColor="text2" w:themeTint="66"/>
          <w:sz w:val="22"/>
          <w:szCs w:val="22"/>
        </w:rPr>
        <w:br/>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These Steps will be described and documented in a final air quality analysis report</w:t>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br/>
      </w:r>
    </w:p>
    <w:p w:rsidR="006F1786" w:rsidRPr="005F5358" w:rsidRDefault="006F1786" w:rsidP="0024177A">
      <w:pPr>
        <w:ind w:left="-720"/>
        <w:jc w:val="left"/>
        <w:rPr>
          <w:rFonts w:ascii="Book Antiqua" w:hAnsi="Book Antiqua"/>
          <w:b/>
        </w:rPr>
      </w:pPr>
      <w:r w:rsidRPr="005F5358">
        <w:rPr>
          <w:rFonts w:ascii="Book Antiqua" w:hAnsi="Book Antiqua"/>
          <w:b/>
        </w:rPr>
        <w:t>Step 2: Determine the Approach, Models, and Data</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Describe the project area (area substantially affected by the project, 58 FR 62212) and emission sources.</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Determine general approach and analysis year(s) – year(s) of peak emissions during the time frame of the transportation plan (69 FR 40056).</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 xml:space="preserve">Determine </w:t>
      </w:r>
      <w:r w:rsidR="00337C92">
        <w:rPr>
          <w:rFonts w:ascii="Book Antiqua" w:hAnsi="Book Antiqua"/>
          <w:sz w:val="22"/>
          <w:szCs w:val="22"/>
        </w:rPr>
        <w:t xml:space="preserve">CO </w:t>
      </w:r>
      <w:r w:rsidRPr="00AC7C63">
        <w:rPr>
          <w:rFonts w:ascii="Book Antiqua" w:hAnsi="Book Antiqua"/>
          <w:sz w:val="22"/>
          <w:szCs w:val="22"/>
        </w:rPr>
        <w:t>National Ambient Air Qualit</w:t>
      </w:r>
      <w:r w:rsidR="00337C92">
        <w:rPr>
          <w:rFonts w:ascii="Book Antiqua" w:hAnsi="Book Antiqua"/>
          <w:sz w:val="22"/>
          <w:szCs w:val="22"/>
        </w:rPr>
        <w:t>y Standards (NAAQS)</w:t>
      </w:r>
      <w:r w:rsidRPr="00AC7C63">
        <w:rPr>
          <w:rFonts w:ascii="Book Antiqua" w:hAnsi="Book Antiqua"/>
          <w:sz w:val="22"/>
          <w:szCs w:val="22"/>
        </w:rPr>
        <w:t xml:space="preserve"> to be evaluated.</w:t>
      </w:r>
    </w:p>
    <w:p w:rsidR="006F1786" w:rsidRDefault="00F807C2" w:rsidP="0024177A">
      <w:pPr>
        <w:pStyle w:val="ListParagraph"/>
        <w:numPr>
          <w:ilvl w:val="0"/>
          <w:numId w:val="12"/>
        </w:numPr>
        <w:ind w:left="360"/>
        <w:rPr>
          <w:rFonts w:ascii="Book Antiqua" w:hAnsi="Book Antiqua"/>
          <w:sz w:val="22"/>
          <w:szCs w:val="22"/>
        </w:rPr>
      </w:pPr>
      <w:r>
        <w:rPr>
          <w:rFonts w:ascii="Book Antiqua" w:hAnsi="Book Antiqua"/>
          <w:sz w:val="22"/>
          <w:szCs w:val="22"/>
        </w:rPr>
        <w:t>S</w:t>
      </w:r>
      <w:r w:rsidR="006F1786" w:rsidRPr="00AC7C63">
        <w:rPr>
          <w:rFonts w:ascii="Book Antiqua" w:hAnsi="Book Antiqua"/>
          <w:sz w:val="22"/>
          <w:szCs w:val="22"/>
        </w:rPr>
        <w:t>elect emissions and dispersio</w:t>
      </w:r>
      <w:r w:rsidR="00BD525C">
        <w:rPr>
          <w:rFonts w:ascii="Book Antiqua" w:hAnsi="Book Antiqua"/>
          <w:sz w:val="22"/>
          <w:szCs w:val="22"/>
        </w:rPr>
        <w:t>n models and methods to be used.</w:t>
      </w:r>
    </w:p>
    <w:p w:rsidR="00F807C2" w:rsidRDefault="006F1786" w:rsidP="00F807C2">
      <w:pPr>
        <w:pStyle w:val="ListParagraph"/>
        <w:numPr>
          <w:ilvl w:val="0"/>
          <w:numId w:val="12"/>
        </w:numPr>
        <w:ind w:left="360"/>
        <w:rPr>
          <w:rFonts w:ascii="Book Antiqua" w:hAnsi="Book Antiqua"/>
          <w:sz w:val="22"/>
          <w:szCs w:val="22"/>
        </w:rPr>
      </w:pPr>
      <w:r w:rsidRPr="00AC7C63">
        <w:rPr>
          <w:rFonts w:ascii="Book Antiqua" w:hAnsi="Book Antiqua"/>
          <w:sz w:val="22"/>
          <w:szCs w:val="22"/>
        </w:rPr>
        <w:t>Obtain project-specific data (e.g., fleet mix, peak-hour volumes and average speed).</w:t>
      </w:r>
    </w:p>
    <w:p w:rsidR="00F807C2" w:rsidRDefault="00F807C2" w:rsidP="0024177A">
      <w:pPr>
        <w:pStyle w:val="ListParagraph"/>
        <w:ind w:left="-720"/>
        <w:rPr>
          <w:rFonts w:ascii="Book Antiqua" w:hAnsi="Book Antiqua"/>
          <w:b/>
        </w:rPr>
      </w:pPr>
    </w:p>
    <w:p w:rsidR="006F1786" w:rsidRPr="005F5358" w:rsidRDefault="006F1786" w:rsidP="0024177A">
      <w:pPr>
        <w:pStyle w:val="ListParagraph"/>
        <w:ind w:left="-720"/>
        <w:rPr>
          <w:rFonts w:ascii="Book Antiqua" w:hAnsi="Book Antiqua"/>
          <w:b/>
        </w:rPr>
      </w:pPr>
      <w:r w:rsidRPr="005F5358">
        <w:rPr>
          <w:rFonts w:ascii="Book Antiqua" w:hAnsi="Book Antiqua"/>
          <w:b/>
        </w:rPr>
        <w:lastRenderedPageBreak/>
        <w:t>Step 3: Estimate On-Road Motor Vehicle Emissions</w:t>
      </w:r>
      <w:r w:rsidR="00D00C2B">
        <w:rPr>
          <w:rFonts w:ascii="Book Antiqua" w:hAnsi="Book Antiqua"/>
          <w:b/>
        </w:rPr>
        <w:t xml:space="preserve"> with MOVES2014a</w:t>
      </w:r>
    </w:p>
    <w:p w:rsidR="006F1786" w:rsidRDefault="00B558F2" w:rsidP="0024177A">
      <w:pPr>
        <w:pStyle w:val="ListParagraph"/>
        <w:numPr>
          <w:ilvl w:val="0"/>
          <w:numId w:val="13"/>
        </w:numPr>
        <w:ind w:left="360"/>
        <w:rPr>
          <w:rFonts w:ascii="Book Antiqua" w:hAnsi="Book Antiqua"/>
          <w:sz w:val="22"/>
          <w:szCs w:val="22"/>
        </w:rPr>
      </w:pPr>
      <w:r>
        <w:rPr>
          <w:rFonts w:ascii="Book Antiqua" w:hAnsi="Book Antiqua"/>
          <w:sz w:val="22"/>
          <w:szCs w:val="22"/>
        </w:rPr>
        <w:t>Gene</w:t>
      </w:r>
      <w:r w:rsidR="00BD525C">
        <w:rPr>
          <w:rFonts w:ascii="Book Antiqua" w:hAnsi="Book Antiqua"/>
          <w:sz w:val="22"/>
          <w:szCs w:val="22"/>
        </w:rPr>
        <w:t xml:space="preserve">rate </w:t>
      </w:r>
      <w:proofErr w:type="spellStart"/>
      <w:r w:rsidR="00BD525C">
        <w:rPr>
          <w:rFonts w:ascii="Book Antiqua" w:hAnsi="Book Antiqua"/>
          <w:sz w:val="22"/>
          <w:szCs w:val="22"/>
        </w:rPr>
        <w:t>RunSpec</w:t>
      </w:r>
      <w:proofErr w:type="spellEnd"/>
      <w:r w:rsidR="00BD525C">
        <w:rPr>
          <w:rFonts w:ascii="Book Antiqua" w:hAnsi="Book Antiqua"/>
          <w:sz w:val="22"/>
          <w:szCs w:val="22"/>
        </w:rPr>
        <w:t xml:space="preserve"> and enter project-specific</w:t>
      </w:r>
      <w:r>
        <w:rPr>
          <w:rFonts w:ascii="Book Antiqua" w:hAnsi="Book Antiqua"/>
          <w:sz w:val="22"/>
          <w:szCs w:val="22"/>
        </w:rPr>
        <w:t xml:space="preserve"> data into Project Data Manager</w:t>
      </w:r>
    </w:p>
    <w:p w:rsidR="00AC1810" w:rsidRPr="00AC7C63" w:rsidRDefault="00AC1810" w:rsidP="0024177A">
      <w:pPr>
        <w:pStyle w:val="ListParagraph"/>
        <w:numPr>
          <w:ilvl w:val="0"/>
          <w:numId w:val="13"/>
        </w:numPr>
        <w:ind w:left="360"/>
        <w:rPr>
          <w:rFonts w:ascii="Book Antiqua" w:hAnsi="Book Antiqua"/>
          <w:sz w:val="22"/>
          <w:szCs w:val="22"/>
        </w:rPr>
      </w:pPr>
      <w:r w:rsidRPr="00AC7C63">
        <w:rPr>
          <w:rFonts w:ascii="Book Antiqua" w:hAnsi="Book Antiqua"/>
          <w:sz w:val="22"/>
          <w:szCs w:val="22"/>
        </w:rPr>
        <w:t xml:space="preserve">Estimate </w:t>
      </w:r>
      <w:r>
        <w:rPr>
          <w:rFonts w:ascii="Book Antiqua" w:hAnsi="Book Antiqua"/>
          <w:sz w:val="22"/>
          <w:szCs w:val="22"/>
        </w:rPr>
        <w:t>on-road motor vehicle emissions.</w:t>
      </w:r>
    </w:p>
    <w:p w:rsidR="006F1786" w:rsidRPr="002D72C8" w:rsidRDefault="006F1786" w:rsidP="00D00C2B">
      <w:pPr>
        <w:rPr>
          <w:rFonts w:ascii="Book Antiqua" w:hAnsi="Book Antiqua"/>
          <w:sz w:val="22"/>
          <w:szCs w:val="22"/>
        </w:rPr>
      </w:pPr>
    </w:p>
    <w:p w:rsidR="006F1786" w:rsidRPr="005F5358" w:rsidRDefault="00D00C2B" w:rsidP="0024177A">
      <w:pPr>
        <w:ind w:left="-720"/>
        <w:rPr>
          <w:rFonts w:ascii="Book Antiqua" w:hAnsi="Book Antiqua"/>
          <w:b/>
        </w:rPr>
      </w:pPr>
      <w:r>
        <w:rPr>
          <w:rFonts w:ascii="Book Antiqua" w:hAnsi="Book Antiqua"/>
          <w:b/>
        </w:rPr>
        <w:t>Step 4</w:t>
      </w:r>
      <w:r w:rsidR="006F1786" w:rsidRPr="005F5358">
        <w:rPr>
          <w:rFonts w:ascii="Book Antiqua" w:hAnsi="Book Antiqua"/>
          <w:b/>
        </w:rPr>
        <w:t>: Select Air Quality Model, Data Inputs, and Receptors</w:t>
      </w:r>
      <w:r w:rsidR="002D72C8">
        <w:rPr>
          <w:rFonts w:ascii="Book Antiqua" w:hAnsi="Book Antiqua"/>
          <w:b/>
        </w:rPr>
        <w:t xml:space="preserve"> for CAL3QHC</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Obtain and input required site data (e.g., meteorological).</w:t>
      </w:r>
    </w:p>
    <w:p w:rsidR="006F1786" w:rsidRDefault="00D00C2B" w:rsidP="0024177A">
      <w:pPr>
        <w:pStyle w:val="ListParagraph"/>
        <w:widowControl w:val="0"/>
        <w:numPr>
          <w:ilvl w:val="0"/>
          <w:numId w:val="15"/>
        </w:numPr>
        <w:ind w:left="360"/>
        <w:rPr>
          <w:rFonts w:ascii="Book Antiqua" w:hAnsi="Book Antiqua"/>
          <w:sz w:val="22"/>
          <w:szCs w:val="22"/>
        </w:rPr>
      </w:pPr>
      <w:r>
        <w:rPr>
          <w:rFonts w:ascii="Book Antiqua" w:hAnsi="Book Antiqua"/>
          <w:sz w:val="22"/>
          <w:szCs w:val="22"/>
        </w:rPr>
        <w:t xml:space="preserve">Input MOVES </w:t>
      </w:r>
      <w:r w:rsidR="006F1786" w:rsidRPr="00B76920">
        <w:rPr>
          <w:rFonts w:ascii="Book Antiqua" w:hAnsi="Book Antiqua"/>
          <w:sz w:val="22"/>
          <w:szCs w:val="22"/>
        </w:rPr>
        <w:t>outputs (emission factors).</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Determine number and location of receptors, roadway links, and signal timing.</w:t>
      </w:r>
    </w:p>
    <w:p w:rsidR="006F1786" w:rsidRDefault="006F1786" w:rsidP="00F807C2">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Run air quality dispersion model and obtain concentration results.</w:t>
      </w:r>
    </w:p>
    <w:p w:rsidR="00F807C2" w:rsidRDefault="00F807C2" w:rsidP="00F807C2">
      <w:pPr>
        <w:widowControl w:val="0"/>
        <w:rPr>
          <w:rFonts w:ascii="Book Antiqua" w:hAnsi="Book Antiqua"/>
          <w:sz w:val="22"/>
          <w:szCs w:val="22"/>
        </w:rPr>
      </w:pPr>
    </w:p>
    <w:p w:rsidR="00786DDA" w:rsidRPr="005F5358" w:rsidRDefault="00786DDA" w:rsidP="00786DDA">
      <w:pPr>
        <w:pStyle w:val="ListParagraph"/>
        <w:ind w:left="-720"/>
        <w:rPr>
          <w:rFonts w:ascii="Book Antiqua" w:hAnsi="Book Antiqua"/>
          <w:b/>
        </w:rPr>
      </w:pPr>
      <w:r>
        <w:rPr>
          <w:rFonts w:ascii="Book Antiqua" w:hAnsi="Book Antiqua"/>
          <w:b/>
        </w:rPr>
        <w:t>Step 5</w:t>
      </w:r>
      <w:r w:rsidRPr="005F5358">
        <w:rPr>
          <w:rFonts w:ascii="Book Antiqua" w:hAnsi="Book Antiqua"/>
          <w:b/>
        </w:rPr>
        <w:t xml:space="preserve">: </w:t>
      </w:r>
      <w:r w:rsidRPr="00786DDA">
        <w:rPr>
          <w:rFonts w:ascii="Book Antiqua" w:hAnsi="Book Antiqua"/>
          <w:b/>
        </w:rPr>
        <w:t>Document Methods, Models and Assumptions</w:t>
      </w:r>
    </w:p>
    <w:p w:rsidR="00786DDA" w:rsidRDefault="0064549B" w:rsidP="0064549B">
      <w:pPr>
        <w:pStyle w:val="ListParagraph"/>
        <w:numPr>
          <w:ilvl w:val="0"/>
          <w:numId w:val="21"/>
        </w:numPr>
        <w:jc w:val="left"/>
        <w:rPr>
          <w:rFonts w:ascii="Book Antiqua" w:hAnsi="Book Antiqua"/>
          <w:sz w:val="22"/>
          <w:szCs w:val="22"/>
        </w:rPr>
      </w:pPr>
      <w:r>
        <w:rPr>
          <w:rFonts w:ascii="Book Antiqua" w:hAnsi="Book Antiqua"/>
          <w:sz w:val="22"/>
          <w:szCs w:val="22"/>
        </w:rPr>
        <w:t>S</w:t>
      </w:r>
      <w:r w:rsidR="00786DDA">
        <w:rPr>
          <w:rFonts w:ascii="Book Antiqua" w:hAnsi="Book Antiqua"/>
          <w:sz w:val="22"/>
          <w:szCs w:val="22"/>
        </w:rPr>
        <w:t>ummarize the methods, models and assumptions</w:t>
      </w:r>
      <w:r>
        <w:rPr>
          <w:rFonts w:ascii="Book Antiqua" w:hAnsi="Book Antiqua"/>
          <w:sz w:val="22"/>
          <w:szCs w:val="22"/>
        </w:rPr>
        <w:t xml:space="preserve"> based on Step 3 &amp; 4 (see the example in Table 1).</w:t>
      </w:r>
    </w:p>
    <w:p w:rsidR="00786DDA" w:rsidRPr="00AC7C63" w:rsidRDefault="0064549B" w:rsidP="00786DDA">
      <w:pPr>
        <w:pStyle w:val="ListParagraph"/>
        <w:numPr>
          <w:ilvl w:val="0"/>
          <w:numId w:val="21"/>
        </w:numPr>
        <w:rPr>
          <w:rFonts w:ascii="Book Antiqua" w:hAnsi="Book Antiqua"/>
          <w:sz w:val="22"/>
          <w:szCs w:val="22"/>
        </w:rPr>
      </w:pPr>
      <w:r>
        <w:rPr>
          <w:rFonts w:ascii="Book Antiqua" w:hAnsi="Book Antiqua"/>
          <w:sz w:val="22"/>
          <w:szCs w:val="22"/>
        </w:rPr>
        <w:t>Submit the summary document to ADOT for review.</w:t>
      </w:r>
    </w:p>
    <w:p w:rsidR="00F807C2" w:rsidRDefault="00F807C2" w:rsidP="00F807C2">
      <w:pPr>
        <w:pStyle w:val="ListParagraph"/>
        <w:ind w:left="-720"/>
        <w:rPr>
          <w:rFonts w:ascii="Book Antiqua" w:hAnsi="Book Antiqua"/>
          <w:b/>
        </w:rPr>
      </w:pPr>
    </w:p>
    <w:p w:rsidR="006F1786" w:rsidRPr="005F5358" w:rsidRDefault="006F1786" w:rsidP="0024177A">
      <w:pPr>
        <w:pStyle w:val="ListParagraph"/>
        <w:ind w:left="-720"/>
        <w:rPr>
          <w:rFonts w:ascii="Book Antiqua" w:hAnsi="Book Antiqua"/>
          <w:b/>
        </w:rPr>
      </w:pPr>
      <w:r w:rsidRPr="005F5358">
        <w:rPr>
          <w:rFonts w:ascii="Book Antiqua" w:hAnsi="Book Antiqua"/>
          <w:b/>
        </w:rPr>
        <w:t>Step 6: Determine Background Concentrations</w:t>
      </w:r>
    </w:p>
    <w:p w:rsidR="006F1786" w:rsidRPr="004B15B2" w:rsidRDefault="006F1786" w:rsidP="0024177A">
      <w:pPr>
        <w:pStyle w:val="ListParagraph"/>
        <w:widowControl w:val="0"/>
        <w:numPr>
          <w:ilvl w:val="0"/>
          <w:numId w:val="16"/>
        </w:numPr>
        <w:ind w:left="360"/>
        <w:rPr>
          <w:rFonts w:ascii="Book Antiqua" w:hAnsi="Book Antiqua"/>
          <w:sz w:val="22"/>
          <w:szCs w:val="22"/>
        </w:rPr>
      </w:pPr>
      <w:r>
        <w:rPr>
          <w:rFonts w:ascii="Book Antiqua" w:hAnsi="Book Antiqua"/>
          <w:sz w:val="22"/>
          <w:szCs w:val="22"/>
        </w:rPr>
        <w:t>Determine background concentrations from nearby and other emission sources excluding the emissions from the project itself.</w:t>
      </w:r>
    </w:p>
    <w:p w:rsidR="006F1786" w:rsidRDefault="006F1786" w:rsidP="0024177A">
      <w:pPr>
        <w:ind w:left="360"/>
        <w:rPr>
          <w:rFonts w:ascii="Book Antiqua" w:hAnsi="Book Antiqua"/>
          <w:sz w:val="28"/>
          <w:szCs w:val="28"/>
        </w:rPr>
      </w:pPr>
    </w:p>
    <w:p w:rsidR="006F1786" w:rsidRPr="005F5358" w:rsidRDefault="006F1786" w:rsidP="0024177A">
      <w:pPr>
        <w:ind w:left="-720"/>
        <w:rPr>
          <w:rFonts w:ascii="Book Antiqua" w:hAnsi="Book Antiqua"/>
          <w:b/>
          <w:color w:val="8DB3E2" w:themeColor="text2" w:themeTint="66"/>
        </w:rPr>
      </w:pPr>
      <w:r w:rsidRPr="005F5358">
        <w:rPr>
          <w:rFonts w:ascii="Book Antiqua" w:hAnsi="Book Antiqua"/>
          <w:b/>
          <w:color w:val="8DB3E2" w:themeColor="text2" w:themeTint="66"/>
        </w:rPr>
        <w:t>Step 7: Calculate Design Values and Determine Conformity</w:t>
      </w:r>
    </w:p>
    <w:p w:rsidR="006F1786" w:rsidRPr="002D5744"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Add step 5 results to background concentrations to obtain values for the Build scenario.</w:t>
      </w:r>
    </w:p>
    <w:p w:rsidR="006F1786"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allow the project to conform.</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8: Consider Mitigation or Control Measures</w:t>
      </w:r>
    </w:p>
    <w:p w:rsidR="006F1786" w:rsidRPr="002D5744"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Consider measures to reduce emissions and redo the analysis. If mitigation measures are required for project conformity, they must be included in the applicable SIP and be enforceable.</w:t>
      </w:r>
    </w:p>
    <w:p w:rsidR="006F1786"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from allow the project to conform after implementing mitigation or control measures.</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9: Document Analysis</w:t>
      </w:r>
    </w:p>
    <w:p w:rsidR="006F1786" w:rsidRPr="002D5744" w:rsidRDefault="006F1786" w:rsidP="0024177A">
      <w:pPr>
        <w:pStyle w:val="ListParagraph"/>
        <w:numPr>
          <w:ilvl w:val="0"/>
          <w:numId w:val="19"/>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project conforms or not based on the results of step 7 or step 8.</w:t>
      </w:r>
    </w:p>
    <w:p w:rsidR="006F1786" w:rsidRPr="001901F3" w:rsidRDefault="006F1786" w:rsidP="0024177A">
      <w:pPr>
        <w:pStyle w:val="ListParagraph"/>
        <w:ind w:left="360"/>
        <w:jc w:val="left"/>
        <w:rPr>
          <w:rFonts w:ascii="Book Antiqua" w:hAnsi="Book Antiqua"/>
          <w:i/>
          <w:color w:val="548DD4" w:themeColor="text2" w:themeTint="99"/>
          <w:sz w:val="20"/>
          <w:szCs w:val="20"/>
        </w:rPr>
      </w:pPr>
      <w:r>
        <w:rPr>
          <w:rFonts w:ascii="Book Antiqua" w:hAnsi="Book Antiqua"/>
          <w:i/>
          <w:color w:val="548DD4" w:themeColor="text2" w:themeTint="99"/>
          <w:sz w:val="20"/>
          <w:szCs w:val="20"/>
        </w:rPr>
        <w:t>To support the conclusion that a project meets conformity under 40 CFR 93.116 and 93.123, a</w:t>
      </w:r>
      <w:r w:rsidRPr="001901F3">
        <w:rPr>
          <w:rFonts w:ascii="Book Antiqua" w:hAnsi="Book Antiqua"/>
          <w:i/>
          <w:color w:val="548DD4" w:themeColor="text2" w:themeTint="99"/>
          <w:sz w:val="20"/>
          <w:szCs w:val="20"/>
        </w:rPr>
        <w:t>t a minimum the documentation will include:</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Description of proposed project, when it is expected to open, and projected travel activity data.</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Analysis year(s) examined and factors considering in determining year(s) of peak emissions.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Emissions modeling data, model used</w:t>
      </w:r>
      <w:r>
        <w:rPr>
          <w:rFonts w:ascii="Book Antiqua" w:hAnsi="Book Antiqua"/>
          <w:i/>
          <w:color w:val="548DD4" w:themeColor="text2" w:themeTint="99"/>
          <w:sz w:val="20"/>
          <w:szCs w:val="20"/>
        </w:rPr>
        <w:t xml:space="preserve"> with</w:t>
      </w:r>
      <w:r w:rsidRPr="001901F3">
        <w:rPr>
          <w:rFonts w:ascii="Book Antiqua" w:hAnsi="Book Antiqua"/>
          <w:i/>
          <w:color w:val="548DD4" w:themeColor="text2" w:themeTint="99"/>
          <w:sz w:val="20"/>
          <w:szCs w:val="20"/>
        </w:rPr>
        <w:t xml:space="preserve"> inputs and results, and how characterization of project links.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Model inputs and results for road dust, construction emissions, and emissions from other source if needed.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Air Quality modeling data, included model used, inputs and results and receptors.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background concentrations were determined.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Any mitigation and control measures implemented</w:t>
      </w:r>
      <w:r>
        <w:rPr>
          <w:rFonts w:ascii="Book Antiqua" w:hAnsi="Book Antiqua"/>
          <w:i/>
          <w:color w:val="548DD4" w:themeColor="text2" w:themeTint="99"/>
          <w:sz w:val="20"/>
          <w:szCs w:val="20"/>
        </w:rPr>
        <w:t>, including public involvement or consultation if needed</w:t>
      </w:r>
      <w:r w:rsidRPr="001901F3">
        <w:rPr>
          <w:rFonts w:ascii="Book Antiqua" w:hAnsi="Book Antiqua"/>
          <w:i/>
          <w:color w:val="548DD4" w:themeColor="text2" w:themeTint="99"/>
          <w:sz w:val="20"/>
          <w:szCs w:val="20"/>
        </w:rPr>
        <w: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interagency and public participation requirements were met.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Conclusion that the proposed project meets conformity requirements.</w:t>
      </w:r>
    </w:p>
    <w:p w:rsidR="006F1786"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Sources of data for modeling.</w:t>
      </w:r>
    </w:p>
    <w:p w:rsidR="0024177A" w:rsidRDefault="0024177A" w:rsidP="0024177A">
      <w:pPr>
        <w:ind w:left="360"/>
        <w:rPr>
          <w:rFonts w:ascii="Book Antiqua" w:hAnsi="Book Antiqua"/>
          <w:sz w:val="28"/>
          <w:szCs w:val="28"/>
        </w:rPr>
      </w:pPr>
    </w:p>
    <w:p w:rsidR="006F1786" w:rsidRDefault="006F1786" w:rsidP="006F1786">
      <w:pPr>
        <w:rPr>
          <w:rFonts w:ascii="Book Antiqua" w:hAnsi="Book Antiqua"/>
          <w:sz w:val="22"/>
          <w:szCs w:val="22"/>
        </w:rPr>
      </w:pPr>
    </w:p>
    <w:p w:rsidR="00134594" w:rsidRDefault="00134594" w:rsidP="006F1786">
      <w:pPr>
        <w:rPr>
          <w:rFonts w:ascii="Book Antiqua" w:hAnsi="Book Antiqua"/>
          <w:sz w:val="22"/>
          <w:szCs w:val="22"/>
        </w:rPr>
      </w:pPr>
    </w:p>
    <w:p w:rsidR="00134594" w:rsidRDefault="00134594" w:rsidP="006F1786">
      <w:pPr>
        <w:rPr>
          <w:rFonts w:ascii="Book Antiqua" w:hAnsi="Book Antiqua"/>
          <w:sz w:val="22"/>
          <w:szCs w:val="22"/>
        </w:rPr>
      </w:pPr>
    </w:p>
    <w:p w:rsidR="00AC1810" w:rsidRDefault="00BD525C" w:rsidP="00AC1810">
      <w:pPr>
        <w:jc w:val="center"/>
        <w:rPr>
          <w:rFonts w:ascii="Book Antiqua" w:hAnsi="Book Antiqua"/>
          <w:sz w:val="22"/>
          <w:szCs w:val="22"/>
        </w:rPr>
      </w:pPr>
      <w:r w:rsidRPr="00BD525C">
        <w:rPr>
          <w:rFonts w:ascii="Book Antiqua" w:hAnsi="Book Antiqua"/>
          <w:sz w:val="22"/>
          <w:szCs w:val="22"/>
        </w:rPr>
        <w:t xml:space="preserve">Methods, Models and Assumptions for CO </w:t>
      </w:r>
      <w:r w:rsidR="00AC1810" w:rsidRPr="00794619">
        <w:rPr>
          <w:rFonts w:ascii="Book Antiqua" w:hAnsi="Book Antiqua"/>
          <w:i/>
          <w:sz w:val="22"/>
          <w:szCs w:val="22"/>
        </w:rPr>
        <w:t>(Example)</w:t>
      </w:r>
    </w:p>
    <w:p w:rsidR="0024177A" w:rsidRDefault="006F1786" w:rsidP="00AC1810">
      <w:pPr>
        <w:jc w:val="center"/>
        <w:rPr>
          <w:rFonts w:ascii="Book Antiqua" w:hAnsi="Book Antiqua"/>
          <w:sz w:val="22"/>
          <w:szCs w:val="22"/>
        </w:rPr>
      </w:pPr>
      <w:r w:rsidRPr="005F2C33">
        <w:rPr>
          <w:rFonts w:ascii="Book Antiqua" w:hAnsi="Book Antiqua"/>
          <w:sz w:val="22"/>
          <w:szCs w:val="22"/>
        </w:rPr>
        <w:t xml:space="preserve"> </w:t>
      </w:r>
    </w:p>
    <w:tbl>
      <w:tblPr>
        <w:tblStyle w:val="TableGrid"/>
        <w:tblW w:w="0" w:type="auto"/>
        <w:tblInd w:w="-612" w:type="dxa"/>
        <w:tblLayout w:type="fixed"/>
        <w:tblLook w:val="04A0" w:firstRow="1" w:lastRow="0" w:firstColumn="1" w:lastColumn="0" w:noHBand="0" w:noVBand="1"/>
      </w:tblPr>
      <w:tblGrid>
        <w:gridCol w:w="1686"/>
        <w:gridCol w:w="4344"/>
        <w:gridCol w:w="3870"/>
      </w:tblGrid>
      <w:tr w:rsidR="00021915" w:rsidRPr="00253591" w:rsidTr="00AC1810">
        <w:trPr>
          <w:trHeight w:val="345"/>
        </w:trPr>
        <w:tc>
          <w:tcPr>
            <w:tcW w:w="9900" w:type="dxa"/>
            <w:gridSpan w:val="3"/>
            <w:shd w:val="clear" w:color="auto" w:fill="BFBFBF" w:themeFill="background1" w:themeFillShade="BF"/>
            <w:noWrap/>
            <w:vAlign w:val="center"/>
            <w:hideMark/>
          </w:tcPr>
          <w:p w:rsidR="00021915" w:rsidRPr="00253591" w:rsidRDefault="00F94136" w:rsidP="00AC1810">
            <w:pPr>
              <w:jc w:val="left"/>
              <w:rPr>
                <w:rFonts w:ascii="Book Antiqua" w:hAnsi="Book Antiqua"/>
                <w:b/>
                <w:bCs/>
                <w:sz w:val="20"/>
                <w:szCs w:val="20"/>
              </w:rPr>
            </w:pPr>
            <w:r>
              <w:rPr>
                <w:rFonts w:ascii="Book Antiqua" w:hAnsi="Book Antiqua"/>
                <w:b/>
                <w:bCs/>
                <w:sz w:val="20"/>
                <w:szCs w:val="20"/>
              </w:rPr>
              <w:t xml:space="preserve">Table 1. </w:t>
            </w:r>
            <w:r w:rsidR="00550CB4" w:rsidRPr="00550CB4">
              <w:rPr>
                <w:rFonts w:ascii="Book Antiqua" w:hAnsi="Book Antiqua"/>
                <w:b/>
                <w:bCs/>
                <w:sz w:val="20"/>
                <w:szCs w:val="20"/>
              </w:rPr>
              <w:t>Methods, Models and Assumptions</w:t>
            </w:r>
          </w:p>
        </w:tc>
      </w:tr>
      <w:tr w:rsidR="00FD20DF" w:rsidRPr="00253591" w:rsidTr="008102FE">
        <w:trPr>
          <w:trHeight w:val="413"/>
        </w:trPr>
        <w:tc>
          <w:tcPr>
            <w:tcW w:w="9900" w:type="dxa"/>
            <w:gridSpan w:val="3"/>
            <w:noWrap/>
            <w:vAlign w:val="center"/>
          </w:tcPr>
          <w:p w:rsidR="00FD20DF" w:rsidRPr="00253591" w:rsidRDefault="00FD20DF" w:rsidP="00AC1810">
            <w:pPr>
              <w:jc w:val="left"/>
              <w:rPr>
                <w:rFonts w:ascii="Book Antiqua" w:hAnsi="Book Antiqua"/>
                <w:b/>
                <w:bCs/>
                <w:sz w:val="20"/>
                <w:szCs w:val="20"/>
              </w:rPr>
            </w:pPr>
            <w:r w:rsidRPr="00FD20DF">
              <w:rPr>
                <w:rFonts w:ascii="Book Antiqua" w:hAnsi="Book Antiqua"/>
                <w:b/>
                <w:bCs/>
                <w:sz w:val="20"/>
                <w:szCs w:val="20"/>
              </w:rPr>
              <w:t>Estimate On-Road Motor Vehicle Emissions (Step 3)</w:t>
            </w:r>
          </w:p>
        </w:tc>
      </w:tr>
      <w:tr w:rsidR="00021915" w:rsidRPr="00253591" w:rsidTr="00AC1810">
        <w:trPr>
          <w:trHeight w:val="315"/>
        </w:trPr>
        <w:tc>
          <w:tcPr>
            <w:tcW w:w="1686" w:type="dxa"/>
            <w:noWrap/>
            <w:vAlign w:val="center"/>
            <w:hideMark/>
          </w:tcPr>
          <w:p w:rsidR="00021915" w:rsidRPr="00253591" w:rsidRDefault="00021915" w:rsidP="00E7690D">
            <w:pPr>
              <w:jc w:val="left"/>
              <w:rPr>
                <w:rFonts w:ascii="Book Antiqua" w:hAnsi="Book Antiqua"/>
                <w:b/>
                <w:bCs/>
                <w:sz w:val="20"/>
                <w:szCs w:val="20"/>
              </w:rPr>
            </w:pPr>
            <w:r w:rsidRPr="00253591">
              <w:rPr>
                <w:rFonts w:ascii="Book Antiqua" w:hAnsi="Book Antiqua"/>
                <w:b/>
                <w:bCs/>
                <w:sz w:val="20"/>
                <w:szCs w:val="20"/>
              </w:rPr>
              <w:t>MOVES2014</w:t>
            </w:r>
            <w:r w:rsidR="00E7690D">
              <w:rPr>
                <w:rFonts w:ascii="Book Antiqua" w:hAnsi="Book Antiqua"/>
                <w:b/>
                <w:bCs/>
                <w:sz w:val="20"/>
                <w:szCs w:val="20"/>
              </w:rPr>
              <w:t>b</w:t>
            </w:r>
          </w:p>
        </w:tc>
        <w:tc>
          <w:tcPr>
            <w:tcW w:w="4344"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Description</w:t>
            </w:r>
          </w:p>
        </w:tc>
        <w:tc>
          <w:tcPr>
            <w:tcW w:w="3870"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Data Source</w:t>
            </w:r>
          </w:p>
        </w:tc>
      </w:tr>
      <w:tr w:rsidR="00021915" w:rsidRPr="00253591" w:rsidTr="008102FE">
        <w:trPr>
          <w:trHeight w:val="854"/>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Scale</w:t>
            </w:r>
          </w:p>
        </w:tc>
        <w:tc>
          <w:tcPr>
            <w:tcW w:w="4344" w:type="dxa"/>
            <w:noWrap/>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On road, Project, Inventory</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Monoxide Analyses, Section 2.3.2</w:t>
            </w:r>
          </w:p>
        </w:tc>
      </w:tr>
      <w:tr w:rsidR="00021915" w:rsidRPr="00253591" w:rsidTr="008102FE">
        <w:trPr>
          <w:trHeight w:val="881"/>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Time Span</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 xml:space="preserve">EPA 1992 Guideline conservatively uses a typical peak-hour traffic activity in one MOVES run to generate emission rates. </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w:t>
            </w:r>
            <w:r w:rsidR="008102FE">
              <w:rPr>
                <w:rFonts w:ascii="Book Antiqua" w:hAnsi="Book Antiqua"/>
                <w:sz w:val="20"/>
                <w:szCs w:val="20"/>
              </w:rPr>
              <w:t>onoxide Analyses, Section 2.3.3</w:t>
            </w:r>
          </w:p>
        </w:tc>
      </w:tr>
      <w:tr w:rsidR="00021915" w:rsidRPr="00253591" w:rsidTr="008102FE">
        <w:trPr>
          <w:trHeight w:val="800"/>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Geographic Bounds</w:t>
            </w:r>
          </w:p>
        </w:tc>
        <w:tc>
          <w:tcPr>
            <w:tcW w:w="4344" w:type="dxa"/>
            <w:noWrap/>
            <w:hideMark/>
          </w:tcPr>
          <w:p w:rsidR="00021915" w:rsidRPr="00F748CD" w:rsidRDefault="00046F48" w:rsidP="004B2487">
            <w:pPr>
              <w:jc w:val="left"/>
              <w:rPr>
                <w:rFonts w:ascii="Book Antiqua" w:hAnsi="Book Antiqua"/>
                <w:i/>
                <w:sz w:val="20"/>
                <w:szCs w:val="20"/>
              </w:rPr>
            </w:pPr>
            <w:r w:rsidRPr="00F748CD">
              <w:rPr>
                <w:rFonts w:ascii="Book Antiqua" w:hAnsi="Book Antiqua"/>
                <w:i/>
                <w:sz w:val="20"/>
                <w:szCs w:val="20"/>
              </w:rPr>
              <w:t>Maricopa County;</w:t>
            </w:r>
            <w:r w:rsidR="00021915" w:rsidRPr="00F748CD">
              <w:rPr>
                <w:rFonts w:ascii="Book Antiqua" w:hAnsi="Book Antiqua"/>
                <w:i/>
                <w:sz w:val="20"/>
                <w:szCs w:val="20"/>
              </w:rPr>
              <w:t xml:space="preserve"> Pima County</w:t>
            </w:r>
            <w:r w:rsidRPr="00F748CD">
              <w:rPr>
                <w:rFonts w:ascii="Book Antiqua" w:hAnsi="Book Antiqua"/>
                <w:i/>
                <w:sz w:val="20"/>
                <w:szCs w:val="20"/>
              </w:rPr>
              <w:t xml:space="preserve"> for any conformity determinations prior to 7/10/20</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Monoxide Analyses, Section 2.3.4</w:t>
            </w:r>
          </w:p>
        </w:tc>
      </w:tr>
      <w:tr w:rsidR="00021915" w:rsidRPr="00253591" w:rsidTr="008102FE">
        <w:trPr>
          <w:trHeight w:val="926"/>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Vehicles Equipment</w:t>
            </w:r>
          </w:p>
        </w:tc>
        <w:tc>
          <w:tcPr>
            <w:tcW w:w="4344" w:type="dxa"/>
            <w:noWrap/>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All Fuels and Source Use Types will be selected</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Monoxide Analyses, Section 2.3.5</w:t>
            </w:r>
          </w:p>
        </w:tc>
      </w:tr>
      <w:tr w:rsidR="00021915" w:rsidRPr="00253591" w:rsidTr="008102FE">
        <w:trPr>
          <w:trHeight w:val="881"/>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Road Type</w:t>
            </w:r>
          </w:p>
        </w:tc>
        <w:tc>
          <w:tcPr>
            <w:tcW w:w="4344" w:type="dxa"/>
            <w:noWrap/>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Urban Restricted and Urban Unrestricted access</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Monoxide Analyses, Section 2.3.6</w:t>
            </w:r>
          </w:p>
        </w:tc>
      </w:tr>
      <w:tr w:rsidR="00021915" w:rsidRPr="00253591" w:rsidTr="008102FE">
        <w:trPr>
          <w:trHeight w:val="890"/>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Pollutants</w:t>
            </w:r>
            <w:r>
              <w:rPr>
                <w:rFonts w:ascii="Book Antiqua" w:hAnsi="Book Antiqua"/>
                <w:sz w:val="20"/>
                <w:szCs w:val="20"/>
              </w:rPr>
              <w:t xml:space="preserve"> </w:t>
            </w:r>
            <w:r w:rsidRPr="00253591">
              <w:rPr>
                <w:rFonts w:ascii="Book Antiqua" w:hAnsi="Book Antiqua"/>
                <w:sz w:val="20"/>
                <w:szCs w:val="20"/>
              </w:rPr>
              <w:t>and Processes</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CO Running Exhaust, CO Crankcase Running Exhaust</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Monoxide Analyses, Section 2.3.7</w:t>
            </w:r>
          </w:p>
        </w:tc>
      </w:tr>
      <w:tr w:rsidR="00021915" w:rsidRPr="00253591" w:rsidTr="008102FE">
        <w:trPr>
          <w:trHeight w:val="1988"/>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Output</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Database will be created, Grams, Miles, Distance Traveled, Population will be selected. Emissions process will be selected in the Output Emissions Detail.  Emission rates for each process can be appropriately summed to calculate aggregate CO emission rates for each link.</w:t>
            </w:r>
          </w:p>
        </w:tc>
        <w:tc>
          <w:tcPr>
            <w:tcW w:w="3870"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EPA Using MOVES2014 in Project-Level Carbon Monoxide Analyses, Section 2.3.10</w:t>
            </w:r>
          </w:p>
        </w:tc>
      </w:tr>
      <w:tr w:rsidR="00021915" w:rsidRPr="00253591" w:rsidTr="008102FE">
        <w:trPr>
          <w:trHeight w:val="3590"/>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Project Data Manager</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Database will be created and MOVES2014a templates will be created to include local project data and information provided by MPO, e.g.,</w:t>
            </w:r>
            <w:r w:rsidR="00533D8C" w:rsidRPr="00F748CD">
              <w:rPr>
                <w:rFonts w:ascii="Book Antiqua" w:hAnsi="Book Antiqua"/>
                <w:i/>
                <w:sz w:val="20"/>
                <w:szCs w:val="20"/>
              </w:rPr>
              <w:t xml:space="preserve"> MAG’s or PAG’s </w:t>
            </w:r>
            <w:r w:rsidRPr="00F748CD">
              <w:rPr>
                <w:rFonts w:ascii="Book Antiqua" w:hAnsi="Book Antiqua"/>
                <w:i/>
                <w:sz w:val="20"/>
                <w:szCs w:val="20"/>
              </w:rPr>
              <w:t xml:space="preserve"> I/M programs, Fuel, Age Distribution,</w:t>
            </w:r>
            <w:r w:rsidR="00533D8C" w:rsidRPr="00F748CD">
              <w:rPr>
                <w:rFonts w:ascii="Book Antiqua" w:hAnsi="Book Antiqua"/>
                <w:i/>
                <w:sz w:val="20"/>
                <w:szCs w:val="20"/>
              </w:rPr>
              <w:t xml:space="preserve"> Meteorology data which are </w:t>
            </w:r>
            <w:r w:rsidRPr="00F748CD">
              <w:rPr>
                <w:rFonts w:ascii="Book Antiqua" w:hAnsi="Book Antiqua"/>
                <w:i/>
                <w:sz w:val="20"/>
                <w:szCs w:val="20"/>
              </w:rPr>
              <w:t>consistent with the regional model</w:t>
            </w:r>
            <w:r w:rsidR="00533D8C" w:rsidRPr="00F748CD">
              <w:rPr>
                <w:rFonts w:ascii="Book Antiqua" w:hAnsi="Book Antiqua"/>
                <w:i/>
                <w:sz w:val="20"/>
                <w:szCs w:val="20"/>
              </w:rPr>
              <w:t>s</w:t>
            </w:r>
            <w:r w:rsidRPr="00F748CD">
              <w:rPr>
                <w:rFonts w:ascii="Book Antiqua" w:hAnsi="Book Antiqua"/>
                <w:i/>
                <w:sz w:val="20"/>
                <w:szCs w:val="20"/>
              </w:rPr>
              <w:t>.</w:t>
            </w:r>
            <w:r w:rsidR="00533D8C" w:rsidRPr="00F748CD">
              <w:rPr>
                <w:rFonts w:ascii="Book Antiqua" w:hAnsi="Book Antiqua"/>
                <w:i/>
                <w:sz w:val="20"/>
                <w:szCs w:val="20"/>
              </w:rPr>
              <w:t xml:space="preserve"> Otherwise, t</w:t>
            </w:r>
            <w:r w:rsidRPr="00F748CD">
              <w:rPr>
                <w:rFonts w:ascii="Book Antiqua" w:hAnsi="Book Antiqua"/>
                <w:i/>
                <w:sz w:val="20"/>
                <w:szCs w:val="20"/>
              </w:rPr>
              <w:t>he average temperature and humidity in January may be used. Links and Link Source Type will be specific to project as provided by the traffic study, any missing information will use default MOVES2014a data.  After running MOVES, the MOVES CO_CAL3QHC_EF post-processing script is run.</w:t>
            </w:r>
          </w:p>
        </w:tc>
        <w:tc>
          <w:tcPr>
            <w:tcW w:w="3870" w:type="dxa"/>
            <w:hideMark/>
          </w:tcPr>
          <w:p w:rsidR="00021915" w:rsidRPr="00253591" w:rsidRDefault="00026E04" w:rsidP="004B2487">
            <w:pPr>
              <w:jc w:val="left"/>
              <w:rPr>
                <w:rFonts w:ascii="Book Antiqua" w:hAnsi="Book Antiqua"/>
                <w:sz w:val="20"/>
                <w:szCs w:val="20"/>
              </w:rPr>
            </w:pPr>
            <w:r>
              <w:rPr>
                <w:rFonts w:ascii="Book Antiqua" w:hAnsi="Book Antiqua"/>
                <w:sz w:val="20"/>
                <w:szCs w:val="20"/>
              </w:rPr>
              <w:t>See Table 2 below for details</w:t>
            </w:r>
          </w:p>
        </w:tc>
      </w:tr>
      <w:tr w:rsidR="00FD20DF" w:rsidRPr="00253591" w:rsidTr="00DE5FE1">
        <w:trPr>
          <w:trHeight w:val="323"/>
        </w:trPr>
        <w:tc>
          <w:tcPr>
            <w:tcW w:w="9900" w:type="dxa"/>
            <w:gridSpan w:val="3"/>
            <w:noWrap/>
            <w:vAlign w:val="center"/>
          </w:tcPr>
          <w:p w:rsidR="00FD20DF" w:rsidRPr="00253591" w:rsidRDefault="00FD20DF" w:rsidP="00AC1810">
            <w:pPr>
              <w:jc w:val="left"/>
              <w:rPr>
                <w:rFonts w:ascii="Book Antiqua" w:hAnsi="Book Antiqua"/>
                <w:b/>
                <w:bCs/>
                <w:sz w:val="20"/>
                <w:szCs w:val="20"/>
              </w:rPr>
            </w:pPr>
            <w:r w:rsidRPr="00FD20DF">
              <w:rPr>
                <w:rFonts w:ascii="Book Antiqua" w:hAnsi="Book Antiqua"/>
                <w:b/>
                <w:bCs/>
                <w:sz w:val="20"/>
                <w:szCs w:val="20"/>
              </w:rPr>
              <w:lastRenderedPageBreak/>
              <w:t>Select Air Quality Model, Da</w:t>
            </w:r>
            <w:r>
              <w:rPr>
                <w:rFonts w:ascii="Book Antiqua" w:hAnsi="Book Antiqua"/>
                <w:b/>
                <w:bCs/>
                <w:sz w:val="20"/>
                <w:szCs w:val="20"/>
              </w:rPr>
              <w:t>ta Inputs, and Receptors (Step 4</w:t>
            </w:r>
            <w:r w:rsidRPr="00FD20DF">
              <w:rPr>
                <w:rFonts w:ascii="Book Antiqua" w:hAnsi="Book Antiqua"/>
                <w:b/>
                <w:bCs/>
                <w:sz w:val="20"/>
                <w:szCs w:val="20"/>
              </w:rPr>
              <w:t>)</w:t>
            </w:r>
          </w:p>
        </w:tc>
      </w:tr>
      <w:tr w:rsidR="00021915" w:rsidRPr="00253591" w:rsidTr="00AC1810">
        <w:trPr>
          <w:trHeight w:val="323"/>
        </w:trPr>
        <w:tc>
          <w:tcPr>
            <w:tcW w:w="1686"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CAL3QHC</w:t>
            </w:r>
          </w:p>
        </w:tc>
        <w:tc>
          <w:tcPr>
            <w:tcW w:w="4344" w:type="dxa"/>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Description</w:t>
            </w:r>
          </w:p>
        </w:tc>
        <w:tc>
          <w:tcPr>
            <w:tcW w:w="3870"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Data Source</w:t>
            </w:r>
          </w:p>
        </w:tc>
      </w:tr>
      <w:tr w:rsidR="00021915" w:rsidRPr="00253591" w:rsidTr="00021915">
        <w:trPr>
          <w:trHeight w:val="1455"/>
        </w:trPr>
        <w:tc>
          <w:tcPr>
            <w:tcW w:w="1686" w:type="dxa"/>
            <w:noWrap/>
            <w:hideMark/>
          </w:tcPr>
          <w:p w:rsidR="00021915" w:rsidRPr="00253591" w:rsidRDefault="00021915" w:rsidP="00A46EF2">
            <w:pPr>
              <w:jc w:val="left"/>
              <w:rPr>
                <w:rFonts w:ascii="Book Antiqua" w:hAnsi="Book Antiqua"/>
                <w:sz w:val="20"/>
                <w:szCs w:val="20"/>
              </w:rPr>
            </w:pPr>
            <w:r w:rsidRPr="00253591">
              <w:rPr>
                <w:rFonts w:ascii="Book Antiqua" w:hAnsi="Book Antiqua"/>
                <w:sz w:val="20"/>
                <w:szCs w:val="20"/>
              </w:rPr>
              <w:t>Emissions Sources</w:t>
            </w:r>
          </w:p>
        </w:tc>
        <w:tc>
          <w:tcPr>
            <w:tcW w:w="4344" w:type="dxa"/>
            <w:hideMark/>
          </w:tcPr>
          <w:p w:rsidR="00021915" w:rsidRPr="00F748CD" w:rsidRDefault="00021915" w:rsidP="004B2487">
            <w:pPr>
              <w:rPr>
                <w:rFonts w:ascii="Book Antiqua" w:hAnsi="Book Antiqua"/>
                <w:i/>
                <w:sz w:val="20"/>
                <w:szCs w:val="20"/>
              </w:rPr>
            </w:pPr>
            <w:r w:rsidRPr="00F748CD">
              <w:rPr>
                <w:rFonts w:ascii="Book Antiqua" w:hAnsi="Book Antiqua"/>
                <w:i/>
                <w:sz w:val="20"/>
                <w:szCs w:val="20"/>
              </w:rPr>
              <w:t xml:space="preserve">Emissions Rates in grams/mile, as described in MOVES2014a section. The free flow and queue links defined for modeling with MOVES2014a will be used as input into CAL3QHC. </w:t>
            </w:r>
          </w:p>
        </w:tc>
        <w:tc>
          <w:tcPr>
            <w:tcW w:w="3870" w:type="dxa"/>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EPA-454/R-92-005, November 1992. </w:t>
            </w:r>
            <w:r>
              <w:rPr>
                <w:rFonts w:ascii="Book Antiqua" w:hAnsi="Book Antiqua"/>
                <w:sz w:val="20"/>
                <w:szCs w:val="20"/>
              </w:rPr>
              <w:t xml:space="preserve"> </w:t>
            </w:r>
            <w:r w:rsidRPr="00253591">
              <w:rPr>
                <w:rFonts w:ascii="Book Antiqua" w:hAnsi="Book Antiqua"/>
                <w:sz w:val="20"/>
                <w:szCs w:val="20"/>
              </w:rPr>
              <w:t>Section 5.2.3 of Appendix W to 40 CFR Part 51, CO screening analyses of intersection projects should use the CAL3QHC dispersion model.</w:t>
            </w:r>
          </w:p>
        </w:tc>
      </w:tr>
      <w:tr w:rsidR="00021915" w:rsidRPr="00253591" w:rsidTr="00021915">
        <w:trPr>
          <w:trHeight w:val="800"/>
        </w:trPr>
        <w:tc>
          <w:tcPr>
            <w:tcW w:w="1686" w:type="dxa"/>
            <w:noWrap/>
          </w:tcPr>
          <w:p w:rsidR="00021915" w:rsidRDefault="00021915" w:rsidP="00A46EF2">
            <w:pPr>
              <w:jc w:val="left"/>
              <w:rPr>
                <w:rFonts w:ascii="Book Antiqua" w:hAnsi="Book Antiqua"/>
                <w:sz w:val="20"/>
                <w:szCs w:val="20"/>
              </w:rPr>
            </w:pPr>
            <w:r>
              <w:rPr>
                <w:rFonts w:ascii="Book Antiqua" w:hAnsi="Book Antiqua"/>
                <w:sz w:val="20"/>
                <w:szCs w:val="20"/>
              </w:rPr>
              <w:t>Receptor Locations</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At least 3m from the roadways at a height of 1.8m, nearby occupied lot, vacant lot, sidewalks, and any locations near breathing height (1.8m) to which the general public has continuous access.</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2.2</w:t>
            </w:r>
          </w:p>
        </w:tc>
      </w:tr>
      <w:tr w:rsidR="00021915" w:rsidRPr="00253591" w:rsidTr="00021915">
        <w:trPr>
          <w:trHeight w:val="800"/>
        </w:trPr>
        <w:tc>
          <w:tcPr>
            <w:tcW w:w="1686" w:type="dxa"/>
            <w:noWrap/>
          </w:tcPr>
          <w:p w:rsidR="00021915" w:rsidRPr="00253591" w:rsidRDefault="00AC1810" w:rsidP="00A46EF2">
            <w:pPr>
              <w:jc w:val="left"/>
              <w:rPr>
                <w:rFonts w:ascii="Book Antiqua" w:hAnsi="Book Antiqua"/>
                <w:sz w:val="20"/>
                <w:szCs w:val="20"/>
              </w:rPr>
            </w:pPr>
            <w:r>
              <w:rPr>
                <w:rFonts w:ascii="Book Antiqua" w:hAnsi="Book Antiqua"/>
                <w:sz w:val="20"/>
                <w:szCs w:val="20"/>
              </w:rPr>
              <w:t xml:space="preserve">Traffic </w:t>
            </w:r>
            <w:r w:rsidR="00021915">
              <w:rPr>
                <w:rFonts w:ascii="Book Antiqua" w:hAnsi="Book Antiqua"/>
                <w:sz w:val="20"/>
                <w:szCs w:val="20"/>
              </w:rPr>
              <w:t>and Geometric Design</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 xml:space="preserve">Lane Configuration, Lane Width, Signalization, Turning Movements, Median Width, Traffic Volume, Level of Service, Grade, % of Heavy-Duty Trucks, and Peak Hour Average Approach Speed. </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4.7.4</w:t>
            </w:r>
          </w:p>
        </w:tc>
      </w:tr>
      <w:tr w:rsidR="00021915" w:rsidRPr="00253591" w:rsidTr="00021915">
        <w:trPr>
          <w:trHeight w:val="800"/>
        </w:trPr>
        <w:tc>
          <w:tcPr>
            <w:tcW w:w="1686" w:type="dxa"/>
            <w:noWrap/>
          </w:tcPr>
          <w:p w:rsidR="00021915" w:rsidRDefault="00021915" w:rsidP="00A46EF2">
            <w:pPr>
              <w:jc w:val="left"/>
              <w:rPr>
                <w:rFonts w:ascii="Book Antiqua" w:hAnsi="Book Antiqua"/>
                <w:sz w:val="20"/>
                <w:szCs w:val="20"/>
              </w:rPr>
            </w:pPr>
            <w:r>
              <w:rPr>
                <w:rFonts w:ascii="Book Antiqua" w:hAnsi="Book Antiqua"/>
                <w:sz w:val="20"/>
                <w:szCs w:val="20"/>
              </w:rPr>
              <w:t>Meteorology</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Temperature, Wind Speed, Wind Direction, Atmospheric Stability Class, Mixing Heights and Surface Roughness.</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4.7.1</w:t>
            </w:r>
          </w:p>
        </w:tc>
      </w:tr>
      <w:tr w:rsidR="00021915" w:rsidRPr="00253591" w:rsidTr="00021915">
        <w:trPr>
          <w:trHeight w:val="800"/>
        </w:trPr>
        <w:tc>
          <w:tcPr>
            <w:tcW w:w="1686" w:type="dxa"/>
            <w:noWrap/>
          </w:tcPr>
          <w:p w:rsidR="00021915" w:rsidRDefault="00021915" w:rsidP="00A46EF2">
            <w:pPr>
              <w:jc w:val="left"/>
              <w:rPr>
                <w:rFonts w:ascii="Book Antiqua" w:hAnsi="Book Antiqua"/>
                <w:sz w:val="20"/>
                <w:szCs w:val="20"/>
              </w:rPr>
            </w:pPr>
            <w:r>
              <w:rPr>
                <w:rFonts w:ascii="Book Antiqua" w:hAnsi="Book Antiqua"/>
                <w:sz w:val="20"/>
                <w:szCs w:val="20"/>
              </w:rPr>
              <w:t>Persistence Factor</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Local persistence factor based on monitoring data. If it is not available, use a default persistence factor of 0.7.</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4.7.2</w:t>
            </w:r>
          </w:p>
        </w:tc>
      </w:tr>
      <w:tr w:rsidR="00550CB4" w:rsidRPr="00253591" w:rsidTr="00550CB4">
        <w:trPr>
          <w:trHeight w:val="296"/>
        </w:trPr>
        <w:tc>
          <w:tcPr>
            <w:tcW w:w="9900" w:type="dxa"/>
            <w:gridSpan w:val="3"/>
            <w:noWrap/>
          </w:tcPr>
          <w:p w:rsidR="00550CB4" w:rsidRPr="00253591" w:rsidRDefault="00550CB4" w:rsidP="004B2487">
            <w:pPr>
              <w:jc w:val="left"/>
              <w:rPr>
                <w:rFonts w:ascii="Book Antiqua" w:hAnsi="Book Antiqua"/>
                <w:sz w:val="20"/>
                <w:szCs w:val="20"/>
              </w:rPr>
            </w:pPr>
            <w:r>
              <w:rPr>
                <w:rFonts w:ascii="Book Antiqua" w:hAnsi="Book Antiqua"/>
                <w:b/>
                <w:bCs/>
                <w:sz w:val="20"/>
                <w:szCs w:val="20"/>
              </w:rPr>
              <w:t>Determine Background Concentrations (Step 6</w:t>
            </w:r>
            <w:r w:rsidRPr="0024177A">
              <w:rPr>
                <w:rFonts w:ascii="Book Antiqua" w:hAnsi="Book Antiqua"/>
                <w:b/>
                <w:bCs/>
                <w:sz w:val="20"/>
                <w:szCs w:val="20"/>
              </w:rPr>
              <w:t>)</w:t>
            </w:r>
          </w:p>
        </w:tc>
      </w:tr>
      <w:tr w:rsidR="00550CB4" w:rsidRPr="00253591" w:rsidTr="00021915">
        <w:trPr>
          <w:trHeight w:val="800"/>
        </w:trPr>
        <w:tc>
          <w:tcPr>
            <w:tcW w:w="1686" w:type="dxa"/>
            <w:noWrap/>
          </w:tcPr>
          <w:p w:rsidR="00550CB4" w:rsidRDefault="00550CB4" w:rsidP="004B2487">
            <w:pPr>
              <w:rPr>
                <w:rFonts w:ascii="Book Antiqua" w:hAnsi="Book Antiqua"/>
                <w:sz w:val="20"/>
                <w:szCs w:val="20"/>
              </w:rPr>
            </w:pPr>
            <w:r w:rsidRPr="0024177A">
              <w:rPr>
                <w:rFonts w:ascii="Book Antiqua" w:hAnsi="Book Antiqua"/>
                <w:sz w:val="20"/>
                <w:szCs w:val="20"/>
              </w:rPr>
              <w:t>Background Monitor</w:t>
            </w:r>
          </w:p>
        </w:tc>
        <w:tc>
          <w:tcPr>
            <w:tcW w:w="4344" w:type="dxa"/>
          </w:tcPr>
          <w:p w:rsidR="00550CB4" w:rsidRPr="00F748CD" w:rsidRDefault="00550CB4" w:rsidP="004B2487">
            <w:pPr>
              <w:rPr>
                <w:rFonts w:ascii="Book Antiqua" w:hAnsi="Book Antiqua"/>
                <w:i/>
                <w:sz w:val="20"/>
                <w:szCs w:val="20"/>
              </w:rPr>
            </w:pPr>
            <w:r w:rsidRPr="00F748CD">
              <w:rPr>
                <w:rFonts w:ascii="Book Antiqua" w:hAnsi="Book Antiqua"/>
                <w:i/>
                <w:sz w:val="20"/>
                <w:szCs w:val="20"/>
              </w:rPr>
              <w:t>Should be obtained from a monitoring site not affected by the intersection of interest. Should be adjusted for the future by multiplying the present CO background by the ratio of future to current MOVES CO emission factor and multiplying by the ratio of future to current traffic</w:t>
            </w:r>
          </w:p>
        </w:tc>
        <w:tc>
          <w:tcPr>
            <w:tcW w:w="3870" w:type="dxa"/>
          </w:tcPr>
          <w:p w:rsidR="00550CB4" w:rsidRPr="00253591" w:rsidRDefault="00550CB4"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4.7.3</w:t>
            </w:r>
          </w:p>
        </w:tc>
      </w:tr>
    </w:tbl>
    <w:p w:rsidR="006F1786" w:rsidRPr="0024177A" w:rsidRDefault="006F1786" w:rsidP="0024177A">
      <w:pPr>
        <w:jc w:val="left"/>
        <w:rPr>
          <w:rFonts w:ascii="Book Antiqua" w:hAnsi="Book Antiqua"/>
          <w:sz w:val="20"/>
          <w:szCs w:val="20"/>
        </w:rPr>
      </w:pPr>
    </w:p>
    <w:tbl>
      <w:tblPr>
        <w:tblStyle w:val="TableGrid"/>
        <w:tblW w:w="9900" w:type="dxa"/>
        <w:tblInd w:w="-612" w:type="dxa"/>
        <w:tblLook w:val="04A0" w:firstRow="1" w:lastRow="0" w:firstColumn="1" w:lastColumn="0" w:noHBand="0" w:noVBand="1"/>
      </w:tblPr>
      <w:tblGrid>
        <w:gridCol w:w="1710"/>
        <w:gridCol w:w="4320"/>
        <w:gridCol w:w="3870"/>
      </w:tblGrid>
      <w:tr w:rsidR="00F94136" w:rsidRPr="0024177A" w:rsidTr="00F94136">
        <w:trPr>
          <w:trHeight w:val="305"/>
        </w:trPr>
        <w:tc>
          <w:tcPr>
            <w:tcW w:w="9900" w:type="dxa"/>
            <w:gridSpan w:val="3"/>
            <w:shd w:val="clear" w:color="auto" w:fill="BFBFBF" w:themeFill="background1" w:themeFillShade="BF"/>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Table 2. Project Data Manager Inputs</w:t>
            </w:r>
          </w:p>
        </w:tc>
      </w:tr>
      <w:tr w:rsidR="00F94136" w:rsidRPr="0024177A" w:rsidTr="00F94136">
        <w:trPr>
          <w:trHeight w:val="350"/>
        </w:trPr>
        <w:tc>
          <w:tcPr>
            <w:tcW w:w="1710" w:type="dxa"/>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Input</w:t>
            </w:r>
          </w:p>
        </w:tc>
        <w:tc>
          <w:tcPr>
            <w:tcW w:w="4320" w:type="dxa"/>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Level of Detail/notes</w:t>
            </w:r>
          </w:p>
        </w:tc>
        <w:tc>
          <w:tcPr>
            <w:tcW w:w="3870" w:type="dxa"/>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 xml:space="preserve">Possible </w:t>
            </w:r>
            <w:r w:rsidRPr="0024177A">
              <w:rPr>
                <w:rFonts w:ascii="Book Antiqua" w:hAnsi="Book Antiqua"/>
                <w:b/>
                <w:bCs/>
                <w:sz w:val="20"/>
                <w:szCs w:val="20"/>
              </w:rPr>
              <w:t>Data Source</w:t>
            </w:r>
          </w:p>
        </w:tc>
      </w:tr>
      <w:tr w:rsidR="00F94136" w:rsidRPr="0024177A" w:rsidTr="00F94136">
        <w:trPr>
          <w:trHeight w:val="350"/>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Meteorology</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 xml:space="preserve">Same for build and no-build scenarios. A minimum of four hours (AM, PM, MD &amp; ON), for one day (weekday) and for </w:t>
            </w:r>
            <w:r w:rsidR="00B66FF5">
              <w:rPr>
                <w:rFonts w:ascii="Book Antiqua" w:hAnsi="Book Antiqua"/>
                <w:i/>
                <w:iCs/>
                <w:sz w:val="20"/>
                <w:szCs w:val="20"/>
              </w:rPr>
              <w:t>a winter month (January) is</w:t>
            </w:r>
            <w:r>
              <w:rPr>
                <w:rFonts w:ascii="Book Antiqua" w:hAnsi="Book Antiqua"/>
                <w:i/>
                <w:iCs/>
                <w:sz w:val="20"/>
                <w:szCs w:val="20"/>
              </w:rPr>
              <w:t xml:space="preserve"> required. May use the County meteorology file for the county used in the latest SIP or regional conformity analysis.  </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ADEQ, MPO</w:t>
            </w:r>
          </w:p>
          <w:p w:rsidR="00F94136" w:rsidRPr="0024177A" w:rsidRDefault="00F94136" w:rsidP="00F94136">
            <w:pPr>
              <w:jc w:val="left"/>
              <w:rPr>
                <w:rFonts w:ascii="Book Antiqua" w:hAnsi="Book Antiqua"/>
                <w:sz w:val="20"/>
                <w:szCs w:val="20"/>
              </w:rPr>
            </w:pPr>
            <w:r w:rsidRPr="00253591">
              <w:rPr>
                <w:rFonts w:ascii="Book Antiqua" w:hAnsi="Book Antiqua"/>
                <w:sz w:val="20"/>
                <w:szCs w:val="20"/>
              </w:rPr>
              <w:t xml:space="preserve">EPA Using MOVES2014 in Project-Level Carbon </w:t>
            </w:r>
            <w:r w:rsidR="00B66FF5">
              <w:rPr>
                <w:rFonts w:ascii="Book Antiqua" w:hAnsi="Book Antiqua"/>
                <w:sz w:val="20"/>
                <w:szCs w:val="20"/>
              </w:rPr>
              <w:t>Monoxide Analyses, Section 2.4.1</w:t>
            </w:r>
          </w:p>
        </w:tc>
      </w:tr>
      <w:tr w:rsidR="00F94136" w:rsidRPr="0024177A" w:rsidTr="00F94136">
        <w:trPr>
          <w:trHeight w:val="350"/>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Age Distribution</w:t>
            </w:r>
          </w:p>
        </w:tc>
        <w:tc>
          <w:tcPr>
            <w:tcW w:w="4320" w:type="dxa"/>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Same for build and no-build scenarios, unless something about the project would change them.</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ADOT, MPO</w:t>
            </w:r>
          </w:p>
          <w:p w:rsidR="00F94136" w:rsidRPr="0024177A" w:rsidRDefault="00F94136" w:rsidP="00A435C4">
            <w:pPr>
              <w:jc w:val="left"/>
              <w:rPr>
                <w:rFonts w:ascii="Book Antiqua" w:hAnsi="Book Antiqua"/>
                <w:sz w:val="20"/>
                <w:szCs w:val="20"/>
              </w:rPr>
            </w:pPr>
            <w:r w:rsidRPr="00253591">
              <w:rPr>
                <w:rFonts w:ascii="Book Antiqua" w:hAnsi="Book Antiqua"/>
                <w:sz w:val="20"/>
                <w:szCs w:val="20"/>
              </w:rPr>
              <w:t xml:space="preserve">EPA Using MOVES2014 in Project-Level Carbon </w:t>
            </w:r>
            <w:r w:rsidR="00B66FF5">
              <w:rPr>
                <w:rFonts w:ascii="Book Antiqua" w:hAnsi="Book Antiqua"/>
                <w:sz w:val="20"/>
                <w:szCs w:val="20"/>
              </w:rPr>
              <w:t>Monoxide Analyses, Section 2.4.2</w:t>
            </w:r>
          </w:p>
        </w:tc>
      </w:tr>
      <w:tr w:rsidR="00F94136" w:rsidRPr="0024177A" w:rsidTr="00F94136">
        <w:trPr>
          <w:trHeight w:val="350"/>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Fuel</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Same for build and no-build scenarios. May use the fuel file used in the latest SIP or regional conformity analysis if local information is available. Otherwise, MOVES default fuel supply and formulation information can be used.</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MPO, MOVES defaults</w:t>
            </w:r>
          </w:p>
          <w:p w:rsidR="00F94136" w:rsidRPr="0024177A" w:rsidRDefault="00F94136" w:rsidP="00A435C4">
            <w:pPr>
              <w:jc w:val="left"/>
              <w:rPr>
                <w:rFonts w:ascii="Book Antiqua" w:hAnsi="Book Antiqua"/>
                <w:sz w:val="20"/>
                <w:szCs w:val="20"/>
              </w:rPr>
            </w:pPr>
            <w:r w:rsidRPr="00253591">
              <w:rPr>
                <w:rFonts w:ascii="Book Antiqua" w:hAnsi="Book Antiqua"/>
                <w:sz w:val="20"/>
                <w:szCs w:val="20"/>
              </w:rPr>
              <w:t xml:space="preserve">EPA Using MOVES2014 in Project-Level Carbon </w:t>
            </w:r>
            <w:r w:rsidR="00B66FF5">
              <w:rPr>
                <w:rFonts w:ascii="Book Antiqua" w:hAnsi="Book Antiqua"/>
                <w:sz w:val="20"/>
                <w:szCs w:val="20"/>
              </w:rPr>
              <w:t>Monoxide Analyses, Section 2.4.3</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I/M Programs</w:t>
            </w:r>
          </w:p>
        </w:tc>
        <w:tc>
          <w:tcPr>
            <w:tcW w:w="4320" w:type="dxa"/>
            <w:noWrap/>
          </w:tcPr>
          <w:p w:rsidR="00F94136" w:rsidRPr="0024177A" w:rsidRDefault="00030E30" w:rsidP="00A435C4">
            <w:pPr>
              <w:jc w:val="left"/>
              <w:rPr>
                <w:rFonts w:ascii="Book Antiqua" w:hAnsi="Book Antiqua"/>
                <w:i/>
                <w:iCs/>
                <w:sz w:val="20"/>
                <w:szCs w:val="20"/>
              </w:rPr>
            </w:pPr>
            <w:r>
              <w:rPr>
                <w:rFonts w:ascii="Book Antiqua" w:hAnsi="Book Antiqua"/>
                <w:i/>
                <w:iCs/>
                <w:sz w:val="20"/>
                <w:szCs w:val="20"/>
              </w:rPr>
              <w:t xml:space="preserve">Same for build and no-build scenarios. </w:t>
            </w:r>
            <w:r w:rsidR="00E23CE5">
              <w:rPr>
                <w:rFonts w:ascii="Book Antiqua" w:hAnsi="Book Antiqua"/>
                <w:i/>
                <w:iCs/>
                <w:sz w:val="20"/>
                <w:szCs w:val="20"/>
              </w:rPr>
              <w:t xml:space="preserve">Projects in Area A and B should define </w:t>
            </w:r>
            <w:proofErr w:type="gramStart"/>
            <w:r w:rsidR="00E23CE5">
              <w:rPr>
                <w:rFonts w:ascii="Book Antiqua" w:hAnsi="Book Antiqua"/>
                <w:i/>
                <w:iCs/>
                <w:sz w:val="20"/>
                <w:szCs w:val="20"/>
              </w:rPr>
              <w:t>the I</w:t>
            </w:r>
            <w:proofErr w:type="gramEnd"/>
            <w:r w:rsidR="00E23CE5">
              <w:rPr>
                <w:rFonts w:ascii="Book Antiqua" w:hAnsi="Book Antiqua"/>
                <w:i/>
                <w:iCs/>
                <w:sz w:val="20"/>
                <w:szCs w:val="20"/>
              </w:rPr>
              <w:t xml:space="preserve">/M programs. Use </w:t>
            </w:r>
            <w:r w:rsidR="00E23CE5">
              <w:rPr>
                <w:rFonts w:ascii="Book Antiqua" w:hAnsi="Book Antiqua"/>
                <w:i/>
                <w:iCs/>
                <w:sz w:val="20"/>
                <w:szCs w:val="20"/>
              </w:rPr>
              <w:lastRenderedPageBreak/>
              <w:t>MPO data. If not available,</w:t>
            </w:r>
            <w:r>
              <w:rPr>
                <w:rFonts w:ascii="Book Antiqua" w:hAnsi="Book Antiqua"/>
                <w:i/>
                <w:iCs/>
                <w:sz w:val="20"/>
                <w:szCs w:val="20"/>
              </w:rPr>
              <w:t xml:space="preserve"> may use </w:t>
            </w:r>
            <w:r w:rsidR="00E23CE5">
              <w:rPr>
                <w:rFonts w:ascii="Book Antiqua" w:hAnsi="Book Antiqua"/>
                <w:i/>
                <w:iCs/>
                <w:sz w:val="20"/>
                <w:szCs w:val="20"/>
              </w:rPr>
              <w:t>the MOVES default I/M program</w:t>
            </w:r>
            <w:r>
              <w:rPr>
                <w:rFonts w:ascii="Book Antiqua" w:hAnsi="Book Antiqua"/>
                <w:i/>
                <w:iCs/>
                <w:sz w:val="20"/>
                <w:szCs w:val="20"/>
              </w:rPr>
              <w:t>s but review the details and</w:t>
            </w:r>
            <w:r w:rsidR="00E23CE5">
              <w:rPr>
                <w:rFonts w:ascii="Book Antiqua" w:hAnsi="Book Antiqua"/>
                <w:i/>
                <w:iCs/>
                <w:sz w:val="20"/>
                <w:szCs w:val="20"/>
              </w:rPr>
              <w:t xml:space="preserve"> make any necessary changes</w:t>
            </w:r>
            <w:r>
              <w:rPr>
                <w:rFonts w:ascii="Book Antiqua" w:hAnsi="Book Antiqua"/>
                <w:i/>
                <w:iCs/>
                <w:sz w:val="20"/>
                <w:szCs w:val="20"/>
              </w:rPr>
              <w:t xml:space="preserve"> before use.</w:t>
            </w:r>
          </w:p>
        </w:tc>
        <w:tc>
          <w:tcPr>
            <w:tcW w:w="3870" w:type="dxa"/>
            <w:noWrap/>
          </w:tcPr>
          <w:p w:rsidR="00550CB4" w:rsidRDefault="00550CB4" w:rsidP="00A435C4">
            <w:pPr>
              <w:jc w:val="left"/>
              <w:rPr>
                <w:rFonts w:ascii="Book Antiqua" w:hAnsi="Book Antiqua"/>
                <w:sz w:val="20"/>
                <w:szCs w:val="20"/>
              </w:rPr>
            </w:pPr>
            <w:r>
              <w:rPr>
                <w:rFonts w:ascii="Book Antiqua" w:hAnsi="Book Antiqua"/>
                <w:sz w:val="20"/>
                <w:szCs w:val="20"/>
              </w:rPr>
              <w:lastRenderedPageBreak/>
              <w:t>MPO, MOVES defaults</w:t>
            </w:r>
          </w:p>
          <w:p w:rsidR="00F94136" w:rsidRPr="0024177A" w:rsidRDefault="00F94136" w:rsidP="00A435C4">
            <w:pPr>
              <w:jc w:val="left"/>
              <w:rPr>
                <w:rFonts w:ascii="Book Antiqua" w:hAnsi="Book Antiqua"/>
                <w:sz w:val="20"/>
                <w:szCs w:val="20"/>
              </w:rPr>
            </w:pPr>
            <w:r w:rsidRPr="00253591">
              <w:rPr>
                <w:rFonts w:ascii="Book Antiqua" w:hAnsi="Book Antiqua"/>
                <w:sz w:val="20"/>
                <w:szCs w:val="20"/>
              </w:rPr>
              <w:t xml:space="preserve">EPA Using MOVES2014 in Project-Level </w:t>
            </w:r>
            <w:r w:rsidRPr="00253591">
              <w:rPr>
                <w:rFonts w:ascii="Book Antiqua" w:hAnsi="Book Antiqua"/>
                <w:sz w:val="20"/>
                <w:szCs w:val="20"/>
              </w:rPr>
              <w:lastRenderedPageBreak/>
              <w:t xml:space="preserve">Carbon </w:t>
            </w:r>
            <w:r w:rsidR="00BD5FC4">
              <w:rPr>
                <w:rFonts w:ascii="Book Antiqua" w:hAnsi="Book Antiqua"/>
                <w:sz w:val="20"/>
                <w:szCs w:val="20"/>
              </w:rPr>
              <w:t>Monoxide Analyses, Section 2.4.4</w:t>
            </w:r>
          </w:p>
        </w:tc>
      </w:tr>
      <w:tr w:rsidR="00F94136" w:rsidRPr="0024177A" w:rsidTr="00F94136">
        <w:trPr>
          <w:trHeight w:val="341"/>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lastRenderedPageBreak/>
              <w:t>Retrofit Data</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If necessary. For example, a bus terminal project might include plans to mitigate emissions by retrofitting the bus fleet.</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w:t>
            </w:r>
          </w:p>
          <w:p w:rsidR="00F94136" w:rsidRPr="0024177A" w:rsidRDefault="00B66FF5" w:rsidP="00A435C4">
            <w:pPr>
              <w:jc w:val="left"/>
              <w:rPr>
                <w:rFonts w:ascii="Book Antiqua" w:hAnsi="Book Antiqua"/>
                <w:sz w:val="20"/>
                <w:szCs w:val="20"/>
              </w:rPr>
            </w:pPr>
            <w:r w:rsidRPr="00253591">
              <w:rPr>
                <w:rFonts w:ascii="Book Antiqua" w:hAnsi="Book Antiqua"/>
                <w:sz w:val="20"/>
                <w:szCs w:val="20"/>
              </w:rPr>
              <w:t xml:space="preserve">EPA Using MOVES2014 in Project-Level Carbon </w:t>
            </w:r>
            <w:r w:rsidR="00030E30">
              <w:rPr>
                <w:rFonts w:ascii="Book Antiqua" w:hAnsi="Book Antiqua"/>
                <w:sz w:val="20"/>
                <w:szCs w:val="20"/>
              </w:rPr>
              <w:t>Monoxide Analyses, Section 2.4.7</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Links</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Unique inputs needed for each run. Requires information on each link’s length (in miles), traffic volume (vehicle per hour), average speed (miles per hour) and road grade (percent).</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 ADOT, MPO</w:t>
            </w:r>
          </w:p>
          <w:p w:rsidR="00F94136" w:rsidRPr="0024177A" w:rsidRDefault="00B66FF5" w:rsidP="00A435C4">
            <w:pPr>
              <w:jc w:val="left"/>
              <w:rPr>
                <w:rFonts w:ascii="Book Antiqua" w:hAnsi="Book Antiqua"/>
                <w:sz w:val="20"/>
                <w:szCs w:val="20"/>
              </w:rPr>
            </w:pPr>
            <w:r w:rsidRPr="00253591">
              <w:rPr>
                <w:rFonts w:ascii="Book Antiqua" w:hAnsi="Book Antiqua"/>
                <w:sz w:val="20"/>
                <w:szCs w:val="20"/>
              </w:rPr>
              <w:t>EPA Using MOVES2014 in Project-Level Carbo</w:t>
            </w:r>
            <w:r w:rsidR="00030E30">
              <w:rPr>
                <w:rFonts w:ascii="Book Antiqua" w:hAnsi="Book Antiqua"/>
                <w:sz w:val="20"/>
                <w:szCs w:val="20"/>
              </w:rPr>
              <w:t>n Monoxide Analyses, Section 2.4</w:t>
            </w:r>
            <w:r w:rsidRPr="00253591">
              <w:rPr>
                <w:rFonts w:ascii="Book Antiqua" w:hAnsi="Book Antiqua"/>
                <w:sz w:val="20"/>
                <w:szCs w:val="20"/>
              </w:rPr>
              <w:t>.6</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Link Source Types</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 xml:space="preserve">Unique inputs needed for each run. Project-specific data are preferred. If the source type distribution can be represented by that of the regional fleet, the data used in the latest regional emissions analysis can be provided.   </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 ADOT, MPO</w:t>
            </w:r>
          </w:p>
          <w:p w:rsidR="00F94136" w:rsidRPr="0024177A" w:rsidRDefault="00B66FF5" w:rsidP="00A435C4">
            <w:pPr>
              <w:jc w:val="left"/>
              <w:rPr>
                <w:rFonts w:ascii="Book Antiqua" w:hAnsi="Book Antiqua"/>
                <w:sz w:val="20"/>
                <w:szCs w:val="20"/>
              </w:rPr>
            </w:pPr>
            <w:r w:rsidRPr="00253591">
              <w:rPr>
                <w:rFonts w:ascii="Book Antiqua" w:hAnsi="Book Antiqua"/>
                <w:sz w:val="20"/>
                <w:szCs w:val="20"/>
              </w:rPr>
              <w:t xml:space="preserve">EPA Using MOVES2014 in Project-Level Carbon </w:t>
            </w:r>
            <w:r w:rsidR="00030E30">
              <w:rPr>
                <w:rFonts w:ascii="Book Antiqua" w:hAnsi="Book Antiqua"/>
                <w:sz w:val="20"/>
                <w:szCs w:val="20"/>
              </w:rPr>
              <w:t>Monoxide Analyses, Section 2.4.5</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Link Drive Schedules, Operating Mode Distribution</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Unique inputs needed for each run. Three options are available: 1. Provide average speed and road type through the Links Importer; 2. Provide a link drive schedule using the Link Drive Schedule Importer; 3. Provide a detailed operation distribution for the link.</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 ADOT, MPO</w:t>
            </w:r>
          </w:p>
          <w:p w:rsidR="00F94136" w:rsidRPr="0024177A" w:rsidRDefault="00B66FF5" w:rsidP="00A435C4">
            <w:pPr>
              <w:jc w:val="left"/>
              <w:rPr>
                <w:rFonts w:ascii="Book Antiqua" w:hAnsi="Book Antiqua"/>
                <w:sz w:val="20"/>
                <w:szCs w:val="20"/>
              </w:rPr>
            </w:pPr>
            <w:r w:rsidRPr="00253591">
              <w:rPr>
                <w:rFonts w:ascii="Book Antiqua" w:hAnsi="Book Antiqua"/>
                <w:sz w:val="20"/>
                <w:szCs w:val="20"/>
              </w:rPr>
              <w:t>EPA Using MOVES2014 in Project-Level Carbon Monoxide Analyses, Section 2.</w:t>
            </w:r>
            <w:r w:rsidR="00030E30">
              <w:rPr>
                <w:rFonts w:ascii="Book Antiqua" w:hAnsi="Book Antiqua"/>
                <w:sz w:val="20"/>
                <w:szCs w:val="20"/>
              </w:rPr>
              <w:t>4.8, 2.4.9</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 xml:space="preserve">Off-Network, </w:t>
            </w:r>
            <w:proofErr w:type="spellStart"/>
            <w:r>
              <w:rPr>
                <w:rFonts w:ascii="Book Antiqua" w:hAnsi="Book Antiqua"/>
                <w:sz w:val="20"/>
                <w:szCs w:val="20"/>
              </w:rPr>
              <w:t>Hotelling</w:t>
            </w:r>
            <w:proofErr w:type="spellEnd"/>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If necessary. For example, a project analysis includes areas where vehicles are not driving on the project links, but still contributing to the project’s emissions.</w:t>
            </w:r>
          </w:p>
        </w:tc>
        <w:tc>
          <w:tcPr>
            <w:tcW w:w="3870" w:type="dxa"/>
            <w:noWrap/>
          </w:tcPr>
          <w:p w:rsidR="00F94136" w:rsidRPr="0024177A" w:rsidRDefault="00B66FF5" w:rsidP="00A435C4">
            <w:pPr>
              <w:jc w:val="left"/>
              <w:rPr>
                <w:rFonts w:ascii="Book Antiqua" w:hAnsi="Book Antiqua"/>
                <w:sz w:val="20"/>
                <w:szCs w:val="20"/>
              </w:rPr>
            </w:pPr>
            <w:r w:rsidRPr="00253591">
              <w:rPr>
                <w:rFonts w:ascii="Book Antiqua" w:hAnsi="Book Antiqua"/>
                <w:sz w:val="20"/>
                <w:szCs w:val="20"/>
              </w:rPr>
              <w:t xml:space="preserve">EPA Using MOVES2014 in Project-Level Carbon Monoxide Analyses, </w:t>
            </w:r>
            <w:r w:rsidR="00030E30">
              <w:rPr>
                <w:rFonts w:ascii="Book Antiqua" w:hAnsi="Book Antiqua"/>
                <w:sz w:val="20"/>
                <w:szCs w:val="20"/>
              </w:rPr>
              <w:t>Section 2.4.9</w:t>
            </w:r>
          </w:p>
        </w:tc>
      </w:tr>
    </w:tbl>
    <w:p w:rsidR="006F1786" w:rsidRDefault="006F1786" w:rsidP="0024177A">
      <w:pPr>
        <w:ind w:left="-90"/>
        <w:rPr>
          <w:rFonts w:ascii="Book Antiqua" w:hAnsi="Book Antiqua"/>
          <w:color w:val="548DD4" w:themeColor="text2" w:themeTint="99"/>
          <w:sz w:val="20"/>
          <w:szCs w:val="20"/>
        </w:rPr>
      </w:pPr>
    </w:p>
    <w:tbl>
      <w:tblPr>
        <w:tblStyle w:val="TableGrid"/>
        <w:tblW w:w="9900" w:type="dxa"/>
        <w:tblInd w:w="-612" w:type="dxa"/>
        <w:tblLook w:val="04A0" w:firstRow="1" w:lastRow="0" w:firstColumn="1" w:lastColumn="0" w:noHBand="0" w:noVBand="1"/>
      </w:tblPr>
      <w:tblGrid>
        <w:gridCol w:w="1686"/>
        <w:gridCol w:w="4344"/>
        <w:gridCol w:w="3870"/>
      </w:tblGrid>
      <w:tr w:rsidR="008102FE" w:rsidRPr="0024177A" w:rsidTr="008102FE">
        <w:trPr>
          <w:trHeight w:val="305"/>
        </w:trPr>
        <w:tc>
          <w:tcPr>
            <w:tcW w:w="9900" w:type="dxa"/>
            <w:gridSpan w:val="3"/>
            <w:shd w:val="clear" w:color="auto" w:fill="BFBFBF" w:themeFill="background1" w:themeFillShade="BF"/>
            <w:noWrap/>
            <w:hideMark/>
          </w:tcPr>
          <w:p w:rsidR="008102FE" w:rsidRPr="0024177A" w:rsidRDefault="008102FE" w:rsidP="008102FE">
            <w:pPr>
              <w:rPr>
                <w:rFonts w:ascii="Book Antiqua" w:hAnsi="Book Antiqua"/>
                <w:b/>
                <w:bCs/>
                <w:sz w:val="20"/>
                <w:szCs w:val="20"/>
              </w:rPr>
            </w:pPr>
            <w:r>
              <w:rPr>
                <w:rFonts w:ascii="Book Antiqua" w:hAnsi="Book Antiqua"/>
                <w:b/>
                <w:bCs/>
                <w:sz w:val="20"/>
                <w:szCs w:val="20"/>
              </w:rPr>
              <w:t xml:space="preserve">Table 3. Construction Emissions </w:t>
            </w:r>
            <w:r w:rsidRPr="008102FE">
              <w:rPr>
                <w:rFonts w:ascii="Book Antiqua" w:hAnsi="Book Antiqua"/>
                <w:b/>
                <w:bCs/>
                <w:i/>
                <w:sz w:val="20"/>
                <w:szCs w:val="20"/>
              </w:rPr>
              <w:t>(Only if Applicable)</w:t>
            </w:r>
          </w:p>
        </w:tc>
      </w:tr>
      <w:tr w:rsidR="008102FE" w:rsidTr="008102FE">
        <w:trPr>
          <w:trHeight w:val="1322"/>
        </w:trPr>
        <w:tc>
          <w:tcPr>
            <w:tcW w:w="1686" w:type="dxa"/>
            <w:noWrap/>
          </w:tcPr>
          <w:p w:rsidR="008102FE" w:rsidRPr="00253591" w:rsidRDefault="008102FE" w:rsidP="009A5166">
            <w:pPr>
              <w:jc w:val="left"/>
              <w:rPr>
                <w:rFonts w:ascii="Book Antiqua" w:hAnsi="Book Antiqua"/>
                <w:sz w:val="20"/>
                <w:szCs w:val="20"/>
              </w:rPr>
            </w:pPr>
            <w:r w:rsidRPr="00533D8C">
              <w:rPr>
                <w:rFonts w:ascii="Book Antiqua" w:hAnsi="Book Antiqua"/>
                <w:sz w:val="20"/>
                <w:szCs w:val="20"/>
              </w:rPr>
              <w:t>Construction Emissions</w:t>
            </w:r>
          </w:p>
        </w:tc>
        <w:tc>
          <w:tcPr>
            <w:tcW w:w="4344" w:type="dxa"/>
          </w:tcPr>
          <w:p w:rsidR="008102FE" w:rsidRPr="00F748CD" w:rsidRDefault="008102FE" w:rsidP="009A5166">
            <w:pPr>
              <w:jc w:val="left"/>
              <w:rPr>
                <w:rFonts w:ascii="Book Antiqua" w:hAnsi="Book Antiqua"/>
                <w:i/>
                <w:sz w:val="20"/>
                <w:szCs w:val="20"/>
              </w:rPr>
            </w:pPr>
            <w:r w:rsidRPr="00F748CD">
              <w:rPr>
                <w:rFonts w:ascii="Book Antiqua" w:hAnsi="Book Antiqua"/>
                <w:i/>
                <w:sz w:val="20"/>
                <w:szCs w:val="20"/>
              </w:rPr>
              <w:t>Construction Emissions need to be addressed if construction lasts longer than 5 years at any individual site.  In the context of CO, this is usually excess CO emissions due to traffic delay and/or detours.</w:t>
            </w:r>
          </w:p>
        </w:tc>
        <w:tc>
          <w:tcPr>
            <w:tcW w:w="3870" w:type="dxa"/>
          </w:tcPr>
          <w:p w:rsidR="008102FE" w:rsidRDefault="008102FE" w:rsidP="008102FE">
            <w:pPr>
              <w:jc w:val="left"/>
              <w:rPr>
                <w:rFonts w:ascii="Book Antiqua" w:hAnsi="Book Antiqua"/>
                <w:sz w:val="20"/>
                <w:szCs w:val="20"/>
              </w:rPr>
            </w:pPr>
            <w:r>
              <w:rPr>
                <w:rFonts w:ascii="Book Antiqua" w:hAnsi="Book Antiqua"/>
                <w:sz w:val="20"/>
                <w:szCs w:val="20"/>
              </w:rPr>
              <w:t>40CFR93.123(c</w:t>
            </w:r>
            <w:proofErr w:type="gramStart"/>
            <w:r>
              <w:rPr>
                <w:rFonts w:ascii="Book Antiqua" w:hAnsi="Book Antiqua"/>
                <w:sz w:val="20"/>
                <w:szCs w:val="20"/>
              </w:rPr>
              <w:t>)(</w:t>
            </w:r>
            <w:proofErr w:type="gramEnd"/>
            <w:r>
              <w:rPr>
                <w:rFonts w:ascii="Book Antiqua" w:hAnsi="Book Antiqua"/>
                <w:sz w:val="20"/>
                <w:szCs w:val="20"/>
              </w:rPr>
              <w:t>5)”</w:t>
            </w:r>
            <w:r w:rsidRPr="008102FE">
              <w:rPr>
                <w:rFonts w:ascii="Book Antiqua" w:hAnsi="Book Antiqua"/>
                <w:sz w:val="20"/>
                <w:szCs w:val="20"/>
              </w:rPr>
              <w:t>Each site which is affected by construction-related activities shall be considered separately, using established “Guideline” methods</w:t>
            </w:r>
            <w:r>
              <w:rPr>
                <w:rFonts w:ascii="Book Antiqua" w:hAnsi="Book Antiqua"/>
                <w:sz w:val="20"/>
                <w:szCs w:val="20"/>
              </w:rPr>
              <w:t>.”  If applicable,</w:t>
            </w:r>
            <w:r>
              <w:t xml:space="preserve"> </w:t>
            </w:r>
            <w:r>
              <w:rPr>
                <w:rFonts w:ascii="Book Antiqua" w:hAnsi="Book Antiqua"/>
                <w:sz w:val="20"/>
                <w:szCs w:val="20"/>
              </w:rPr>
              <w:t>include analysis as an Appendix to the Air Quality Report.</w:t>
            </w:r>
          </w:p>
        </w:tc>
      </w:tr>
    </w:tbl>
    <w:p w:rsidR="008102FE" w:rsidRPr="0024177A" w:rsidRDefault="008102FE" w:rsidP="0024177A">
      <w:pPr>
        <w:ind w:left="-90"/>
        <w:rPr>
          <w:rFonts w:ascii="Book Antiqua" w:hAnsi="Book Antiqua"/>
          <w:color w:val="548DD4" w:themeColor="text2" w:themeTint="99"/>
          <w:sz w:val="20"/>
          <w:szCs w:val="20"/>
        </w:rPr>
      </w:pPr>
    </w:p>
    <w:sectPr w:rsidR="008102FE" w:rsidRPr="0024177A" w:rsidSect="00021915">
      <w:headerReference w:type="default" r:id="rId8"/>
      <w:footerReference w:type="default" r:id="rId9"/>
      <w:pgSz w:w="12240" w:h="15840" w:code="1"/>
      <w:pgMar w:top="1296" w:right="1440"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EC" w:rsidRDefault="001B35EC" w:rsidP="00874B95">
      <w:r>
        <w:separator/>
      </w:r>
    </w:p>
  </w:endnote>
  <w:endnote w:type="continuationSeparator" w:id="0">
    <w:p w:rsidR="001B35EC" w:rsidRDefault="001B35EC"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24177A">
    <w:pPr>
      <w:pStyle w:val="Footer"/>
      <w:pBdr>
        <w:top w:val="single" w:sz="4" w:space="1" w:color="auto"/>
      </w:pBdr>
      <w:ind w:left="-720"/>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51837860"/>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5A5FF1">
      <w:rPr>
        <w:rFonts w:ascii="Book Antiqua" w:hAnsi="Book Antiqua"/>
        <w:noProof/>
        <w:sz w:val="20"/>
        <w:szCs w:val="20"/>
      </w:rPr>
      <w:t>2</w:t>
    </w:r>
    <w:r w:rsidR="007D104A" w:rsidRPr="007D104A">
      <w:rPr>
        <w:rFonts w:ascii="Book Antiqua" w:hAnsi="Book Antiqua"/>
        <w:noProof/>
        <w:sz w:val="20"/>
        <w:szCs w:val="20"/>
      </w:rPr>
      <w:fldChar w:fldCharType="end"/>
    </w:r>
  </w:p>
  <w:p w:rsidR="00874B95" w:rsidRDefault="00874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EC" w:rsidRDefault="001B35EC" w:rsidP="00874B95">
      <w:r>
        <w:separator/>
      </w:r>
    </w:p>
  </w:footnote>
  <w:footnote w:type="continuationSeparator" w:id="0">
    <w:p w:rsidR="001B35EC" w:rsidRDefault="001B35EC"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rsidP="0024177A">
    <w:pPr>
      <w:pStyle w:val="Header"/>
      <w:ind w:left="-720"/>
      <w:rPr>
        <w:rFonts w:ascii="Book Antiqua" w:hAnsi="Book Antiqua"/>
        <w:sz w:val="20"/>
        <w:szCs w:val="20"/>
      </w:rPr>
    </w:pPr>
    <w:r w:rsidRPr="002A0385">
      <w:rPr>
        <w:b/>
        <w:noProof/>
      </w:rPr>
      <w:drawing>
        <wp:anchor distT="0" distB="0" distL="114300" distR="114300" simplePos="0" relativeHeight="251657216" behindDoc="1" locked="0" layoutInCell="1" allowOverlap="1" wp14:anchorId="0CD556DA" wp14:editId="6F71921B">
          <wp:simplePos x="0" y="0"/>
          <wp:positionH relativeFrom="column">
            <wp:posOffset>4760595</wp:posOffset>
          </wp:positionH>
          <wp:positionV relativeFrom="paragraph">
            <wp:posOffset>41910</wp:posOffset>
          </wp:positionV>
          <wp:extent cx="1044575" cy="182880"/>
          <wp:effectExtent l="0" t="0" r="3175" b="7620"/>
          <wp:wrapTight wrapText="bothSides">
            <wp:wrapPolygon edited="0">
              <wp:start x="0" y="0"/>
              <wp:lineTo x="0" y="20250"/>
              <wp:lineTo x="21272" y="20250"/>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44575" cy="182880"/>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rsidP="0024177A">
    <w:pPr>
      <w:pStyle w:val="Header"/>
      <w:ind w:left="-720"/>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24177A">
    <w:pPr>
      <w:pStyle w:val="Header"/>
      <w:pBdr>
        <w:bottom w:val="single" w:sz="4" w:space="1" w:color="auto"/>
      </w:pBdr>
      <w:ind w:left="-720"/>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492ED2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331A14"/>
    <w:multiLevelType w:val="hybridMultilevel"/>
    <w:tmpl w:val="6E30C9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0"/>
  </w:num>
  <w:num w:numId="3">
    <w:abstractNumId w:val="5"/>
  </w:num>
  <w:num w:numId="4">
    <w:abstractNumId w:val="4"/>
  </w:num>
  <w:num w:numId="5">
    <w:abstractNumId w:val="8"/>
  </w:num>
  <w:num w:numId="6">
    <w:abstractNumId w:val="1"/>
  </w:num>
  <w:num w:numId="7">
    <w:abstractNumId w:val="14"/>
  </w:num>
  <w:num w:numId="8">
    <w:abstractNumId w:val="3"/>
  </w:num>
  <w:num w:numId="9">
    <w:abstractNumId w:val="17"/>
  </w:num>
  <w:num w:numId="10">
    <w:abstractNumId w:val="20"/>
  </w:num>
  <w:num w:numId="11">
    <w:abstractNumId w:val="6"/>
  </w:num>
  <w:num w:numId="12">
    <w:abstractNumId w:val="9"/>
  </w:num>
  <w:num w:numId="13">
    <w:abstractNumId w:val="15"/>
  </w:num>
  <w:num w:numId="14">
    <w:abstractNumId w:val="13"/>
  </w:num>
  <w:num w:numId="15">
    <w:abstractNumId w:val="12"/>
  </w:num>
  <w:num w:numId="16">
    <w:abstractNumId w:val="7"/>
  </w:num>
  <w:num w:numId="17">
    <w:abstractNumId w:val="19"/>
  </w:num>
  <w:num w:numId="18">
    <w:abstractNumId w:val="2"/>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21915"/>
    <w:rsid w:val="00026E04"/>
    <w:rsid w:val="00030E30"/>
    <w:rsid w:val="00037BEA"/>
    <w:rsid w:val="0004002F"/>
    <w:rsid w:val="00046F48"/>
    <w:rsid w:val="000503E9"/>
    <w:rsid w:val="0006417D"/>
    <w:rsid w:val="0007756A"/>
    <w:rsid w:val="000948FF"/>
    <w:rsid w:val="000A4978"/>
    <w:rsid w:val="000B5806"/>
    <w:rsid w:val="000C0EDD"/>
    <w:rsid w:val="000C3EE4"/>
    <w:rsid w:val="000C6E6B"/>
    <w:rsid w:val="000F45B8"/>
    <w:rsid w:val="00117FF0"/>
    <w:rsid w:val="00134594"/>
    <w:rsid w:val="00145D37"/>
    <w:rsid w:val="00145DCD"/>
    <w:rsid w:val="00156DF9"/>
    <w:rsid w:val="00175867"/>
    <w:rsid w:val="00182A52"/>
    <w:rsid w:val="0019418D"/>
    <w:rsid w:val="001A4643"/>
    <w:rsid w:val="001B35EC"/>
    <w:rsid w:val="001C13B0"/>
    <w:rsid w:val="001D446B"/>
    <w:rsid w:val="001E548C"/>
    <w:rsid w:val="001E563E"/>
    <w:rsid w:val="001F054A"/>
    <w:rsid w:val="001F5842"/>
    <w:rsid w:val="001F7697"/>
    <w:rsid w:val="00203F27"/>
    <w:rsid w:val="00212F8E"/>
    <w:rsid w:val="00215949"/>
    <w:rsid w:val="00220803"/>
    <w:rsid w:val="0022260A"/>
    <w:rsid w:val="0024177A"/>
    <w:rsid w:val="00242C43"/>
    <w:rsid w:val="0024545B"/>
    <w:rsid w:val="00245A93"/>
    <w:rsid w:val="00247863"/>
    <w:rsid w:val="00260683"/>
    <w:rsid w:val="002648BF"/>
    <w:rsid w:val="002719DC"/>
    <w:rsid w:val="00275351"/>
    <w:rsid w:val="002763FD"/>
    <w:rsid w:val="00286B1C"/>
    <w:rsid w:val="00292CAA"/>
    <w:rsid w:val="0029506E"/>
    <w:rsid w:val="00297578"/>
    <w:rsid w:val="002A3912"/>
    <w:rsid w:val="002A72A3"/>
    <w:rsid w:val="002B0AB3"/>
    <w:rsid w:val="002C0095"/>
    <w:rsid w:val="002C3ED3"/>
    <w:rsid w:val="002D2A5E"/>
    <w:rsid w:val="002D72C8"/>
    <w:rsid w:val="002E3647"/>
    <w:rsid w:val="002E66C0"/>
    <w:rsid w:val="002F68C3"/>
    <w:rsid w:val="00304CD6"/>
    <w:rsid w:val="003058E2"/>
    <w:rsid w:val="00307104"/>
    <w:rsid w:val="00313B60"/>
    <w:rsid w:val="00314EB4"/>
    <w:rsid w:val="00320A46"/>
    <w:rsid w:val="00326F09"/>
    <w:rsid w:val="0033445D"/>
    <w:rsid w:val="003345AD"/>
    <w:rsid w:val="00337224"/>
    <w:rsid w:val="00337C92"/>
    <w:rsid w:val="0034375E"/>
    <w:rsid w:val="0034416C"/>
    <w:rsid w:val="003705AE"/>
    <w:rsid w:val="003816A7"/>
    <w:rsid w:val="00385DD9"/>
    <w:rsid w:val="00395DE0"/>
    <w:rsid w:val="003A25CB"/>
    <w:rsid w:val="003A2A9C"/>
    <w:rsid w:val="003A73AE"/>
    <w:rsid w:val="003D1BBB"/>
    <w:rsid w:val="00425805"/>
    <w:rsid w:val="00446C97"/>
    <w:rsid w:val="00450270"/>
    <w:rsid w:val="004632CC"/>
    <w:rsid w:val="004735CD"/>
    <w:rsid w:val="00482109"/>
    <w:rsid w:val="004A09D7"/>
    <w:rsid w:val="004A33F2"/>
    <w:rsid w:val="004C2A66"/>
    <w:rsid w:val="004C464B"/>
    <w:rsid w:val="004D2CAE"/>
    <w:rsid w:val="004D6775"/>
    <w:rsid w:val="004E05D2"/>
    <w:rsid w:val="00510038"/>
    <w:rsid w:val="00515DB0"/>
    <w:rsid w:val="00516CA0"/>
    <w:rsid w:val="00533B7A"/>
    <w:rsid w:val="00533D8C"/>
    <w:rsid w:val="005342D0"/>
    <w:rsid w:val="00537FA9"/>
    <w:rsid w:val="005417A3"/>
    <w:rsid w:val="00550CB4"/>
    <w:rsid w:val="00552121"/>
    <w:rsid w:val="0055220A"/>
    <w:rsid w:val="00580E09"/>
    <w:rsid w:val="00595FAB"/>
    <w:rsid w:val="00597FA1"/>
    <w:rsid w:val="00597FD7"/>
    <w:rsid w:val="005A14DE"/>
    <w:rsid w:val="005A2F8C"/>
    <w:rsid w:val="005A5B80"/>
    <w:rsid w:val="005A5FF1"/>
    <w:rsid w:val="005B126D"/>
    <w:rsid w:val="005C3620"/>
    <w:rsid w:val="005D4269"/>
    <w:rsid w:val="005D4F41"/>
    <w:rsid w:val="005F1AAE"/>
    <w:rsid w:val="005F200B"/>
    <w:rsid w:val="005F2159"/>
    <w:rsid w:val="005F3759"/>
    <w:rsid w:val="005F3F61"/>
    <w:rsid w:val="005F49A3"/>
    <w:rsid w:val="005F6F58"/>
    <w:rsid w:val="006027AD"/>
    <w:rsid w:val="00602B6F"/>
    <w:rsid w:val="006042B0"/>
    <w:rsid w:val="00615F01"/>
    <w:rsid w:val="00617EFE"/>
    <w:rsid w:val="00624D7A"/>
    <w:rsid w:val="00631814"/>
    <w:rsid w:val="00633B41"/>
    <w:rsid w:val="00633FCB"/>
    <w:rsid w:val="0064549B"/>
    <w:rsid w:val="00660116"/>
    <w:rsid w:val="006668F4"/>
    <w:rsid w:val="0067074A"/>
    <w:rsid w:val="006823F4"/>
    <w:rsid w:val="00683ECF"/>
    <w:rsid w:val="00685472"/>
    <w:rsid w:val="00686FA4"/>
    <w:rsid w:val="00690BA7"/>
    <w:rsid w:val="006A2019"/>
    <w:rsid w:val="006D16EE"/>
    <w:rsid w:val="006D2CFF"/>
    <w:rsid w:val="006D5FD1"/>
    <w:rsid w:val="006D7032"/>
    <w:rsid w:val="006E7F24"/>
    <w:rsid w:val="006F08A9"/>
    <w:rsid w:val="006F1786"/>
    <w:rsid w:val="006F6F2F"/>
    <w:rsid w:val="00704964"/>
    <w:rsid w:val="00710665"/>
    <w:rsid w:val="00715EDF"/>
    <w:rsid w:val="00717A08"/>
    <w:rsid w:val="0073092B"/>
    <w:rsid w:val="00733E43"/>
    <w:rsid w:val="007438E4"/>
    <w:rsid w:val="00747593"/>
    <w:rsid w:val="00766D7E"/>
    <w:rsid w:val="007732D8"/>
    <w:rsid w:val="00782EE7"/>
    <w:rsid w:val="00785F1F"/>
    <w:rsid w:val="00786DDA"/>
    <w:rsid w:val="007933BE"/>
    <w:rsid w:val="00794619"/>
    <w:rsid w:val="007A5414"/>
    <w:rsid w:val="007D104A"/>
    <w:rsid w:val="007D44F5"/>
    <w:rsid w:val="007D480A"/>
    <w:rsid w:val="007F7D99"/>
    <w:rsid w:val="00802356"/>
    <w:rsid w:val="00802751"/>
    <w:rsid w:val="00802ABF"/>
    <w:rsid w:val="008102FE"/>
    <w:rsid w:val="00810831"/>
    <w:rsid w:val="00834279"/>
    <w:rsid w:val="00836BA5"/>
    <w:rsid w:val="008423B5"/>
    <w:rsid w:val="00842CBE"/>
    <w:rsid w:val="008508D8"/>
    <w:rsid w:val="008627AB"/>
    <w:rsid w:val="00866B15"/>
    <w:rsid w:val="00873A81"/>
    <w:rsid w:val="00874B95"/>
    <w:rsid w:val="00881B6E"/>
    <w:rsid w:val="008853BE"/>
    <w:rsid w:val="008931B6"/>
    <w:rsid w:val="008A1670"/>
    <w:rsid w:val="008A2613"/>
    <w:rsid w:val="008A34AE"/>
    <w:rsid w:val="008A4A13"/>
    <w:rsid w:val="008D38CF"/>
    <w:rsid w:val="008D6406"/>
    <w:rsid w:val="008E5C6C"/>
    <w:rsid w:val="00902997"/>
    <w:rsid w:val="0092414E"/>
    <w:rsid w:val="009327AD"/>
    <w:rsid w:val="009503E1"/>
    <w:rsid w:val="0095730B"/>
    <w:rsid w:val="009643E3"/>
    <w:rsid w:val="00977024"/>
    <w:rsid w:val="009915D8"/>
    <w:rsid w:val="009C0C66"/>
    <w:rsid w:val="009C4400"/>
    <w:rsid w:val="009C4755"/>
    <w:rsid w:val="009D10A7"/>
    <w:rsid w:val="009E0BD5"/>
    <w:rsid w:val="00A030B0"/>
    <w:rsid w:val="00A053A5"/>
    <w:rsid w:val="00A13884"/>
    <w:rsid w:val="00A24059"/>
    <w:rsid w:val="00A2529B"/>
    <w:rsid w:val="00A376D4"/>
    <w:rsid w:val="00A46EF2"/>
    <w:rsid w:val="00A60033"/>
    <w:rsid w:val="00A6699E"/>
    <w:rsid w:val="00A913B0"/>
    <w:rsid w:val="00A9450F"/>
    <w:rsid w:val="00A97339"/>
    <w:rsid w:val="00AB5B2F"/>
    <w:rsid w:val="00AC1810"/>
    <w:rsid w:val="00AC7A79"/>
    <w:rsid w:val="00AD1EA6"/>
    <w:rsid w:val="00AD3270"/>
    <w:rsid w:val="00AD5E65"/>
    <w:rsid w:val="00AE2E72"/>
    <w:rsid w:val="00AE3A63"/>
    <w:rsid w:val="00AE5FB3"/>
    <w:rsid w:val="00AF208A"/>
    <w:rsid w:val="00B020CE"/>
    <w:rsid w:val="00B108C7"/>
    <w:rsid w:val="00B155DE"/>
    <w:rsid w:val="00B234B6"/>
    <w:rsid w:val="00B46907"/>
    <w:rsid w:val="00B47977"/>
    <w:rsid w:val="00B558F2"/>
    <w:rsid w:val="00B63ABA"/>
    <w:rsid w:val="00B66FF5"/>
    <w:rsid w:val="00B74B7B"/>
    <w:rsid w:val="00B84DF2"/>
    <w:rsid w:val="00B86AD7"/>
    <w:rsid w:val="00B9130C"/>
    <w:rsid w:val="00B94218"/>
    <w:rsid w:val="00BA1046"/>
    <w:rsid w:val="00BA1F45"/>
    <w:rsid w:val="00BB4138"/>
    <w:rsid w:val="00BC37AA"/>
    <w:rsid w:val="00BC5FF1"/>
    <w:rsid w:val="00BD3F65"/>
    <w:rsid w:val="00BD525C"/>
    <w:rsid w:val="00BD5FC4"/>
    <w:rsid w:val="00C05D73"/>
    <w:rsid w:val="00C07E95"/>
    <w:rsid w:val="00C1294A"/>
    <w:rsid w:val="00C13338"/>
    <w:rsid w:val="00C2600E"/>
    <w:rsid w:val="00C33235"/>
    <w:rsid w:val="00C337AA"/>
    <w:rsid w:val="00C3584B"/>
    <w:rsid w:val="00C40D9C"/>
    <w:rsid w:val="00C4460B"/>
    <w:rsid w:val="00C50DE3"/>
    <w:rsid w:val="00C65569"/>
    <w:rsid w:val="00C66CD0"/>
    <w:rsid w:val="00C7640E"/>
    <w:rsid w:val="00C769EC"/>
    <w:rsid w:val="00C84BF9"/>
    <w:rsid w:val="00CA3CC8"/>
    <w:rsid w:val="00CB35C7"/>
    <w:rsid w:val="00CB3F56"/>
    <w:rsid w:val="00CB5082"/>
    <w:rsid w:val="00CD3462"/>
    <w:rsid w:val="00CE63D1"/>
    <w:rsid w:val="00CF2C17"/>
    <w:rsid w:val="00CF46F0"/>
    <w:rsid w:val="00D00C2B"/>
    <w:rsid w:val="00D0414E"/>
    <w:rsid w:val="00D1733A"/>
    <w:rsid w:val="00D20242"/>
    <w:rsid w:val="00D53323"/>
    <w:rsid w:val="00D7616C"/>
    <w:rsid w:val="00DA7813"/>
    <w:rsid w:val="00DB1704"/>
    <w:rsid w:val="00DC1E48"/>
    <w:rsid w:val="00DD2DEF"/>
    <w:rsid w:val="00DE1D14"/>
    <w:rsid w:val="00DE7548"/>
    <w:rsid w:val="00E20617"/>
    <w:rsid w:val="00E23CE5"/>
    <w:rsid w:val="00E31173"/>
    <w:rsid w:val="00E40259"/>
    <w:rsid w:val="00E43C26"/>
    <w:rsid w:val="00E45C30"/>
    <w:rsid w:val="00E54BEA"/>
    <w:rsid w:val="00E65A60"/>
    <w:rsid w:val="00E662D2"/>
    <w:rsid w:val="00E670A5"/>
    <w:rsid w:val="00E73E4D"/>
    <w:rsid w:val="00E7690D"/>
    <w:rsid w:val="00E95A73"/>
    <w:rsid w:val="00EB1A37"/>
    <w:rsid w:val="00ED724F"/>
    <w:rsid w:val="00ED7C90"/>
    <w:rsid w:val="00EE39EF"/>
    <w:rsid w:val="00EF4BA6"/>
    <w:rsid w:val="00F05060"/>
    <w:rsid w:val="00F2066F"/>
    <w:rsid w:val="00F25AB5"/>
    <w:rsid w:val="00F26140"/>
    <w:rsid w:val="00F30256"/>
    <w:rsid w:val="00F37993"/>
    <w:rsid w:val="00F51ADD"/>
    <w:rsid w:val="00F55C6F"/>
    <w:rsid w:val="00F60D0F"/>
    <w:rsid w:val="00F66CA6"/>
    <w:rsid w:val="00F748CD"/>
    <w:rsid w:val="00F807C2"/>
    <w:rsid w:val="00F94136"/>
    <w:rsid w:val="00FB554C"/>
    <w:rsid w:val="00FD20DF"/>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Level CO Quantitative Hot-Spot Analysis –</dc:title>
  <dc:creator/>
  <cp:lastModifiedBy/>
  <cp:revision>1</cp:revision>
  <dcterms:created xsi:type="dcterms:W3CDTF">2018-09-10T21:32:00Z</dcterms:created>
  <dcterms:modified xsi:type="dcterms:W3CDTF">2019-06-04T20:30:00Z</dcterms:modified>
</cp:coreProperties>
</file>