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3" w:rsidRDefault="008A4A13" w:rsidP="0024177A">
      <w:pPr>
        <w:pStyle w:val="Heading1"/>
        <w:spacing w:before="120"/>
        <w:ind w:left="-720"/>
        <w:rPr>
          <w:rFonts w:ascii="Book Antiqua" w:hAnsi="Book Antiqua"/>
          <w:b w:val="0"/>
          <w:color w:val="auto"/>
          <w:sz w:val="32"/>
          <w:szCs w:val="32"/>
        </w:rPr>
      </w:pPr>
      <w:bookmarkStart w:id="0" w:name="_GoBack"/>
      <w:r w:rsidRPr="00683ECF">
        <w:rPr>
          <w:rFonts w:ascii="Book Antiqua" w:hAnsi="Book Antiqua"/>
          <w:b w:val="0"/>
          <w:color w:val="auto"/>
          <w:sz w:val="32"/>
          <w:szCs w:val="32"/>
        </w:rPr>
        <w:t xml:space="preserve">Project Level </w:t>
      </w:r>
      <w:r w:rsidR="006F1786" w:rsidRPr="000B66B1">
        <w:rPr>
          <w:rFonts w:ascii="Book Antiqua" w:hAnsi="Book Antiqua"/>
          <w:b w:val="0"/>
          <w:color w:val="auto"/>
          <w:sz w:val="32"/>
          <w:szCs w:val="32"/>
        </w:rPr>
        <w:t>PM Quantitative Hot</w:t>
      </w:r>
      <w:r w:rsidR="00CB3F56">
        <w:rPr>
          <w:rFonts w:ascii="Book Antiqua" w:hAnsi="Book Antiqua"/>
          <w:b w:val="0"/>
          <w:color w:val="auto"/>
          <w:sz w:val="32"/>
          <w:szCs w:val="32"/>
        </w:rPr>
        <w:t>-S</w:t>
      </w:r>
      <w:r w:rsidR="006F1786" w:rsidRPr="000B66B1">
        <w:rPr>
          <w:rFonts w:ascii="Book Antiqua" w:hAnsi="Book Antiqua"/>
          <w:b w:val="0"/>
          <w:color w:val="auto"/>
          <w:sz w:val="32"/>
          <w:szCs w:val="32"/>
        </w:rPr>
        <w:t xml:space="preserve">pot Analysis </w:t>
      </w:r>
      <w:r>
        <w:rPr>
          <w:rFonts w:ascii="Book Antiqua" w:hAnsi="Book Antiqua"/>
          <w:b w:val="0"/>
          <w:color w:val="auto"/>
          <w:sz w:val="32"/>
          <w:szCs w:val="32"/>
        </w:rPr>
        <w:t>–</w:t>
      </w:r>
    </w:p>
    <w:p w:rsidR="006F1786" w:rsidRPr="000B66B1" w:rsidRDefault="006F1786" w:rsidP="0024177A">
      <w:pPr>
        <w:pStyle w:val="Heading1"/>
        <w:spacing w:before="120"/>
        <w:ind w:left="-720"/>
        <w:rPr>
          <w:rFonts w:ascii="Book Antiqua" w:hAnsi="Book Antiqua"/>
          <w:b w:val="0"/>
          <w:color w:val="auto"/>
          <w:sz w:val="32"/>
          <w:szCs w:val="32"/>
        </w:rPr>
      </w:pPr>
      <w:r w:rsidRPr="000B66B1">
        <w:rPr>
          <w:rFonts w:ascii="Book Antiqua" w:hAnsi="Book Antiqua"/>
          <w:b w:val="0"/>
          <w:color w:val="auto"/>
          <w:sz w:val="32"/>
          <w:szCs w:val="32"/>
        </w:rPr>
        <w:t xml:space="preserve">Consultation Document </w:t>
      </w:r>
      <w:r w:rsidR="008A4A13">
        <w:rPr>
          <w:rFonts w:ascii="Book Antiqua" w:hAnsi="Book Antiqua"/>
          <w:b w:val="0"/>
          <w:color w:val="auto"/>
          <w:sz w:val="32"/>
          <w:szCs w:val="32"/>
        </w:rPr>
        <w:t>for</w:t>
      </w:r>
      <w:r w:rsidRPr="000B66B1">
        <w:rPr>
          <w:rFonts w:ascii="Book Antiqua" w:hAnsi="Book Antiqua"/>
          <w:b w:val="0"/>
          <w:color w:val="auto"/>
          <w:sz w:val="32"/>
          <w:szCs w:val="32"/>
        </w:rPr>
        <w:t xml:space="preserve"> Project of Air Quality Concern</w:t>
      </w:r>
    </w:p>
    <w:bookmarkEnd w:id="0"/>
    <w:p w:rsidR="006F1786" w:rsidRPr="00D51576" w:rsidRDefault="00043B47" w:rsidP="0024177A">
      <w:pPr>
        <w:spacing w:after="240"/>
        <w:ind w:left="-720"/>
        <w:rPr>
          <w:rFonts w:ascii="Book Antiqua" w:hAnsi="Book Antiqua"/>
          <w:sz w:val="32"/>
          <w:szCs w:val="32"/>
        </w:rPr>
      </w:pPr>
      <w:r>
        <w:rPr>
          <w:rFonts w:ascii="Book Antiqua" w:hAnsi="Book Antiqua"/>
          <w:sz w:val="32"/>
          <w:szCs w:val="32"/>
        </w:rPr>
        <w:pict>
          <v:rect id="_x0000_i1025" style="width:0;height:1.5pt" o:hralign="center" o:hrstd="t" o:hr="t" fillcolor="gray" stroked="f"/>
        </w:pict>
      </w:r>
    </w:p>
    <w:p w:rsidR="006F1786" w:rsidRPr="00C33235" w:rsidRDefault="006F1786" w:rsidP="0024177A">
      <w:pPr>
        <w:ind w:left="-720"/>
        <w:rPr>
          <w:rFonts w:ascii="Book Antiqua" w:hAnsi="Book Antiqua"/>
          <w:i/>
          <w:color w:val="548DD4" w:themeColor="text2" w:themeTint="99"/>
          <w:sz w:val="22"/>
        </w:rPr>
      </w:pPr>
      <w:r>
        <w:rPr>
          <w:rFonts w:ascii="Book Antiqua" w:hAnsi="Book Antiqua"/>
          <w:i/>
          <w:color w:val="548DD4" w:themeColor="text2" w:themeTint="99"/>
        </w:rPr>
        <w:t xml:space="preserve">General </w:t>
      </w:r>
      <w:r w:rsidRPr="00C33235">
        <w:rPr>
          <w:rFonts w:ascii="Book Antiqua" w:hAnsi="Book Antiqua"/>
          <w:i/>
          <w:color w:val="548DD4" w:themeColor="text2" w:themeTint="99"/>
        </w:rPr>
        <w:t>Instructions:</w:t>
      </w:r>
      <w:r w:rsidRPr="00C33235">
        <w:rPr>
          <w:rFonts w:ascii="Book Antiqua" w:hAnsi="Book Antiqua"/>
          <w:i/>
          <w:color w:val="548DD4" w:themeColor="text2" w:themeTint="99"/>
          <w:sz w:val="28"/>
          <w:szCs w:val="28"/>
        </w:rPr>
        <w:t xml:space="preserve"> </w:t>
      </w:r>
      <w:r w:rsidRPr="00C33235">
        <w:rPr>
          <w:rFonts w:ascii="Book Antiqua" w:hAnsi="Book Antiqua"/>
          <w:i/>
          <w:color w:val="548DD4" w:themeColor="text2" w:themeTint="99"/>
          <w:sz w:val="22"/>
        </w:rPr>
        <w:t xml:space="preserve">The Arizona Department of Transportation (ADOT) developed the following </w:t>
      </w:r>
      <w:r>
        <w:rPr>
          <w:rFonts w:ascii="Book Antiqua" w:hAnsi="Book Antiqua"/>
          <w:i/>
          <w:color w:val="548DD4" w:themeColor="text2" w:themeTint="99"/>
          <w:sz w:val="22"/>
        </w:rPr>
        <w:t xml:space="preserve">consultation document </w:t>
      </w:r>
      <w:r w:rsidRPr="00C33235">
        <w:rPr>
          <w:rFonts w:ascii="Book Antiqua" w:hAnsi="Book Antiqua"/>
          <w:i/>
          <w:color w:val="548DD4" w:themeColor="text2" w:themeTint="99"/>
          <w:sz w:val="22"/>
        </w:rPr>
        <w:t xml:space="preserve">for </w:t>
      </w:r>
      <w:r>
        <w:rPr>
          <w:rFonts w:ascii="Book Antiqua" w:hAnsi="Book Antiqua"/>
          <w:i/>
          <w:color w:val="548DD4" w:themeColor="text2" w:themeTint="99"/>
          <w:sz w:val="22"/>
        </w:rPr>
        <w:t>projects that are</w:t>
      </w:r>
      <w:r w:rsidRPr="00C33235">
        <w:rPr>
          <w:rFonts w:ascii="Book Antiqua" w:hAnsi="Book Antiqua"/>
          <w:i/>
          <w:color w:val="548DD4" w:themeColor="text2" w:themeTint="99"/>
          <w:sz w:val="22"/>
        </w:rPr>
        <w:t xml:space="preserve"> administering Federal Highway Administration (FHWA) and Federal Transit Administration (FTA) </w:t>
      </w:r>
      <w:r>
        <w:rPr>
          <w:rFonts w:ascii="Book Antiqua" w:hAnsi="Book Antiqua"/>
          <w:i/>
          <w:color w:val="548DD4" w:themeColor="text2" w:themeTint="99"/>
          <w:sz w:val="22"/>
        </w:rPr>
        <w:t>funding that is projects of air quality concern as determined through interagency consultation.  The Purpose of this document is to describe the methods, models and assumptions used for a quantitative Hot-spot analysis as required in 40 CFR 93.105(c)(1)(</w:t>
      </w:r>
      <w:proofErr w:type="spellStart"/>
      <w:r>
        <w:rPr>
          <w:rFonts w:ascii="Book Antiqua" w:hAnsi="Book Antiqua"/>
          <w:i/>
          <w:color w:val="548DD4" w:themeColor="text2" w:themeTint="99"/>
          <w:sz w:val="22"/>
        </w:rPr>
        <w:t>i</w:t>
      </w:r>
      <w:proofErr w:type="spellEnd"/>
      <w:r>
        <w:rPr>
          <w:rFonts w:ascii="Book Antiqua" w:hAnsi="Book Antiqua"/>
          <w:i/>
          <w:color w:val="548DD4" w:themeColor="text2" w:themeTint="99"/>
          <w:sz w:val="22"/>
        </w:rPr>
        <w:t>), 93.123, 93.116 and to document that the analysis follows the Transportation Conformity Guidance for Quantitative Hot-Spot Analyses in P</w:t>
      </w:r>
      <w:r w:rsidR="007D480A">
        <w:rPr>
          <w:rFonts w:ascii="Book Antiqua" w:hAnsi="Book Antiqua"/>
          <w:i/>
          <w:color w:val="548DD4" w:themeColor="text2" w:themeTint="99"/>
          <w:sz w:val="22"/>
        </w:rPr>
        <w:t>M</w:t>
      </w:r>
      <w:r>
        <w:rPr>
          <w:rFonts w:ascii="Book Antiqua" w:hAnsi="Book Antiqua"/>
          <w:i/>
          <w:color w:val="548DD4" w:themeColor="text2" w:themeTint="99"/>
          <w:sz w:val="22"/>
        </w:rPr>
        <w:t>2.5 and PM10 Nonattainment and Maintenance Areas.</w:t>
      </w:r>
    </w:p>
    <w:p w:rsidR="006F1786" w:rsidRPr="009C0C66" w:rsidRDefault="006F1786" w:rsidP="006F1786">
      <w:pPr>
        <w:rPr>
          <w:rFonts w:ascii="Book Antiqua" w:hAnsi="Book Antiqua"/>
          <w:b/>
          <w:sz w:val="22"/>
          <w:szCs w:val="22"/>
        </w:rPr>
      </w:pPr>
    </w:p>
    <w:p w:rsidR="006F1786" w:rsidRPr="00BF2446" w:rsidRDefault="006F1786" w:rsidP="0024177A">
      <w:pPr>
        <w:ind w:left="-720"/>
        <w:jc w:val="left"/>
        <w:rPr>
          <w:rFonts w:ascii="Book Antiqua" w:hAnsi="Book Antiqua"/>
          <w:sz w:val="32"/>
          <w:szCs w:val="32"/>
        </w:rPr>
      </w:pPr>
      <w:r w:rsidRPr="000B66B1">
        <w:rPr>
          <w:rFonts w:ascii="Book Antiqua" w:hAnsi="Book Antiqua"/>
          <w:sz w:val="28"/>
          <w:szCs w:val="28"/>
        </w:rPr>
        <w:t>Completing a Particulate Matter (PM) Hot-Spot Analysis</w:t>
      </w:r>
      <w:r>
        <w:rPr>
          <w:rFonts w:ascii="Book Antiqua" w:hAnsi="Book Antiqua"/>
          <w:sz w:val="32"/>
          <w:szCs w:val="32"/>
        </w:rPr>
        <w:br/>
      </w:r>
      <w:proofErr w:type="gramStart"/>
      <w:r w:rsidR="007D480A">
        <w:rPr>
          <w:rFonts w:ascii="Book Antiqua" w:hAnsi="Book Antiqua"/>
          <w:sz w:val="22"/>
          <w:szCs w:val="22"/>
        </w:rPr>
        <w:t>The</w:t>
      </w:r>
      <w:proofErr w:type="gramEnd"/>
      <w:r w:rsidR="007D480A">
        <w:rPr>
          <w:rFonts w:ascii="Book Antiqua" w:hAnsi="Book Antiqua"/>
          <w:sz w:val="22"/>
          <w:szCs w:val="22"/>
        </w:rPr>
        <w:t xml:space="preserve"> general steps required to complete a quantitative PM hot-spot analysis are outlined below and described in detail in the EPA </w:t>
      </w:r>
      <w:r w:rsidR="007D480A" w:rsidRPr="00156DF9">
        <w:rPr>
          <w:rFonts w:ascii="Book Antiqua" w:hAnsi="Book Antiqua"/>
          <w:sz w:val="22"/>
          <w:szCs w:val="22"/>
        </w:rPr>
        <w:t>Office of Transportation and Air Quality</w:t>
      </w:r>
      <w:r w:rsidR="007D480A">
        <w:rPr>
          <w:rFonts w:ascii="Book Antiqua" w:hAnsi="Book Antiqua"/>
          <w:sz w:val="22"/>
          <w:szCs w:val="22"/>
        </w:rPr>
        <w:t xml:space="preserve"> guidance document</w:t>
      </w:r>
      <w:r w:rsidR="007D480A" w:rsidRPr="00156DF9">
        <w:rPr>
          <w:rFonts w:ascii="Book Antiqua" w:hAnsi="Book Antiqua"/>
          <w:sz w:val="22"/>
          <w:szCs w:val="22"/>
        </w:rPr>
        <w:t xml:space="preserve"> </w:t>
      </w:r>
      <w:r w:rsidR="007D480A">
        <w:rPr>
          <w:rFonts w:ascii="Book Antiqua" w:hAnsi="Book Antiqua"/>
          <w:sz w:val="22"/>
          <w:szCs w:val="22"/>
        </w:rPr>
        <w:t>“</w:t>
      </w:r>
      <w:r w:rsidR="007D480A" w:rsidRPr="00955154">
        <w:rPr>
          <w:rFonts w:ascii="Book Antiqua" w:hAnsi="Book Antiqua"/>
          <w:sz w:val="22"/>
          <w:szCs w:val="22"/>
        </w:rPr>
        <w:t>Transportation Conformity Guidance for Quantitative Hot-spot Analyses in PM</w:t>
      </w:r>
      <w:r w:rsidR="007D480A" w:rsidRPr="00AB1FB6">
        <w:rPr>
          <w:rFonts w:ascii="Book Antiqua" w:hAnsi="Book Antiqua"/>
          <w:sz w:val="22"/>
          <w:szCs w:val="22"/>
          <w:vertAlign w:val="subscript"/>
        </w:rPr>
        <w:t xml:space="preserve">2.5 </w:t>
      </w:r>
      <w:r w:rsidR="007D480A" w:rsidRPr="00955154">
        <w:rPr>
          <w:rFonts w:ascii="Book Antiqua" w:hAnsi="Book Antiqua"/>
          <w:sz w:val="22"/>
          <w:szCs w:val="22"/>
        </w:rPr>
        <w:t>and PM</w:t>
      </w:r>
      <w:r w:rsidR="007D480A" w:rsidRPr="00AB1FB6">
        <w:rPr>
          <w:rFonts w:ascii="Book Antiqua" w:hAnsi="Book Antiqua"/>
          <w:sz w:val="22"/>
          <w:szCs w:val="22"/>
          <w:vertAlign w:val="subscript"/>
        </w:rPr>
        <w:t>10</w:t>
      </w:r>
      <w:r w:rsidR="007D480A" w:rsidRPr="00955154">
        <w:rPr>
          <w:rFonts w:ascii="Book Antiqua" w:hAnsi="Book Antiqua"/>
          <w:sz w:val="22"/>
          <w:szCs w:val="22"/>
        </w:rPr>
        <w:t xml:space="preserve"> Nonattainment and Maintenance Areas</w:t>
      </w:r>
      <w:r w:rsidR="007D480A">
        <w:rPr>
          <w:rFonts w:ascii="Book Antiqua" w:hAnsi="Book Antiqua"/>
          <w:sz w:val="22"/>
          <w:szCs w:val="22"/>
        </w:rPr>
        <w:t xml:space="preserve">” </w:t>
      </w:r>
      <w:r w:rsidR="007D480A" w:rsidRPr="00955154">
        <w:rPr>
          <w:rFonts w:ascii="Book Antiqua" w:hAnsi="Book Antiqua"/>
          <w:sz w:val="22"/>
          <w:szCs w:val="22"/>
        </w:rPr>
        <w:t>EPA-420-B-15-084, November 2015</w:t>
      </w:r>
      <w:r w:rsidR="007D480A">
        <w:rPr>
          <w:rFonts w:ascii="Book Antiqua" w:hAnsi="Book Antiqua"/>
          <w:sz w:val="22"/>
          <w:szCs w:val="22"/>
        </w:rPr>
        <w:t>.</w:t>
      </w:r>
    </w:p>
    <w:p w:rsidR="006F1786" w:rsidRDefault="006F1786" w:rsidP="006F1786">
      <w:pPr>
        <w:rPr>
          <w:rFonts w:ascii="Book Antiqua" w:hAnsi="Book Antiqua"/>
          <w:sz w:val="22"/>
          <w:szCs w:val="22"/>
        </w:rPr>
      </w:pPr>
    </w:p>
    <w:p w:rsidR="006F1786" w:rsidRDefault="006F1786" w:rsidP="006F1786">
      <w:pPr>
        <w:ind w:left="720"/>
        <w:rPr>
          <w:rFonts w:ascii="Book Antiqua" w:hAnsi="Book Antiqua"/>
          <w:sz w:val="22"/>
          <w:szCs w:val="22"/>
        </w:rPr>
      </w:pPr>
      <w:r>
        <w:rPr>
          <w:rFonts w:ascii="Times New Roman" w:hAnsi="Times New Roman"/>
          <w:b/>
          <w:noProof/>
        </w:rPr>
        <mc:AlternateContent>
          <mc:Choice Requires="wpg">
            <w:drawing>
              <wp:anchor distT="0" distB="0" distL="114300" distR="114300" simplePos="0" relativeHeight="251659264" behindDoc="0" locked="0" layoutInCell="1" allowOverlap="1" wp14:anchorId="0EA16C77" wp14:editId="61CAC72D">
                <wp:simplePos x="0" y="0"/>
                <wp:positionH relativeFrom="column">
                  <wp:posOffset>-1725</wp:posOffset>
                </wp:positionH>
                <wp:positionV relativeFrom="paragraph">
                  <wp:posOffset>117211</wp:posOffset>
                </wp:positionV>
                <wp:extent cx="5581015" cy="2518914"/>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5581015" cy="2518914"/>
                          <a:chOff x="0" y="0"/>
                          <a:chExt cx="5581218" cy="2567051"/>
                        </a:xfrm>
                      </wpg:grpSpPr>
                      <wps:wsp>
                        <wps:cNvPr id="3" name="Text Box 2"/>
                        <wps:cNvSpPr txBox="1">
                          <a:spLocks noChangeArrowheads="1"/>
                        </wps:cNvSpPr>
                        <wps:spPr bwMode="auto">
                          <a:xfrm>
                            <a:off x="0" y="929031"/>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wps:txbx>
                        <wps:bodyPr rot="0" vert="horz" wrap="square" lIns="91440" tIns="45720" rIns="91440" bIns="45720" anchor="t" anchorCtr="0">
                          <a:noAutofit/>
                        </wps:bodyPr>
                      </wps:wsp>
                      <wps:wsp>
                        <wps:cNvPr id="4" name="Text Box 4"/>
                        <wps:cNvSpPr txBox="1">
                          <a:spLocks noChangeArrowheads="1"/>
                        </wps:cNvSpPr>
                        <wps:spPr bwMode="auto">
                          <a:xfrm>
                            <a:off x="1989734" y="0"/>
                            <a:ext cx="1623695" cy="701675"/>
                          </a:xfrm>
                          <a:prstGeom prst="rect">
                            <a:avLst/>
                          </a:prstGeom>
                          <a:solidFill>
                            <a:srgbClr val="FFFFFF"/>
                          </a:solidFill>
                          <a:ln w="9525">
                            <a:solidFill>
                              <a:srgbClr val="000000"/>
                            </a:solidFill>
                            <a:miter lim="800000"/>
                            <a:headEnd/>
                            <a:tailEnd/>
                          </a:ln>
                        </wps:spPr>
                        <wps:txbx>
                          <w:txbxContent>
                            <w:p w:rsidR="006F1786" w:rsidRPr="004D0A39" w:rsidRDefault="006F1786" w:rsidP="006F1786">
                              <w:pPr>
                                <w:jc w:val="center"/>
                                <w:rPr>
                                  <w:sz w:val="20"/>
                                  <w:szCs w:val="20"/>
                                  <w:u w:val="single"/>
                                </w:rPr>
                              </w:pPr>
                              <w:r w:rsidRPr="004D0A39">
                                <w:rPr>
                                  <w:sz w:val="20"/>
                                  <w:szCs w:val="20"/>
                                  <w:u w:val="single"/>
                                </w:rPr>
                                <w:t>Step 4</w:t>
                              </w:r>
                            </w:p>
                            <w:p w:rsidR="006F1786" w:rsidRPr="004D0A39" w:rsidRDefault="006F1786" w:rsidP="006F1786">
                              <w:pPr>
                                <w:jc w:val="center"/>
                                <w:rPr>
                                  <w:sz w:val="20"/>
                                  <w:szCs w:val="20"/>
                                </w:rPr>
                              </w:pPr>
                              <w:r w:rsidRPr="004D0A39">
                                <w:rPr>
                                  <w:sz w:val="20"/>
                                  <w:szCs w:val="20"/>
                                </w:rPr>
                                <w:t>Estimate Emissions from Road Dust, Construction and Additional Sources</w:t>
                              </w:r>
                            </w:p>
                          </w:txbxContent>
                        </wps:txbx>
                        <wps:bodyPr rot="0" vert="horz" wrap="square" lIns="91440" tIns="45720" rIns="91440" bIns="45720" anchor="t" anchorCtr="0">
                          <a:noAutofit/>
                        </wps:bodyPr>
                      </wps:wsp>
                      <wps:wsp>
                        <wps:cNvPr id="5" name="Text Box 2"/>
                        <wps:cNvSpPr txBox="1">
                          <a:spLocks noChangeArrowheads="1"/>
                        </wps:cNvSpPr>
                        <wps:spPr bwMode="auto">
                          <a:xfrm>
                            <a:off x="1989734" y="929031"/>
                            <a:ext cx="1623695"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5</w:t>
                              </w:r>
                            </w:p>
                            <w:p w:rsidR="006F1786" w:rsidRPr="002968E1" w:rsidRDefault="006F1786" w:rsidP="006F1786">
                              <w:pPr>
                                <w:jc w:val="center"/>
                                <w:rPr>
                                  <w:sz w:val="20"/>
                                  <w:szCs w:val="20"/>
                                </w:rPr>
                              </w:pPr>
                              <w:r w:rsidRPr="002968E1">
                                <w:rPr>
                                  <w:sz w:val="20"/>
                                  <w:szCs w:val="20"/>
                                </w:rPr>
                                <w:t>Select Air Quality Model, Data Inputs, and Receptors</w:t>
                              </w:r>
                            </w:p>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1630680" cy="701675"/>
                          </a:xfrm>
                          <a:prstGeom prst="rect">
                            <a:avLst/>
                          </a:prstGeom>
                          <a:solidFill>
                            <a:srgbClr val="FFFFFF"/>
                          </a:solidFill>
                          <a:ln w="9525">
                            <a:solidFill>
                              <a:srgbClr val="000000"/>
                            </a:solidFill>
                            <a:miter lim="800000"/>
                            <a:headEnd/>
                            <a:tailEnd/>
                          </a:ln>
                        </wps:spPr>
                        <wps:txb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wps:txbx>
                        <wps:bodyPr rot="0" vert="horz" wrap="square" lIns="91440" tIns="45720" rIns="91440" bIns="45720" anchor="t" anchorCtr="0">
                          <a:noAutofit/>
                        </wps:bodyPr>
                      </wps:wsp>
                      <wps:wsp>
                        <wps:cNvPr id="7" name="Text Box 7"/>
                        <wps:cNvSpPr txBox="1">
                          <a:spLocks noChangeArrowheads="1"/>
                        </wps:cNvSpPr>
                        <wps:spPr bwMode="auto">
                          <a:xfrm>
                            <a:off x="3957523" y="0"/>
                            <a:ext cx="1623695" cy="701675"/>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7</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txbxContent>
                        </wps:txbx>
                        <wps:bodyPr rot="0" vert="horz" wrap="square" lIns="91440" tIns="45720" rIns="91440" bIns="45720" anchor="t" anchorCtr="0">
                          <a:noAutofit/>
                        </wps:bodyPr>
                      </wps:wsp>
                      <wps:wsp>
                        <wps:cNvPr id="8" name="Text Box 8"/>
                        <wps:cNvSpPr txBox="1">
                          <a:spLocks noChangeArrowheads="1"/>
                        </wps:cNvSpPr>
                        <wps:spPr bwMode="auto">
                          <a:xfrm>
                            <a:off x="3957523" y="929031"/>
                            <a:ext cx="1623695" cy="701675"/>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8</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Consider Mitigation or Control Measures</w:t>
                              </w:r>
                              <w:r>
                                <w:rPr>
                                  <w:color w:val="8DB3E2" w:themeColor="text2" w:themeTint="66"/>
                                  <w:sz w:val="20"/>
                                  <w:szCs w:val="20"/>
                                </w:rPr>
                                <w:t xml:space="preserve"> **</w:t>
                              </w:r>
                            </w:p>
                          </w:txbxContent>
                        </wps:txbx>
                        <wps:bodyPr rot="0" vert="horz" wrap="square" lIns="91440" tIns="45720" rIns="91440" bIns="45720" anchor="t" anchorCtr="0">
                          <a:noAutofit/>
                        </wps:bodyPr>
                      </wps:wsp>
                      <wps:wsp>
                        <wps:cNvPr id="9" name="Straight Arrow Connector 9"/>
                        <wps:cNvCnPr/>
                        <wps:spPr>
                          <a:xfrm>
                            <a:off x="819302"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19302" y="1623975"/>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809037"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816352"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776825" y="694944"/>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4784141"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0" y="1865376"/>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p>
                          </w:txbxContent>
                        </wps:txbx>
                        <wps:bodyPr rot="0" vert="horz" wrap="square" lIns="91440" tIns="45720" rIns="91440" bIns="45720" anchor="t" anchorCtr="0">
                          <a:noAutofit/>
                        </wps:bodyPr>
                      </wps:wsp>
                      <wps:wsp>
                        <wps:cNvPr id="16" name="Text Box 2"/>
                        <wps:cNvSpPr txBox="1">
                          <a:spLocks noChangeArrowheads="1"/>
                        </wps:cNvSpPr>
                        <wps:spPr bwMode="auto">
                          <a:xfrm>
                            <a:off x="1989734" y="1865376"/>
                            <a:ext cx="1623060" cy="701675"/>
                          </a:xfrm>
                          <a:prstGeom prst="rect">
                            <a:avLst/>
                          </a:prstGeom>
                          <a:solidFill>
                            <a:srgbClr val="FFFFFF"/>
                          </a:solidFill>
                          <a:ln w="9525">
                            <a:solidFill>
                              <a:srgbClr val="000000"/>
                            </a:solidFill>
                            <a:miter lim="800000"/>
                            <a:headEnd/>
                            <a:tailEnd/>
                          </a:ln>
                        </wps:spPr>
                        <wps:txbx>
                          <w:txbxContent>
                            <w:p w:rsidR="006F1786" w:rsidRPr="00417ACE" w:rsidRDefault="006F1786" w:rsidP="006F1786">
                              <w:pPr>
                                <w:jc w:val="center"/>
                                <w:rPr>
                                  <w:sz w:val="20"/>
                                  <w:szCs w:val="20"/>
                                  <w:u w:val="single"/>
                                </w:rPr>
                              </w:pPr>
                              <w:r w:rsidRPr="00417ACE">
                                <w:rPr>
                                  <w:sz w:val="20"/>
                                  <w:szCs w:val="20"/>
                                  <w:u w:val="single"/>
                                </w:rPr>
                                <w:t>Step 6</w:t>
                              </w:r>
                            </w:p>
                            <w:p w:rsidR="006F1786" w:rsidRPr="00417ACE" w:rsidRDefault="006F1786" w:rsidP="006F1786">
                              <w:pPr>
                                <w:jc w:val="center"/>
                                <w:rPr>
                                  <w:sz w:val="20"/>
                                  <w:szCs w:val="20"/>
                                </w:rPr>
                              </w:pPr>
                              <w:r>
                                <w:rPr>
                                  <w:sz w:val="20"/>
                                  <w:szCs w:val="20"/>
                                </w:rPr>
                                <w:t>Determine Background Concentrations</w:t>
                              </w:r>
                            </w:p>
                          </w:txbxContent>
                        </wps:txbx>
                        <wps:bodyPr rot="0" vert="horz" wrap="square" lIns="91440" tIns="45720" rIns="91440" bIns="45720" anchor="t" anchorCtr="0">
                          <a:noAutofit/>
                        </wps:bodyPr>
                      </wps:wsp>
                      <wps:wsp>
                        <wps:cNvPr id="17" name="Text Box 17"/>
                        <wps:cNvSpPr txBox="1">
                          <a:spLocks noChangeArrowheads="1"/>
                        </wps:cNvSpPr>
                        <wps:spPr bwMode="auto">
                          <a:xfrm>
                            <a:off x="3957523" y="1865376"/>
                            <a:ext cx="1623695" cy="701040"/>
                          </a:xfrm>
                          <a:prstGeom prst="rect">
                            <a:avLst/>
                          </a:prstGeom>
                          <a:solidFill>
                            <a:srgbClr val="FFFFFF"/>
                          </a:solidFill>
                          <a:ln w="9525">
                            <a:solidFill>
                              <a:srgbClr val="000000"/>
                            </a:solidFill>
                            <a:miter lim="800000"/>
                            <a:headEnd/>
                            <a:tailEnd/>
                          </a:ln>
                        </wps:spPr>
                        <wps:txb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9</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txbxContent>
                        </wps:txbx>
                        <wps:bodyPr rot="0" vert="horz" wrap="square" lIns="91440" tIns="45720" rIns="91440" bIns="45720" anchor="t" anchorCtr="0">
                          <a:noAutofit/>
                        </wps:bodyPr>
                      </wps:wsp>
                      <wps:wsp>
                        <wps:cNvPr id="18" name="Elbow Connector 18"/>
                        <wps:cNvCnPr/>
                        <wps:spPr>
                          <a:xfrm flipV="1">
                            <a:off x="163128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flipV="1">
                            <a:off x="361370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15pt;margin-top:9.25pt;width:439.45pt;height:198.35pt;z-index:251659264;mso-height-relative:margin" coordsize="55812,2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">
                <v:shapetype id="_x0000_t202" coordsize="21600,21600" o:spt="202" path="m,l,21600r21600,l21600,xe">
                  <v:stroke joinstyle="miter"/>
                  <v:path gradientshapeok="t" o:connecttype="rect"/>
                </v:shapetype>
                <v:shape id="Text Box 2" o:spid="_x0000_s1027" type="#_x0000_t202" style="position:absolute;top:9290;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v:textbox>
                </v:shape>
                <v:shape id="Text Box 4" o:spid="_x0000_s1028" type="#_x0000_t202" style="position:absolute;left:19897;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F1786" w:rsidRPr="004D0A39" w:rsidRDefault="006F1786" w:rsidP="006F1786">
                        <w:pPr>
                          <w:jc w:val="center"/>
                          <w:rPr>
                            <w:sz w:val="20"/>
                            <w:szCs w:val="20"/>
                            <w:u w:val="single"/>
                          </w:rPr>
                        </w:pPr>
                        <w:r w:rsidRPr="004D0A39">
                          <w:rPr>
                            <w:sz w:val="20"/>
                            <w:szCs w:val="20"/>
                            <w:u w:val="single"/>
                          </w:rPr>
                          <w:t>Step 4</w:t>
                        </w:r>
                      </w:p>
                      <w:p w:rsidR="006F1786" w:rsidRPr="004D0A39" w:rsidRDefault="006F1786" w:rsidP="006F1786">
                        <w:pPr>
                          <w:jc w:val="center"/>
                          <w:rPr>
                            <w:sz w:val="20"/>
                            <w:szCs w:val="20"/>
                          </w:rPr>
                        </w:pPr>
                        <w:r w:rsidRPr="004D0A39">
                          <w:rPr>
                            <w:sz w:val="20"/>
                            <w:szCs w:val="20"/>
                          </w:rPr>
                          <w:t>Estimate Emissions from Road Dust, Construction and Additional Sources</w:t>
                        </w:r>
                      </w:p>
                    </w:txbxContent>
                  </v:textbox>
                </v:shape>
                <v:shape id="Text Box 2" o:spid="_x0000_s1029" type="#_x0000_t202" style="position:absolute;left:19897;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5</w:t>
                        </w:r>
                      </w:p>
                      <w:p w:rsidR="006F1786" w:rsidRPr="002968E1" w:rsidRDefault="006F1786" w:rsidP="006F1786">
                        <w:pPr>
                          <w:jc w:val="center"/>
                          <w:rPr>
                            <w:sz w:val="20"/>
                            <w:szCs w:val="20"/>
                          </w:rPr>
                        </w:pPr>
                        <w:r w:rsidRPr="002968E1">
                          <w:rPr>
                            <w:sz w:val="20"/>
                            <w:szCs w:val="20"/>
                          </w:rPr>
                          <w:t>Select Air Quality Model, Data Inputs, and Receptors</w:t>
                        </w:r>
                      </w:p>
                    </w:txbxContent>
                  </v:textbox>
                </v:shape>
                <v:shape id="Text Box 2" o:spid="_x0000_s1030" type="#_x0000_t202" style="position:absolute;width:16306;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v:textbox>
                </v:shape>
                <v:shape id="Text Box 7" o:spid="_x0000_s1031" type="#_x0000_t202" style="position:absolute;left:39575;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7</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txbxContent>
                  </v:textbox>
                </v:shape>
                <v:shape id="Text Box 8" o:spid="_x0000_s1032" type="#_x0000_t202" style="position:absolute;left:39575;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8</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Consider Mitigation or Control Measures</w:t>
                        </w:r>
                        <w:r>
                          <w:rPr>
                            <w:color w:val="8DB3E2" w:themeColor="text2" w:themeTint="66"/>
                            <w:sz w:val="20"/>
                            <w:szCs w:val="20"/>
                          </w:rPr>
                          <w:t xml:space="preserve"> **</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8193;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AWMMAAADaAAAADwAAAGRycy9kb3ducmV2LnhtbESPQWvCQBSE7wX/w/IEL6VuIkRrdJVW&#10;aJsWL7V6f2SfSTD7NmRXk/z7rlDocZiZb5j1tje1uFHrKssK4mkEgji3uuJCwfHn7ekZhPPIGmvL&#10;pGAgB9vN6GGNqbYdf9Pt4AsRIOxSVFB636RSurwkg25qG+LgnW1r0AfZFlK32AW4qeUsiubSYMVh&#10;ocSGdiXll8PVKHj//Np/PJ6qBJPXIUcv436RxUpNxv3LCoSn3v+H/9qZVrCE+5V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QFjDAAAA2gAAAA8AAAAAAAAAAAAA&#10;AAAAoQIAAGRycy9kb3ducmV2LnhtbFBLBQYAAAAABAAEAPkAAACRAwAAAAA=&#10;" strokecolor="black [3213]" strokeweight="1.25pt">
                  <v:stroke endarrow="classic" joinstyle="miter"/>
                </v:shape>
                <v:shape id="Straight Arrow Connector 10" o:spid="_x0000_s1034" type="#_x0000_t32" style="position:absolute;left:8193;top:16239;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FvJ8UAAADbAAAADwAAAGRycy9kb3ducmV2LnhtbESPT2vCQBDF74LfYRmhl1I3KVhLmo1o&#10;oa2WXvzT+5Adk2B2NmS3Gr995yB4m+G9ee83+WJwrTpTHxrPBtJpAoq49LbhysBh//H0CipEZIut&#10;ZzJwpQCLYjzKMbP+wls672KlJIRDhgbqGLtM61DW5DBMfUcs2tH3DqOsfaVtjxcJd61+TpIX7bBh&#10;aaixo/eaytPuzxn43Hz/fD3+NjOcra4lRp0O83VqzMNkWL6BijTEu/l2vbaCL/Tyiwy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FvJ8UAAADbAAAADwAAAAAAAAAA&#10;AAAAAAChAgAAZHJzL2Rvd25yZXYueG1sUEsFBgAAAAAEAAQA+QAAAJMDAAAAAA==&#10;" strokecolor="black [3213]" strokeweight="1.25pt">
                  <v:stroke endarrow="classic" joinstyle="miter"/>
                </v:shape>
                <v:shape id="Straight Arrow Connector 11" o:spid="_x0000_s1035" type="#_x0000_t32" style="position:absolute;left:28090;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3KvL8AAADbAAAADwAAAGRycy9kb3ducmV2LnhtbERPS4vCMBC+C/6HMMJeRNMKPqhGcRd8&#10;4sXXfWjGtthMSpPV+u83C4K3+fieM1s0phQPql1hWUHcj0AQp1YXnCm4nFe9CQjnkTWWlknBixws&#10;5u3WDBNtn3ykx8lnIoSwS1BB7n2VSOnSnAy6vq2IA3eztUEfYJ1JXeMzhJtSDqJoJA0WHBpyrOgn&#10;p/R++jUK1rv9YdO9FkMcfr9S9DJuxttYqa9Os5yC8NT4j/jt3uowP4b/X8I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3KvL8AAADbAAAADwAAAAAAAAAAAAAAAACh&#10;AgAAZHJzL2Rvd25yZXYueG1sUEsFBgAAAAAEAAQA+QAAAI0DAAAAAA==&#10;" strokecolor="black [3213]" strokeweight="1.25pt">
                  <v:stroke endarrow="classic" joinstyle="miter"/>
                </v:shape>
                <v:shape id="Straight Arrow Connector 12" o:spid="_x0000_s1036" type="#_x0000_t32" style="position:absolute;left:28163;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9Uy8IAAADbAAAADwAAAGRycy9kb3ducmV2LnhtbERPTWvCQBC9C/6HZYRepG4SsJbUTVDB&#10;1ooXbXsfsmMSzM6G7DbGf98tCN7m8T5nmQ+mET11rrasIJ5FIIgLq2suFXx/bZ9fQTiPrLGxTApu&#10;5CDPxqMlptpe+Uj9yZcihLBLUUHlfZtK6YqKDLqZbYkDd7adQR9gV0rd4TWEm0YmUfQiDdYcGips&#10;aVNRcTn9GgXvn/vDx/SnnuN8fSvQy3hY7GKlnibD6g2Ep8E/xHf3Tof5Cfz/Eg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9Uy8IAAADbAAAADwAAAAAAAAAAAAAA&#10;AAChAgAAZHJzL2Rvd25yZXYueG1sUEsFBgAAAAAEAAQA+QAAAJADAAAAAA==&#10;" strokecolor="black [3213]" strokeweight="1.25pt">
                  <v:stroke endarrow="classic" joinstyle="miter"/>
                </v:shape>
                <v:shape id="Straight Arrow Connector 13" o:spid="_x0000_s1037" type="#_x0000_t32" style="position:absolute;left:47768;top:6949;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UMIAAADbAAAADwAAAGRycy9kb3ducmV2LnhtbERPTWvCQBC9F/wPywi9SN1E0U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xUMIAAADbAAAADwAAAAAAAAAAAAAA&#10;AAChAgAAZHJzL2Rvd25yZXYueG1sUEsFBgAAAAAEAAQA+QAAAJADAAAAAA==&#10;" strokecolor="black [3213]" strokeweight="1.25pt">
                  <v:stroke endarrow="classic" joinstyle="miter"/>
                </v:shape>
                <v:shape id="Straight Arrow Connector 14" o:spid="_x0000_s1038" type="#_x0000_t32" style="position:absolute;left:47841;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pJMIAAADbAAAADwAAAGRycy9kb3ducmV2LnhtbERPTWvCQBC9F/wPywi9SN1E1E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ppJMIAAADbAAAADwAAAAAAAAAAAAAA&#10;AAChAgAAZHJzL2Rvd25yZXYueG1sUEsFBgAAAAAEAAQA+QAAAJADAAAAAA==&#10;" strokecolor="black [3213]" strokeweight="1.25pt">
                  <v:stroke endarrow="classic" joinstyle="miter"/>
                </v:shape>
                <v:shape id="Text Box 2" o:spid="_x0000_s1039" type="#_x0000_t202" style="position:absolute;top:18653;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p>
                    </w:txbxContent>
                  </v:textbox>
                </v:shape>
                <v:shape id="Text Box 2" o:spid="_x0000_s1040" type="#_x0000_t202" style="position:absolute;left:19897;top:18653;width:16230;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F1786" w:rsidRPr="00417ACE" w:rsidRDefault="006F1786" w:rsidP="006F1786">
                        <w:pPr>
                          <w:jc w:val="center"/>
                          <w:rPr>
                            <w:sz w:val="20"/>
                            <w:szCs w:val="20"/>
                            <w:u w:val="single"/>
                          </w:rPr>
                        </w:pPr>
                        <w:r w:rsidRPr="00417ACE">
                          <w:rPr>
                            <w:sz w:val="20"/>
                            <w:szCs w:val="20"/>
                            <w:u w:val="single"/>
                          </w:rPr>
                          <w:t>Step 6</w:t>
                        </w:r>
                      </w:p>
                      <w:p w:rsidR="006F1786" w:rsidRPr="00417ACE" w:rsidRDefault="006F1786" w:rsidP="006F1786">
                        <w:pPr>
                          <w:jc w:val="center"/>
                          <w:rPr>
                            <w:sz w:val="20"/>
                            <w:szCs w:val="20"/>
                          </w:rPr>
                        </w:pPr>
                        <w:r>
                          <w:rPr>
                            <w:sz w:val="20"/>
                            <w:szCs w:val="20"/>
                          </w:rPr>
                          <w:t>Determine Background Concentrations</w:t>
                        </w:r>
                      </w:p>
                    </w:txbxContent>
                  </v:textbox>
                </v:shape>
                <v:shape id="Text Box 17" o:spid="_x0000_s1041" type="#_x0000_t202" style="position:absolute;left:39575;top:18653;width:16237;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F1786" w:rsidRPr="002D5744" w:rsidRDefault="006F1786" w:rsidP="006F1786">
                        <w:pPr>
                          <w:jc w:val="center"/>
                          <w:rPr>
                            <w:color w:val="8DB3E2" w:themeColor="text2" w:themeTint="66"/>
                            <w:sz w:val="20"/>
                            <w:szCs w:val="20"/>
                            <w:u w:val="single"/>
                          </w:rPr>
                        </w:pPr>
                        <w:r w:rsidRPr="002D5744">
                          <w:rPr>
                            <w:color w:val="8DB3E2" w:themeColor="text2" w:themeTint="66"/>
                            <w:sz w:val="20"/>
                            <w:szCs w:val="20"/>
                            <w:u w:val="single"/>
                          </w:rPr>
                          <w:t>Step 9</w:t>
                        </w:r>
                      </w:p>
                      <w:p w:rsidR="006F1786" w:rsidRPr="002D5744" w:rsidRDefault="006F1786" w:rsidP="006F1786">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2" type="#_x0000_t34" style="position:absolute;left:16312;top:2999;width:3588;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LfcIAAADbAAAADwAAAGRycy9kb3ducmV2LnhtbESPQWvCQBCF7wX/wzKCt7pRJNToKrYg&#10;5NJDjeh1yI5JMDsbsmuM/75zKPQ2w3vz3jfb/ehaNVAfGs8GFvMEFHHpbcOVgXNxfP8AFSKyxdYz&#10;GXhRgP1u8rbFzPon/9BwipWSEA4ZGqhj7DKtQ1mTwzD3HbFoN987jLL2lbY9PiXctXqZJKl22LA0&#10;1NjRV03l/fRwBtxnfl37ZRpXQ/PtL21aUH4sjJlNx8MGVKQx/pv/rnMr+AIrv8g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nLfcIAAADbAAAADwAAAAAAAAAAAAAA&#10;AAChAgAAZHJzL2Rvd25yZXYueG1sUEsFBgAAAAAEAAQA+QAAAJADAAAAAA==&#10;" strokecolor="black [3213]" strokeweight="1pt">
                  <v:stroke endarrow="classic"/>
                </v:shape>
                <v:shape id="Elbow Connector 19" o:spid="_x0000_s1043" type="#_x0000_t34" style="position:absolute;left:36137;top:2999;width:3587;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u5r4AAADbAAAADwAAAGRycy9kb3ducmV2LnhtbERPTYvCMBC9C/6HMII3TRUpazWKCkIv&#10;HrSi16EZ22IzKU2s3X+/EYS9zeN9znrbm1p01LrKsoLZNAJBnFtdcaHgmh0nPyCcR9ZYWyYFv+Rg&#10;uxkO1pho++YzdRdfiBDCLkEFpfdNIqXLSzLoprYhDtzDtgZ9gG0hdYvvEG5qOY+iWBqsODSU2NCh&#10;pPx5eRkFZp/el3Ye+0VXneytjjNKj5lS41G/W4Hw1Pt/8ded6jB/CZ9fwgF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W7mvgAAANsAAAAPAAAAAAAAAAAAAAAAAKEC&#10;AABkcnMvZG93bnJldi54bWxQSwUGAAAAAAQABAD5AAAAjAMAAAAA&#10;" strokecolor="black [3213]" strokeweight="1pt">
                  <v:stroke endarrow="classic"/>
                </v:shape>
              </v:group>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pStyle w:val="ListParagraph"/>
        <w:rPr>
          <w:rFonts w:ascii="Book Antiqua" w:hAnsi="Book Antiqua"/>
          <w:sz w:val="22"/>
          <w:szCs w:val="22"/>
        </w:rPr>
      </w:pPr>
    </w:p>
    <w:p w:rsidR="006F1786" w:rsidRPr="005F5358" w:rsidRDefault="006F1786" w:rsidP="0024177A">
      <w:pPr>
        <w:ind w:left="-720"/>
        <w:jc w:val="left"/>
        <w:rPr>
          <w:rFonts w:ascii="Book Antiqua" w:hAnsi="Book Antiqua"/>
          <w:b/>
        </w:rPr>
      </w:pP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xml:space="preserve"> </w:t>
      </w:r>
      <w:r w:rsidRPr="002D6037">
        <w:rPr>
          <w:rFonts w:ascii="Book Antiqua" w:hAnsi="Book Antiqua"/>
          <w:color w:val="8DB3E2" w:themeColor="text2" w:themeTint="66"/>
          <w:sz w:val="22"/>
          <w:szCs w:val="22"/>
        </w:rPr>
        <w:t>Described in the previous section (Air Quality Concern Questionnaire).</w:t>
      </w:r>
      <w:r>
        <w:rPr>
          <w:rFonts w:ascii="Book Antiqua" w:hAnsi="Book Antiqua"/>
          <w:color w:val="8DB3E2" w:themeColor="text2" w:themeTint="66"/>
          <w:sz w:val="22"/>
          <w:szCs w:val="22"/>
        </w:rPr>
        <w:br/>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These Steps will be described and documented in a final air quality analysis report</w:t>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br/>
      </w:r>
      <w:r w:rsidRPr="005F5358">
        <w:rPr>
          <w:rFonts w:ascii="Book Antiqua" w:hAnsi="Book Antiqua"/>
          <w:b/>
        </w:rPr>
        <w:t>Step 2: Determine the Approach, Models, and Data</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Describe the project area (area substantially affected by the project, 58 FR 62212) and emission sources.</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general approach and analysis year(s) – year(s) of peak emissions during the time frame of the transportation plan (69 FR 40056).</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National Ambient Air Quality Standards (NAAQS) and PM types to be evaluated.</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Select emissions and dispersion models and methods to be used.</w:t>
      </w:r>
    </w:p>
    <w:p w:rsidR="006F1786" w:rsidRPr="00AC7C63"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Obtain project-specific data (e.g., fleet mix, peak-hour volumes and average speed).</w:t>
      </w:r>
    </w:p>
    <w:p w:rsidR="006F1786" w:rsidRPr="005F5358" w:rsidRDefault="006F1786" w:rsidP="0024177A">
      <w:pPr>
        <w:pStyle w:val="ListParagraph"/>
        <w:ind w:left="-720"/>
        <w:rPr>
          <w:rFonts w:ascii="Book Antiqua" w:hAnsi="Book Antiqua"/>
          <w:b/>
        </w:rPr>
      </w:pPr>
      <w:r w:rsidRPr="005F5358">
        <w:rPr>
          <w:rFonts w:ascii="Book Antiqua" w:hAnsi="Book Antiqua"/>
          <w:b/>
        </w:rPr>
        <w:lastRenderedPageBreak/>
        <w:t>Step 3: Estimate On-Road Motor Vehicle Emissions</w:t>
      </w:r>
    </w:p>
    <w:p w:rsidR="006F1786" w:rsidRPr="00AC7C63" w:rsidRDefault="006F1786" w:rsidP="0024177A">
      <w:pPr>
        <w:pStyle w:val="ListParagraph"/>
        <w:numPr>
          <w:ilvl w:val="0"/>
          <w:numId w:val="13"/>
        </w:numPr>
        <w:ind w:left="360"/>
        <w:rPr>
          <w:rFonts w:ascii="Book Antiqua" w:hAnsi="Book Antiqua"/>
          <w:sz w:val="22"/>
          <w:szCs w:val="22"/>
        </w:rPr>
      </w:pPr>
      <w:r w:rsidRPr="00AC7C63">
        <w:rPr>
          <w:rFonts w:ascii="Book Antiqua" w:hAnsi="Book Antiqua"/>
          <w:sz w:val="22"/>
          <w:szCs w:val="22"/>
        </w:rPr>
        <w:t>Estimate on-road motor vehicle emissions using MOVES.</w:t>
      </w:r>
    </w:p>
    <w:p w:rsidR="006F1786" w:rsidRDefault="006F1786" w:rsidP="006F1786">
      <w:pPr>
        <w:rPr>
          <w:rFonts w:ascii="Book Antiqua" w:hAnsi="Book Antiqua"/>
          <w:sz w:val="28"/>
          <w:szCs w:val="28"/>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4: Estimate Emissions from Road Dust, Construction, and Additional Sources</w:t>
      </w:r>
    </w:p>
    <w:p w:rsidR="006F1786" w:rsidRDefault="006F1786" w:rsidP="0024177A">
      <w:pPr>
        <w:pStyle w:val="ListParagraph"/>
        <w:widowControl w:val="0"/>
        <w:numPr>
          <w:ilvl w:val="0"/>
          <w:numId w:val="14"/>
        </w:numPr>
        <w:ind w:left="360"/>
        <w:rPr>
          <w:rFonts w:ascii="Book Antiqua" w:hAnsi="Book Antiqua"/>
          <w:sz w:val="22"/>
          <w:szCs w:val="22"/>
        </w:rPr>
      </w:pPr>
      <w:r w:rsidRPr="00AC7C63">
        <w:rPr>
          <w:rFonts w:ascii="Book Antiqua" w:hAnsi="Book Antiqua"/>
          <w:sz w:val="22"/>
          <w:szCs w:val="22"/>
        </w:rPr>
        <w:t>Estimate road dust emissions using</w:t>
      </w:r>
      <w:r>
        <w:rPr>
          <w:rFonts w:ascii="Book Antiqua" w:hAnsi="Book Antiqua"/>
          <w:sz w:val="22"/>
          <w:szCs w:val="22"/>
        </w:rPr>
        <w:t xml:space="preserve"> AP-42 Paved Roads.</w:t>
      </w:r>
    </w:p>
    <w:p w:rsidR="006F1786" w:rsidRPr="00AC7C63" w:rsidRDefault="006F1786" w:rsidP="0024177A">
      <w:pPr>
        <w:pStyle w:val="ListParagraph"/>
        <w:widowControl w:val="0"/>
        <w:numPr>
          <w:ilvl w:val="0"/>
          <w:numId w:val="14"/>
        </w:numPr>
        <w:ind w:left="360"/>
        <w:rPr>
          <w:rFonts w:ascii="Book Antiqua" w:hAnsi="Book Antiqua"/>
          <w:sz w:val="22"/>
          <w:szCs w:val="22"/>
        </w:rPr>
      </w:pPr>
      <w:r w:rsidRPr="00AC7C63">
        <w:rPr>
          <w:rFonts w:ascii="Book Antiqua" w:hAnsi="Book Antiqua"/>
          <w:sz w:val="22"/>
          <w:szCs w:val="22"/>
        </w:rPr>
        <w:t>Do emissions from other sources</w:t>
      </w:r>
      <w:r>
        <w:rPr>
          <w:rFonts w:ascii="Book Antiqua" w:hAnsi="Book Antiqua"/>
          <w:sz w:val="22"/>
          <w:szCs w:val="22"/>
        </w:rPr>
        <w:t xml:space="preserve"> (e.g., locomotives)</w:t>
      </w:r>
      <w:r w:rsidRPr="00AC7C63">
        <w:rPr>
          <w:rFonts w:ascii="Book Antiqua" w:hAnsi="Book Antiqua"/>
          <w:sz w:val="22"/>
          <w:szCs w:val="22"/>
        </w:rPr>
        <w:t xml:space="preserve"> need to be considered?</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rPr>
      </w:pPr>
      <w:r w:rsidRPr="005F5358">
        <w:rPr>
          <w:rFonts w:ascii="Book Antiqua" w:hAnsi="Book Antiqua"/>
          <w:b/>
        </w:rPr>
        <w:t>Step 5: Select Air Quality Model, Data Inputs, and Receptors</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Obtain and input required site data (e.g., meteorological).</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Input MOVES and AP-42 outputs (emission factors).</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Determine number and location of receptors, roadway links, and signal timing.</w:t>
      </w:r>
    </w:p>
    <w:p w:rsidR="006F1786" w:rsidRPr="00B76920"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Run air quality dispersion model and obtain concentration results.</w:t>
      </w:r>
    </w:p>
    <w:p w:rsidR="006F1786" w:rsidRDefault="006F1786" w:rsidP="0024177A">
      <w:pPr>
        <w:ind w:left="360"/>
        <w:rPr>
          <w:rFonts w:ascii="Book Antiqua" w:hAnsi="Book Antiqua"/>
          <w:sz w:val="28"/>
          <w:szCs w:val="28"/>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6: Determine Background Concentrations</w:t>
      </w:r>
    </w:p>
    <w:p w:rsidR="006F1786" w:rsidRPr="004B15B2" w:rsidRDefault="006F1786" w:rsidP="0024177A">
      <w:pPr>
        <w:pStyle w:val="ListParagraph"/>
        <w:widowControl w:val="0"/>
        <w:numPr>
          <w:ilvl w:val="0"/>
          <w:numId w:val="16"/>
        </w:numPr>
        <w:ind w:left="360"/>
        <w:rPr>
          <w:rFonts w:ascii="Book Antiqua" w:hAnsi="Book Antiqua"/>
          <w:sz w:val="22"/>
          <w:szCs w:val="22"/>
        </w:rPr>
      </w:pPr>
      <w:r>
        <w:rPr>
          <w:rFonts w:ascii="Book Antiqua" w:hAnsi="Book Antiqua"/>
          <w:sz w:val="22"/>
          <w:szCs w:val="22"/>
        </w:rPr>
        <w:t>Determine background concentrations from nearby and other emission sources excluding the emissions from the project itself.</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color w:val="8DB3E2" w:themeColor="text2" w:themeTint="66"/>
        </w:rPr>
      </w:pPr>
      <w:r w:rsidRPr="005F5358">
        <w:rPr>
          <w:rFonts w:ascii="Book Antiqua" w:hAnsi="Book Antiqua"/>
          <w:b/>
          <w:color w:val="8DB3E2" w:themeColor="text2" w:themeTint="66"/>
        </w:rPr>
        <w:t>Step 7: Calculate Design Values and Determine Conformity</w:t>
      </w:r>
    </w:p>
    <w:p w:rsidR="006F1786" w:rsidRPr="002D5744"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Add step 5 results to background concentrations to obtain values for the Build scenario.</w:t>
      </w:r>
    </w:p>
    <w:p w:rsidR="006F1786"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allow the project to conform.</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8: Consider Mitigation or Control Measures</w:t>
      </w:r>
    </w:p>
    <w:p w:rsidR="006F1786" w:rsidRPr="002D5744"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Consider measures to reduce emissions and redo the analysis. If mitigation measures are required for project conformity, they must be included in the applicable SIP and be enforceable.</w:t>
      </w:r>
    </w:p>
    <w:p w:rsidR="006F1786"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from allow the project to conform after implementing mitigation or control measures.</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9: Document Analysis</w:t>
      </w:r>
    </w:p>
    <w:p w:rsidR="006F1786" w:rsidRPr="002D5744" w:rsidRDefault="006F1786" w:rsidP="0024177A">
      <w:pPr>
        <w:pStyle w:val="ListParagraph"/>
        <w:numPr>
          <w:ilvl w:val="0"/>
          <w:numId w:val="19"/>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project conforms or not based on the results of step 7 or step 8.</w:t>
      </w:r>
    </w:p>
    <w:p w:rsidR="006F1786" w:rsidRPr="001901F3" w:rsidRDefault="006F1786" w:rsidP="0024177A">
      <w:pPr>
        <w:pStyle w:val="ListParagraph"/>
        <w:ind w:left="360"/>
        <w:jc w:val="left"/>
        <w:rPr>
          <w:rFonts w:ascii="Book Antiqua" w:hAnsi="Book Antiqua"/>
          <w:i/>
          <w:color w:val="548DD4" w:themeColor="text2" w:themeTint="99"/>
          <w:sz w:val="20"/>
          <w:szCs w:val="20"/>
        </w:rPr>
      </w:pPr>
      <w:r>
        <w:rPr>
          <w:rFonts w:ascii="Book Antiqua" w:hAnsi="Book Antiqua"/>
          <w:i/>
          <w:color w:val="548DD4" w:themeColor="text2" w:themeTint="99"/>
          <w:sz w:val="20"/>
          <w:szCs w:val="20"/>
        </w:rPr>
        <w:t>To support the conclusion that a project meets conformity under 40 CFR 93.116 and 93.123, a</w:t>
      </w:r>
      <w:r w:rsidRPr="001901F3">
        <w:rPr>
          <w:rFonts w:ascii="Book Antiqua" w:hAnsi="Book Antiqua"/>
          <w:i/>
          <w:color w:val="548DD4" w:themeColor="text2" w:themeTint="99"/>
          <w:sz w:val="20"/>
          <w:szCs w:val="20"/>
        </w:rPr>
        <w:t>t a minimum the documentation will include:</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Description of proposed project, when it is expected to open, and projected travel activity data.</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Analysis year(s) examined and factors considering in determining year(s) of peak emissions.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Emissions modeling data, model used</w:t>
      </w:r>
      <w:r>
        <w:rPr>
          <w:rFonts w:ascii="Book Antiqua" w:hAnsi="Book Antiqua"/>
          <w:i/>
          <w:color w:val="548DD4" w:themeColor="text2" w:themeTint="99"/>
          <w:sz w:val="20"/>
          <w:szCs w:val="20"/>
        </w:rPr>
        <w:t xml:space="preserve"> with</w:t>
      </w:r>
      <w:r w:rsidRPr="001901F3">
        <w:rPr>
          <w:rFonts w:ascii="Book Antiqua" w:hAnsi="Book Antiqua"/>
          <w:i/>
          <w:color w:val="548DD4" w:themeColor="text2" w:themeTint="99"/>
          <w:sz w:val="20"/>
          <w:szCs w:val="20"/>
        </w:rPr>
        <w:t xml:space="preserve"> inputs and results, and how characterization of project links.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Model inputs and results for road dust, construction emissions, and emissions from other source if needed.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Air Quality modeling data, included model used, inputs and results and receptors.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background concentrations were determined.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Any mitigation and control measures implemented</w:t>
      </w:r>
      <w:r>
        <w:rPr>
          <w:rFonts w:ascii="Book Antiqua" w:hAnsi="Book Antiqua"/>
          <w:i/>
          <w:color w:val="548DD4" w:themeColor="text2" w:themeTint="99"/>
          <w:sz w:val="20"/>
          <w:szCs w:val="20"/>
        </w:rPr>
        <w:t>, including public involvement or consultation if needed</w:t>
      </w:r>
      <w:r w:rsidRPr="001901F3">
        <w:rPr>
          <w:rFonts w:ascii="Book Antiqua" w:hAnsi="Book Antiqua"/>
          <w:i/>
          <w:color w:val="548DD4" w:themeColor="text2" w:themeTint="99"/>
          <w:sz w:val="20"/>
          <w:szCs w:val="20"/>
        </w:rPr>
        <w: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interagency and public participation requirements were met.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Conclusion that the proposed project meets conformity requirements.</w:t>
      </w:r>
    </w:p>
    <w:p w:rsidR="006F1786"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Sources of data for modeling.</w:t>
      </w:r>
    </w:p>
    <w:p w:rsidR="0024177A" w:rsidRDefault="0024177A" w:rsidP="0024177A">
      <w:pPr>
        <w:ind w:left="360"/>
        <w:rPr>
          <w:rFonts w:ascii="Book Antiqua" w:hAnsi="Book Antiqua"/>
          <w:sz w:val="28"/>
          <w:szCs w:val="28"/>
        </w:rPr>
      </w:pPr>
    </w:p>
    <w:p w:rsidR="0024177A" w:rsidRDefault="0024177A" w:rsidP="006F1786">
      <w:pPr>
        <w:rPr>
          <w:rFonts w:ascii="Book Antiqua" w:hAnsi="Book Antiqua"/>
          <w:sz w:val="28"/>
          <w:szCs w:val="28"/>
        </w:rPr>
      </w:pPr>
    </w:p>
    <w:p w:rsidR="0024177A" w:rsidRDefault="0024177A" w:rsidP="006F1786">
      <w:pPr>
        <w:rPr>
          <w:rFonts w:ascii="Book Antiqua" w:hAnsi="Book Antiqua"/>
          <w:sz w:val="28"/>
          <w:szCs w:val="28"/>
        </w:rPr>
      </w:pPr>
    </w:p>
    <w:p w:rsidR="0024177A" w:rsidRDefault="0024177A" w:rsidP="006F1786">
      <w:pPr>
        <w:rPr>
          <w:rFonts w:ascii="Book Antiqua" w:hAnsi="Book Antiqua"/>
          <w:sz w:val="28"/>
          <w:szCs w:val="28"/>
        </w:rPr>
      </w:pPr>
    </w:p>
    <w:p w:rsidR="006F1786" w:rsidRPr="00286B1C" w:rsidRDefault="006F1786" w:rsidP="0024177A">
      <w:pPr>
        <w:ind w:left="-720"/>
        <w:rPr>
          <w:rFonts w:ascii="Book Antiqua" w:hAnsi="Book Antiqua"/>
          <w:sz w:val="28"/>
          <w:szCs w:val="28"/>
        </w:rPr>
      </w:pPr>
      <w:r>
        <w:rPr>
          <w:rFonts w:ascii="Book Antiqua" w:hAnsi="Book Antiqua"/>
          <w:sz w:val="28"/>
          <w:szCs w:val="28"/>
        </w:rPr>
        <w:lastRenderedPageBreak/>
        <w:t>Interagency Consultation</w:t>
      </w:r>
    </w:p>
    <w:p w:rsidR="006F1786" w:rsidRDefault="006F1786" w:rsidP="0024177A">
      <w:pPr>
        <w:ind w:left="-720"/>
        <w:rPr>
          <w:rFonts w:ascii="Book Antiqua" w:hAnsi="Book Antiqua"/>
          <w:sz w:val="22"/>
          <w:szCs w:val="22"/>
        </w:rPr>
      </w:pPr>
      <w:r>
        <w:rPr>
          <w:rFonts w:ascii="Book Antiqua" w:hAnsi="Book Antiqua"/>
          <w:sz w:val="22"/>
          <w:szCs w:val="22"/>
        </w:rPr>
        <w:t>ADOT will circulate the following Table</w:t>
      </w:r>
      <w:r w:rsidR="00A00AE5">
        <w:rPr>
          <w:rFonts w:ascii="Book Antiqua" w:hAnsi="Book Antiqua"/>
          <w:sz w:val="22"/>
          <w:szCs w:val="22"/>
        </w:rPr>
        <w:t>s</w:t>
      </w:r>
      <w:r>
        <w:rPr>
          <w:rFonts w:ascii="Book Antiqua" w:hAnsi="Book Antiqua"/>
          <w:sz w:val="22"/>
          <w:szCs w:val="22"/>
        </w:rPr>
        <w:t xml:space="preserve"> along with the </w:t>
      </w:r>
      <w:r w:rsidRPr="00BF48C0">
        <w:rPr>
          <w:rFonts w:ascii="Book Antiqua" w:hAnsi="Book Antiqua"/>
          <w:i/>
          <w:sz w:val="22"/>
          <w:szCs w:val="22"/>
        </w:rPr>
        <w:t>Project Level Conformity – Particulate Matter Project of Air Quality Concern Questionnaire</w:t>
      </w:r>
      <w:r w:rsidRPr="00BF48C0">
        <w:rPr>
          <w:rFonts w:ascii="Book Antiqua" w:hAnsi="Book Antiqua"/>
          <w:sz w:val="22"/>
          <w:szCs w:val="22"/>
        </w:rPr>
        <w:t xml:space="preserve"> </w:t>
      </w:r>
      <w:r>
        <w:rPr>
          <w:rFonts w:ascii="Book Antiqua" w:hAnsi="Book Antiqua"/>
          <w:sz w:val="22"/>
          <w:szCs w:val="22"/>
        </w:rPr>
        <w:t>to describe in detail how the steps listed in EPA hot spot guidance will be followed.  It is requested that consulted parties provide comments or questions on the methods, models and assumptions within 20 business days, a non-response will be interpreted to mean that the party concurs with the planning assumptions as describe in the Table.</w:t>
      </w:r>
    </w:p>
    <w:p w:rsidR="006F1786" w:rsidRDefault="006F1786" w:rsidP="0024177A">
      <w:pPr>
        <w:ind w:left="-720"/>
        <w:rPr>
          <w:rFonts w:ascii="Book Antiqua" w:hAnsi="Book Antiqua"/>
          <w:color w:val="548DD4" w:themeColor="text2" w:themeTint="99"/>
          <w:sz w:val="22"/>
          <w:szCs w:val="22"/>
        </w:rPr>
      </w:pPr>
    </w:p>
    <w:p w:rsidR="006F1786" w:rsidRDefault="006F1786" w:rsidP="0024177A">
      <w:pPr>
        <w:ind w:left="-720"/>
        <w:rPr>
          <w:rFonts w:ascii="Book Antiqua" w:hAnsi="Book Antiqua"/>
          <w:color w:val="548DD4" w:themeColor="text2" w:themeTint="99"/>
          <w:sz w:val="22"/>
          <w:szCs w:val="22"/>
        </w:rPr>
      </w:pPr>
      <w:r w:rsidRPr="00304CD6">
        <w:rPr>
          <w:rFonts w:ascii="Book Antiqua" w:hAnsi="Book Antiqua"/>
          <w:color w:val="548DD4" w:themeColor="text2" w:themeTint="99"/>
          <w:sz w:val="22"/>
          <w:szCs w:val="22"/>
        </w:rPr>
        <w:t xml:space="preserve">Identify </w:t>
      </w:r>
      <w:r>
        <w:rPr>
          <w:rFonts w:ascii="Book Antiqua" w:hAnsi="Book Antiqua"/>
          <w:color w:val="548DD4" w:themeColor="text2" w:themeTint="99"/>
          <w:sz w:val="22"/>
          <w:szCs w:val="22"/>
        </w:rPr>
        <w:t>under each are</w:t>
      </w:r>
      <w:r w:rsidR="00794619">
        <w:rPr>
          <w:rFonts w:ascii="Book Antiqua" w:hAnsi="Book Antiqua"/>
          <w:color w:val="548DD4" w:themeColor="text2" w:themeTint="99"/>
          <w:sz w:val="22"/>
          <w:szCs w:val="22"/>
        </w:rPr>
        <w:t xml:space="preserve">a </w:t>
      </w:r>
      <w:r>
        <w:rPr>
          <w:rFonts w:ascii="Book Antiqua" w:hAnsi="Book Antiqua"/>
          <w:color w:val="548DD4" w:themeColor="text2" w:themeTint="99"/>
          <w:sz w:val="22"/>
          <w:szCs w:val="22"/>
        </w:rPr>
        <w:t>the assumptions, data, and method that is proposed for each identified step found in Methods, Models and Assumptions Table</w:t>
      </w:r>
      <w:r w:rsidRPr="00304CD6">
        <w:rPr>
          <w:rFonts w:ascii="Book Antiqua" w:hAnsi="Book Antiqua"/>
          <w:color w:val="548DD4" w:themeColor="text2" w:themeTint="99"/>
          <w:sz w:val="22"/>
          <w:szCs w:val="22"/>
        </w:rPr>
        <w:t>.</w:t>
      </w:r>
    </w:p>
    <w:p w:rsidR="006F1786" w:rsidRDefault="006F1786" w:rsidP="006F1786">
      <w:pPr>
        <w:rPr>
          <w:rFonts w:ascii="Book Antiqua" w:hAnsi="Book Antiqua"/>
          <w:sz w:val="22"/>
          <w:szCs w:val="22"/>
        </w:rPr>
      </w:pPr>
    </w:p>
    <w:p w:rsidR="006F1786" w:rsidRPr="00794619" w:rsidRDefault="006F1786" w:rsidP="0024177A">
      <w:pPr>
        <w:jc w:val="center"/>
        <w:rPr>
          <w:i/>
        </w:rPr>
      </w:pPr>
      <w:r>
        <w:rPr>
          <w:rFonts w:ascii="Book Antiqua" w:hAnsi="Book Antiqua"/>
          <w:sz w:val="22"/>
          <w:szCs w:val="22"/>
        </w:rPr>
        <w:t>Methods, Models and Assumptions</w:t>
      </w:r>
      <w:r w:rsidR="00FF57A2">
        <w:rPr>
          <w:rFonts w:ascii="Book Antiqua" w:hAnsi="Book Antiqua"/>
          <w:sz w:val="22"/>
          <w:szCs w:val="22"/>
        </w:rPr>
        <w:t xml:space="preserve"> for PM</w:t>
      </w:r>
      <w:r>
        <w:rPr>
          <w:rFonts w:ascii="Book Antiqua" w:hAnsi="Book Antiqua"/>
          <w:sz w:val="22"/>
          <w:szCs w:val="22"/>
        </w:rPr>
        <w:t xml:space="preserve"> </w:t>
      </w:r>
      <w:r w:rsidR="0024177A" w:rsidRPr="00794619">
        <w:rPr>
          <w:rFonts w:ascii="Book Antiqua" w:hAnsi="Book Antiqua"/>
          <w:i/>
          <w:sz w:val="22"/>
          <w:szCs w:val="22"/>
        </w:rPr>
        <w:t>(Example)</w:t>
      </w:r>
    </w:p>
    <w:p w:rsidR="0024177A" w:rsidRDefault="006F1786" w:rsidP="006F1786">
      <w:pPr>
        <w:rPr>
          <w:rFonts w:ascii="Book Antiqua" w:hAnsi="Book Antiqua"/>
          <w:sz w:val="22"/>
          <w:szCs w:val="22"/>
        </w:rPr>
      </w:pPr>
      <w:r w:rsidRPr="005F2C33">
        <w:rPr>
          <w:rFonts w:ascii="Book Antiqua" w:hAnsi="Book Antiqua"/>
          <w:sz w:val="22"/>
          <w:szCs w:val="22"/>
        </w:rPr>
        <w:t xml:space="preserve"> </w:t>
      </w:r>
    </w:p>
    <w:tbl>
      <w:tblPr>
        <w:tblStyle w:val="TableGrid"/>
        <w:tblW w:w="10398" w:type="dxa"/>
        <w:tblInd w:w="-612" w:type="dxa"/>
        <w:tblLook w:val="04A0" w:firstRow="1" w:lastRow="0" w:firstColumn="1" w:lastColumn="0" w:noHBand="0" w:noVBand="1"/>
      </w:tblPr>
      <w:tblGrid>
        <w:gridCol w:w="2199"/>
        <w:gridCol w:w="4272"/>
        <w:gridCol w:w="3927"/>
      </w:tblGrid>
      <w:tr w:rsidR="0024177A" w:rsidRPr="0024177A" w:rsidTr="007F7AB8">
        <w:trPr>
          <w:trHeight w:val="305"/>
        </w:trPr>
        <w:tc>
          <w:tcPr>
            <w:tcW w:w="10398" w:type="dxa"/>
            <w:gridSpan w:val="3"/>
            <w:shd w:val="clear" w:color="auto" w:fill="BFBFBF" w:themeFill="background1" w:themeFillShade="BF"/>
            <w:noWrap/>
            <w:hideMark/>
          </w:tcPr>
          <w:p w:rsidR="0024177A" w:rsidRPr="0024177A" w:rsidRDefault="009A557E">
            <w:pPr>
              <w:rPr>
                <w:rFonts w:ascii="Book Antiqua" w:hAnsi="Book Antiqua"/>
                <w:b/>
                <w:bCs/>
                <w:sz w:val="20"/>
                <w:szCs w:val="20"/>
              </w:rPr>
            </w:pPr>
            <w:r>
              <w:rPr>
                <w:rFonts w:ascii="Book Antiqua" w:hAnsi="Book Antiqua"/>
                <w:b/>
                <w:bCs/>
                <w:sz w:val="20"/>
                <w:szCs w:val="20"/>
              </w:rPr>
              <w:t xml:space="preserve">Table 1. </w:t>
            </w:r>
            <w:r w:rsidR="0024177A" w:rsidRPr="0024177A">
              <w:rPr>
                <w:rFonts w:ascii="Book Antiqua" w:hAnsi="Book Antiqua"/>
                <w:b/>
                <w:bCs/>
                <w:sz w:val="20"/>
                <w:szCs w:val="20"/>
              </w:rPr>
              <w:t>Methods, Models and Assumptions</w:t>
            </w:r>
          </w:p>
        </w:tc>
      </w:tr>
      <w:tr w:rsidR="00474FD4" w:rsidRPr="0024177A" w:rsidTr="004F6BEA">
        <w:trPr>
          <w:trHeight w:val="350"/>
        </w:trPr>
        <w:tc>
          <w:tcPr>
            <w:tcW w:w="10398" w:type="dxa"/>
            <w:gridSpan w:val="3"/>
            <w:noWrap/>
          </w:tcPr>
          <w:p w:rsidR="00474FD4" w:rsidRPr="0024177A" w:rsidRDefault="00474FD4">
            <w:pPr>
              <w:rPr>
                <w:rFonts w:ascii="Book Antiqua" w:hAnsi="Book Antiqua"/>
                <w:b/>
                <w:bCs/>
                <w:sz w:val="20"/>
                <w:szCs w:val="20"/>
              </w:rPr>
            </w:pPr>
            <w:r w:rsidRPr="00474FD4">
              <w:rPr>
                <w:rFonts w:ascii="Book Antiqua" w:hAnsi="Book Antiqua"/>
                <w:b/>
                <w:bCs/>
                <w:sz w:val="20"/>
                <w:szCs w:val="20"/>
              </w:rPr>
              <w:t xml:space="preserve">Estimate On-Road Motor Vehicle Emissions </w:t>
            </w:r>
            <w:r>
              <w:rPr>
                <w:rFonts w:ascii="Book Antiqua" w:hAnsi="Book Antiqua"/>
                <w:b/>
                <w:bCs/>
                <w:sz w:val="20"/>
                <w:szCs w:val="20"/>
              </w:rPr>
              <w:t>(Step 3</w:t>
            </w:r>
            <w:r w:rsidRPr="0024177A">
              <w:rPr>
                <w:rFonts w:ascii="Book Antiqua" w:hAnsi="Book Antiqua"/>
                <w:b/>
                <w:bCs/>
                <w:sz w:val="20"/>
                <w:szCs w:val="20"/>
              </w:rPr>
              <w:t>)</w:t>
            </w:r>
          </w:p>
        </w:tc>
      </w:tr>
      <w:tr w:rsidR="0024177A" w:rsidRPr="0024177A" w:rsidTr="007F7AB8">
        <w:trPr>
          <w:trHeight w:val="350"/>
        </w:trPr>
        <w:tc>
          <w:tcPr>
            <w:tcW w:w="2199" w:type="dxa"/>
            <w:noWrap/>
            <w:hideMark/>
          </w:tcPr>
          <w:p w:rsidR="0024177A" w:rsidRPr="0024177A" w:rsidRDefault="0024177A" w:rsidP="00196283">
            <w:pPr>
              <w:rPr>
                <w:rFonts w:ascii="Book Antiqua" w:hAnsi="Book Antiqua"/>
                <w:b/>
                <w:bCs/>
                <w:sz w:val="20"/>
                <w:szCs w:val="20"/>
              </w:rPr>
            </w:pPr>
            <w:r w:rsidRPr="0024177A">
              <w:rPr>
                <w:rFonts w:ascii="Book Antiqua" w:hAnsi="Book Antiqua"/>
                <w:b/>
                <w:bCs/>
                <w:sz w:val="20"/>
                <w:szCs w:val="20"/>
              </w:rPr>
              <w:t>MOVES2014</w:t>
            </w:r>
            <w:r w:rsidR="00196283">
              <w:rPr>
                <w:rFonts w:ascii="Book Antiqua" w:hAnsi="Book Antiqua"/>
                <w:b/>
                <w:bCs/>
                <w:sz w:val="20"/>
                <w:szCs w:val="20"/>
              </w:rPr>
              <w:t>b</w:t>
            </w:r>
          </w:p>
        </w:tc>
        <w:tc>
          <w:tcPr>
            <w:tcW w:w="4272" w:type="dxa"/>
            <w:noWrap/>
            <w:hideMark/>
          </w:tcPr>
          <w:p w:rsidR="0024177A" w:rsidRPr="0024177A" w:rsidRDefault="0024177A">
            <w:pPr>
              <w:rPr>
                <w:rFonts w:ascii="Book Antiqua" w:hAnsi="Book Antiqua"/>
                <w:b/>
                <w:bCs/>
                <w:sz w:val="20"/>
                <w:szCs w:val="20"/>
              </w:rPr>
            </w:pPr>
            <w:r w:rsidRPr="0024177A">
              <w:rPr>
                <w:rFonts w:ascii="Book Antiqua" w:hAnsi="Book Antiqua"/>
                <w:b/>
                <w:bCs/>
                <w:sz w:val="20"/>
                <w:szCs w:val="20"/>
              </w:rPr>
              <w:t>Description</w:t>
            </w:r>
          </w:p>
        </w:tc>
        <w:tc>
          <w:tcPr>
            <w:tcW w:w="3927" w:type="dxa"/>
            <w:noWrap/>
            <w:hideMark/>
          </w:tcPr>
          <w:p w:rsidR="0024177A" w:rsidRPr="0024177A" w:rsidRDefault="0024177A">
            <w:pPr>
              <w:rPr>
                <w:rFonts w:ascii="Book Antiqua" w:hAnsi="Book Antiqua"/>
                <w:b/>
                <w:bCs/>
                <w:sz w:val="20"/>
                <w:szCs w:val="20"/>
              </w:rPr>
            </w:pPr>
            <w:r w:rsidRPr="0024177A">
              <w:rPr>
                <w:rFonts w:ascii="Book Antiqua" w:hAnsi="Book Antiqua"/>
                <w:b/>
                <w:bCs/>
                <w:sz w:val="20"/>
                <w:szCs w:val="20"/>
              </w:rPr>
              <w:t>Data Source</w:t>
            </w:r>
          </w:p>
        </w:tc>
      </w:tr>
      <w:tr w:rsidR="0024177A" w:rsidRPr="0024177A" w:rsidTr="007F7AB8">
        <w:trPr>
          <w:trHeight w:val="35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Scale</w:t>
            </w:r>
          </w:p>
        </w:tc>
        <w:tc>
          <w:tcPr>
            <w:tcW w:w="4272" w:type="dxa"/>
            <w:noWrap/>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On road, Project Emissions Rate</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4.4.2</w:t>
            </w:r>
          </w:p>
        </w:tc>
      </w:tr>
      <w:tr w:rsidR="0024177A" w:rsidRPr="0024177A" w:rsidTr="007F7AB8">
        <w:trPr>
          <w:trHeight w:val="170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Time Span</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4 </w:t>
            </w:r>
            <w:proofErr w:type="gramStart"/>
            <w:r w:rsidRPr="0024177A">
              <w:rPr>
                <w:rFonts w:ascii="Book Antiqua" w:hAnsi="Book Antiqua"/>
                <w:i/>
                <w:iCs/>
                <w:sz w:val="20"/>
                <w:szCs w:val="20"/>
              </w:rPr>
              <w:t>weekday</w:t>
            </w:r>
            <w:proofErr w:type="gramEnd"/>
            <w:r w:rsidRPr="0024177A">
              <w:rPr>
                <w:rFonts w:ascii="Book Antiqua" w:hAnsi="Book Antiqua"/>
                <w:i/>
                <w:iCs/>
                <w:sz w:val="20"/>
                <w:szCs w:val="20"/>
              </w:rPr>
              <w:t xml:space="preserve"> runs for each of the following months January (Quarter 1), April (Quarter 2), July (Quarter 3); October (Quarter 4) for each year.  Each of these 4 runs will further be split by Morning peak hours, Midday Emissions, Evening Peak and Overnight hours as defined by TDM model. </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Sections 2.8, 4.3.2, 4.4.3</w:t>
            </w:r>
          </w:p>
        </w:tc>
      </w:tr>
      <w:tr w:rsidR="0024177A" w:rsidRPr="0024177A" w:rsidTr="007F7AB8">
        <w:trPr>
          <w:trHeight w:val="35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Geographic Bounds</w:t>
            </w:r>
          </w:p>
        </w:tc>
        <w:tc>
          <w:tcPr>
            <w:tcW w:w="4272" w:type="dxa"/>
            <w:noWrap/>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 County</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4.4.4</w:t>
            </w:r>
          </w:p>
        </w:tc>
      </w:tr>
      <w:tr w:rsidR="0024177A" w:rsidRPr="0024177A" w:rsidTr="007F7AB8">
        <w:trPr>
          <w:trHeight w:val="341"/>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Vehicles Equipment</w:t>
            </w:r>
          </w:p>
        </w:tc>
        <w:tc>
          <w:tcPr>
            <w:tcW w:w="4272" w:type="dxa"/>
            <w:noWrap/>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All Fuels and Source Use Types will be selected</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4.4.5</w:t>
            </w:r>
          </w:p>
        </w:tc>
      </w:tr>
      <w:tr w:rsidR="0024177A" w:rsidRPr="0024177A" w:rsidTr="007F7AB8">
        <w:trPr>
          <w:trHeight w:val="368"/>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Road Type</w:t>
            </w:r>
          </w:p>
        </w:tc>
        <w:tc>
          <w:tcPr>
            <w:tcW w:w="4272" w:type="dxa"/>
            <w:noWrap/>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Urban Restricted and Urban Unrestricted access</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4.4.6</w:t>
            </w:r>
          </w:p>
        </w:tc>
      </w:tr>
      <w:tr w:rsidR="0024177A" w:rsidRPr="0024177A" w:rsidTr="007F7AB8">
        <w:trPr>
          <w:trHeight w:val="791"/>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Pollutants and Processes</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Primary Exhaust, Tire wear Break wear for PM10 (and PM2.5 as a prerequisite for model), Organic Carbon, Elemental Carbon, Sulfate Particulate.</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Sections 2.5, 4.4.7</w:t>
            </w:r>
          </w:p>
        </w:tc>
      </w:tr>
      <w:tr w:rsidR="0024177A" w:rsidRPr="0024177A" w:rsidTr="007F7AB8">
        <w:trPr>
          <w:trHeight w:val="80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Manage Input Data Set</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Input database will be created and modified for Project level using required Regional Inputs from latest Regional Conformity Analysis.</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Section 4.4.8, See Project Data Manager below </w:t>
            </w:r>
          </w:p>
        </w:tc>
      </w:tr>
      <w:tr w:rsidR="0024177A" w:rsidRPr="0024177A" w:rsidTr="007F7AB8">
        <w:trPr>
          <w:trHeight w:val="1952"/>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Output</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Database will be created, Grams, Joules, Miles, Distance Traveled, Population will be selected. Fuel type, Emissions process, Road Type and Source Use Type will be selected in the Output Emissions Detail.  After running MOVES2014a for a particular hour/day/month scenario, the PM10_Grams_Per_Veh_Mile script can be run on the output database.</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Section 4.4.10, 4.6 </w:t>
            </w:r>
          </w:p>
        </w:tc>
      </w:tr>
      <w:tr w:rsidR="0024177A" w:rsidRPr="0024177A" w:rsidTr="007F7AB8">
        <w:trPr>
          <w:trHeight w:val="2132"/>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lastRenderedPageBreak/>
              <w:t>Project Data Manager</w:t>
            </w:r>
          </w:p>
        </w:tc>
        <w:tc>
          <w:tcPr>
            <w:tcW w:w="4272" w:type="dxa"/>
            <w:hideMark/>
          </w:tcPr>
          <w:p w:rsidR="0024177A" w:rsidRPr="0024177A" w:rsidRDefault="0024177A" w:rsidP="007F7AB8">
            <w:pPr>
              <w:jc w:val="left"/>
              <w:rPr>
                <w:rFonts w:ascii="Book Antiqua" w:hAnsi="Book Antiqua"/>
                <w:i/>
                <w:iCs/>
                <w:sz w:val="20"/>
                <w:szCs w:val="20"/>
              </w:rPr>
            </w:pPr>
            <w:r w:rsidRPr="0024177A">
              <w:rPr>
                <w:rFonts w:ascii="Book Antiqua" w:hAnsi="Book Antiqua"/>
                <w:i/>
                <w:iCs/>
                <w:sz w:val="20"/>
                <w:szCs w:val="20"/>
              </w:rPr>
              <w:t xml:space="preserve">Database will be created and MOVES2014a templates will be created to include local project data and information provided by </w:t>
            </w:r>
            <w:r w:rsidR="00794619">
              <w:rPr>
                <w:rFonts w:ascii="Book Antiqua" w:hAnsi="Book Antiqua"/>
                <w:i/>
                <w:iCs/>
                <w:sz w:val="20"/>
                <w:szCs w:val="20"/>
              </w:rPr>
              <w:t>xx</w:t>
            </w:r>
            <w:r w:rsidRPr="0024177A">
              <w:rPr>
                <w:rFonts w:ascii="Book Antiqua" w:hAnsi="Book Antiqua"/>
                <w:i/>
                <w:iCs/>
                <w:sz w:val="20"/>
                <w:szCs w:val="20"/>
              </w:rPr>
              <w:t>, e.g., I/M programs, Fuel, Age Distribution, Meteorology Data, to be consistent with the regional model.  Links and Link Source Type will be specific to project as provided by the traffic study, any missing information will use default MOVES2014a data</w:t>
            </w:r>
            <w:r w:rsidR="007F7AB8">
              <w:rPr>
                <w:rFonts w:ascii="Book Antiqua" w:hAnsi="Book Antiqua"/>
                <w:i/>
                <w:iCs/>
                <w:sz w:val="20"/>
                <w:szCs w:val="20"/>
              </w:rPr>
              <w:t>.</w:t>
            </w:r>
            <w:r w:rsidR="009A557E">
              <w:rPr>
                <w:rFonts w:ascii="Book Antiqua" w:hAnsi="Book Antiqua"/>
                <w:i/>
                <w:iCs/>
                <w:sz w:val="20"/>
                <w:szCs w:val="20"/>
              </w:rPr>
              <w:t xml:space="preserve"> </w:t>
            </w:r>
          </w:p>
        </w:tc>
        <w:tc>
          <w:tcPr>
            <w:tcW w:w="3927" w:type="dxa"/>
            <w:hideMark/>
          </w:tcPr>
          <w:p w:rsidR="0024177A" w:rsidRPr="0024177A" w:rsidRDefault="007F7AB8" w:rsidP="0024177A">
            <w:pPr>
              <w:jc w:val="left"/>
              <w:rPr>
                <w:rFonts w:ascii="Book Antiqua" w:hAnsi="Book Antiqua"/>
                <w:sz w:val="20"/>
                <w:szCs w:val="20"/>
              </w:rPr>
            </w:pPr>
            <w:r>
              <w:rPr>
                <w:rFonts w:ascii="Book Antiqua" w:hAnsi="Book Antiqua"/>
                <w:sz w:val="20"/>
                <w:szCs w:val="20"/>
              </w:rPr>
              <w:t>See Table 2 below for details</w:t>
            </w:r>
            <w:r w:rsidR="0024177A" w:rsidRPr="0024177A">
              <w:rPr>
                <w:rFonts w:ascii="Book Antiqua" w:hAnsi="Book Antiqua"/>
                <w:sz w:val="20"/>
                <w:szCs w:val="20"/>
              </w:rPr>
              <w:t xml:space="preserve"> </w:t>
            </w:r>
          </w:p>
        </w:tc>
      </w:tr>
      <w:tr w:rsidR="0024177A" w:rsidRPr="0024177A" w:rsidTr="007F7AB8">
        <w:trPr>
          <w:trHeight w:val="350"/>
        </w:trPr>
        <w:tc>
          <w:tcPr>
            <w:tcW w:w="10398" w:type="dxa"/>
            <w:gridSpan w:val="3"/>
            <w:noWrap/>
            <w:hideMark/>
          </w:tcPr>
          <w:p w:rsidR="0024177A" w:rsidRDefault="0024177A" w:rsidP="0024177A">
            <w:pPr>
              <w:jc w:val="left"/>
              <w:rPr>
                <w:rFonts w:ascii="Book Antiqua" w:hAnsi="Book Antiqua"/>
                <w:b/>
                <w:bCs/>
                <w:sz w:val="20"/>
                <w:szCs w:val="20"/>
              </w:rPr>
            </w:pPr>
            <w:r w:rsidRPr="0024177A">
              <w:rPr>
                <w:rFonts w:ascii="Book Antiqua" w:hAnsi="Book Antiqua"/>
                <w:b/>
                <w:bCs/>
                <w:sz w:val="20"/>
                <w:szCs w:val="20"/>
              </w:rPr>
              <w:t>Estimate Emissions from Road Dust, Construction, and Additional Sources (Step 4)</w:t>
            </w:r>
          </w:p>
          <w:p w:rsidR="00AB0C50" w:rsidRPr="00AB0C50" w:rsidRDefault="00AB0C50" w:rsidP="0024177A">
            <w:pPr>
              <w:jc w:val="left"/>
              <w:rPr>
                <w:rFonts w:ascii="Book Antiqua" w:hAnsi="Book Antiqua"/>
                <w:bCs/>
                <w:sz w:val="20"/>
                <w:szCs w:val="20"/>
              </w:rPr>
            </w:pPr>
            <w:r>
              <w:rPr>
                <w:rFonts w:ascii="Book Antiqua" w:hAnsi="Book Antiqua"/>
                <w:bCs/>
                <w:sz w:val="20"/>
                <w:szCs w:val="20"/>
              </w:rPr>
              <w:t xml:space="preserve">(ADOT will develop AP-42 emission factors below based on SIP or Regional Conformity Analysis provided by ADEQ, MAG, PAG or YMPO depending on the projects’ locations) </w:t>
            </w:r>
          </w:p>
        </w:tc>
      </w:tr>
      <w:tr w:rsidR="00C57D9C" w:rsidRPr="0024177A" w:rsidTr="007F7AB8">
        <w:trPr>
          <w:trHeight w:val="530"/>
        </w:trPr>
        <w:tc>
          <w:tcPr>
            <w:tcW w:w="2199" w:type="dxa"/>
          </w:tcPr>
          <w:p w:rsidR="00C57D9C" w:rsidRPr="0024177A" w:rsidRDefault="00C57D9C" w:rsidP="0024177A">
            <w:pPr>
              <w:jc w:val="left"/>
              <w:rPr>
                <w:rFonts w:ascii="Book Antiqua" w:hAnsi="Book Antiqua"/>
                <w:sz w:val="20"/>
                <w:szCs w:val="20"/>
              </w:rPr>
            </w:pPr>
            <w:r w:rsidRPr="0024177A">
              <w:rPr>
                <w:rFonts w:ascii="Book Antiqua" w:hAnsi="Book Antiqua"/>
                <w:b/>
                <w:bCs/>
                <w:sz w:val="20"/>
                <w:szCs w:val="20"/>
              </w:rPr>
              <w:t>AP-42, Fifth Edition, 2011</w:t>
            </w:r>
          </w:p>
        </w:tc>
        <w:tc>
          <w:tcPr>
            <w:tcW w:w="4272" w:type="dxa"/>
          </w:tcPr>
          <w:p w:rsidR="00C57D9C" w:rsidRPr="0024177A" w:rsidRDefault="00C57D9C" w:rsidP="0024177A">
            <w:pPr>
              <w:jc w:val="left"/>
              <w:rPr>
                <w:rFonts w:ascii="Book Antiqua" w:hAnsi="Book Antiqua"/>
                <w:i/>
                <w:iCs/>
                <w:sz w:val="20"/>
                <w:szCs w:val="20"/>
              </w:rPr>
            </w:pPr>
            <w:r w:rsidRPr="0024177A">
              <w:rPr>
                <w:rFonts w:ascii="Book Antiqua" w:hAnsi="Book Antiqua"/>
                <w:b/>
                <w:bCs/>
                <w:sz w:val="20"/>
                <w:szCs w:val="20"/>
              </w:rPr>
              <w:t>Description</w:t>
            </w:r>
          </w:p>
        </w:tc>
        <w:tc>
          <w:tcPr>
            <w:tcW w:w="3927" w:type="dxa"/>
          </w:tcPr>
          <w:p w:rsidR="00C57D9C" w:rsidRPr="0024177A" w:rsidRDefault="00C57D9C" w:rsidP="0024177A">
            <w:pPr>
              <w:jc w:val="left"/>
              <w:rPr>
                <w:rFonts w:ascii="Book Antiqua" w:hAnsi="Book Antiqua"/>
                <w:i/>
                <w:iCs/>
                <w:sz w:val="20"/>
                <w:szCs w:val="20"/>
              </w:rPr>
            </w:pPr>
            <w:r w:rsidRPr="0024177A">
              <w:rPr>
                <w:rFonts w:ascii="Book Antiqua" w:hAnsi="Book Antiqua"/>
                <w:b/>
                <w:bCs/>
                <w:sz w:val="20"/>
                <w:szCs w:val="20"/>
              </w:rPr>
              <w:t>Data Source</w:t>
            </w:r>
          </w:p>
        </w:tc>
      </w:tr>
      <w:tr w:rsidR="0024177A" w:rsidRPr="0024177A" w:rsidTr="007F7AB8">
        <w:trPr>
          <w:trHeight w:val="530"/>
        </w:trPr>
        <w:tc>
          <w:tcPr>
            <w:tcW w:w="2199"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Average Weight Vehicles</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All roads xx Ton, Freeway xx Ton,  Arterials  xx Ton </w:t>
            </w:r>
          </w:p>
        </w:tc>
        <w:tc>
          <w:tcPr>
            <w:tcW w:w="3927"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Source of Data TIP or RTP, Regional Conformity Analysis</w:t>
            </w:r>
          </w:p>
        </w:tc>
      </w:tr>
      <w:tr w:rsidR="0024177A" w:rsidRPr="0024177A" w:rsidTr="007F7AB8">
        <w:trPr>
          <w:trHeight w:val="197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Silt Loading</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 Section 13.2.1 Paved Roads from AP 42 will be used, consistent with the Regional analysis from xx. Emission factors for road and construction dust should be added to the emission factors generated for each link by MOVES2014a. Ex. Silt loading – Freeways .02 g/m^2, Arterials &gt;10,000 ADT .067g/m^2, Low traffic roads &lt;10,000 ADT .23g/m^2.</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6, When estimating emissions of re-entrained road dust from paved roads, site-specific silt loading data must be consistent with the data used for the project’s county in the regional emissions analysis (40 CFR 93.123(c)(3)).</w:t>
            </w:r>
          </w:p>
        </w:tc>
      </w:tr>
      <w:tr w:rsidR="0024177A" w:rsidRPr="0024177A" w:rsidTr="007F7AB8">
        <w:trPr>
          <w:trHeight w:val="791"/>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Construction Dust</w:t>
            </w:r>
          </w:p>
        </w:tc>
        <w:tc>
          <w:tcPr>
            <w:tcW w:w="4272" w:type="dxa"/>
            <w:hideMark/>
          </w:tcPr>
          <w:p w:rsidR="0024177A" w:rsidRPr="0024177A" w:rsidRDefault="00602DFF" w:rsidP="00602DFF">
            <w:pPr>
              <w:jc w:val="left"/>
              <w:rPr>
                <w:rFonts w:ascii="Book Antiqua" w:hAnsi="Book Antiqua"/>
                <w:i/>
                <w:iCs/>
                <w:sz w:val="20"/>
                <w:szCs w:val="20"/>
              </w:rPr>
            </w:pPr>
            <w:r>
              <w:rPr>
                <w:rFonts w:ascii="Book Antiqua" w:hAnsi="Book Antiqua"/>
                <w:i/>
                <w:iCs/>
                <w:sz w:val="20"/>
                <w:szCs w:val="20"/>
              </w:rPr>
              <w:t xml:space="preserve">Construction Emissions need to be addressed if construction lasts longer than 5 years at any individual site. </w:t>
            </w:r>
            <w:r w:rsidR="0024177A" w:rsidRPr="0024177A">
              <w:rPr>
                <w:rFonts w:ascii="Book Antiqua" w:hAnsi="Book Antiqua"/>
                <w:i/>
                <w:iCs/>
                <w:sz w:val="20"/>
                <w:szCs w:val="20"/>
              </w:rPr>
              <w:t>There are no other sources (e.g., locomoti</w:t>
            </w:r>
            <w:r>
              <w:rPr>
                <w:rFonts w:ascii="Book Antiqua" w:hAnsi="Book Antiqua"/>
                <w:i/>
                <w:iCs/>
                <w:sz w:val="20"/>
                <w:szCs w:val="20"/>
              </w:rPr>
              <w:t>ves) that need to be considered for most projects.</w:t>
            </w:r>
          </w:p>
        </w:tc>
        <w:tc>
          <w:tcPr>
            <w:tcW w:w="3927"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6.4</w:t>
            </w:r>
          </w:p>
        </w:tc>
      </w:tr>
      <w:tr w:rsidR="007F7AB8" w:rsidRPr="0024177A" w:rsidTr="007F7AB8">
        <w:trPr>
          <w:trHeight w:val="791"/>
        </w:trPr>
        <w:tc>
          <w:tcPr>
            <w:tcW w:w="2199" w:type="dxa"/>
            <w:noWrap/>
            <w:hideMark/>
          </w:tcPr>
          <w:p w:rsidR="007F7AB8" w:rsidRPr="0024177A" w:rsidRDefault="007F7AB8" w:rsidP="00A435C4">
            <w:pPr>
              <w:jc w:val="left"/>
              <w:rPr>
                <w:rFonts w:ascii="Book Antiqua" w:hAnsi="Book Antiqua"/>
                <w:sz w:val="20"/>
                <w:szCs w:val="20"/>
              </w:rPr>
            </w:pPr>
            <w:r w:rsidRPr="0024177A">
              <w:rPr>
                <w:rFonts w:ascii="Book Antiqua" w:hAnsi="Book Antiqua"/>
                <w:sz w:val="20"/>
                <w:szCs w:val="20"/>
              </w:rPr>
              <w:t>Precipitation</w:t>
            </w:r>
          </w:p>
        </w:tc>
        <w:tc>
          <w:tcPr>
            <w:tcW w:w="4272" w:type="dxa"/>
            <w:hideMark/>
          </w:tcPr>
          <w:p w:rsidR="007F7AB8" w:rsidRPr="0024177A" w:rsidRDefault="007F7AB8" w:rsidP="00A435C4">
            <w:pPr>
              <w:jc w:val="left"/>
              <w:rPr>
                <w:rFonts w:ascii="Book Antiqua" w:hAnsi="Book Antiqua"/>
                <w:i/>
                <w:iCs/>
                <w:sz w:val="20"/>
                <w:szCs w:val="20"/>
              </w:rPr>
            </w:pPr>
            <w:r w:rsidRPr="0024177A">
              <w:rPr>
                <w:rFonts w:ascii="Book Antiqua" w:hAnsi="Book Antiqua"/>
                <w:i/>
                <w:iCs/>
                <w:sz w:val="20"/>
                <w:szCs w:val="20"/>
              </w:rPr>
              <w:t xml:space="preserve">In xxx SIP/Regional Conformity used average of xx days with at least .01 inch of precipitation County </w:t>
            </w:r>
          </w:p>
        </w:tc>
        <w:tc>
          <w:tcPr>
            <w:tcW w:w="3927" w:type="dxa"/>
            <w:hideMark/>
          </w:tcPr>
          <w:p w:rsidR="007F7AB8" w:rsidRPr="0024177A" w:rsidRDefault="007F7AB8" w:rsidP="00A435C4">
            <w:pPr>
              <w:jc w:val="left"/>
              <w:rPr>
                <w:rFonts w:ascii="Book Antiqua" w:hAnsi="Book Antiqua"/>
                <w:i/>
                <w:iCs/>
                <w:sz w:val="20"/>
                <w:szCs w:val="20"/>
              </w:rPr>
            </w:pPr>
            <w:r w:rsidRPr="0024177A">
              <w:rPr>
                <w:rFonts w:ascii="Book Antiqua" w:hAnsi="Book Antiqua"/>
                <w:i/>
                <w:iCs/>
                <w:sz w:val="20"/>
                <w:szCs w:val="20"/>
              </w:rPr>
              <w:t>Source of Data TIP or RTP, Regional Conformity Analysis, SIP</w:t>
            </w:r>
          </w:p>
        </w:tc>
      </w:tr>
      <w:tr w:rsidR="0024177A" w:rsidRPr="0024177A" w:rsidTr="007F7AB8">
        <w:trPr>
          <w:trHeight w:val="350"/>
        </w:trPr>
        <w:tc>
          <w:tcPr>
            <w:tcW w:w="10398" w:type="dxa"/>
            <w:gridSpan w:val="3"/>
            <w:noWrap/>
            <w:hideMark/>
          </w:tcPr>
          <w:p w:rsidR="0024177A" w:rsidRPr="0024177A" w:rsidRDefault="0024177A" w:rsidP="0024177A">
            <w:pPr>
              <w:jc w:val="left"/>
              <w:rPr>
                <w:rFonts w:ascii="Book Antiqua" w:hAnsi="Book Antiqua"/>
                <w:b/>
                <w:bCs/>
                <w:sz w:val="20"/>
                <w:szCs w:val="20"/>
              </w:rPr>
            </w:pPr>
            <w:r w:rsidRPr="0024177A">
              <w:rPr>
                <w:rFonts w:ascii="Book Antiqua" w:hAnsi="Book Antiqua"/>
                <w:b/>
                <w:bCs/>
                <w:sz w:val="20"/>
                <w:szCs w:val="20"/>
              </w:rPr>
              <w:t>Select Air Quality Model, Data Inputs, and Receptors (Step 5)</w:t>
            </w:r>
          </w:p>
        </w:tc>
      </w:tr>
      <w:tr w:rsidR="0024177A" w:rsidRPr="0024177A" w:rsidTr="007F7AB8">
        <w:trPr>
          <w:trHeight w:val="269"/>
        </w:trPr>
        <w:tc>
          <w:tcPr>
            <w:tcW w:w="2199" w:type="dxa"/>
            <w:noWrap/>
            <w:hideMark/>
          </w:tcPr>
          <w:p w:rsidR="0024177A" w:rsidRPr="0024177A" w:rsidRDefault="00D214FA" w:rsidP="00D214FA">
            <w:pPr>
              <w:jc w:val="left"/>
              <w:rPr>
                <w:rFonts w:ascii="Book Antiqua" w:hAnsi="Book Antiqua"/>
                <w:b/>
                <w:bCs/>
                <w:sz w:val="20"/>
                <w:szCs w:val="20"/>
              </w:rPr>
            </w:pPr>
            <w:r>
              <w:rPr>
                <w:rFonts w:ascii="Book Antiqua" w:hAnsi="Book Antiqua"/>
                <w:b/>
                <w:bCs/>
                <w:sz w:val="20"/>
                <w:szCs w:val="20"/>
              </w:rPr>
              <w:t>AERMOD v.16216r /</w:t>
            </w:r>
            <w:r w:rsidRPr="0024177A">
              <w:rPr>
                <w:rFonts w:ascii="Book Antiqua" w:hAnsi="Book Antiqua"/>
                <w:b/>
                <w:bCs/>
                <w:sz w:val="20"/>
                <w:szCs w:val="20"/>
              </w:rPr>
              <w:t xml:space="preserve"> </w:t>
            </w:r>
            <w:r w:rsidR="0024177A" w:rsidRPr="0024177A">
              <w:rPr>
                <w:rFonts w:ascii="Book Antiqua" w:hAnsi="Book Antiqua"/>
                <w:b/>
                <w:bCs/>
                <w:sz w:val="20"/>
                <w:szCs w:val="20"/>
              </w:rPr>
              <w:t>CAL3QHCR v.13196</w:t>
            </w:r>
          </w:p>
        </w:tc>
        <w:tc>
          <w:tcPr>
            <w:tcW w:w="4272" w:type="dxa"/>
            <w:hideMark/>
          </w:tcPr>
          <w:p w:rsidR="0024177A" w:rsidRPr="0024177A" w:rsidRDefault="0024177A" w:rsidP="0024177A">
            <w:pPr>
              <w:jc w:val="left"/>
              <w:rPr>
                <w:rFonts w:ascii="Book Antiqua" w:hAnsi="Book Antiqua"/>
                <w:b/>
                <w:bCs/>
                <w:sz w:val="20"/>
                <w:szCs w:val="20"/>
              </w:rPr>
            </w:pPr>
            <w:r w:rsidRPr="0024177A">
              <w:rPr>
                <w:rFonts w:ascii="Book Antiqua" w:hAnsi="Book Antiqua"/>
                <w:b/>
                <w:bCs/>
                <w:sz w:val="20"/>
                <w:szCs w:val="20"/>
              </w:rPr>
              <w:t>Description</w:t>
            </w:r>
          </w:p>
        </w:tc>
        <w:tc>
          <w:tcPr>
            <w:tcW w:w="3927" w:type="dxa"/>
            <w:noWrap/>
            <w:hideMark/>
          </w:tcPr>
          <w:p w:rsidR="0024177A" w:rsidRPr="0024177A" w:rsidRDefault="0024177A" w:rsidP="0024177A">
            <w:pPr>
              <w:jc w:val="left"/>
              <w:rPr>
                <w:rFonts w:ascii="Book Antiqua" w:hAnsi="Book Antiqua"/>
                <w:b/>
                <w:bCs/>
                <w:sz w:val="20"/>
                <w:szCs w:val="20"/>
              </w:rPr>
            </w:pPr>
            <w:r w:rsidRPr="0024177A">
              <w:rPr>
                <w:rFonts w:ascii="Book Antiqua" w:hAnsi="Book Antiqua"/>
                <w:b/>
                <w:bCs/>
                <w:sz w:val="20"/>
                <w:szCs w:val="20"/>
              </w:rPr>
              <w:t>Data Source</w:t>
            </w:r>
          </w:p>
        </w:tc>
      </w:tr>
      <w:tr w:rsidR="0024177A" w:rsidRPr="0024177A" w:rsidTr="007F7AB8">
        <w:trPr>
          <w:trHeight w:val="2492"/>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Emissions Sources</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Emissions Rates</w:t>
            </w:r>
            <w:r w:rsidR="00DF7D90">
              <w:rPr>
                <w:rFonts w:ascii="Book Antiqua" w:hAnsi="Book Antiqua"/>
                <w:i/>
                <w:iCs/>
                <w:sz w:val="20"/>
                <w:szCs w:val="20"/>
              </w:rPr>
              <w:t xml:space="preserve"> in grams/time for AERMOD,</w:t>
            </w:r>
            <w:r w:rsidRPr="0024177A">
              <w:rPr>
                <w:rFonts w:ascii="Book Antiqua" w:hAnsi="Book Antiqua"/>
                <w:i/>
                <w:iCs/>
                <w:sz w:val="20"/>
                <w:szCs w:val="20"/>
              </w:rPr>
              <w:t xml:space="preserve"> in grams/mile</w:t>
            </w:r>
            <w:r w:rsidR="00DF7D90">
              <w:rPr>
                <w:rFonts w:ascii="Book Antiqua" w:hAnsi="Book Antiqua"/>
                <w:i/>
                <w:iCs/>
                <w:sz w:val="20"/>
                <w:szCs w:val="20"/>
              </w:rPr>
              <w:t xml:space="preserve"> for CAL3QHCR</w:t>
            </w:r>
            <w:r w:rsidRPr="0024177A">
              <w:rPr>
                <w:rFonts w:ascii="Book Antiqua" w:hAnsi="Book Antiqua"/>
                <w:i/>
                <w:iCs/>
                <w:sz w:val="20"/>
                <w:szCs w:val="20"/>
              </w:rPr>
              <w:t>, all four quarters of analysis years as described in MOVES2014a section. The free flow and queue links defined for modeling with MOVES2014a wil</w:t>
            </w:r>
            <w:r w:rsidR="00DF7D90">
              <w:rPr>
                <w:rFonts w:ascii="Book Antiqua" w:hAnsi="Book Antiqua"/>
                <w:i/>
                <w:iCs/>
                <w:sz w:val="20"/>
                <w:szCs w:val="20"/>
              </w:rPr>
              <w:t>l be used as inputs</w:t>
            </w:r>
            <w:r w:rsidRPr="0024177A">
              <w:rPr>
                <w:rFonts w:ascii="Book Antiqua" w:hAnsi="Book Antiqua"/>
                <w:i/>
                <w:iCs/>
                <w:sz w:val="20"/>
                <w:szCs w:val="20"/>
              </w:rPr>
              <w:t>. The link width was defined as the width of the travel lanes plus 3 meters on either side of the roadway to account for the dispersion of the plume generated by the wake of moving vehicles.  All links will be modeled at grade, with a source height of 0 m.</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Section 7.4, Appendix J, Revision to the Guideline on Air Quality Models: Adoption of a Preferred General Purpose Dispersion Model and Other Revisions Final Rule (U.S. EPA 2005) </w:t>
            </w:r>
          </w:p>
        </w:tc>
      </w:tr>
      <w:tr w:rsidR="0024177A" w:rsidRPr="0024177A" w:rsidTr="007F7AB8">
        <w:trPr>
          <w:trHeight w:val="638"/>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Background concentration</w:t>
            </w:r>
          </w:p>
        </w:tc>
        <w:tc>
          <w:tcPr>
            <w:tcW w:w="4272" w:type="dxa"/>
            <w:noWrap/>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A value of 0 will be used as recommended in guidance.</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7, Appendix J</w:t>
            </w:r>
          </w:p>
        </w:tc>
      </w:tr>
      <w:tr w:rsidR="0024177A" w:rsidRPr="0024177A" w:rsidTr="007F7AB8">
        <w:trPr>
          <w:trHeight w:val="881"/>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Queuing algorithm</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While modeling arterial/intersection projects, the PM hot-spot guidance recommends not using the queuing algorithm. </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Section 7, Appendix J </w:t>
            </w:r>
          </w:p>
        </w:tc>
      </w:tr>
      <w:tr w:rsidR="0024177A" w:rsidRPr="0024177A" w:rsidTr="007F7AB8">
        <w:trPr>
          <w:trHeight w:val="1772"/>
        </w:trPr>
        <w:tc>
          <w:tcPr>
            <w:tcW w:w="2199"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lastRenderedPageBreak/>
              <w:t>Meteorological Data</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The meteorological data will be based on the meteorological data derived from the EPA’s Support Center for Regulatory Atmospheric Modeling for the Phoenix International Airport (surface data) and the Tucson International Airport (upper air data) for the 5-year period from 1987 through 1991. </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7.5, Appendix J</w:t>
            </w:r>
          </w:p>
        </w:tc>
      </w:tr>
      <w:tr w:rsidR="0024177A" w:rsidRPr="0024177A" w:rsidTr="007F7AB8">
        <w:trPr>
          <w:trHeight w:val="1052"/>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Surface Roughness, Dispersion</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Based on land cover surface roughness of xx cm used Single family residential. The urban option will be selected based on the land use classification in the project areas. </w:t>
            </w:r>
          </w:p>
        </w:tc>
        <w:tc>
          <w:tcPr>
            <w:tcW w:w="3927" w:type="dxa"/>
            <w:noWrap/>
            <w:hideMark/>
          </w:tcPr>
          <w:p w:rsidR="0024177A" w:rsidRPr="0024177A" w:rsidRDefault="00C36D9B" w:rsidP="0024177A">
            <w:pPr>
              <w:jc w:val="left"/>
              <w:rPr>
                <w:rFonts w:ascii="Book Antiqua" w:hAnsi="Book Antiqua"/>
                <w:sz w:val="20"/>
                <w:szCs w:val="20"/>
              </w:rPr>
            </w:pPr>
            <w:r>
              <w:rPr>
                <w:rFonts w:ascii="Book Antiqua" w:hAnsi="Book Antiqua"/>
                <w:sz w:val="20"/>
                <w:szCs w:val="20"/>
              </w:rPr>
              <w:t xml:space="preserve">AERMOD User Guide, </w:t>
            </w:r>
            <w:r w:rsidR="0024177A" w:rsidRPr="0024177A">
              <w:rPr>
                <w:rFonts w:ascii="Book Antiqua" w:hAnsi="Book Antiqua"/>
                <w:sz w:val="20"/>
                <w:szCs w:val="20"/>
              </w:rPr>
              <w:t>CAL3CQHR User Guide</w:t>
            </w:r>
          </w:p>
        </w:tc>
      </w:tr>
      <w:tr w:rsidR="0024177A" w:rsidRPr="0024177A" w:rsidTr="007F7AB8">
        <w:trPr>
          <w:trHeight w:val="80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Output</w:t>
            </w:r>
          </w:p>
        </w:tc>
        <w:tc>
          <w:tcPr>
            <w:tcW w:w="4272" w:type="dxa"/>
            <w:hideMark/>
          </w:tcPr>
          <w:p w:rsidR="0024177A" w:rsidRPr="0024177A" w:rsidRDefault="00C36D9B" w:rsidP="0024177A">
            <w:pPr>
              <w:jc w:val="left"/>
              <w:rPr>
                <w:rFonts w:ascii="Book Antiqua" w:hAnsi="Book Antiqua"/>
                <w:i/>
                <w:iCs/>
                <w:sz w:val="20"/>
                <w:szCs w:val="20"/>
              </w:rPr>
            </w:pPr>
            <w:r>
              <w:rPr>
                <w:rFonts w:ascii="Book Antiqua" w:hAnsi="Book Antiqua"/>
                <w:i/>
                <w:iCs/>
                <w:sz w:val="20"/>
                <w:szCs w:val="20"/>
              </w:rPr>
              <w:t xml:space="preserve">While AERMOD requires that users specify the type and format of output files in the main input file for each run, </w:t>
            </w:r>
            <w:r w:rsidR="0024177A" w:rsidRPr="0024177A">
              <w:rPr>
                <w:rFonts w:ascii="Book Antiqua" w:hAnsi="Book Antiqua"/>
                <w:i/>
                <w:iCs/>
                <w:sz w:val="20"/>
                <w:szCs w:val="20"/>
              </w:rPr>
              <w:t xml:space="preserve">CAL3QHCR produces concentrations for each quarter; all necessary data will be developed for each quarter.  </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Appendix </w:t>
            </w:r>
            <w:r w:rsidR="00C36D9B">
              <w:rPr>
                <w:rFonts w:ascii="Book Antiqua" w:hAnsi="Book Antiqua"/>
                <w:sz w:val="20"/>
                <w:szCs w:val="20"/>
              </w:rPr>
              <w:t xml:space="preserve">J.6.1, </w:t>
            </w:r>
            <w:r w:rsidRPr="0024177A">
              <w:rPr>
                <w:rFonts w:ascii="Book Antiqua" w:hAnsi="Book Antiqua"/>
                <w:sz w:val="20"/>
                <w:szCs w:val="20"/>
              </w:rPr>
              <w:t xml:space="preserve">J.6.2 </w:t>
            </w:r>
          </w:p>
        </w:tc>
      </w:tr>
      <w:tr w:rsidR="0024177A" w:rsidRPr="0024177A" w:rsidTr="007F7AB8">
        <w:trPr>
          <w:trHeight w:val="2330"/>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Receptors</w:t>
            </w:r>
          </w:p>
        </w:tc>
        <w:tc>
          <w:tcPr>
            <w:tcW w:w="4272" w:type="dxa"/>
            <w:hideMark/>
          </w:tcPr>
          <w:p w:rsidR="0024177A" w:rsidRPr="0024177A" w:rsidRDefault="0024177A" w:rsidP="0024177A">
            <w:pPr>
              <w:jc w:val="left"/>
              <w:rPr>
                <w:rFonts w:ascii="Book Antiqua" w:hAnsi="Book Antiqua"/>
                <w:i/>
                <w:iCs/>
                <w:sz w:val="20"/>
                <w:szCs w:val="20"/>
              </w:rPr>
            </w:pPr>
            <w:r w:rsidRPr="0024177A">
              <w:rPr>
                <w:rFonts w:ascii="Book Antiqua" w:hAnsi="Book Antiqua"/>
                <w:i/>
                <w:iCs/>
                <w:sz w:val="20"/>
                <w:szCs w:val="20"/>
              </w:rPr>
              <w:t xml:space="preserve">Receptors are suggested to be placed at a height of 6 feet above the ground. Around the sources, receptors are placed more closely together (e.g., 30 to 90 feet); and farther from a source, they are spaced more widely (e.g., 150 to 300 feet).  Receptor locations are placed in the area most impacted by the project. </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EPA Hot Spot Guidance Section 7.6.2, Appendix K and EPA 1992 Guideline for Modeling Carbon Monoxide from Roadway Intersections (1992 EPA Guideline).  Placed in appropriate locations in “the area substantially impacted by the project” (in the “project area”) (93.123(c)(1)) 40 CFR Part 58: Appendix D, E</w:t>
            </w:r>
          </w:p>
        </w:tc>
      </w:tr>
      <w:tr w:rsidR="0024177A" w:rsidRPr="0024177A" w:rsidTr="007F7AB8">
        <w:trPr>
          <w:trHeight w:val="350"/>
        </w:trPr>
        <w:tc>
          <w:tcPr>
            <w:tcW w:w="10398" w:type="dxa"/>
            <w:gridSpan w:val="3"/>
            <w:noWrap/>
            <w:hideMark/>
          </w:tcPr>
          <w:p w:rsidR="0024177A" w:rsidRPr="0024177A" w:rsidRDefault="00C36D9B" w:rsidP="0024177A">
            <w:pPr>
              <w:jc w:val="left"/>
              <w:rPr>
                <w:rFonts w:ascii="Book Antiqua" w:hAnsi="Book Antiqua"/>
                <w:b/>
                <w:bCs/>
                <w:sz w:val="20"/>
                <w:szCs w:val="20"/>
              </w:rPr>
            </w:pPr>
            <w:r>
              <w:rPr>
                <w:rFonts w:ascii="Book Antiqua" w:hAnsi="Book Antiqua"/>
                <w:b/>
                <w:bCs/>
                <w:sz w:val="20"/>
                <w:szCs w:val="20"/>
              </w:rPr>
              <w:t>Determine Background Concentrations (Step 6</w:t>
            </w:r>
            <w:r w:rsidR="0024177A" w:rsidRPr="0024177A">
              <w:rPr>
                <w:rFonts w:ascii="Book Antiqua" w:hAnsi="Book Antiqua"/>
                <w:b/>
                <w:bCs/>
                <w:sz w:val="20"/>
                <w:szCs w:val="20"/>
              </w:rPr>
              <w:t>)</w:t>
            </w:r>
          </w:p>
        </w:tc>
      </w:tr>
      <w:tr w:rsidR="0024177A" w:rsidRPr="0024177A" w:rsidTr="007F7AB8">
        <w:trPr>
          <w:trHeight w:val="2951"/>
        </w:trPr>
        <w:tc>
          <w:tcPr>
            <w:tcW w:w="2199" w:type="dxa"/>
            <w:noWrap/>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Background Monitor</w:t>
            </w:r>
          </w:p>
        </w:tc>
        <w:tc>
          <w:tcPr>
            <w:tcW w:w="4272" w:type="dxa"/>
            <w:hideMark/>
          </w:tcPr>
          <w:p w:rsidR="0024177A" w:rsidRPr="0024177A" w:rsidRDefault="0024177A" w:rsidP="00E4333C">
            <w:pPr>
              <w:jc w:val="left"/>
              <w:rPr>
                <w:rFonts w:ascii="Book Antiqua" w:hAnsi="Book Antiqua"/>
                <w:i/>
                <w:iCs/>
                <w:sz w:val="20"/>
                <w:szCs w:val="20"/>
              </w:rPr>
            </w:pPr>
            <w:r w:rsidRPr="0024177A">
              <w:rPr>
                <w:rFonts w:ascii="Book Antiqua" w:hAnsi="Book Antiqua"/>
                <w:i/>
                <w:iCs/>
                <w:sz w:val="20"/>
                <w:szCs w:val="20"/>
              </w:rPr>
              <w:t xml:space="preserve">Select a monitor with </w:t>
            </w:r>
            <w:r w:rsidR="00E4333C">
              <w:rPr>
                <w:rFonts w:ascii="Book Antiqua" w:hAnsi="Book Antiqua"/>
                <w:i/>
                <w:iCs/>
                <w:sz w:val="20"/>
                <w:szCs w:val="20"/>
              </w:rPr>
              <w:t>similar land use to the project and</w:t>
            </w:r>
            <w:r w:rsidRPr="0024177A">
              <w:rPr>
                <w:rFonts w:ascii="Book Antiqua" w:hAnsi="Book Antiqua"/>
                <w:i/>
                <w:iCs/>
                <w:sz w:val="20"/>
                <w:szCs w:val="20"/>
              </w:rPr>
              <w:t xml:space="preserve"> upwind from project</w:t>
            </w:r>
            <w:r w:rsidR="00E4333C">
              <w:rPr>
                <w:rFonts w:ascii="Book Antiqua" w:hAnsi="Book Antiqua"/>
                <w:i/>
                <w:iCs/>
                <w:sz w:val="20"/>
                <w:szCs w:val="20"/>
              </w:rPr>
              <w:t xml:space="preserve">. </w:t>
            </w:r>
            <w:r w:rsidRPr="0024177A">
              <w:rPr>
                <w:rFonts w:ascii="Book Antiqua" w:hAnsi="Book Antiqua"/>
                <w:i/>
                <w:iCs/>
                <w:sz w:val="20"/>
                <w:szCs w:val="20"/>
              </w:rPr>
              <w:t>Three years of monitoring data (20xx-20xx) using the 4th highest readings based on total number of sampling days of 1076 days, the 4</w:t>
            </w:r>
            <w:r w:rsidRPr="0024177A">
              <w:rPr>
                <w:rFonts w:ascii="Book Antiqua" w:hAnsi="Book Antiqua"/>
                <w:i/>
                <w:iCs/>
                <w:sz w:val="20"/>
                <w:szCs w:val="20"/>
                <w:vertAlign w:val="superscript"/>
              </w:rPr>
              <w:t>th</w:t>
            </w:r>
            <w:r w:rsidRPr="0024177A">
              <w:rPr>
                <w:rFonts w:ascii="Book Antiqua" w:hAnsi="Book Antiqua"/>
                <w:i/>
                <w:iCs/>
                <w:sz w:val="20"/>
                <w:szCs w:val="20"/>
              </w:rPr>
              <w:t xml:space="preserve"> highest monitor value over these three years is xxx. To estimate the sixth-highest concentration, for each receptor, the six highest 24-hour concentrations from each quarter and year of meteorological data will be arrayed together and ranked, the</w:t>
            </w:r>
            <w:r w:rsidR="00C712B5">
              <w:rPr>
                <w:rFonts w:ascii="Book Antiqua" w:hAnsi="Book Antiqua"/>
                <w:i/>
                <w:iCs/>
                <w:sz w:val="20"/>
                <w:szCs w:val="20"/>
              </w:rPr>
              <w:t>n added to the xxx monitor value. Data from exceptional event days are not used in calculating the 4</w:t>
            </w:r>
            <w:r w:rsidR="00C712B5" w:rsidRPr="00C712B5">
              <w:rPr>
                <w:rFonts w:ascii="Book Antiqua" w:hAnsi="Book Antiqua"/>
                <w:i/>
                <w:iCs/>
                <w:sz w:val="20"/>
                <w:szCs w:val="20"/>
                <w:vertAlign w:val="superscript"/>
              </w:rPr>
              <w:t>th</w:t>
            </w:r>
            <w:r w:rsidR="00C712B5">
              <w:rPr>
                <w:rFonts w:ascii="Book Antiqua" w:hAnsi="Book Antiqua"/>
                <w:i/>
                <w:iCs/>
                <w:sz w:val="20"/>
                <w:szCs w:val="20"/>
              </w:rPr>
              <w:t xml:space="preserve"> highest readings.</w:t>
            </w:r>
            <w:r w:rsidRPr="0024177A">
              <w:rPr>
                <w:rFonts w:ascii="Book Antiqua" w:hAnsi="Book Antiqua"/>
                <w:i/>
                <w:iCs/>
                <w:sz w:val="20"/>
                <w:szCs w:val="20"/>
              </w:rPr>
              <w:t xml:space="preserve"> </w:t>
            </w:r>
          </w:p>
        </w:tc>
        <w:tc>
          <w:tcPr>
            <w:tcW w:w="3927" w:type="dxa"/>
            <w:hideMark/>
          </w:tcPr>
          <w:p w:rsidR="0024177A" w:rsidRPr="0024177A" w:rsidRDefault="0024177A" w:rsidP="0024177A">
            <w:pPr>
              <w:jc w:val="left"/>
              <w:rPr>
                <w:rFonts w:ascii="Book Antiqua" w:hAnsi="Book Antiqua"/>
                <w:sz w:val="20"/>
                <w:szCs w:val="20"/>
              </w:rPr>
            </w:pPr>
            <w:r w:rsidRPr="0024177A">
              <w:rPr>
                <w:rFonts w:ascii="Book Antiqua" w:hAnsi="Book Antiqua"/>
                <w:sz w:val="20"/>
                <w:szCs w:val="20"/>
              </w:rPr>
              <w:t xml:space="preserve">EPA Hot Spot Guidance Section 8.3 </w:t>
            </w:r>
          </w:p>
        </w:tc>
      </w:tr>
    </w:tbl>
    <w:p w:rsidR="006F1786" w:rsidRPr="0024177A" w:rsidRDefault="006F1786" w:rsidP="0024177A">
      <w:pPr>
        <w:jc w:val="left"/>
        <w:rPr>
          <w:rFonts w:ascii="Book Antiqua" w:hAnsi="Book Antiqua"/>
          <w:sz w:val="20"/>
          <w:szCs w:val="20"/>
        </w:rPr>
      </w:pPr>
    </w:p>
    <w:p w:rsidR="006F1786" w:rsidRDefault="006F1786" w:rsidP="0024177A">
      <w:pPr>
        <w:ind w:left="-90"/>
        <w:rPr>
          <w:rFonts w:ascii="Book Antiqua" w:hAnsi="Book Antiqua"/>
          <w:color w:val="548DD4" w:themeColor="text2" w:themeTint="99"/>
          <w:sz w:val="20"/>
          <w:szCs w:val="20"/>
        </w:rPr>
      </w:pPr>
    </w:p>
    <w:tbl>
      <w:tblPr>
        <w:tblStyle w:val="TableGrid"/>
        <w:tblW w:w="10398" w:type="dxa"/>
        <w:tblInd w:w="-612" w:type="dxa"/>
        <w:tblLook w:val="04A0" w:firstRow="1" w:lastRow="0" w:firstColumn="1" w:lastColumn="0" w:noHBand="0" w:noVBand="1"/>
      </w:tblPr>
      <w:tblGrid>
        <w:gridCol w:w="2199"/>
        <w:gridCol w:w="4272"/>
        <w:gridCol w:w="3927"/>
      </w:tblGrid>
      <w:tr w:rsidR="009A557E" w:rsidRPr="0024177A" w:rsidTr="00090CB2">
        <w:trPr>
          <w:trHeight w:val="305"/>
        </w:trPr>
        <w:tc>
          <w:tcPr>
            <w:tcW w:w="10398" w:type="dxa"/>
            <w:gridSpan w:val="3"/>
            <w:shd w:val="clear" w:color="auto" w:fill="BFBFBF" w:themeFill="background1" w:themeFillShade="BF"/>
            <w:noWrap/>
            <w:hideMark/>
          </w:tcPr>
          <w:p w:rsidR="009A557E" w:rsidRPr="0024177A" w:rsidRDefault="009A557E" w:rsidP="00090CB2">
            <w:pPr>
              <w:rPr>
                <w:rFonts w:ascii="Book Antiqua" w:hAnsi="Book Antiqua"/>
                <w:b/>
                <w:bCs/>
                <w:sz w:val="20"/>
                <w:szCs w:val="20"/>
              </w:rPr>
            </w:pPr>
            <w:r>
              <w:rPr>
                <w:rFonts w:ascii="Book Antiqua" w:hAnsi="Book Antiqua"/>
                <w:b/>
                <w:bCs/>
                <w:sz w:val="20"/>
                <w:szCs w:val="20"/>
              </w:rPr>
              <w:t xml:space="preserve">Table 2. </w:t>
            </w:r>
            <w:r w:rsidR="00B3558A">
              <w:rPr>
                <w:rFonts w:ascii="Book Antiqua" w:hAnsi="Book Antiqua"/>
                <w:b/>
                <w:bCs/>
                <w:sz w:val="20"/>
                <w:szCs w:val="20"/>
              </w:rPr>
              <w:t>Project Data Manager Inputs</w:t>
            </w:r>
          </w:p>
        </w:tc>
      </w:tr>
      <w:tr w:rsidR="009A557E" w:rsidRPr="0024177A" w:rsidTr="00090CB2">
        <w:trPr>
          <w:trHeight w:val="350"/>
        </w:trPr>
        <w:tc>
          <w:tcPr>
            <w:tcW w:w="2199" w:type="dxa"/>
            <w:noWrap/>
            <w:hideMark/>
          </w:tcPr>
          <w:p w:rsidR="009A557E" w:rsidRPr="0024177A" w:rsidRDefault="00B3558A" w:rsidP="00090CB2">
            <w:pPr>
              <w:rPr>
                <w:rFonts w:ascii="Book Antiqua" w:hAnsi="Book Antiqua"/>
                <w:b/>
                <w:bCs/>
                <w:sz w:val="20"/>
                <w:szCs w:val="20"/>
              </w:rPr>
            </w:pPr>
            <w:r>
              <w:rPr>
                <w:rFonts w:ascii="Book Antiqua" w:hAnsi="Book Antiqua"/>
                <w:b/>
                <w:bCs/>
                <w:sz w:val="20"/>
                <w:szCs w:val="20"/>
              </w:rPr>
              <w:t>Input</w:t>
            </w:r>
          </w:p>
        </w:tc>
        <w:tc>
          <w:tcPr>
            <w:tcW w:w="4272" w:type="dxa"/>
            <w:noWrap/>
            <w:hideMark/>
          </w:tcPr>
          <w:p w:rsidR="009A557E" w:rsidRPr="0024177A" w:rsidRDefault="00F219A5" w:rsidP="00090CB2">
            <w:pPr>
              <w:rPr>
                <w:rFonts w:ascii="Book Antiqua" w:hAnsi="Book Antiqua"/>
                <w:b/>
                <w:bCs/>
                <w:sz w:val="20"/>
                <w:szCs w:val="20"/>
              </w:rPr>
            </w:pPr>
            <w:r>
              <w:rPr>
                <w:rFonts w:ascii="Book Antiqua" w:hAnsi="Book Antiqua"/>
                <w:b/>
                <w:bCs/>
                <w:sz w:val="20"/>
                <w:szCs w:val="20"/>
              </w:rPr>
              <w:t>Level of Detail/notes</w:t>
            </w:r>
          </w:p>
        </w:tc>
        <w:tc>
          <w:tcPr>
            <w:tcW w:w="3927" w:type="dxa"/>
            <w:noWrap/>
            <w:hideMark/>
          </w:tcPr>
          <w:p w:rsidR="009A557E" w:rsidRPr="0024177A" w:rsidRDefault="009A557E" w:rsidP="00090CB2">
            <w:pPr>
              <w:rPr>
                <w:rFonts w:ascii="Book Antiqua" w:hAnsi="Book Antiqua"/>
                <w:b/>
                <w:bCs/>
                <w:sz w:val="20"/>
                <w:szCs w:val="20"/>
              </w:rPr>
            </w:pPr>
            <w:r>
              <w:rPr>
                <w:rFonts w:ascii="Book Antiqua" w:hAnsi="Book Antiqua"/>
                <w:b/>
                <w:bCs/>
                <w:sz w:val="20"/>
                <w:szCs w:val="20"/>
              </w:rPr>
              <w:t xml:space="preserve">Possible </w:t>
            </w:r>
            <w:r w:rsidRPr="0024177A">
              <w:rPr>
                <w:rFonts w:ascii="Book Antiqua" w:hAnsi="Book Antiqua"/>
                <w:b/>
                <w:bCs/>
                <w:sz w:val="20"/>
                <w:szCs w:val="20"/>
              </w:rPr>
              <w:t>Data Source</w:t>
            </w:r>
          </w:p>
        </w:tc>
      </w:tr>
      <w:tr w:rsidR="009A557E" w:rsidRPr="0024177A" w:rsidTr="006B4982">
        <w:trPr>
          <w:trHeight w:val="350"/>
        </w:trPr>
        <w:tc>
          <w:tcPr>
            <w:tcW w:w="2199" w:type="dxa"/>
            <w:noWrap/>
            <w:hideMark/>
          </w:tcPr>
          <w:p w:rsidR="009A557E" w:rsidRPr="0024177A" w:rsidRDefault="006B4982" w:rsidP="00090CB2">
            <w:pPr>
              <w:jc w:val="left"/>
              <w:rPr>
                <w:rFonts w:ascii="Book Antiqua" w:hAnsi="Book Antiqua"/>
                <w:sz w:val="20"/>
                <w:szCs w:val="20"/>
              </w:rPr>
            </w:pPr>
            <w:r>
              <w:rPr>
                <w:rFonts w:ascii="Book Antiqua" w:hAnsi="Book Antiqua"/>
                <w:sz w:val="20"/>
                <w:szCs w:val="20"/>
              </w:rPr>
              <w:t>Meteorology</w:t>
            </w:r>
          </w:p>
        </w:tc>
        <w:tc>
          <w:tcPr>
            <w:tcW w:w="4272" w:type="dxa"/>
            <w:noWrap/>
          </w:tcPr>
          <w:p w:rsidR="009A557E" w:rsidRPr="0024177A" w:rsidRDefault="00F219A5" w:rsidP="00C64550">
            <w:pPr>
              <w:jc w:val="left"/>
              <w:rPr>
                <w:rFonts w:ascii="Book Antiqua" w:hAnsi="Book Antiqua"/>
                <w:i/>
                <w:iCs/>
                <w:sz w:val="20"/>
                <w:szCs w:val="20"/>
              </w:rPr>
            </w:pPr>
            <w:r>
              <w:rPr>
                <w:rFonts w:ascii="Book Antiqua" w:hAnsi="Book Antiqua"/>
                <w:i/>
                <w:iCs/>
                <w:sz w:val="20"/>
                <w:szCs w:val="20"/>
              </w:rPr>
              <w:t>Sa</w:t>
            </w:r>
            <w:r w:rsidR="00C64550">
              <w:rPr>
                <w:rFonts w:ascii="Book Antiqua" w:hAnsi="Book Antiqua"/>
                <w:i/>
                <w:iCs/>
                <w:sz w:val="20"/>
                <w:szCs w:val="20"/>
              </w:rPr>
              <w:t>me for build and no-build</w:t>
            </w:r>
            <w:r w:rsidR="00466DF7">
              <w:rPr>
                <w:rFonts w:ascii="Book Antiqua" w:hAnsi="Book Antiqua"/>
                <w:i/>
                <w:iCs/>
                <w:sz w:val="20"/>
                <w:szCs w:val="20"/>
              </w:rPr>
              <w:t xml:space="preserve"> s</w:t>
            </w:r>
            <w:r w:rsidR="00C64550">
              <w:rPr>
                <w:rFonts w:ascii="Book Antiqua" w:hAnsi="Book Antiqua"/>
                <w:i/>
                <w:iCs/>
                <w:sz w:val="20"/>
                <w:szCs w:val="20"/>
              </w:rPr>
              <w:t>c</w:t>
            </w:r>
            <w:r w:rsidR="00466DF7">
              <w:rPr>
                <w:rFonts w:ascii="Book Antiqua" w:hAnsi="Book Antiqua"/>
                <w:i/>
                <w:iCs/>
                <w:sz w:val="20"/>
                <w:szCs w:val="20"/>
              </w:rPr>
              <w:t>enarios</w:t>
            </w:r>
            <w:r>
              <w:rPr>
                <w:rFonts w:ascii="Book Antiqua" w:hAnsi="Book Antiqua"/>
                <w:i/>
                <w:iCs/>
                <w:sz w:val="20"/>
                <w:szCs w:val="20"/>
              </w:rPr>
              <w:t>.</w:t>
            </w:r>
            <w:r w:rsidR="00466DF7">
              <w:rPr>
                <w:rFonts w:ascii="Book Antiqua" w:hAnsi="Book Antiqua"/>
                <w:i/>
                <w:iCs/>
                <w:sz w:val="20"/>
                <w:szCs w:val="20"/>
              </w:rPr>
              <w:t xml:space="preserve"> A minimum of four hours (AM, PM, MD &amp; ON), for one day (weekday) and for January, April, July and October is required. </w:t>
            </w:r>
            <w:r w:rsidR="00672E3B">
              <w:rPr>
                <w:rFonts w:ascii="Book Antiqua" w:hAnsi="Book Antiqua"/>
                <w:i/>
                <w:iCs/>
                <w:sz w:val="20"/>
                <w:szCs w:val="20"/>
              </w:rPr>
              <w:t>May</w:t>
            </w:r>
            <w:r w:rsidR="00C64550">
              <w:rPr>
                <w:rFonts w:ascii="Book Antiqua" w:hAnsi="Book Antiqua"/>
                <w:i/>
                <w:iCs/>
                <w:sz w:val="20"/>
                <w:szCs w:val="20"/>
              </w:rPr>
              <w:t xml:space="preserve"> use the County meteorology file for the county used in the latest SIP or regional conformity analysis. </w:t>
            </w:r>
            <w:r w:rsidR="00466DF7">
              <w:rPr>
                <w:rFonts w:ascii="Book Antiqua" w:hAnsi="Book Antiqua"/>
                <w:i/>
                <w:iCs/>
                <w:sz w:val="20"/>
                <w:szCs w:val="20"/>
              </w:rPr>
              <w:t xml:space="preserve"> </w:t>
            </w:r>
          </w:p>
        </w:tc>
        <w:tc>
          <w:tcPr>
            <w:tcW w:w="3927" w:type="dxa"/>
            <w:noWrap/>
          </w:tcPr>
          <w:p w:rsidR="009A557E" w:rsidRDefault="00C64550" w:rsidP="00090CB2">
            <w:pPr>
              <w:jc w:val="left"/>
              <w:rPr>
                <w:rFonts w:ascii="Book Antiqua" w:hAnsi="Book Antiqua"/>
                <w:sz w:val="20"/>
                <w:szCs w:val="20"/>
              </w:rPr>
            </w:pPr>
            <w:r>
              <w:rPr>
                <w:rFonts w:ascii="Book Antiqua" w:hAnsi="Book Antiqua"/>
                <w:sz w:val="20"/>
                <w:szCs w:val="20"/>
              </w:rPr>
              <w:t>ADEQ, MPO</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4.5.1</w:t>
            </w:r>
          </w:p>
        </w:tc>
      </w:tr>
      <w:tr w:rsidR="009A557E" w:rsidRPr="0024177A" w:rsidTr="000B5458">
        <w:trPr>
          <w:trHeight w:val="350"/>
        </w:trPr>
        <w:tc>
          <w:tcPr>
            <w:tcW w:w="2199" w:type="dxa"/>
            <w:noWrap/>
            <w:hideMark/>
          </w:tcPr>
          <w:p w:rsidR="009A557E" w:rsidRPr="0024177A" w:rsidRDefault="006B4982" w:rsidP="00090CB2">
            <w:pPr>
              <w:jc w:val="left"/>
              <w:rPr>
                <w:rFonts w:ascii="Book Antiqua" w:hAnsi="Book Antiqua"/>
                <w:sz w:val="20"/>
                <w:szCs w:val="20"/>
              </w:rPr>
            </w:pPr>
            <w:r>
              <w:rPr>
                <w:rFonts w:ascii="Book Antiqua" w:hAnsi="Book Antiqua"/>
                <w:sz w:val="20"/>
                <w:szCs w:val="20"/>
              </w:rPr>
              <w:t>Age Distribution</w:t>
            </w:r>
          </w:p>
        </w:tc>
        <w:tc>
          <w:tcPr>
            <w:tcW w:w="4272" w:type="dxa"/>
          </w:tcPr>
          <w:p w:rsidR="009A557E" w:rsidRPr="0024177A" w:rsidRDefault="003E4F49" w:rsidP="00090CB2">
            <w:pPr>
              <w:jc w:val="left"/>
              <w:rPr>
                <w:rFonts w:ascii="Book Antiqua" w:hAnsi="Book Antiqua"/>
                <w:i/>
                <w:iCs/>
                <w:sz w:val="20"/>
                <w:szCs w:val="20"/>
              </w:rPr>
            </w:pPr>
            <w:r>
              <w:rPr>
                <w:rFonts w:ascii="Book Antiqua" w:hAnsi="Book Antiqua"/>
                <w:i/>
                <w:iCs/>
                <w:sz w:val="20"/>
                <w:szCs w:val="20"/>
              </w:rPr>
              <w:t>Same for build and no-build scenarios, unless something abo</w:t>
            </w:r>
            <w:r w:rsidR="000B103D">
              <w:rPr>
                <w:rFonts w:ascii="Book Antiqua" w:hAnsi="Book Antiqua"/>
                <w:i/>
                <w:iCs/>
                <w:sz w:val="20"/>
                <w:szCs w:val="20"/>
              </w:rPr>
              <w:t>ut the project would change them.</w:t>
            </w:r>
          </w:p>
        </w:tc>
        <w:tc>
          <w:tcPr>
            <w:tcW w:w="3927" w:type="dxa"/>
            <w:noWrap/>
          </w:tcPr>
          <w:p w:rsidR="009A557E" w:rsidRDefault="000B103D" w:rsidP="00090CB2">
            <w:pPr>
              <w:jc w:val="left"/>
              <w:rPr>
                <w:rFonts w:ascii="Book Antiqua" w:hAnsi="Book Antiqua"/>
                <w:sz w:val="20"/>
                <w:szCs w:val="20"/>
              </w:rPr>
            </w:pPr>
            <w:r>
              <w:rPr>
                <w:rFonts w:ascii="Book Antiqua" w:hAnsi="Book Antiqua"/>
                <w:sz w:val="20"/>
                <w:szCs w:val="20"/>
              </w:rPr>
              <w:t>ADOT, MPO</w:t>
            </w:r>
          </w:p>
          <w:p w:rsidR="009C40E8" w:rsidRPr="0024177A" w:rsidRDefault="009C40E8" w:rsidP="00090CB2">
            <w:pPr>
              <w:jc w:val="left"/>
              <w:rPr>
                <w:rFonts w:ascii="Book Antiqua" w:hAnsi="Book Antiqua"/>
                <w:sz w:val="20"/>
                <w:szCs w:val="20"/>
              </w:rPr>
            </w:pPr>
            <w:r w:rsidRPr="0024177A">
              <w:rPr>
                <w:rFonts w:ascii="Book Antiqua" w:hAnsi="Book Antiqua"/>
                <w:sz w:val="20"/>
                <w:szCs w:val="20"/>
              </w:rPr>
              <w:t>E</w:t>
            </w:r>
            <w:r>
              <w:rPr>
                <w:rFonts w:ascii="Book Antiqua" w:hAnsi="Book Antiqua"/>
                <w:sz w:val="20"/>
                <w:szCs w:val="20"/>
              </w:rPr>
              <w:t>PA Hot Spot Guidance Section 4.5.2</w:t>
            </w:r>
          </w:p>
        </w:tc>
      </w:tr>
      <w:tr w:rsidR="009A557E" w:rsidRPr="0024177A" w:rsidTr="006B4982">
        <w:trPr>
          <w:trHeight w:val="350"/>
        </w:trPr>
        <w:tc>
          <w:tcPr>
            <w:tcW w:w="2199" w:type="dxa"/>
            <w:noWrap/>
            <w:hideMark/>
          </w:tcPr>
          <w:p w:rsidR="009A557E" w:rsidRPr="0024177A" w:rsidRDefault="006B4982" w:rsidP="006B4982">
            <w:pPr>
              <w:jc w:val="left"/>
              <w:rPr>
                <w:rFonts w:ascii="Book Antiqua" w:hAnsi="Book Antiqua"/>
                <w:sz w:val="20"/>
                <w:szCs w:val="20"/>
              </w:rPr>
            </w:pPr>
            <w:r>
              <w:rPr>
                <w:rFonts w:ascii="Book Antiqua" w:hAnsi="Book Antiqua"/>
                <w:sz w:val="20"/>
                <w:szCs w:val="20"/>
              </w:rPr>
              <w:lastRenderedPageBreak/>
              <w:t>Fuel</w:t>
            </w:r>
          </w:p>
        </w:tc>
        <w:tc>
          <w:tcPr>
            <w:tcW w:w="4272" w:type="dxa"/>
            <w:noWrap/>
          </w:tcPr>
          <w:p w:rsidR="009A557E" w:rsidRPr="0024177A" w:rsidRDefault="000B103D" w:rsidP="00090CB2">
            <w:pPr>
              <w:jc w:val="left"/>
              <w:rPr>
                <w:rFonts w:ascii="Book Antiqua" w:hAnsi="Book Antiqua"/>
                <w:i/>
                <w:iCs/>
                <w:sz w:val="20"/>
                <w:szCs w:val="20"/>
              </w:rPr>
            </w:pPr>
            <w:r>
              <w:rPr>
                <w:rFonts w:ascii="Book Antiqua" w:hAnsi="Book Antiqua"/>
                <w:i/>
                <w:iCs/>
                <w:sz w:val="20"/>
                <w:szCs w:val="20"/>
              </w:rPr>
              <w:t>Same for build and no-build scenarios</w:t>
            </w:r>
            <w:r w:rsidR="00E56C5B">
              <w:rPr>
                <w:rFonts w:ascii="Book Antiqua" w:hAnsi="Book Antiqua"/>
                <w:i/>
                <w:iCs/>
                <w:sz w:val="20"/>
                <w:szCs w:val="20"/>
              </w:rPr>
              <w:t xml:space="preserve">. </w:t>
            </w:r>
            <w:r w:rsidR="00672E3B">
              <w:rPr>
                <w:rFonts w:ascii="Book Antiqua" w:hAnsi="Book Antiqua"/>
                <w:i/>
                <w:iCs/>
                <w:sz w:val="20"/>
                <w:szCs w:val="20"/>
              </w:rPr>
              <w:t xml:space="preserve">May use </w:t>
            </w:r>
            <w:r w:rsidR="00555FD6">
              <w:rPr>
                <w:rFonts w:ascii="Book Antiqua" w:hAnsi="Book Antiqua"/>
                <w:i/>
                <w:iCs/>
                <w:sz w:val="20"/>
                <w:szCs w:val="20"/>
              </w:rPr>
              <w:t>the fuel file used in the latest SIP or regional conformity analysis if local information is available. Otherwise, MOVES default fuel supply and formulation</w:t>
            </w:r>
            <w:r w:rsidR="00F9193B">
              <w:rPr>
                <w:rFonts w:ascii="Book Antiqua" w:hAnsi="Book Antiqua"/>
                <w:i/>
                <w:iCs/>
                <w:sz w:val="20"/>
                <w:szCs w:val="20"/>
              </w:rPr>
              <w:t xml:space="preserve"> information can be used.</w:t>
            </w:r>
          </w:p>
        </w:tc>
        <w:tc>
          <w:tcPr>
            <w:tcW w:w="3927" w:type="dxa"/>
            <w:noWrap/>
          </w:tcPr>
          <w:p w:rsidR="009A557E" w:rsidRDefault="00F9193B" w:rsidP="00090CB2">
            <w:pPr>
              <w:jc w:val="left"/>
              <w:rPr>
                <w:rFonts w:ascii="Book Antiqua" w:hAnsi="Book Antiqua"/>
                <w:sz w:val="20"/>
                <w:szCs w:val="20"/>
              </w:rPr>
            </w:pPr>
            <w:r>
              <w:rPr>
                <w:rFonts w:ascii="Book Antiqua" w:hAnsi="Book Antiqua"/>
                <w:sz w:val="20"/>
                <w:szCs w:val="20"/>
              </w:rPr>
              <w:t>MPO, MOVES defaults</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4.5.3</w:t>
            </w:r>
          </w:p>
        </w:tc>
      </w:tr>
      <w:tr w:rsidR="006B4982" w:rsidRPr="0024177A" w:rsidTr="00090CB2">
        <w:trPr>
          <w:trHeight w:val="341"/>
        </w:trPr>
        <w:tc>
          <w:tcPr>
            <w:tcW w:w="2199" w:type="dxa"/>
            <w:noWrap/>
          </w:tcPr>
          <w:p w:rsidR="006B4982" w:rsidRDefault="006B4982" w:rsidP="00090CB2">
            <w:pPr>
              <w:jc w:val="left"/>
              <w:rPr>
                <w:rFonts w:ascii="Book Antiqua" w:hAnsi="Book Antiqua"/>
                <w:sz w:val="20"/>
                <w:szCs w:val="20"/>
              </w:rPr>
            </w:pPr>
            <w:r>
              <w:rPr>
                <w:rFonts w:ascii="Book Antiqua" w:hAnsi="Book Antiqua"/>
                <w:sz w:val="20"/>
                <w:szCs w:val="20"/>
              </w:rPr>
              <w:t>I/M Programs</w:t>
            </w:r>
          </w:p>
        </w:tc>
        <w:tc>
          <w:tcPr>
            <w:tcW w:w="4272" w:type="dxa"/>
            <w:noWrap/>
          </w:tcPr>
          <w:p w:rsidR="006B4982" w:rsidRPr="0024177A" w:rsidRDefault="00F9193B" w:rsidP="00090CB2">
            <w:pPr>
              <w:jc w:val="left"/>
              <w:rPr>
                <w:rFonts w:ascii="Book Antiqua" w:hAnsi="Book Antiqua"/>
                <w:i/>
                <w:iCs/>
                <w:sz w:val="20"/>
                <w:szCs w:val="20"/>
              </w:rPr>
            </w:pPr>
            <w:r>
              <w:rPr>
                <w:rFonts w:ascii="Book Antiqua" w:hAnsi="Book Antiqua"/>
                <w:i/>
                <w:iCs/>
                <w:sz w:val="20"/>
                <w:szCs w:val="20"/>
              </w:rPr>
              <w:t>No impact on PM emissions.</w:t>
            </w:r>
          </w:p>
        </w:tc>
        <w:tc>
          <w:tcPr>
            <w:tcW w:w="3927" w:type="dxa"/>
            <w:noWrap/>
          </w:tcPr>
          <w:p w:rsidR="006B4982" w:rsidRPr="0024177A" w:rsidRDefault="009C40E8" w:rsidP="00090CB2">
            <w:pPr>
              <w:jc w:val="left"/>
              <w:rPr>
                <w:rFonts w:ascii="Book Antiqua" w:hAnsi="Book Antiqua"/>
                <w:sz w:val="20"/>
                <w:szCs w:val="20"/>
              </w:rPr>
            </w:pPr>
            <w:r>
              <w:rPr>
                <w:rFonts w:ascii="Book Antiqua" w:hAnsi="Book Antiqua"/>
                <w:sz w:val="20"/>
                <w:szCs w:val="20"/>
              </w:rPr>
              <w:t>EPA Hot Spot Guidance Section 4.5.4</w:t>
            </w:r>
          </w:p>
        </w:tc>
      </w:tr>
      <w:tr w:rsidR="009A557E" w:rsidRPr="0024177A" w:rsidTr="006B4982">
        <w:trPr>
          <w:trHeight w:val="341"/>
        </w:trPr>
        <w:tc>
          <w:tcPr>
            <w:tcW w:w="2199" w:type="dxa"/>
            <w:noWrap/>
            <w:hideMark/>
          </w:tcPr>
          <w:p w:rsidR="009A557E" w:rsidRPr="0024177A" w:rsidRDefault="006B4982" w:rsidP="00090CB2">
            <w:pPr>
              <w:jc w:val="left"/>
              <w:rPr>
                <w:rFonts w:ascii="Book Antiqua" w:hAnsi="Book Antiqua"/>
                <w:sz w:val="20"/>
                <w:szCs w:val="20"/>
              </w:rPr>
            </w:pPr>
            <w:r>
              <w:rPr>
                <w:rFonts w:ascii="Book Antiqua" w:hAnsi="Book Antiqua"/>
                <w:sz w:val="20"/>
                <w:szCs w:val="20"/>
              </w:rPr>
              <w:t>Retrofit Data</w:t>
            </w:r>
          </w:p>
        </w:tc>
        <w:tc>
          <w:tcPr>
            <w:tcW w:w="4272" w:type="dxa"/>
            <w:noWrap/>
          </w:tcPr>
          <w:p w:rsidR="009A557E" w:rsidRPr="0024177A" w:rsidRDefault="00F8203B" w:rsidP="00821C42">
            <w:pPr>
              <w:jc w:val="left"/>
              <w:rPr>
                <w:rFonts w:ascii="Book Antiqua" w:hAnsi="Book Antiqua"/>
                <w:i/>
                <w:iCs/>
                <w:sz w:val="20"/>
                <w:szCs w:val="20"/>
              </w:rPr>
            </w:pPr>
            <w:r>
              <w:rPr>
                <w:rFonts w:ascii="Book Antiqua" w:hAnsi="Book Antiqua"/>
                <w:i/>
                <w:iCs/>
                <w:sz w:val="20"/>
                <w:szCs w:val="20"/>
              </w:rPr>
              <w:t>If necessary. F</w:t>
            </w:r>
            <w:r w:rsidR="00632469">
              <w:rPr>
                <w:rFonts w:ascii="Book Antiqua" w:hAnsi="Book Antiqua"/>
                <w:i/>
                <w:iCs/>
                <w:sz w:val="20"/>
                <w:szCs w:val="20"/>
              </w:rPr>
              <w:t>or example, a bus terminal project might include plans to mitigate emissions by retrofitting the bus f</w:t>
            </w:r>
            <w:r w:rsidR="00821C42">
              <w:rPr>
                <w:rFonts w:ascii="Book Antiqua" w:hAnsi="Book Antiqua"/>
                <w:i/>
                <w:iCs/>
                <w:sz w:val="20"/>
                <w:szCs w:val="20"/>
              </w:rPr>
              <w:t>leet.</w:t>
            </w:r>
          </w:p>
        </w:tc>
        <w:tc>
          <w:tcPr>
            <w:tcW w:w="3927" w:type="dxa"/>
            <w:noWrap/>
          </w:tcPr>
          <w:p w:rsidR="009A557E" w:rsidRDefault="00632469" w:rsidP="00090CB2">
            <w:pPr>
              <w:jc w:val="left"/>
              <w:rPr>
                <w:rFonts w:ascii="Book Antiqua" w:hAnsi="Book Antiqua"/>
                <w:sz w:val="20"/>
                <w:szCs w:val="20"/>
              </w:rPr>
            </w:pPr>
            <w:r>
              <w:rPr>
                <w:rFonts w:ascii="Book Antiqua" w:hAnsi="Book Antiqua"/>
                <w:sz w:val="20"/>
                <w:szCs w:val="20"/>
              </w:rPr>
              <w:t>Project specific modeling</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4.5.5</w:t>
            </w:r>
          </w:p>
        </w:tc>
      </w:tr>
      <w:tr w:rsidR="006B4982" w:rsidRPr="0024177A" w:rsidTr="00090CB2">
        <w:trPr>
          <w:trHeight w:val="341"/>
        </w:trPr>
        <w:tc>
          <w:tcPr>
            <w:tcW w:w="2199" w:type="dxa"/>
            <w:noWrap/>
          </w:tcPr>
          <w:p w:rsidR="006B4982" w:rsidRDefault="006B4982" w:rsidP="00090CB2">
            <w:pPr>
              <w:jc w:val="left"/>
              <w:rPr>
                <w:rFonts w:ascii="Book Antiqua" w:hAnsi="Book Antiqua"/>
                <w:sz w:val="20"/>
                <w:szCs w:val="20"/>
              </w:rPr>
            </w:pPr>
            <w:r>
              <w:rPr>
                <w:rFonts w:ascii="Book Antiqua" w:hAnsi="Book Antiqua"/>
                <w:sz w:val="20"/>
                <w:szCs w:val="20"/>
              </w:rPr>
              <w:t>Links</w:t>
            </w:r>
          </w:p>
        </w:tc>
        <w:tc>
          <w:tcPr>
            <w:tcW w:w="4272" w:type="dxa"/>
            <w:noWrap/>
          </w:tcPr>
          <w:p w:rsidR="006B4982" w:rsidRPr="0024177A" w:rsidRDefault="00821C42" w:rsidP="00090CB2">
            <w:pPr>
              <w:jc w:val="left"/>
              <w:rPr>
                <w:rFonts w:ascii="Book Antiqua" w:hAnsi="Book Antiqua"/>
                <w:i/>
                <w:iCs/>
                <w:sz w:val="20"/>
                <w:szCs w:val="20"/>
              </w:rPr>
            </w:pPr>
            <w:r>
              <w:rPr>
                <w:rFonts w:ascii="Book Antiqua" w:hAnsi="Book Antiqua"/>
                <w:i/>
                <w:iCs/>
                <w:sz w:val="20"/>
                <w:szCs w:val="20"/>
              </w:rPr>
              <w:t>Unique inputs needed for eac</w:t>
            </w:r>
            <w:r w:rsidR="00BD008E">
              <w:rPr>
                <w:rFonts w:ascii="Book Antiqua" w:hAnsi="Book Antiqua"/>
                <w:i/>
                <w:iCs/>
                <w:sz w:val="20"/>
                <w:szCs w:val="20"/>
              </w:rPr>
              <w:t>h run</w:t>
            </w:r>
            <w:r>
              <w:rPr>
                <w:rFonts w:ascii="Book Antiqua" w:hAnsi="Book Antiqua"/>
                <w:i/>
                <w:iCs/>
                <w:sz w:val="20"/>
                <w:szCs w:val="20"/>
              </w:rPr>
              <w:t>. Requires information on each link’s length</w:t>
            </w:r>
            <w:r w:rsidR="00615657">
              <w:rPr>
                <w:rFonts w:ascii="Book Antiqua" w:hAnsi="Book Antiqua"/>
                <w:i/>
                <w:iCs/>
                <w:sz w:val="20"/>
                <w:szCs w:val="20"/>
              </w:rPr>
              <w:t xml:space="preserve"> (in miles)</w:t>
            </w:r>
            <w:r>
              <w:rPr>
                <w:rFonts w:ascii="Book Antiqua" w:hAnsi="Book Antiqua"/>
                <w:i/>
                <w:iCs/>
                <w:sz w:val="20"/>
                <w:szCs w:val="20"/>
              </w:rPr>
              <w:t>, traffic volume</w:t>
            </w:r>
            <w:r w:rsidR="00615657">
              <w:rPr>
                <w:rFonts w:ascii="Book Antiqua" w:hAnsi="Book Antiqua"/>
                <w:i/>
                <w:iCs/>
                <w:sz w:val="20"/>
                <w:szCs w:val="20"/>
              </w:rPr>
              <w:t xml:space="preserve"> (vehicle per hour)</w:t>
            </w:r>
            <w:r>
              <w:rPr>
                <w:rFonts w:ascii="Book Antiqua" w:hAnsi="Book Antiqua"/>
                <w:i/>
                <w:iCs/>
                <w:sz w:val="20"/>
                <w:szCs w:val="20"/>
              </w:rPr>
              <w:t>, average speed</w:t>
            </w:r>
            <w:r w:rsidR="00FA2ED5">
              <w:rPr>
                <w:rFonts w:ascii="Book Antiqua" w:hAnsi="Book Antiqua"/>
                <w:i/>
                <w:iCs/>
                <w:sz w:val="20"/>
                <w:szCs w:val="20"/>
              </w:rPr>
              <w:t xml:space="preserve"> (miles per hour)</w:t>
            </w:r>
            <w:r>
              <w:rPr>
                <w:rFonts w:ascii="Book Antiqua" w:hAnsi="Book Antiqua"/>
                <w:i/>
                <w:iCs/>
                <w:sz w:val="20"/>
                <w:szCs w:val="20"/>
              </w:rPr>
              <w:t xml:space="preserve"> and road grade</w:t>
            </w:r>
            <w:r w:rsidR="00FA2ED5">
              <w:rPr>
                <w:rFonts w:ascii="Book Antiqua" w:hAnsi="Book Antiqua"/>
                <w:i/>
                <w:iCs/>
                <w:sz w:val="20"/>
                <w:szCs w:val="20"/>
              </w:rPr>
              <w:t xml:space="preserve"> (percent)</w:t>
            </w:r>
            <w:r>
              <w:rPr>
                <w:rFonts w:ascii="Book Antiqua" w:hAnsi="Book Antiqua"/>
                <w:i/>
                <w:iCs/>
                <w:sz w:val="20"/>
                <w:szCs w:val="20"/>
              </w:rPr>
              <w:t>.</w:t>
            </w:r>
          </w:p>
        </w:tc>
        <w:tc>
          <w:tcPr>
            <w:tcW w:w="3927" w:type="dxa"/>
            <w:noWrap/>
          </w:tcPr>
          <w:p w:rsidR="006B4982" w:rsidRDefault="007F3AAA" w:rsidP="00090CB2">
            <w:pPr>
              <w:jc w:val="left"/>
              <w:rPr>
                <w:rFonts w:ascii="Book Antiqua" w:hAnsi="Book Antiqua"/>
                <w:sz w:val="20"/>
                <w:szCs w:val="20"/>
              </w:rPr>
            </w:pPr>
            <w:r>
              <w:rPr>
                <w:rFonts w:ascii="Book Antiqua" w:hAnsi="Book Antiqua"/>
                <w:sz w:val="20"/>
                <w:szCs w:val="20"/>
              </w:rPr>
              <w:t>Project specific modeling, ADOT, MPO</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4.5.6</w:t>
            </w:r>
            <w:r w:rsidR="00553965">
              <w:rPr>
                <w:rFonts w:ascii="Book Antiqua" w:hAnsi="Book Antiqua"/>
                <w:sz w:val="20"/>
                <w:szCs w:val="20"/>
              </w:rPr>
              <w:t>, Appendix D</w:t>
            </w:r>
          </w:p>
        </w:tc>
      </w:tr>
      <w:tr w:rsidR="006B4982" w:rsidRPr="0024177A" w:rsidTr="00090CB2">
        <w:trPr>
          <w:trHeight w:val="341"/>
        </w:trPr>
        <w:tc>
          <w:tcPr>
            <w:tcW w:w="2199" w:type="dxa"/>
            <w:noWrap/>
          </w:tcPr>
          <w:p w:rsidR="006B4982" w:rsidRDefault="006B4982" w:rsidP="00090CB2">
            <w:pPr>
              <w:jc w:val="left"/>
              <w:rPr>
                <w:rFonts w:ascii="Book Antiqua" w:hAnsi="Book Antiqua"/>
                <w:sz w:val="20"/>
                <w:szCs w:val="20"/>
              </w:rPr>
            </w:pPr>
            <w:r>
              <w:rPr>
                <w:rFonts w:ascii="Book Antiqua" w:hAnsi="Book Antiqua"/>
                <w:sz w:val="20"/>
                <w:szCs w:val="20"/>
              </w:rPr>
              <w:t>Link Source Types</w:t>
            </w:r>
          </w:p>
        </w:tc>
        <w:tc>
          <w:tcPr>
            <w:tcW w:w="4272" w:type="dxa"/>
            <w:noWrap/>
          </w:tcPr>
          <w:p w:rsidR="006B4982" w:rsidRPr="0024177A" w:rsidRDefault="00821C42" w:rsidP="00CF1386">
            <w:pPr>
              <w:jc w:val="left"/>
              <w:rPr>
                <w:rFonts w:ascii="Book Antiqua" w:hAnsi="Book Antiqua"/>
                <w:i/>
                <w:iCs/>
                <w:sz w:val="20"/>
                <w:szCs w:val="20"/>
              </w:rPr>
            </w:pPr>
            <w:r>
              <w:rPr>
                <w:rFonts w:ascii="Book Antiqua" w:hAnsi="Book Antiqua"/>
                <w:i/>
                <w:iCs/>
                <w:sz w:val="20"/>
                <w:szCs w:val="20"/>
              </w:rPr>
              <w:t>Unique inputs needed for eac</w:t>
            </w:r>
            <w:r w:rsidR="00BD008E">
              <w:rPr>
                <w:rFonts w:ascii="Book Antiqua" w:hAnsi="Book Antiqua"/>
                <w:i/>
                <w:iCs/>
                <w:sz w:val="20"/>
                <w:szCs w:val="20"/>
              </w:rPr>
              <w:t>h run</w:t>
            </w:r>
            <w:r>
              <w:rPr>
                <w:rFonts w:ascii="Book Antiqua" w:hAnsi="Book Antiqua"/>
                <w:i/>
                <w:iCs/>
                <w:sz w:val="20"/>
                <w:szCs w:val="20"/>
              </w:rPr>
              <w:t>.</w:t>
            </w:r>
            <w:r w:rsidR="00BD008E">
              <w:rPr>
                <w:rFonts w:ascii="Book Antiqua" w:hAnsi="Book Antiqua"/>
                <w:i/>
                <w:iCs/>
                <w:sz w:val="20"/>
                <w:szCs w:val="20"/>
              </w:rPr>
              <w:t xml:space="preserve"> </w:t>
            </w:r>
            <w:r w:rsidR="00CF1386">
              <w:rPr>
                <w:rFonts w:ascii="Book Antiqua" w:hAnsi="Book Antiqua"/>
                <w:i/>
                <w:iCs/>
                <w:sz w:val="20"/>
                <w:szCs w:val="20"/>
              </w:rPr>
              <w:t>P</w:t>
            </w:r>
            <w:r w:rsidR="00BD008E">
              <w:rPr>
                <w:rFonts w:ascii="Book Antiqua" w:hAnsi="Book Antiqua"/>
                <w:i/>
                <w:iCs/>
                <w:sz w:val="20"/>
                <w:szCs w:val="20"/>
              </w:rPr>
              <w:t>roject-specific data</w:t>
            </w:r>
            <w:r w:rsidR="00CF1386">
              <w:rPr>
                <w:rFonts w:ascii="Book Antiqua" w:hAnsi="Book Antiqua"/>
                <w:i/>
                <w:iCs/>
                <w:sz w:val="20"/>
                <w:szCs w:val="20"/>
              </w:rPr>
              <w:t xml:space="preserve"> are preferred.</w:t>
            </w:r>
            <w:r w:rsidR="00615657">
              <w:rPr>
                <w:rFonts w:ascii="Book Antiqua" w:hAnsi="Book Antiqua"/>
                <w:i/>
                <w:iCs/>
                <w:sz w:val="20"/>
                <w:szCs w:val="20"/>
              </w:rPr>
              <w:t xml:space="preserve"> If the source type distribution</w:t>
            </w:r>
            <w:r w:rsidR="00CF1386">
              <w:rPr>
                <w:rFonts w:ascii="Book Antiqua" w:hAnsi="Book Antiqua"/>
                <w:i/>
                <w:iCs/>
                <w:sz w:val="20"/>
                <w:szCs w:val="20"/>
              </w:rPr>
              <w:t xml:space="preserve"> </w:t>
            </w:r>
            <w:r w:rsidR="00615657">
              <w:rPr>
                <w:rFonts w:ascii="Book Antiqua" w:hAnsi="Book Antiqua"/>
                <w:i/>
                <w:iCs/>
                <w:sz w:val="20"/>
                <w:szCs w:val="20"/>
              </w:rPr>
              <w:t>can be represented by that of the regional fleet</w:t>
            </w:r>
            <w:r w:rsidR="00BD008E">
              <w:rPr>
                <w:rFonts w:ascii="Book Antiqua" w:hAnsi="Book Antiqua"/>
                <w:i/>
                <w:iCs/>
                <w:sz w:val="20"/>
                <w:szCs w:val="20"/>
              </w:rPr>
              <w:t>,</w:t>
            </w:r>
            <w:r w:rsidR="00615657">
              <w:rPr>
                <w:rFonts w:ascii="Book Antiqua" w:hAnsi="Book Antiqua"/>
                <w:i/>
                <w:iCs/>
                <w:sz w:val="20"/>
                <w:szCs w:val="20"/>
              </w:rPr>
              <w:t xml:space="preserve"> the data</w:t>
            </w:r>
            <w:r w:rsidR="00CF1386">
              <w:rPr>
                <w:rFonts w:ascii="Book Antiqua" w:hAnsi="Book Antiqua"/>
                <w:i/>
                <w:iCs/>
                <w:sz w:val="20"/>
                <w:szCs w:val="20"/>
              </w:rPr>
              <w:t xml:space="preserve"> used in the latest regional emissions analysis</w:t>
            </w:r>
            <w:r w:rsidR="00615657">
              <w:rPr>
                <w:rFonts w:ascii="Book Antiqua" w:hAnsi="Book Antiqua"/>
                <w:i/>
                <w:iCs/>
                <w:sz w:val="20"/>
                <w:szCs w:val="20"/>
              </w:rPr>
              <w:t xml:space="preserve"> can </w:t>
            </w:r>
            <w:r w:rsidR="00CF1386">
              <w:rPr>
                <w:rFonts w:ascii="Book Antiqua" w:hAnsi="Book Antiqua"/>
                <w:i/>
                <w:iCs/>
                <w:sz w:val="20"/>
                <w:szCs w:val="20"/>
              </w:rPr>
              <w:t xml:space="preserve">be provided. </w:t>
            </w:r>
            <w:r w:rsidR="00BD008E">
              <w:rPr>
                <w:rFonts w:ascii="Book Antiqua" w:hAnsi="Book Antiqua"/>
                <w:i/>
                <w:iCs/>
                <w:sz w:val="20"/>
                <w:szCs w:val="20"/>
              </w:rPr>
              <w:t xml:space="preserve"> </w:t>
            </w:r>
            <w:r>
              <w:rPr>
                <w:rFonts w:ascii="Book Antiqua" w:hAnsi="Book Antiqua"/>
                <w:i/>
                <w:iCs/>
                <w:sz w:val="20"/>
                <w:szCs w:val="20"/>
              </w:rPr>
              <w:t xml:space="preserve"> </w:t>
            </w:r>
          </w:p>
        </w:tc>
        <w:tc>
          <w:tcPr>
            <w:tcW w:w="3927" w:type="dxa"/>
            <w:noWrap/>
          </w:tcPr>
          <w:p w:rsidR="006B4982" w:rsidRDefault="007F3AAA" w:rsidP="00090CB2">
            <w:pPr>
              <w:jc w:val="left"/>
              <w:rPr>
                <w:rFonts w:ascii="Book Antiqua" w:hAnsi="Book Antiqua"/>
                <w:sz w:val="20"/>
                <w:szCs w:val="20"/>
              </w:rPr>
            </w:pPr>
            <w:r>
              <w:rPr>
                <w:rFonts w:ascii="Book Antiqua" w:hAnsi="Book Antiqua"/>
                <w:sz w:val="20"/>
                <w:szCs w:val="20"/>
              </w:rPr>
              <w:t>Project specific modeling, ADOT, MPO</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4.5.7</w:t>
            </w:r>
          </w:p>
        </w:tc>
      </w:tr>
      <w:tr w:rsidR="006B4982" w:rsidRPr="0024177A" w:rsidTr="00090CB2">
        <w:trPr>
          <w:trHeight w:val="341"/>
        </w:trPr>
        <w:tc>
          <w:tcPr>
            <w:tcW w:w="2199" w:type="dxa"/>
            <w:noWrap/>
          </w:tcPr>
          <w:p w:rsidR="006B4982" w:rsidRDefault="006B4982" w:rsidP="00090CB2">
            <w:pPr>
              <w:jc w:val="left"/>
              <w:rPr>
                <w:rFonts w:ascii="Book Antiqua" w:hAnsi="Book Antiqua"/>
                <w:sz w:val="20"/>
                <w:szCs w:val="20"/>
              </w:rPr>
            </w:pPr>
            <w:r>
              <w:rPr>
                <w:rFonts w:ascii="Book Antiqua" w:hAnsi="Book Antiqua"/>
                <w:sz w:val="20"/>
                <w:szCs w:val="20"/>
              </w:rPr>
              <w:t>Link Drive Schedules</w:t>
            </w:r>
            <w:r w:rsidR="00D63767">
              <w:rPr>
                <w:rFonts w:ascii="Book Antiqua" w:hAnsi="Book Antiqua"/>
                <w:sz w:val="20"/>
                <w:szCs w:val="20"/>
              </w:rPr>
              <w:t>, Operating Mode Distribution</w:t>
            </w:r>
          </w:p>
        </w:tc>
        <w:tc>
          <w:tcPr>
            <w:tcW w:w="4272" w:type="dxa"/>
            <w:noWrap/>
          </w:tcPr>
          <w:p w:rsidR="006B4982" w:rsidRPr="0024177A" w:rsidRDefault="00821C42" w:rsidP="00090CB2">
            <w:pPr>
              <w:jc w:val="left"/>
              <w:rPr>
                <w:rFonts w:ascii="Book Antiqua" w:hAnsi="Book Antiqua"/>
                <w:i/>
                <w:iCs/>
                <w:sz w:val="20"/>
                <w:szCs w:val="20"/>
              </w:rPr>
            </w:pPr>
            <w:r>
              <w:rPr>
                <w:rFonts w:ascii="Book Antiqua" w:hAnsi="Book Antiqua"/>
                <w:i/>
                <w:iCs/>
                <w:sz w:val="20"/>
                <w:szCs w:val="20"/>
              </w:rPr>
              <w:t>Unique inputs needed for eac</w:t>
            </w:r>
            <w:r w:rsidR="00BD008E">
              <w:rPr>
                <w:rFonts w:ascii="Book Antiqua" w:hAnsi="Book Antiqua"/>
                <w:i/>
                <w:iCs/>
                <w:sz w:val="20"/>
                <w:szCs w:val="20"/>
              </w:rPr>
              <w:t>h run</w:t>
            </w:r>
            <w:r w:rsidR="00B74629">
              <w:rPr>
                <w:rFonts w:ascii="Book Antiqua" w:hAnsi="Book Antiqua"/>
                <w:i/>
                <w:iCs/>
                <w:sz w:val="20"/>
                <w:szCs w:val="20"/>
              </w:rPr>
              <w:t xml:space="preserve">. </w:t>
            </w:r>
            <w:r w:rsidR="009C40E8">
              <w:rPr>
                <w:rFonts w:ascii="Book Antiqua" w:hAnsi="Book Antiqua"/>
                <w:i/>
                <w:iCs/>
                <w:sz w:val="20"/>
                <w:szCs w:val="20"/>
              </w:rPr>
              <w:t>Three options are available: 1. Provide average speed and road type through the Links Importer; 2. Provide a link drive schedule using the Link Drive Schedule Importer; 3. Provide a detailed operation distribution for the link.</w:t>
            </w:r>
          </w:p>
        </w:tc>
        <w:tc>
          <w:tcPr>
            <w:tcW w:w="3927" w:type="dxa"/>
            <w:noWrap/>
          </w:tcPr>
          <w:p w:rsidR="006B4982" w:rsidRDefault="00B74629" w:rsidP="00090CB2">
            <w:pPr>
              <w:jc w:val="left"/>
              <w:rPr>
                <w:rFonts w:ascii="Book Antiqua" w:hAnsi="Book Antiqua"/>
                <w:sz w:val="20"/>
                <w:szCs w:val="20"/>
              </w:rPr>
            </w:pPr>
            <w:r>
              <w:rPr>
                <w:rFonts w:ascii="Book Antiqua" w:hAnsi="Book Antiqua"/>
                <w:sz w:val="20"/>
                <w:szCs w:val="20"/>
              </w:rPr>
              <w:t>Project specific modeling, ADOT, MPO</w:t>
            </w:r>
          </w:p>
          <w:p w:rsidR="009C40E8" w:rsidRPr="0024177A" w:rsidRDefault="009C40E8" w:rsidP="00090CB2">
            <w:pPr>
              <w:jc w:val="left"/>
              <w:rPr>
                <w:rFonts w:ascii="Book Antiqua" w:hAnsi="Book Antiqua"/>
                <w:sz w:val="20"/>
                <w:szCs w:val="20"/>
              </w:rPr>
            </w:pPr>
            <w:r>
              <w:rPr>
                <w:rFonts w:ascii="Book Antiqua" w:hAnsi="Book Antiqua"/>
                <w:sz w:val="20"/>
                <w:szCs w:val="20"/>
              </w:rPr>
              <w:t>EPA Hot Spot Guidance Section 4.5.8</w:t>
            </w:r>
          </w:p>
        </w:tc>
      </w:tr>
      <w:tr w:rsidR="006B4982" w:rsidRPr="0024177A" w:rsidTr="00090CB2">
        <w:trPr>
          <w:trHeight w:val="341"/>
        </w:trPr>
        <w:tc>
          <w:tcPr>
            <w:tcW w:w="2199" w:type="dxa"/>
            <w:noWrap/>
          </w:tcPr>
          <w:p w:rsidR="006B4982" w:rsidRDefault="006B4982" w:rsidP="00090CB2">
            <w:pPr>
              <w:jc w:val="left"/>
              <w:rPr>
                <w:rFonts w:ascii="Book Antiqua" w:hAnsi="Book Antiqua"/>
                <w:sz w:val="20"/>
                <w:szCs w:val="20"/>
              </w:rPr>
            </w:pPr>
            <w:r>
              <w:rPr>
                <w:rFonts w:ascii="Book Antiqua" w:hAnsi="Book Antiqua"/>
                <w:sz w:val="20"/>
                <w:szCs w:val="20"/>
              </w:rPr>
              <w:t>Off-Network</w:t>
            </w:r>
            <w:r w:rsidR="009C40E8">
              <w:rPr>
                <w:rFonts w:ascii="Book Antiqua" w:hAnsi="Book Antiqua"/>
                <w:sz w:val="20"/>
                <w:szCs w:val="20"/>
              </w:rPr>
              <w:t xml:space="preserve">, </w:t>
            </w:r>
            <w:proofErr w:type="spellStart"/>
            <w:r w:rsidR="009C40E8">
              <w:rPr>
                <w:rFonts w:ascii="Book Antiqua" w:hAnsi="Book Antiqua"/>
                <w:sz w:val="20"/>
                <w:szCs w:val="20"/>
              </w:rPr>
              <w:t>Hotelling</w:t>
            </w:r>
            <w:proofErr w:type="spellEnd"/>
          </w:p>
        </w:tc>
        <w:tc>
          <w:tcPr>
            <w:tcW w:w="4272" w:type="dxa"/>
            <w:noWrap/>
          </w:tcPr>
          <w:p w:rsidR="006B4982" w:rsidRPr="0024177A" w:rsidRDefault="009C40E8" w:rsidP="00090CB2">
            <w:pPr>
              <w:jc w:val="left"/>
              <w:rPr>
                <w:rFonts w:ascii="Book Antiqua" w:hAnsi="Book Antiqua"/>
                <w:i/>
                <w:iCs/>
                <w:sz w:val="20"/>
                <w:szCs w:val="20"/>
              </w:rPr>
            </w:pPr>
            <w:r>
              <w:rPr>
                <w:rFonts w:ascii="Book Antiqua" w:hAnsi="Book Antiqua"/>
                <w:i/>
                <w:iCs/>
                <w:sz w:val="20"/>
                <w:szCs w:val="20"/>
              </w:rPr>
              <w:t xml:space="preserve">If necessary. For example, </w:t>
            </w:r>
            <w:r w:rsidR="00625B23">
              <w:rPr>
                <w:rFonts w:ascii="Book Antiqua" w:hAnsi="Book Antiqua"/>
                <w:i/>
                <w:iCs/>
                <w:sz w:val="20"/>
                <w:szCs w:val="20"/>
              </w:rPr>
              <w:t>a project analysis includes areas where vehicles are not driving on the project links, but still contributing to the project’s emissions.</w:t>
            </w:r>
          </w:p>
        </w:tc>
        <w:tc>
          <w:tcPr>
            <w:tcW w:w="3927" w:type="dxa"/>
            <w:noWrap/>
          </w:tcPr>
          <w:p w:rsidR="006B4982" w:rsidRPr="0024177A" w:rsidRDefault="009C40E8" w:rsidP="00090CB2">
            <w:pPr>
              <w:jc w:val="left"/>
              <w:rPr>
                <w:rFonts w:ascii="Book Antiqua" w:hAnsi="Book Antiqua"/>
                <w:sz w:val="20"/>
                <w:szCs w:val="20"/>
              </w:rPr>
            </w:pPr>
            <w:r>
              <w:rPr>
                <w:rFonts w:ascii="Book Antiqua" w:hAnsi="Book Antiqua"/>
                <w:sz w:val="20"/>
                <w:szCs w:val="20"/>
              </w:rPr>
              <w:t>EPA Hot Spot Guidance Section 4.5.9</w:t>
            </w:r>
          </w:p>
        </w:tc>
      </w:tr>
    </w:tbl>
    <w:p w:rsidR="00A00AE5" w:rsidRPr="00A00AE5" w:rsidRDefault="00A00AE5" w:rsidP="00A00AE5">
      <w:pPr>
        <w:rPr>
          <w:rFonts w:ascii="Book Antiqua" w:hAnsi="Book Antiqua"/>
          <w:sz w:val="28"/>
          <w:szCs w:val="28"/>
        </w:rPr>
      </w:pPr>
    </w:p>
    <w:sectPr w:rsidR="00A00AE5" w:rsidRPr="00A00AE5" w:rsidSect="006D7032">
      <w:headerReference w:type="default" r:id="rId9"/>
      <w:footerReference w:type="default" r:id="rId10"/>
      <w:pgSz w:w="12240" w:h="15840" w:code="1"/>
      <w:pgMar w:top="1296" w:right="1440"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47" w:rsidRDefault="00043B47" w:rsidP="00874B95">
      <w:r>
        <w:separator/>
      </w:r>
    </w:p>
  </w:endnote>
  <w:endnote w:type="continuationSeparator" w:id="0">
    <w:p w:rsidR="00043B47" w:rsidRDefault="00043B47"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24177A">
    <w:pPr>
      <w:pStyle w:val="Footer"/>
      <w:pBdr>
        <w:top w:val="single" w:sz="4" w:space="1" w:color="auto"/>
      </w:pBdr>
      <w:ind w:left="-720"/>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36319A">
      <w:rPr>
        <w:rFonts w:ascii="Book Antiqua" w:hAnsi="Book Antiqua"/>
        <w:noProof/>
        <w:sz w:val="20"/>
        <w:szCs w:val="20"/>
      </w:rPr>
      <w:t>2</w:t>
    </w:r>
    <w:r w:rsidR="007D104A" w:rsidRPr="007D104A">
      <w:rPr>
        <w:rFonts w:ascii="Book Antiqua" w:hAnsi="Book Antiqua"/>
        <w:noProof/>
        <w:sz w:val="20"/>
        <w:szCs w:val="20"/>
      </w:rPr>
      <w:fldChar w:fldCharType="end"/>
    </w:r>
  </w:p>
  <w:p w:rsidR="00874B95" w:rsidRDefault="0087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47" w:rsidRDefault="00043B47" w:rsidP="00874B95">
      <w:r>
        <w:separator/>
      </w:r>
    </w:p>
  </w:footnote>
  <w:footnote w:type="continuationSeparator" w:id="0">
    <w:p w:rsidR="00043B47" w:rsidRDefault="00043B47"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rsidP="0024177A">
    <w:pPr>
      <w:pStyle w:val="Header"/>
      <w:ind w:left="-720"/>
      <w:rPr>
        <w:rFonts w:ascii="Book Antiqua" w:hAnsi="Book Antiqua"/>
        <w:sz w:val="20"/>
        <w:szCs w:val="20"/>
      </w:rPr>
    </w:pPr>
    <w:r w:rsidRPr="002A0385">
      <w:rPr>
        <w:b/>
        <w:noProof/>
      </w:rPr>
      <w:drawing>
        <wp:anchor distT="0" distB="0" distL="114300" distR="114300" simplePos="0" relativeHeight="251657216" behindDoc="1" locked="0" layoutInCell="1" allowOverlap="1" wp14:anchorId="733F6FCC" wp14:editId="63B0DA85">
          <wp:simplePos x="0" y="0"/>
          <wp:positionH relativeFrom="column">
            <wp:posOffset>4760595</wp:posOffset>
          </wp:positionH>
          <wp:positionV relativeFrom="paragraph">
            <wp:posOffset>41910</wp:posOffset>
          </wp:positionV>
          <wp:extent cx="1044575" cy="182880"/>
          <wp:effectExtent l="0" t="0" r="3175" b="7620"/>
          <wp:wrapTight wrapText="bothSides">
            <wp:wrapPolygon edited="0">
              <wp:start x="0" y="0"/>
              <wp:lineTo x="0" y="20250"/>
              <wp:lineTo x="21272" y="20250"/>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44575" cy="182880"/>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rsidP="0024177A">
    <w:pPr>
      <w:pStyle w:val="Header"/>
      <w:ind w:left="-720"/>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24177A">
    <w:pPr>
      <w:pStyle w:val="Header"/>
      <w:pBdr>
        <w:bottom w:val="single" w:sz="4" w:space="1" w:color="auto"/>
      </w:pBdr>
      <w:ind w:left="-720"/>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492ED2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0"/>
  </w:num>
  <w:num w:numId="3">
    <w:abstractNumId w:val="5"/>
  </w:num>
  <w:num w:numId="4">
    <w:abstractNumId w:val="4"/>
  </w:num>
  <w:num w:numId="5">
    <w:abstractNumId w:val="8"/>
  </w:num>
  <w:num w:numId="6">
    <w:abstractNumId w:val="1"/>
  </w:num>
  <w:num w:numId="7">
    <w:abstractNumId w:val="13"/>
  </w:num>
  <w:num w:numId="8">
    <w:abstractNumId w:val="3"/>
  </w:num>
  <w:num w:numId="9">
    <w:abstractNumId w:val="16"/>
  </w:num>
  <w:num w:numId="10">
    <w:abstractNumId w:val="19"/>
  </w:num>
  <w:num w:numId="11">
    <w:abstractNumId w:val="6"/>
  </w:num>
  <w:num w:numId="12">
    <w:abstractNumId w:val="9"/>
  </w:num>
  <w:num w:numId="13">
    <w:abstractNumId w:val="14"/>
  </w:num>
  <w:num w:numId="14">
    <w:abstractNumId w:val="12"/>
  </w:num>
  <w:num w:numId="15">
    <w:abstractNumId w:val="11"/>
  </w:num>
  <w:num w:numId="16">
    <w:abstractNumId w:val="7"/>
  </w:num>
  <w:num w:numId="17">
    <w:abstractNumId w:val="18"/>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37BEA"/>
    <w:rsid w:val="0004002F"/>
    <w:rsid w:val="00043B47"/>
    <w:rsid w:val="0006417D"/>
    <w:rsid w:val="0007756A"/>
    <w:rsid w:val="000948FF"/>
    <w:rsid w:val="000A4978"/>
    <w:rsid w:val="000B103D"/>
    <w:rsid w:val="000B5458"/>
    <w:rsid w:val="000B5806"/>
    <w:rsid w:val="000C0EDD"/>
    <w:rsid w:val="000C3EE4"/>
    <w:rsid w:val="000C6E6B"/>
    <w:rsid w:val="000F45B8"/>
    <w:rsid w:val="00105AB3"/>
    <w:rsid w:val="00117FF0"/>
    <w:rsid w:val="00145DCD"/>
    <w:rsid w:val="00156DF9"/>
    <w:rsid w:val="00175867"/>
    <w:rsid w:val="00182A52"/>
    <w:rsid w:val="0019418D"/>
    <w:rsid w:val="00196283"/>
    <w:rsid w:val="001A4643"/>
    <w:rsid w:val="001C13B0"/>
    <w:rsid w:val="001D446B"/>
    <w:rsid w:val="001E548C"/>
    <w:rsid w:val="001E563E"/>
    <w:rsid w:val="001F054A"/>
    <w:rsid w:val="001F5842"/>
    <w:rsid w:val="00212F8E"/>
    <w:rsid w:val="00215949"/>
    <w:rsid w:val="00220803"/>
    <w:rsid w:val="0022260A"/>
    <w:rsid w:val="0024177A"/>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ED3"/>
    <w:rsid w:val="002D2A5E"/>
    <w:rsid w:val="002E3647"/>
    <w:rsid w:val="002E66C0"/>
    <w:rsid w:val="002F68C3"/>
    <w:rsid w:val="00304CD6"/>
    <w:rsid w:val="003058E2"/>
    <w:rsid w:val="00313B60"/>
    <w:rsid w:val="00314EB4"/>
    <w:rsid w:val="00326F09"/>
    <w:rsid w:val="0033445D"/>
    <w:rsid w:val="003345AD"/>
    <w:rsid w:val="00337224"/>
    <w:rsid w:val="0034375E"/>
    <w:rsid w:val="0034416C"/>
    <w:rsid w:val="0036319A"/>
    <w:rsid w:val="003705AE"/>
    <w:rsid w:val="003816A7"/>
    <w:rsid w:val="00395DE0"/>
    <w:rsid w:val="003A25CB"/>
    <w:rsid w:val="003A2A9C"/>
    <w:rsid w:val="003A73AE"/>
    <w:rsid w:val="003D1BBB"/>
    <w:rsid w:val="003E4F49"/>
    <w:rsid w:val="00425805"/>
    <w:rsid w:val="00450270"/>
    <w:rsid w:val="004632CC"/>
    <w:rsid w:val="00466DF7"/>
    <w:rsid w:val="004735CD"/>
    <w:rsid w:val="00474FD4"/>
    <w:rsid w:val="00475460"/>
    <w:rsid w:val="0048039F"/>
    <w:rsid w:val="00482109"/>
    <w:rsid w:val="004A09D7"/>
    <w:rsid w:val="004A33F2"/>
    <w:rsid w:val="004C2A66"/>
    <w:rsid w:val="004C464B"/>
    <w:rsid w:val="004D2CAE"/>
    <w:rsid w:val="004D6775"/>
    <w:rsid w:val="004E05D2"/>
    <w:rsid w:val="00510038"/>
    <w:rsid w:val="00515DB0"/>
    <w:rsid w:val="00516CA0"/>
    <w:rsid w:val="005342D0"/>
    <w:rsid w:val="00537FA9"/>
    <w:rsid w:val="005417A3"/>
    <w:rsid w:val="00552121"/>
    <w:rsid w:val="0055220A"/>
    <w:rsid w:val="00553965"/>
    <w:rsid w:val="00555FD6"/>
    <w:rsid w:val="005809AC"/>
    <w:rsid w:val="00580E09"/>
    <w:rsid w:val="00595FAB"/>
    <w:rsid w:val="00597FA1"/>
    <w:rsid w:val="00597FD7"/>
    <w:rsid w:val="005A14DE"/>
    <w:rsid w:val="005A2F8C"/>
    <w:rsid w:val="005A5B80"/>
    <w:rsid w:val="005B126D"/>
    <w:rsid w:val="005C3620"/>
    <w:rsid w:val="005C4BCB"/>
    <w:rsid w:val="005D4269"/>
    <w:rsid w:val="005D4F41"/>
    <w:rsid w:val="005F1AAE"/>
    <w:rsid w:val="005F200B"/>
    <w:rsid w:val="005F2159"/>
    <w:rsid w:val="005F3759"/>
    <w:rsid w:val="005F3F61"/>
    <w:rsid w:val="005F49A3"/>
    <w:rsid w:val="005F6F58"/>
    <w:rsid w:val="006027AD"/>
    <w:rsid w:val="00602B6F"/>
    <w:rsid w:val="00602DFF"/>
    <w:rsid w:val="006042B0"/>
    <w:rsid w:val="00615657"/>
    <w:rsid w:val="00615F01"/>
    <w:rsid w:val="00617EFE"/>
    <w:rsid w:val="00624D7A"/>
    <w:rsid w:val="00625B23"/>
    <w:rsid w:val="00632469"/>
    <w:rsid w:val="00633B41"/>
    <w:rsid w:val="00633FCB"/>
    <w:rsid w:val="00660116"/>
    <w:rsid w:val="006668F4"/>
    <w:rsid w:val="0067074A"/>
    <w:rsid w:val="00672E3B"/>
    <w:rsid w:val="006823F4"/>
    <w:rsid w:val="00683ECF"/>
    <w:rsid w:val="00685472"/>
    <w:rsid w:val="00686FA4"/>
    <w:rsid w:val="00690BA7"/>
    <w:rsid w:val="006A2019"/>
    <w:rsid w:val="006B4982"/>
    <w:rsid w:val="006B5D3F"/>
    <w:rsid w:val="006D16EE"/>
    <w:rsid w:val="006D2CFF"/>
    <w:rsid w:val="006D5FD1"/>
    <w:rsid w:val="006D7032"/>
    <w:rsid w:val="006E7F24"/>
    <w:rsid w:val="006F08A9"/>
    <w:rsid w:val="006F1786"/>
    <w:rsid w:val="006F6F2F"/>
    <w:rsid w:val="00704964"/>
    <w:rsid w:val="00710665"/>
    <w:rsid w:val="00715EDF"/>
    <w:rsid w:val="00717A08"/>
    <w:rsid w:val="0073092B"/>
    <w:rsid w:val="00733E43"/>
    <w:rsid w:val="00747593"/>
    <w:rsid w:val="00766D7E"/>
    <w:rsid w:val="007732D8"/>
    <w:rsid w:val="00782EE7"/>
    <w:rsid w:val="00785F1F"/>
    <w:rsid w:val="00794619"/>
    <w:rsid w:val="007A5414"/>
    <w:rsid w:val="007D104A"/>
    <w:rsid w:val="007D44F5"/>
    <w:rsid w:val="007D480A"/>
    <w:rsid w:val="007F3AAA"/>
    <w:rsid w:val="007F7AB8"/>
    <w:rsid w:val="007F7D99"/>
    <w:rsid w:val="00802356"/>
    <w:rsid w:val="00802751"/>
    <w:rsid w:val="00802ABF"/>
    <w:rsid w:val="00810831"/>
    <w:rsid w:val="00821C42"/>
    <w:rsid w:val="00834279"/>
    <w:rsid w:val="00836BA5"/>
    <w:rsid w:val="008423B5"/>
    <w:rsid w:val="00842CBE"/>
    <w:rsid w:val="008508D8"/>
    <w:rsid w:val="008627AB"/>
    <w:rsid w:val="00866B15"/>
    <w:rsid w:val="00873A81"/>
    <w:rsid w:val="00874B95"/>
    <w:rsid w:val="008853BE"/>
    <w:rsid w:val="00885E63"/>
    <w:rsid w:val="008931B6"/>
    <w:rsid w:val="008A1670"/>
    <w:rsid w:val="008A4A13"/>
    <w:rsid w:val="008D38CF"/>
    <w:rsid w:val="008D6406"/>
    <w:rsid w:val="008E5C6C"/>
    <w:rsid w:val="0092414E"/>
    <w:rsid w:val="009327AD"/>
    <w:rsid w:val="009503E1"/>
    <w:rsid w:val="0095730B"/>
    <w:rsid w:val="009643E3"/>
    <w:rsid w:val="00977024"/>
    <w:rsid w:val="009915D8"/>
    <w:rsid w:val="009A557E"/>
    <w:rsid w:val="009C0C66"/>
    <w:rsid w:val="009C40E8"/>
    <w:rsid w:val="009C4400"/>
    <w:rsid w:val="009C4755"/>
    <w:rsid w:val="009D10A7"/>
    <w:rsid w:val="009E0BD5"/>
    <w:rsid w:val="00A00AE5"/>
    <w:rsid w:val="00A030B0"/>
    <w:rsid w:val="00A053A5"/>
    <w:rsid w:val="00A13884"/>
    <w:rsid w:val="00A24059"/>
    <w:rsid w:val="00A2529B"/>
    <w:rsid w:val="00A60033"/>
    <w:rsid w:val="00A913B0"/>
    <w:rsid w:val="00A9450F"/>
    <w:rsid w:val="00A97339"/>
    <w:rsid w:val="00AB0C50"/>
    <w:rsid w:val="00AB5B2F"/>
    <w:rsid w:val="00AC7A79"/>
    <w:rsid w:val="00AD1EA6"/>
    <w:rsid w:val="00AD5E65"/>
    <w:rsid w:val="00AE2E72"/>
    <w:rsid w:val="00AE3A63"/>
    <w:rsid w:val="00AE5FB3"/>
    <w:rsid w:val="00AF208A"/>
    <w:rsid w:val="00B020CE"/>
    <w:rsid w:val="00B108C7"/>
    <w:rsid w:val="00B155DE"/>
    <w:rsid w:val="00B234B6"/>
    <w:rsid w:val="00B3558A"/>
    <w:rsid w:val="00B40D93"/>
    <w:rsid w:val="00B46907"/>
    <w:rsid w:val="00B47977"/>
    <w:rsid w:val="00B63ABA"/>
    <w:rsid w:val="00B67E44"/>
    <w:rsid w:val="00B74629"/>
    <w:rsid w:val="00B74B7B"/>
    <w:rsid w:val="00B84DF2"/>
    <w:rsid w:val="00B86AD7"/>
    <w:rsid w:val="00B9130C"/>
    <w:rsid w:val="00B94218"/>
    <w:rsid w:val="00BA1046"/>
    <w:rsid w:val="00BB4138"/>
    <w:rsid w:val="00BC37AA"/>
    <w:rsid w:val="00BC5FF1"/>
    <w:rsid w:val="00BD008E"/>
    <w:rsid w:val="00BD3F65"/>
    <w:rsid w:val="00BE090B"/>
    <w:rsid w:val="00C05D73"/>
    <w:rsid w:val="00C07E95"/>
    <w:rsid w:val="00C1294A"/>
    <w:rsid w:val="00C13338"/>
    <w:rsid w:val="00C15F5B"/>
    <w:rsid w:val="00C2600E"/>
    <w:rsid w:val="00C33235"/>
    <w:rsid w:val="00C337AA"/>
    <w:rsid w:val="00C3584B"/>
    <w:rsid w:val="00C36D9B"/>
    <w:rsid w:val="00C371FC"/>
    <w:rsid w:val="00C40D9C"/>
    <w:rsid w:val="00C4460B"/>
    <w:rsid w:val="00C50DE3"/>
    <w:rsid w:val="00C57D9C"/>
    <w:rsid w:val="00C64550"/>
    <w:rsid w:val="00C65569"/>
    <w:rsid w:val="00C66CD0"/>
    <w:rsid w:val="00C712B5"/>
    <w:rsid w:val="00C7640E"/>
    <w:rsid w:val="00C769EC"/>
    <w:rsid w:val="00C84BF9"/>
    <w:rsid w:val="00C92CE8"/>
    <w:rsid w:val="00CA3CC8"/>
    <w:rsid w:val="00CB2B38"/>
    <w:rsid w:val="00CB35C7"/>
    <w:rsid w:val="00CB3F56"/>
    <w:rsid w:val="00CB5082"/>
    <w:rsid w:val="00CD3462"/>
    <w:rsid w:val="00CE63D1"/>
    <w:rsid w:val="00CF1386"/>
    <w:rsid w:val="00CF2C17"/>
    <w:rsid w:val="00CF46F0"/>
    <w:rsid w:val="00D0414E"/>
    <w:rsid w:val="00D1733A"/>
    <w:rsid w:val="00D20242"/>
    <w:rsid w:val="00D214FA"/>
    <w:rsid w:val="00D53323"/>
    <w:rsid w:val="00D63767"/>
    <w:rsid w:val="00D7616C"/>
    <w:rsid w:val="00DA7813"/>
    <w:rsid w:val="00DB1704"/>
    <w:rsid w:val="00DC1E48"/>
    <w:rsid w:val="00DD2DEF"/>
    <w:rsid w:val="00DE1D14"/>
    <w:rsid w:val="00DE7548"/>
    <w:rsid w:val="00DF7D90"/>
    <w:rsid w:val="00E20617"/>
    <w:rsid w:val="00E31173"/>
    <w:rsid w:val="00E40259"/>
    <w:rsid w:val="00E4333C"/>
    <w:rsid w:val="00E43C26"/>
    <w:rsid w:val="00E45C30"/>
    <w:rsid w:val="00E54BEA"/>
    <w:rsid w:val="00E56C5B"/>
    <w:rsid w:val="00E65A60"/>
    <w:rsid w:val="00E662D2"/>
    <w:rsid w:val="00E670A5"/>
    <w:rsid w:val="00E73E4D"/>
    <w:rsid w:val="00E93723"/>
    <w:rsid w:val="00E95A73"/>
    <w:rsid w:val="00EA528B"/>
    <w:rsid w:val="00EB1A37"/>
    <w:rsid w:val="00ED724F"/>
    <w:rsid w:val="00ED7C90"/>
    <w:rsid w:val="00EE39EF"/>
    <w:rsid w:val="00EF4BA6"/>
    <w:rsid w:val="00F05060"/>
    <w:rsid w:val="00F2066F"/>
    <w:rsid w:val="00F219A5"/>
    <w:rsid w:val="00F25AB5"/>
    <w:rsid w:val="00F26140"/>
    <w:rsid w:val="00F30256"/>
    <w:rsid w:val="00F37993"/>
    <w:rsid w:val="00F51ADD"/>
    <w:rsid w:val="00F55C6F"/>
    <w:rsid w:val="00F60D0F"/>
    <w:rsid w:val="00F66CA6"/>
    <w:rsid w:val="00F701F8"/>
    <w:rsid w:val="00F8203B"/>
    <w:rsid w:val="00F9193B"/>
    <w:rsid w:val="00FA2ED5"/>
    <w:rsid w:val="00FB554C"/>
    <w:rsid w:val="00FF2BC0"/>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7E2F-E861-4C29-A885-47CB7C78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Level PM Quantitative Hot-Spot Analysis –</dc:title>
  <dc:creator/>
  <cp:lastModifiedBy/>
  <cp:revision>1</cp:revision>
  <dcterms:created xsi:type="dcterms:W3CDTF">2018-09-10T21:30:00Z</dcterms:created>
  <dcterms:modified xsi:type="dcterms:W3CDTF">2019-06-04T20:31:00Z</dcterms:modified>
</cp:coreProperties>
</file>