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B1" w:rsidRPr="003F3317" w:rsidRDefault="005662E3" w:rsidP="00B412B1">
      <w:pPr>
        <w:pStyle w:val="Heading2"/>
        <w:spacing w:before="240" w:after="60"/>
        <w:jc w:val="left"/>
        <w:rPr>
          <w:rFonts w:asciiTheme="minorHAnsi" w:hAnsiTheme="minorHAnsi"/>
          <w:b/>
        </w:rPr>
      </w:pPr>
      <w:r w:rsidRPr="003F3317">
        <w:rPr>
          <w:rFonts w:asciiTheme="minorHAnsi" w:hAnsiTheme="minorHAnsi"/>
          <w:b/>
        </w:rPr>
        <w:t>Pima pineapple cactus</w:t>
      </w:r>
      <w:r w:rsidR="00B412B1" w:rsidRPr="003F3317">
        <w:rPr>
          <w:rFonts w:asciiTheme="minorHAnsi" w:hAnsiTheme="minorHAnsi"/>
          <w:b/>
        </w:rPr>
        <w:t xml:space="preserve"> (</w:t>
      </w:r>
      <w:proofErr w:type="spellStart"/>
      <w:r w:rsidRPr="003F3317">
        <w:rPr>
          <w:rFonts w:asciiTheme="minorHAnsi" w:hAnsiTheme="minorHAnsi"/>
          <w:b/>
          <w:i/>
        </w:rPr>
        <w:t>Coryphantha</w:t>
      </w:r>
      <w:proofErr w:type="spellEnd"/>
      <w:r w:rsidRPr="003F3317">
        <w:rPr>
          <w:rFonts w:asciiTheme="minorHAnsi" w:hAnsiTheme="minorHAnsi"/>
          <w:b/>
          <w:i/>
        </w:rPr>
        <w:t xml:space="preserve"> </w:t>
      </w:r>
      <w:proofErr w:type="spellStart"/>
      <w:r w:rsidRPr="003F3317">
        <w:rPr>
          <w:rFonts w:asciiTheme="minorHAnsi" w:hAnsiTheme="minorHAnsi"/>
          <w:b/>
          <w:i/>
        </w:rPr>
        <w:t>scheeri</w:t>
      </w:r>
      <w:proofErr w:type="spellEnd"/>
      <w:r w:rsidRPr="003F3317">
        <w:rPr>
          <w:rFonts w:asciiTheme="minorHAnsi" w:hAnsiTheme="minorHAnsi"/>
          <w:b/>
          <w:i/>
        </w:rPr>
        <w:t xml:space="preserve"> var. </w:t>
      </w:r>
      <w:proofErr w:type="spellStart"/>
      <w:r w:rsidRPr="003F3317">
        <w:rPr>
          <w:rFonts w:asciiTheme="minorHAnsi" w:hAnsiTheme="minorHAnsi"/>
          <w:b/>
          <w:i/>
        </w:rPr>
        <w:t>robustispina</w:t>
      </w:r>
      <w:proofErr w:type="spellEnd"/>
      <w:r w:rsidR="00B412B1" w:rsidRPr="003F3317">
        <w:rPr>
          <w:rFonts w:asciiTheme="minorHAnsi" w:hAnsiTheme="minorHAnsi"/>
          <w:b/>
        </w:rPr>
        <w:t>)</w:t>
      </w:r>
    </w:p>
    <w:p w:rsidR="00A60CC4" w:rsidRPr="003F3317" w:rsidRDefault="00A60CC4" w:rsidP="00A60CC4">
      <w:pPr>
        <w:spacing w:after="60"/>
        <w:rPr>
          <w:rFonts w:asciiTheme="minorHAnsi" w:hAnsiTheme="minorHAnsi"/>
          <w:szCs w:val="24"/>
          <w:u w:val="single"/>
        </w:rPr>
      </w:pPr>
      <w:r w:rsidRPr="003F3317">
        <w:rPr>
          <w:rFonts w:asciiTheme="minorHAnsi" w:hAnsiTheme="minorHAnsi"/>
          <w:szCs w:val="24"/>
          <w:u w:val="single"/>
        </w:rPr>
        <w:t>Status</w:t>
      </w:r>
    </w:p>
    <w:p w:rsidR="00A60CC4" w:rsidRPr="003F3317" w:rsidRDefault="005662E3" w:rsidP="00A60CC4">
      <w:pPr>
        <w:rPr>
          <w:rFonts w:asciiTheme="minorHAnsi" w:hAnsiTheme="minorHAnsi"/>
          <w:szCs w:val="24"/>
        </w:rPr>
      </w:pPr>
      <w:r w:rsidRPr="003F3317">
        <w:rPr>
          <w:rFonts w:asciiTheme="minorHAnsi" w:hAnsiTheme="minorHAnsi"/>
          <w:szCs w:val="24"/>
        </w:rPr>
        <w:t>Endangered</w:t>
      </w:r>
      <w:r w:rsidR="00B13A12" w:rsidRPr="003F3317">
        <w:rPr>
          <w:rFonts w:asciiTheme="minorHAnsi" w:hAnsiTheme="minorHAnsi"/>
          <w:szCs w:val="24"/>
        </w:rPr>
        <w:t xml:space="preserve"> (</w:t>
      </w:r>
      <w:r w:rsidRPr="003F3317">
        <w:rPr>
          <w:rFonts w:asciiTheme="minorHAnsi" w:hAnsiTheme="minorHAnsi"/>
          <w:szCs w:val="24"/>
        </w:rPr>
        <w:t>58</w:t>
      </w:r>
      <w:r w:rsidR="00B13A12" w:rsidRPr="003F3317">
        <w:rPr>
          <w:rFonts w:asciiTheme="minorHAnsi" w:hAnsiTheme="minorHAnsi"/>
          <w:szCs w:val="24"/>
        </w:rPr>
        <w:t xml:space="preserve"> FR </w:t>
      </w:r>
      <w:r w:rsidRPr="003F3317">
        <w:rPr>
          <w:rFonts w:asciiTheme="minorHAnsi" w:hAnsiTheme="minorHAnsi"/>
          <w:szCs w:val="24"/>
        </w:rPr>
        <w:t>49875</w:t>
      </w:r>
      <w:r w:rsidR="00B13A12" w:rsidRPr="003F3317">
        <w:rPr>
          <w:rFonts w:asciiTheme="minorHAnsi" w:hAnsiTheme="minorHAnsi"/>
          <w:szCs w:val="24"/>
        </w:rPr>
        <w:t xml:space="preserve">; </w:t>
      </w:r>
      <w:r w:rsidRPr="003F3317">
        <w:rPr>
          <w:rFonts w:asciiTheme="minorHAnsi" w:hAnsiTheme="minorHAnsi"/>
          <w:szCs w:val="24"/>
        </w:rPr>
        <w:t>September</w:t>
      </w:r>
      <w:r w:rsidR="00B13A12" w:rsidRPr="003F3317">
        <w:rPr>
          <w:rFonts w:asciiTheme="minorHAnsi" w:hAnsiTheme="minorHAnsi"/>
          <w:szCs w:val="24"/>
        </w:rPr>
        <w:t xml:space="preserve"> </w:t>
      </w:r>
      <w:r w:rsidRPr="003F3317">
        <w:rPr>
          <w:rFonts w:asciiTheme="minorHAnsi" w:hAnsiTheme="minorHAnsi"/>
          <w:szCs w:val="24"/>
        </w:rPr>
        <w:t>23</w:t>
      </w:r>
      <w:r w:rsidR="00B13A12" w:rsidRPr="003F3317">
        <w:rPr>
          <w:rFonts w:asciiTheme="minorHAnsi" w:hAnsiTheme="minorHAnsi"/>
          <w:szCs w:val="24"/>
        </w:rPr>
        <w:t xml:space="preserve">, </w:t>
      </w:r>
      <w:r w:rsidRPr="003F3317">
        <w:rPr>
          <w:rFonts w:asciiTheme="minorHAnsi" w:hAnsiTheme="minorHAnsi"/>
          <w:szCs w:val="24"/>
        </w:rPr>
        <w:t>1993) without critical habitat.</w:t>
      </w:r>
    </w:p>
    <w:p w:rsidR="00A60CC4" w:rsidRPr="003F3317" w:rsidRDefault="00A60CC4" w:rsidP="00B412B1">
      <w:pPr>
        <w:spacing w:after="60"/>
        <w:rPr>
          <w:rFonts w:asciiTheme="minorHAnsi" w:hAnsiTheme="minorHAnsi"/>
          <w:szCs w:val="24"/>
          <w:u w:val="single"/>
        </w:rPr>
      </w:pPr>
    </w:p>
    <w:p w:rsidR="004B1537" w:rsidRPr="003F3317" w:rsidRDefault="004B1537" w:rsidP="004B1537">
      <w:pPr>
        <w:spacing w:after="60"/>
        <w:rPr>
          <w:rFonts w:asciiTheme="minorHAnsi" w:hAnsiTheme="minorHAnsi"/>
          <w:szCs w:val="24"/>
          <w:u w:val="single"/>
        </w:rPr>
      </w:pPr>
      <w:r w:rsidRPr="003F3317">
        <w:rPr>
          <w:rFonts w:asciiTheme="minorHAnsi" w:hAnsiTheme="minorHAnsi"/>
          <w:szCs w:val="24"/>
          <w:u w:val="single"/>
        </w:rPr>
        <w:t>Species Summary Table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98"/>
        <w:gridCol w:w="5101"/>
      </w:tblGrid>
      <w:tr w:rsidR="008F5989" w:rsidRPr="003F3317" w:rsidTr="008F5989">
        <w:trPr>
          <w:jc w:val="center"/>
        </w:trPr>
        <w:tc>
          <w:tcPr>
            <w:tcW w:w="1498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8F5989" w:rsidRPr="003F3317" w:rsidRDefault="008F5989" w:rsidP="003F3317">
            <w:pPr>
              <w:spacing w:after="6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8F5989" w:rsidRPr="003F3317" w:rsidRDefault="008F5989" w:rsidP="008F5989">
            <w:pPr>
              <w:spacing w:after="60"/>
              <w:jc w:val="center"/>
              <w:rPr>
                <w:rFonts w:asciiTheme="minorHAnsi" w:hAnsiTheme="minorHAnsi"/>
                <w:szCs w:val="24"/>
              </w:rPr>
            </w:pPr>
            <w:r w:rsidRPr="003F3317">
              <w:rPr>
                <w:rFonts w:asciiTheme="minorHAnsi" w:hAnsiTheme="minorHAnsi"/>
                <w:szCs w:val="24"/>
              </w:rPr>
              <w:t>Breeding</w:t>
            </w:r>
          </w:p>
        </w:tc>
      </w:tr>
      <w:tr w:rsidR="008F5989" w:rsidRPr="003F3317" w:rsidTr="008F5989">
        <w:trPr>
          <w:jc w:val="center"/>
        </w:trPr>
        <w:tc>
          <w:tcPr>
            <w:tcW w:w="1498" w:type="dxa"/>
            <w:vMerge/>
            <w:tcBorders>
              <w:left w:val="nil"/>
              <w:bottom w:val="single" w:sz="4" w:space="0" w:color="auto"/>
            </w:tcBorders>
          </w:tcPr>
          <w:p w:rsidR="008F5989" w:rsidRPr="003F3317" w:rsidRDefault="008F5989" w:rsidP="003F3317">
            <w:pPr>
              <w:spacing w:after="6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10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F5989" w:rsidRPr="003F3317" w:rsidRDefault="008F5989" w:rsidP="003F3317">
            <w:pPr>
              <w:spacing w:after="60"/>
              <w:jc w:val="center"/>
              <w:rPr>
                <w:rFonts w:asciiTheme="minorHAnsi" w:hAnsiTheme="minorHAnsi"/>
                <w:szCs w:val="24"/>
              </w:rPr>
            </w:pPr>
            <w:r w:rsidRPr="003F3317">
              <w:rPr>
                <w:rFonts w:asciiTheme="minorHAnsi" w:hAnsiTheme="minorHAnsi"/>
                <w:szCs w:val="24"/>
              </w:rPr>
              <w:t>Adult</w:t>
            </w:r>
          </w:p>
        </w:tc>
      </w:tr>
      <w:tr w:rsidR="008F5989" w:rsidRPr="003F3317" w:rsidTr="008F5989">
        <w:trPr>
          <w:jc w:val="center"/>
        </w:trPr>
        <w:tc>
          <w:tcPr>
            <w:tcW w:w="1498" w:type="dxa"/>
            <w:tcBorders>
              <w:top w:val="single" w:sz="4" w:space="0" w:color="auto"/>
            </w:tcBorders>
          </w:tcPr>
          <w:p w:rsidR="008F5989" w:rsidRPr="003F3317" w:rsidRDefault="008F5989" w:rsidP="003F3317">
            <w:pPr>
              <w:spacing w:after="60"/>
              <w:rPr>
                <w:rFonts w:asciiTheme="minorHAnsi" w:hAnsiTheme="minorHAnsi"/>
                <w:szCs w:val="24"/>
              </w:rPr>
            </w:pPr>
            <w:r w:rsidRPr="003F3317">
              <w:rPr>
                <w:rFonts w:asciiTheme="minorHAnsi" w:hAnsiTheme="minorHAnsi"/>
                <w:szCs w:val="24"/>
              </w:rPr>
              <w:t>Habitat</w:t>
            </w:r>
          </w:p>
        </w:tc>
        <w:tc>
          <w:tcPr>
            <w:tcW w:w="5101" w:type="dxa"/>
            <w:tcBorders>
              <w:top w:val="double" w:sz="4" w:space="0" w:color="auto"/>
            </w:tcBorders>
          </w:tcPr>
          <w:p w:rsidR="008F5989" w:rsidRPr="00D831B2" w:rsidRDefault="008F5989" w:rsidP="00D831B2">
            <w:pPr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B06804">
              <w:rPr>
                <w:rFonts w:asciiTheme="minorHAnsi" w:hAnsiTheme="minorHAnsi" w:cs="Arial"/>
                <w:color w:val="333333"/>
                <w:sz w:val="20"/>
              </w:rPr>
              <w:t xml:space="preserve">Alluvial basins and hillsides in semi-desert grasslands, desert scrub and the transition area between the two. Often found on </w:t>
            </w:r>
            <w:r w:rsidRPr="00B06804">
              <w:rPr>
                <w:rFonts w:asciiTheme="minorHAnsi" w:hAnsiTheme="minorHAnsi"/>
                <w:sz w:val="20"/>
              </w:rPr>
              <w:t>flat ridgetops and areas with &lt;10-15% slopes</w:t>
            </w:r>
          </w:p>
        </w:tc>
      </w:tr>
      <w:tr w:rsidR="008F5989" w:rsidRPr="003F3317" w:rsidTr="008F5989">
        <w:trPr>
          <w:jc w:val="center"/>
        </w:trPr>
        <w:tc>
          <w:tcPr>
            <w:tcW w:w="1498" w:type="dxa"/>
          </w:tcPr>
          <w:p w:rsidR="008F5989" w:rsidRPr="003F3317" w:rsidRDefault="008F5989" w:rsidP="003F3317">
            <w:pPr>
              <w:spacing w:after="6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Soi</w:t>
            </w:r>
            <w:bookmarkStart w:id="0" w:name="_GoBack"/>
            <w:bookmarkEnd w:id="0"/>
            <w:r>
              <w:rPr>
                <w:rFonts w:asciiTheme="minorHAnsi" w:hAnsiTheme="minorHAnsi"/>
                <w:szCs w:val="24"/>
              </w:rPr>
              <w:t>l Type</w:t>
            </w:r>
          </w:p>
        </w:tc>
        <w:tc>
          <w:tcPr>
            <w:tcW w:w="5101" w:type="dxa"/>
          </w:tcPr>
          <w:p w:rsidR="008F5989" w:rsidRPr="00D831B2" w:rsidRDefault="008F5989" w:rsidP="00D831B2">
            <w:pPr>
              <w:jc w:val="left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Highly variable - </w:t>
            </w:r>
            <w:r w:rsidRPr="00B06804">
              <w:rPr>
                <w:rFonts w:asciiTheme="minorHAnsi" w:hAnsiTheme="minorHAnsi" w:cs="Arial"/>
                <w:color w:val="333333"/>
                <w:sz w:val="20"/>
              </w:rPr>
              <w:t>shallow to deep and silty to rocky</w:t>
            </w:r>
          </w:p>
        </w:tc>
      </w:tr>
      <w:tr w:rsidR="008F5989" w:rsidRPr="003F3317" w:rsidTr="008F5989">
        <w:trPr>
          <w:jc w:val="center"/>
        </w:trPr>
        <w:tc>
          <w:tcPr>
            <w:tcW w:w="1498" w:type="dxa"/>
          </w:tcPr>
          <w:p w:rsidR="008F5989" w:rsidRPr="003F3317" w:rsidRDefault="008F5989" w:rsidP="00B600DA">
            <w:pPr>
              <w:spacing w:after="60"/>
              <w:rPr>
                <w:rFonts w:asciiTheme="minorHAnsi" w:hAnsiTheme="minorHAnsi"/>
                <w:szCs w:val="24"/>
              </w:rPr>
            </w:pPr>
            <w:r w:rsidRPr="003F3317">
              <w:rPr>
                <w:rFonts w:asciiTheme="minorHAnsi" w:hAnsiTheme="minorHAnsi"/>
                <w:szCs w:val="24"/>
              </w:rPr>
              <w:t>Cover</w:t>
            </w:r>
          </w:p>
        </w:tc>
        <w:tc>
          <w:tcPr>
            <w:tcW w:w="5101" w:type="dxa"/>
          </w:tcPr>
          <w:p w:rsidR="008F5989" w:rsidRPr="00D831B2" w:rsidRDefault="008F5989" w:rsidP="00B600DA">
            <w:pPr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D831B2">
              <w:rPr>
                <w:rFonts w:asciiTheme="minorHAnsi" w:hAnsiTheme="minorHAnsi"/>
                <w:sz w:val="20"/>
              </w:rPr>
              <w:t>Open</w:t>
            </w:r>
          </w:p>
        </w:tc>
      </w:tr>
      <w:tr w:rsidR="008F5989" w:rsidRPr="003F3317" w:rsidTr="008F5989">
        <w:trPr>
          <w:jc w:val="center"/>
        </w:trPr>
        <w:tc>
          <w:tcPr>
            <w:tcW w:w="1498" w:type="dxa"/>
          </w:tcPr>
          <w:p w:rsidR="008F5989" w:rsidRPr="003F3317" w:rsidRDefault="008F5989" w:rsidP="00B600DA">
            <w:pPr>
              <w:spacing w:after="60"/>
              <w:rPr>
                <w:rFonts w:asciiTheme="minorHAnsi" w:hAnsiTheme="minorHAnsi"/>
                <w:szCs w:val="24"/>
              </w:rPr>
            </w:pPr>
            <w:r w:rsidRPr="003F3317">
              <w:rPr>
                <w:rFonts w:asciiTheme="minorHAnsi" w:hAnsiTheme="minorHAnsi"/>
                <w:szCs w:val="24"/>
              </w:rPr>
              <w:t>Lighting</w:t>
            </w:r>
          </w:p>
        </w:tc>
        <w:tc>
          <w:tcPr>
            <w:tcW w:w="5101" w:type="dxa"/>
          </w:tcPr>
          <w:p w:rsidR="008F5989" w:rsidRPr="00D831B2" w:rsidRDefault="008F5989" w:rsidP="00B600DA">
            <w:pPr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D831B2">
              <w:rPr>
                <w:rFonts w:asciiTheme="minorHAnsi" w:hAnsiTheme="minorHAnsi"/>
                <w:sz w:val="20"/>
              </w:rPr>
              <w:t>Full</w:t>
            </w:r>
          </w:p>
        </w:tc>
      </w:tr>
      <w:tr w:rsidR="008F5989" w:rsidRPr="003F3317" w:rsidTr="008F5989">
        <w:trPr>
          <w:jc w:val="center"/>
        </w:trPr>
        <w:tc>
          <w:tcPr>
            <w:tcW w:w="1498" w:type="dxa"/>
          </w:tcPr>
          <w:p w:rsidR="008F5989" w:rsidRPr="003F3317" w:rsidRDefault="008F5989" w:rsidP="00B600DA">
            <w:pPr>
              <w:spacing w:after="60"/>
              <w:rPr>
                <w:rFonts w:asciiTheme="minorHAnsi" w:hAnsiTheme="minorHAnsi"/>
                <w:szCs w:val="24"/>
              </w:rPr>
            </w:pPr>
            <w:r w:rsidRPr="003F3317">
              <w:rPr>
                <w:rFonts w:asciiTheme="minorHAnsi" w:hAnsiTheme="minorHAnsi"/>
                <w:szCs w:val="24"/>
              </w:rPr>
              <w:t>Water</w:t>
            </w:r>
          </w:p>
        </w:tc>
        <w:tc>
          <w:tcPr>
            <w:tcW w:w="5101" w:type="dxa"/>
          </w:tcPr>
          <w:p w:rsidR="008F5989" w:rsidRPr="00D831B2" w:rsidRDefault="008F5989" w:rsidP="00B600DA">
            <w:pPr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D831B2">
              <w:rPr>
                <w:rFonts w:asciiTheme="minorHAnsi" w:hAnsiTheme="minorHAnsi"/>
                <w:sz w:val="20"/>
              </w:rPr>
              <w:t>Drought Tolerant</w:t>
            </w:r>
          </w:p>
        </w:tc>
      </w:tr>
      <w:tr w:rsidR="008F5989" w:rsidRPr="003F3317" w:rsidTr="008F5989">
        <w:trPr>
          <w:jc w:val="center"/>
        </w:trPr>
        <w:tc>
          <w:tcPr>
            <w:tcW w:w="1498" w:type="dxa"/>
          </w:tcPr>
          <w:p w:rsidR="008F5989" w:rsidRPr="003F3317" w:rsidRDefault="008F5989" w:rsidP="008F5989">
            <w:pPr>
              <w:spacing w:after="6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Tolerance of disturbed conditions</w:t>
            </w:r>
          </w:p>
        </w:tc>
        <w:tc>
          <w:tcPr>
            <w:tcW w:w="5101" w:type="dxa"/>
          </w:tcPr>
          <w:p w:rsidR="008F5989" w:rsidRPr="00D831B2" w:rsidRDefault="008F5989" w:rsidP="00B600DA">
            <w:pPr>
              <w:spacing w:after="6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Often found in disturbed conditions; can be destroyed by physical disturbance</w:t>
            </w:r>
          </w:p>
        </w:tc>
      </w:tr>
      <w:tr w:rsidR="008F5989" w:rsidRPr="003F3317" w:rsidTr="008F5989">
        <w:trPr>
          <w:jc w:val="center"/>
        </w:trPr>
        <w:tc>
          <w:tcPr>
            <w:tcW w:w="1498" w:type="dxa"/>
          </w:tcPr>
          <w:p w:rsidR="008F5989" w:rsidRPr="003F3317" w:rsidRDefault="008F5989" w:rsidP="008F5989">
            <w:pPr>
              <w:spacing w:after="6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Sensitivity to herbicides</w:t>
            </w:r>
          </w:p>
        </w:tc>
        <w:tc>
          <w:tcPr>
            <w:tcW w:w="5101" w:type="dxa"/>
          </w:tcPr>
          <w:p w:rsidR="008F5989" w:rsidRPr="00D831B2" w:rsidRDefault="008F5989" w:rsidP="00B600DA">
            <w:pPr>
              <w:spacing w:after="6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Very sensitive to soil active herbicide</w:t>
            </w:r>
          </w:p>
        </w:tc>
      </w:tr>
      <w:tr w:rsidR="008F5989" w:rsidRPr="003F3317" w:rsidTr="008F5989">
        <w:trPr>
          <w:jc w:val="center"/>
        </w:trPr>
        <w:tc>
          <w:tcPr>
            <w:tcW w:w="1498" w:type="dxa"/>
          </w:tcPr>
          <w:p w:rsidR="008F5989" w:rsidRPr="003F3317" w:rsidRDefault="008F5989" w:rsidP="008F5989">
            <w:pPr>
              <w:spacing w:after="6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Pollinators</w:t>
            </w:r>
          </w:p>
        </w:tc>
        <w:tc>
          <w:tcPr>
            <w:tcW w:w="5101" w:type="dxa"/>
          </w:tcPr>
          <w:p w:rsidR="008F5989" w:rsidRPr="00D831B2" w:rsidRDefault="00B600DA" w:rsidP="00DB5693">
            <w:pPr>
              <w:spacing w:after="6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Nat</w:t>
            </w:r>
            <w:r w:rsidR="00DB5693">
              <w:rPr>
                <w:rFonts w:asciiTheme="minorHAnsi" w:hAnsiTheme="minorHAnsi"/>
                <w:sz w:val="20"/>
              </w:rPr>
              <w:t>i</w:t>
            </w:r>
            <w:r>
              <w:rPr>
                <w:rFonts w:asciiTheme="minorHAnsi" w:hAnsiTheme="minorHAnsi"/>
                <w:sz w:val="20"/>
              </w:rPr>
              <w:t xml:space="preserve">ve </w:t>
            </w:r>
            <w:r w:rsidR="008F5989">
              <w:rPr>
                <w:rFonts w:asciiTheme="minorHAnsi" w:hAnsiTheme="minorHAnsi"/>
                <w:sz w:val="20"/>
              </w:rPr>
              <w:t>bees and honeybees; not self-</w:t>
            </w:r>
            <w:r>
              <w:rPr>
                <w:rFonts w:asciiTheme="minorHAnsi" w:hAnsiTheme="minorHAnsi"/>
                <w:sz w:val="20"/>
              </w:rPr>
              <w:t>pollinating</w:t>
            </w:r>
          </w:p>
        </w:tc>
      </w:tr>
      <w:tr w:rsidR="008F5989" w:rsidRPr="003F3317" w:rsidTr="008F5989">
        <w:trPr>
          <w:jc w:val="center"/>
        </w:trPr>
        <w:tc>
          <w:tcPr>
            <w:tcW w:w="1498" w:type="dxa"/>
          </w:tcPr>
          <w:p w:rsidR="008F5989" w:rsidRPr="003F3317" w:rsidRDefault="008F5989" w:rsidP="003F3317">
            <w:pPr>
              <w:spacing w:after="60"/>
              <w:rPr>
                <w:rFonts w:asciiTheme="minorHAnsi" w:hAnsiTheme="minorHAnsi"/>
                <w:szCs w:val="24"/>
              </w:rPr>
            </w:pPr>
            <w:r w:rsidRPr="003F3317">
              <w:rPr>
                <w:rFonts w:asciiTheme="minorHAnsi" w:hAnsiTheme="minorHAnsi"/>
                <w:szCs w:val="24"/>
              </w:rPr>
              <w:t>Dispersal</w:t>
            </w:r>
          </w:p>
        </w:tc>
        <w:tc>
          <w:tcPr>
            <w:tcW w:w="5101" w:type="dxa"/>
          </w:tcPr>
          <w:p w:rsidR="008F5989" w:rsidRPr="00D831B2" w:rsidRDefault="008F5989" w:rsidP="00D831B2">
            <w:pPr>
              <w:spacing w:after="6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Reseeds </w:t>
            </w:r>
            <w:r w:rsidRPr="00D831B2">
              <w:rPr>
                <w:rFonts w:asciiTheme="minorHAnsi" w:hAnsiTheme="minorHAnsi"/>
                <w:sz w:val="20"/>
              </w:rPr>
              <w:t>close to mother plant</w:t>
            </w:r>
            <w:r>
              <w:rPr>
                <w:rFonts w:asciiTheme="minorHAnsi" w:hAnsiTheme="minorHAnsi"/>
                <w:sz w:val="20"/>
              </w:rPr>
              <w:t xml:space="preserve"> and dispersed by animals eating fruits.</w:t>
            </w:r>
          </w:p>
        </w:tc>
      </w:tr>
      <w:tr w:rsidR="008F5989" w:rsidRPr="003F3317" w:rsidTr="008F5989">
        <w:trPr>
          <w:jc w:val="center"/>
        </w:trPr>
        <w:tc>
          <w:tcPr>
            <w:tcW w:w="1498" w:type="dxa"/>
          </w:tcPr>
          <w:p w:rsidR="008F5989" w:rsidRPr="003F3317" w:rsidRDefault="008F5989" w:rsidP="003F3317">
            <w:pPr>
              <w:spacing w:after="60"/>
              <w:rPr>
                <w:rFonts w:asciiTheme="minorHAnsi" w:hAnsiTheme="minorHAnsi"/>
                <w:szCs w:val="24"/>
              </w:rPr>
            </w:pPr>
            <w:r w:rsidRPr="003F3317">
              <w:rPr>
                <w:rFonts w:asciiTheme="minorHAnsi" w:hAnsiTheme="minorHAnsi"/>
                <w:szCs w:val="24"/>
              </w:rPr>
              <w:t>Seasonal Activity</w:t>
            </w:r>
          </w:p>
        </w:tc>
        <w:tc>
          <w:tcPr>
            <w:tcW w:w="5101" w:type="dxa"/>
          </w:tcPr>
          <w:p w:rsidR="008F5989" w:rsidRPr="00D831B2" w:rsidRDefault="008F5989" w:rsidP="00D831B2">
            <w:pPr>
              <w:spacing w:after="60"/>
              <w:jc w:val="left"/>
              <w:rPr>
                <w:rFonts w:asciiTheme="minorHAnsi" w:hAnsiTheme="minorHAnsi"/>
                <w:sz w:val="20"/>
              </w:rPr>
            </w:pPr>
            <w:r w:rsidRPr="00D831B2">
              <w:rPr>
                <w:rFonts w:asciiTheme="minorHAnsi" w:hAnsiTheme="minorHAnsi"/>
                <w:sz w:val="20"/>
              </w:rPr>
              <w:t xml:space="preserve">Flowers early July until August </w:t>
            </w:r>
          </w:p>
        </w:tc>
      </w:tr>
    </w:tbl>
    <w:p w:rsidR="004B1537" w:rsidRPr="003F3317" w:rsidRDefault="004B1537" w:rsidP="00B412B1">
      <w:pPr>
        <w:spacing w:after="60"/>
        <w:rPr>
          <w:rFonts w:asciiTheme="minorHAnsi" w:hAnsiTheme="minorHAnsi"/>
          <w:szCs w:val="24"/>
          <w:u w:val="single"/>
        </w:rPr>
      </w:pPr>
    </w:p>
    <w:p w:rsidR="00246C94" w:rsidRPr="003F3317" w:rsidRDefault="00246C94" w:rsidP="00B412B1">
      <w:pPr>
        <w:spacing w:after="60"/>
        <w:rPr>
          <w:rFonts w:asciiTheme="minorHAnsi" w:hAnsiTheme="minorHAnsi"/>
          <w:szCs w:val="24"/>
          <w:u w:val="single"/>
        </w:rPr>
      </w:pPr>
      <w:r w:rsidRPr="003F3317">
        <w:rPr>
          <w:rFonts w:asciiTheme="minorHAnsi" w:hAnsiTheme="minorHAnsi"/>
          <w:szCs w:val="24"/>
          <w:u w:val="single"/>
        </w:rPr>
        <w:t>Life History</w:t>
      </w:r>
    </w:p>
    <w:p w:rsidR="00B412B1" w:rsidRPr="003F3317" w:rsidRDefault="00B412B1" w:rsidP="00B412B1">
      <w:pPr>
        <w:spacing w:after="60"/>
        <w:rPr>
          <w:rFonts w:asciiTheme="minorHAnsi" w:hAnsiTheme="minorHAnsi"/>
          <w:i/>
          <w:szCs w:val="24"/>
        </w:rPr>
      </w:pPr>
      <w:r w:rsidRPr="003F3317">
        <w:rPr>
          <w:rFonts w:asciiTheme="minorHAnsi" w:hAnsiTheme="minorHAnsi"/>
          <w:i/>
          <w:szCs w:val="24"/>
        </w:rPr>
        <w:t>Species Description</w:t>
      </w:r>
      <w:r w:rsidR="00530455" w:rsidRPr="003F3317">
        <w:rPr>
          <w:rFonts w:asciiTheme="minorHAnsi" w:hAnsiTheme="minorHAnsi"/>
          <w:i/>
          <w:szCs w:val="24"/>
        </w:rPr>
        <w:t xml:space="preserve"> and Ecology</w:t>
      </w:r>
    </w:p>
    <w:p w:rsidR="003F3317" w:rsidRPr="003F3317" w:rsidRDefault="003F3317" w:rsidP="003F3317">
      <w:pPr>
        <w:rPr>
          <w:rFonts w:asciiTheme="minorHAnsi" w:hAnsiTheme="minorHAnsi"/>
          <w:szCs w:val="24"/>
        </w:rPr>
      </w:pPr>
      <w:r w:rsidRPr="003F3317">
        <w:rPr>
          <w:rFonts w:asciiTheme="minorHAnsi" w:hAnsiTheme="minorHAnsi"/>
          <w:szCs w:val="24"/>
        </w:rPr>
        <w:t xml:space="preserve">The Pima pineapple cactus (PPC) is a hemispherical cactus up to 18 inches tall and 7 inches in diameter. The spines appear in clusters that are situated on tubercles, with one strong central spine that is usually hooked, and 6-15 straight radial spines. The spines are very stout, and are </w:t>
      </w:r>
      <w:r w:rsidR="00D831B2">
        <w:rPr>
          <w:rFonts w:asciiTheme="minorHAnsi" w:hAnsiTheme="minorHAnsi"/>
          <w:szCs w:val="24"/>
        </w:rPr>
        <w:t>often</w:t>
      </w:r>
      <w:r w:rsidRPr="003F3317">
        <w:rPr>
          <w:rFonts w:asciiTheme="minorHAnsi" w:hAnsiTheme="minorHAnsi"/>
          <w:szCs w:val="24"/>
        </w:rPr>
        <w:t xml:space="preserve"> straw colored, but can become black with age. The plants can be single-stemmed, multi</w:t>
      </w:r>
      <w:r w:rsidR="00D831B2">
        <w:rPr>
          <w:rFonts w:asciiTheme="minorHAnsi" w:hAnsiTheme="minorHAnsi"/>
          <w:szCs w:val="24"/>
        </w:rPr>
        <w:t>-</w:t>
      </w:r>
      <w:r w:rsidRPr="003F3317">
        <w:rPr>
          <w:rFonts w:asciiTheme="minorHAnsi" w:hAnsiTheme="minorHAnsi"/>
          <w:szCs w:val="24"/>
        </w:rPr>
        <w:t xml:space="preserve">headed, or can appear in clusters that are formed when seeds germinate at the base of a mother plant, or when a tubercle of the mother plant roots. </w:t>
      </w:r>
      <w:r w:rsidR="00D831B2">
        <w:rPr>
          <w:rFonts w:asciiTheme="minorHAnsi" w:hAnsiTheme="minorHAnsi"/>
          <w:szCs w:val="24"/>
        </w:rPr>
        <w:t>PPC are similar in appearance to</w:t>
      </w:r>
      <w:r w:rsidRPr="003F3317">
        <w:rPr>
          <w:rFonts w:asciiTheme="minorHAnsi" w:hAnsiTheme="minorHAnsi"/>
          <w:szCs w:val="24"/>
        </w:rPr>
        <w:t xml:space="preserve"> juvenile barrel cactus (</w:t>
      </w:r>
      <w:proofErr w:type="spellStart"/>
      <w:r w:rsidRPr="003F3317">
        <w:rPr>
          <w:rFonts w:asciiTheme="minorHAnsi" w:hAnsiTheme="minorHAnsi"/>
          <w:i/>
          <w:iCs/>
          <w:szCs w:val="24"/>
        </w:rPr>
        <w:t>Ferocactus</w:t>
      </w:r>
      <w:proofErr w:type="spellEnd"/>
      <w:r w:rsidRPr="003F3317">
        <w:rPr>
          <w:rFonts w:asciiTheme="minorHAnsi" w:hAnsiTheme="minorHAnsi"/>
          <w:szCs w:val="24"/>
        </w:rPr>
        <w:t xml:space="preserve">); however, the spines and areoles of the </w:t>
      </w:r>
      <w:r w:rsidR="00D831B2">
        <w:rPr>
          <w:rFonts w:asciiTheme="minorHAnsi" w:hAnsiTheme="minorHAnsi"/>
          <w:szCs w:val="24"/>
        </w:rPr>
        <w:t>PPC</w:t>
      </w:r>
      <w:r w:rsidRPr="003F3317">
        <w:rPr>
          <w:rFonts w:asciiTheme="minorHAnsi" w:hAnsiTheme="minorHAnsi"/>
          <w:szCs w:val="24"/>
        </w:rPr>
        <w:t xml:space="preserve"> are </w:t>
      </w:r>
      <w:r>
        <w:rPr>
          <w:rFonts w:asciiTheme="minorHAnsi" w:hAnsiTheme="minorHAnsi"/>
          <w:szCs w:val="24"/>
        </w:rPr>
        <w:t xml:space="preserve">located on the </w:t>
      </w:r>
      <w:proofErr w:type="spellStart"/>
      <w:r>
        <w:rPr>
          <w:rFonts w:asciiTheme="minorHAnsi" w:hAnsiTheme="minorHAnsi"/>
          <w:szCs w:val="24"/>
        </w:rPr>
        <w:t>tubercules</w:t>
      </w:r>
      <w:proofErr w:type="spellEnd"/>
      <w:r>
        <w:rPr>
          <w:rFonts w:asciiTheme="minorHAnsi" w:hAnsiTheme="minorHAnsi"/>
          <w:szCs w:val="24"/>
        </w:rPr>
        <w:t xml:space="preserve">, </w:t>
      </w:r>
      <w:r w:rsidR="00D831B2">
        <w:rPr>
          <w:rFonts w:asciiTheme="minorHAnsi" w:hAnsiTheme="minorHAnsi"/>
          <w:szCs w:val="24"/>
        </w:rPr>
        <w:t>rather than ribs</w:t>
      </w:r>
      <w:r w:rsidRPr="003F3317">
        <w:rPr>
          <w:rFonts w:asciiTheme="minorHAnsi" w:hAnsiTheme="minorHAnsi"/>
          <w:szCs w:val="24"/>
        </w:rPr>
        <w:t xml:space="preserve"> (</w:t>
      </w:r>
      <w:r>
        <w:rPr>
          <w:rFonts w:asciiTheme="minorHAnsi" w:hAnsiTheme="minorHAnsi"/>
          <w:szCs w:val="24"/>
        </w:rPr>
        <w:t>AGFD 2001</w:t>
      </w:r>
      <w:r w:rsidRPr="003F3317">
        <w:rPr>
          <w:rFonts w:asciiTheme="minorHAnsi" w:hAnsiTheme="minorHAnsi"/>
          <w:szCs w:val="24"/>
        </w:rPr>
        <w:t xml:space="preserve">). </w:t>
      </w:r>
    </w:p>
    <w:p w:rsidR="00EE584C" w:rsidRPr="003F3317" w:rsidRDefault="00EE584C" w:rsidP="00B412B1">
      <w:pPr>
        <w:rPr>
          <w:rFonts w:asciiTheme="minorHAnsi" w:hAnsiTheme="minorHAnsi"/>
          <w:szCs w:val="24"/>
        </w:rPr>
      </w:pPr>
    </w:p>
    <w:p w:rsidR="00B412B1" w:rsidRPr="003F3317" w:rsidRDefault="00EF043F" w:rsidP="00B412B1">
      <w:pPr>
        <w:rPr>
          <w:rFonts w:asciiTheme="minorHAnsi" w:hAnsiTheme="minorHAnsi"/>
          <w:i/>
          <w:szCs w:val="24"/>
        </w:rPr>
      </w:pPr>
      <w:r w:rsidRPr="003F3317">
        <w:rPr>
          <w:rFonts w:asciiTheme="minorHAnsi" w:hAnsiTheme="minorHAnsi"/>
          <w:i/>
          <w:szCs w:val="24"/>
        </w:rPr>
        <w:t>Reproduction</w:t>
      </w:r>
    </w:p>
    <w:p w:rsidR="003F3317" w:rsidRPr="003F3317" w:rsidRDefault="003F3317" w:rsidP="00B412B1">
      <w:pPr>
        <w:rPr>
          <w:rFonts w:asciiTheme="minorHAnsi" w:hAnsiTheme="minorHAnsi"/>
          <w:szCs w:val="24"/>
        </w:rPr>
      </w:pPr>
      <w:r w:rsidRPr="003F3317">
        <w:rPr>
          <w:rFonts w:asciiTheme="minorHAnsi" w:hAnsiTheme="minorHAnsi"/>
          <w:szCs w:val="24"/>
        </w:rPr>
        <w:t>The cactus typically flowers in early July until August,</w:t>
      </w:r>
      <w:r w:rsidR="00624B52">
        <w:rPr>
          <w:rFonts w:asciiTheme="minorHAnsi" w:hAnsiTheme="minorHAnsi"/>
          <w:szCs w:val="24"/>
        </w:rPr>
        <w:t xml:space="preserve"> and is onset with summer rains. Flowers are </w:t>
      </w:r>
      <w:r w:rsidRPr="003F3317">
        <w:rPr>
          <w:rFonts w:asciiTheme="minorHAnsi" w:hAnsiTheme="minorHAnsi"/>
          <w:szCs w:val="24"/>
        </w:rPr>
        <w:t xml:space="preserve">yellow, salmon, or </w:t>
      </w:r>
      <w:r w:rsidR="00624B52">
        <w:rPr>
          <w:rFonts w:asciiTheme="minorHAnsi" w:hAnsiTheme="minorHAnsi"/>
          <w:szCs w:val="24"/>
        </w:rPr>
        <w:t xml:space="preserve">occasionally </w:t>
      </w:r>
      <w:r w:rsidRPr="003F3317">
        <w:rPr>
          <w:rFonts w:asciiTheme="minorHAnsi" w:hAnsiTheme="minorHAnsi"/>
          <w:szCs w:val="24"/>
        </w:rPr>
        <w:t xml:space="preserve">white </w:t>
      </w:r>
      <w:r w:rsidR="00624B52">
        <w:rPr>
          <w:rFonts w:asciiTheme="minorHAnsi" w:hAnsiTheme="minorHAnsi"/>
          <w:szCs w:val="24"/>
        </w:rPr>
        <w:t xml:space="preserve">in color </w:t>
      </w:r>
      <w:r w:rsidRPr="003F3317">
        <w:rPr>
          <w:rFonts w:asciiTheme="minorHAnsi" w:hAnsiTheme="minorHAnsi"/>
          <w:szCs w:val="24"/>
        </w:rPr>
        <w:t>with a relatively narrow floral tube.</w:t>
      </w:r>
      <w:r w:rsidR="00B600DA">
        <w:rPr>
          <w:rFonts w:asciiTheme="minorHAnsi" w:hAnsiTheme="minorHAnsi"/>
          <w:szCs w:val="24"/>
        </w:rPr>
        <w:t xml:space="preserve"> The PPC is </w:t>
      </w:r>
      <w:r w:rsidR="00B600DA">
        <w:rPr>
          <w:rFonts w:asciiTheme="minorHAnsi" w:hAnsiTheme="minorHAnsi"/>
          <w:szCs w:val="24"/>
        </w:rPr>
        <w:lastRenderedPageBreak/>
        <w:t>not a self-pollinating plant. Its primary pollinator is a ground nesting, solitary native bee with honeybees also acting as a likely pollinator.</w:t>
      </w:r>
      <w:r w:rsidRPr="003F331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Fruits are green, ellipsoid, and succulent</w:t>
      </w:r>
      <w:r w:rsidR="002A02FE">
        <w:rPr>
          <w:rFonts w:asciiTheme="minorHAnsi" w:hAnsiTheme="minorHAnsi"/>
          <w:szCs w:val="24"/>
        </w:rPr>
        <w:t xml:space="preserve"> </w:t>
      </w:r>
      <w:r w:rsidR="002A02FE" w:rsidRPr="003F3317">
        <w:rPr>
          <w:rFonts w:asciiTheme="minorHAnsi" w:hAnsiTheme="minorHAnsi"/>
          <w:szCs w:val="24"/>
        </w:rPr>
        <w:t>(</w:t>
      </w:r>
      <w:r w:rsidR="002A02FE">
        <w:rPr>
          <w:rFonts w:asciiTheme="minorHAnsi" w:hAnsiTheme="minorHAnsi"/>
          <w:szCs w:val="24"/>
        </w:rPr>
        <w:t>AGFD 2001</w:t>
      </w:r>
      <w:r w:rsidR="002A02FE" w:rsidRPr="003F3317">
        <w:rPr>
          <w:rFonts w:asciiTheme="minorHAnsi" w:hAnsiTheme="minorHAnsi"/>
          <w:szCs w:val="24"/>
        </w:rPr>
        <w:t>, USFWS 1993</w:t>
      </w:r>
      <w:r w:rsidR="00B600DA">
        <w:rPr>
          <w:rFonts w:asciiTheme="minorHAnsi" w:hAnsiTheme="minorHAnsi"/>
          <w:szCs w:val="24"/>
        </w:rPr>
        <w:t>; USFWS 2007</w:t>
      </w:r>
      <w:r w:rsidR="002A02FE" w:rsidRPr="003F3317">
        <w:rPr>
          <w:rFonts w:asciiTheme="minorHAnsi" w:hAnsiTheme="minorHAnsi"/>
          <w:szCs w:val="24"/>
        </w:rPr>
        <w:t>)</w:t>
      </w:r>
      <w:r>
        <w:rPr>
          <w:rFonts w:asciiTheme="minorHAnsi" w:hAnsiTheme="minorHAnsi"/>
          <w:szCs w:val="24"/>
        </w:rPr>
        <w:t xml:space="preserve">. </w:t>
      </w:r>
      <w:r w:rsidR="00624B52">
        <w:rPr>
          <w:rFonts w:asciiTheme="minorHAnsi" w:hAnsiTheme="minorHAnsi"/>
          <w:szCs w:val="24"/>
        </w:rPr>
        <w:t>Propagation occurs through seed dispersal and germination or from the rooting of tubercles on the mother plant. Seeds typically establish near the base of the mother plant, and seed</w:t>
      </w:r>
      <w:r w:rsidR="007C2613">
        <w:rPr>
          <w:rFonts w:asciiTheme="minorHAnsi" w:hAnsiTheme="minorHAnsi"/>
          <w:szCs w:val="24"/>
        </w:rPr>
        <w:t>s are di</w:t>
      </w:r>
      <w:r w:rsidR="00FC5D46">
        <w:rPr>
          <w:rFonts w:asciiTheme="minorHAnsi" w:hAnsiTheme="minorHAnsi"/>
          <w:szCs w:val="24"/>
        </w:rPr>
        <w:t xml:space="preserve">spersed by rabbits and rodents (ECOS 2017). </w:t>
      </w:r>
    </w:p>
    <w:p w:rsidR="003F3317" w:rsidRPr="003F3317" w:rsidRDefault="003F3317" w:rsidP="00B412B1">
      <w:pPr>
        <w:rPr>
          <w:rFonts w:asciiTheme="minorHAnsi" w:hAnsiTheme="minorHAnsi"/>
          <w:szCs w:val="24"/>
        </w:rPr>
      </w:pPr>
    </w:p>
    <w:p w:rsidR="00B412B1" w:rsidRPr="003F3317" w:rsidRDefault="00B412B1" w:rsidP="00B412B1">
      <w:pPr>
        <w:spacing w:after="60"/>
        <w:rPr>
          <w:rFonts w:asciiTheme="minorHAnsi" w:hAnsiTheme="minorHAnsi"/>
          <w:i/>
          <w:szCs w:val="24"/>
        </w:rPr>
      </w:pPr>
      <w:r w:rsidRPr="003F3317">
        <w:rPr>
          <w:rFonts w:asciiTheme="minorHAnsi" w:hAnsiTheme="minorHAnsi"/>
          <w:i/>
          <w:szCs w:val="24"/>
        </w:rPr>
        <w:t xml:space="preserve">Suitable Habitat </w:t>
      </w:r>
    </w:p>
    <w:p w:rsidR="003F3317" w:rsidRDefault="003F3317" w:rsidP="00B412B1">
      <w:pPr>
        <w:spacing w:after="60"/>
        <w:rPr>
          <w:rFonts w:asciiTheme="minorHAnsi" w:hAnsiTheme="minorHAnsi"/>
          <w:szCs w:val="24"/>
        </w:rPr>
      </w:pPr>
      <w:r w:rsidRPr="003F3317">
        <w:rPr>
          <w:rFonts w:asciiTheme="minorHAnsi" w:hAnsiTheme="minorHAnsi"/>
          <w:szCs w:val="24"/>
        </w:rPr>
        <w:t xml:space="preserve">PPC can be found in Semidesert grassland and Sonoran </w:t>
      </w:r>
      <w:proofErr w:type="spellStart"/>
      <w:r w:rsidRPr="003F3317">
        <w:rPr>
          <w:rFonts w:asciiTheme="minorHAnsi" w:hAnsiTheme="minorHAnsi"/>
          <w:szCs w:val="24"/>
        </w:rPr>
        <w:t>desertscrub</w:t>
      </w:r>
      <w:proofErr w:type="spellEnd"/>
      <w:r w:rsidRPr="003F3317">
        <w:rPr>
          <w:rFonts w:asciiTheme="minorHAnsi" w:hAnsiTheme="minorHAnsi"/>
          <w:szCs w:val="24"/>
        </w:rPr>
        <w:t xml:space="preserve"> from 2,300 to 5,000 feet in elevation (</w:t>
      </w:r>
      <w:r>
        <w:rPr>
          <w:rFonts w:asciiTheme="minorHAnsi" w:hAnsiTheme="minorHAnsi"/>
          <w:szCs w:val="24"/>
        </w:rPr>
        <w:t>AGFD 2001</w:t>
      </w:r>
      <w:r w:rsidRPr="003F3317">
        <w:rPr>
          <w:rFonts w:asciiTheme="minorHAnsi" w:hAnsiTheme="minorHAnsi"/>
          <w:szCs w:val="24"/>
        </w:rPr>
        <w:t>). Most commonly, PPC occur in open areas on flat ridgetops or other areas with less than 10–15 percent slope. Soils range from shallow to deep and silty to rocky, with a preference for silty to gravelly deep alluvial soils (USFWS 1993). Associated plant species include white-thorn acacia (</w:t>
      </w:r>
      <w:r w:rsidRPr="003F3317">
        <w:rPr>
          <w:rFonts w:asciiTheme="minorHAnsi" w:hAnsiTheme="minorHAnsi"/>
          <w:i/>
          <w:iCs/>
          <w:szCs w:val="24"/>
        </w:rPr>
        <w:t xml:space="preserve">Acacia </w:t>
      </w:r>
      <w:proofErr w:type="spellStart"/>
      <w:r w:rsidRPr="003F3317">
        <w:rPr>
          <w:rFonts w:asciiTheme="minorHAnsi" w:hAnsiTheme="minorHAnsi"/>
          <w:i/>
          <w:iCs/>
          <w:szCs w:val="24"/>
        </w:rPr>
        <w:t>constricta</w:t>
      </w:r>
      <w:proofErr w:type="spellEnd"/>
      <w:r w:rsidRPr="003F3317">
        <w:rPr>
          <w:rFonts w:asciiTheme="minorHAnsi" w:hAnsiTheme="minorHAnsi"/>
          <w:i/>
          <w:iCs/>
          <w:szCs w:val="24"/>
        </w:rPr>
        <w:t xml:space="preserve">), </w:t>
      </w:r>
      <w:r w:rsidRPr="003F3317">
        <w:rPr>
          <w:rFonts w:asciiTheme="minorHAnsi" w:hAnsiTheme="minorHAnsi"/>
          <w:szCs w:val="24"/>
        </w:rPr>
        <w:t>velvet mesquite (</w:t>
      </w:r>
      <w:proofErr w:type="spellStart"/>
      <w:r w:rsidRPr="003F3317">
        <w:rPr>
          <w:rFonts w:asciiTheme="minorHAnsi" w:hAnsiTheme="minorHAnsi"/>
          <w:i/>
          <w:iCs/>
          <w:szCs w:val="24"/>
        </w:rPr>
        <w:t>Prosopis</w:t>
      </w:r>
      <w:proofErr w:type="spellEnd"/>
      <w:r w:rsidRPr="003F3317">
        <w:rPr>
          <w:rFonts w:asciiTheme="minorHAnsi" w:hAnsiTheme="minorHAnsi"/>
          <w:i/>
          <w:iCs/>
          <w:szCs w:val="24"/>
        </w:rPr>
        <w:t xml:space="preserve"> </w:t>
      </w:r>
      <w:proofErr w:type="spellStart"/>
      <w:r w:rsidRPr="003F3317">
        <w:rPr>
          <w:rFonts w:asciiTheme="minorHAnsi" w:hAnsiTheme="minorHAnsi"/>
          <w:i/>
          <w:iCs/>
          <w:szCs w:val="24"/>
        </w:rPr>
        <w:t>velutina</w:t>
      </w:r>
      <w:proofErr w:type="spellEnd"/>
      <w:r w:rsidRPr="003F3317">
        <w:rPr>
          <w:rFonts w:asciiTheme="minorHAnsi" w:hAnsiTheme="minorHAnsi"/>
          <w:i/>
          <w:iCs/>
          <w:szCs w:val="24"/>
        </w:rPr>
        <w:t xml:space="preserve">), </w:t>
      </w:r>
      <w:r w:rsidRPr="003F3317">
        <w:rPr>
          <w:rFonts w:asciiTheme="minorHAnsi" w:hAnsiTheme="minorHAnsi"/>
          <w:szCs w:val="24"/>
        </w:rPr>
        <w:t xml:space="preserve">triangle-leaf </w:t>
      </w:r>
      <w:proofErr w:type="spellStart"/>
      <w:r w:rsidRPr="003F3317">
        <w:rPr>
          <w:rFonts w:asciiTheme="minorHAnsi" w:hAnsiTheme="minorHAnsi"/>
          <w:szCs w:val="24"/>
        </w:rPr>
        <w:t>bursage</w:t>
      </w:r>
      <w:proofErr w:type="spellEnd"/>
      <w:r w:rsidRPr="003F3317">
        <w:rPr>
          <w:rFonts w:asciiTheme="minorHAnsi" w:hAnsiTheme="minorHAnsi"/>
          <w:szCs w:val="24"/>
        </w:rPr>
        <w:t xml:space="preserve"> (</w:t>
      </w:r>
      <w:r w:rsidRPr="003F3317">
        <w:rPr>
          <w:rFonts w:asciiTheme="minorHAnsi" w:hAnsiTheme="minorHAnsi"/>
          <w:i/>
          <w:iCs/>
          <w:szCs w:val="24"/>
        </w:rPr>
        <w:t xml:space="preserve">Ambrosia </w:t>
      </w:r>
      <w:proofErr w:type="spellStart"/>
      <w:r w:rsidRPr="003F3317">
        <w:rPr>
          <w:rFonts w:asciiTheme="minorHAnsi" w:hAnsiTheme="minorHAnsi"/>
          <w:i/>
          <w:iCs/>
          <w:szCs w:val="24"/>
        </w:rPr>
        <w:t>deltoidea</w:t>
      </w:r>
      <w:proofErr w:type="spellEnd"/>
      <w:r w:rsidRPr="003F3317">
        <w:rPr>
          <w:rFonts w:asciiTheme="minorHAnsi" w:hAnsiTheme="minorHAnsi"/>
          <w:iCs/>
          <w:szCs w:val="24"/>
        </w:rPr>
        <w:t>), snakeweed (</w:t>
      </w:r>
      <w:proofErr w:type="spellStart"/>
      <w:r w:rsidRPr="003F3317">
        <w:rPr>
          <w:rFonts w:asciiTheme="minorHAnsi" w:hAnsiTheme="minorHAnsi"/>
          <w:i/>
          <w:iCs/>
          <w:szCs w:val="24"/>
        </w:rPr>
        <w:t>Gutierrezia</w:t>
      </w:r>
      <w:proofErr w:type="spellEnd"/>
      <w:r w:rsidRPr="003F3317">
        <w:rPr>
          <w:rFonts w:asciiTheme="minorHAnsi" w:hAnsiTheme="minorHAnsi"/>
          <w:i/>
          <w:iCs/>
          <w:szCs w:val="24"/>
        </w:rPr>
        <w:t xml:space="preserve"> </w:t>
      </w:r>
      <w:proofErr w:type="spellStart"/>
      <w:r w:rsidRPr="003F3317">
        <w:rPr>
          <w:rFonts w:asciiTheme="minorHAnsi" w:hAnsiTheme="minorHAnsi"/>
          <w:i/>
          <w:iCs/>
          <w:szCs w:val="24"/>
        </w:rPr>
        <w:t>microcephala</w:t>
      </w:r>
      <w:proofErr w:type="spellEnd"/>
      <w:r w:rsidRPr="003F3317">
        <w:rPr>
          <w:rFonts w:asciiTheme="minorHAnsi" w:hAnsiTheme="minorHAnsi"/>
          <w:iCs/>
          <w:szCs w:val="24"/>
        </w:rPr>
        <w:t xml:space="preserve">), </w:t>
      </w:r>
      <w:r w:rsidRPr="003F3317">
        <w:rPr>
          <w:rFonts w:asciiTheme="minorHAnsi" w:hAnsiTheme="minorHAnsi"/>
          <w:szCs w:val="24"/>
        </w:rPr>
        <w:t>and various other cacti and grasses (</w:t>
      </w:r>
      <w:r>
        <w:rPr>
          <w:rFonts w:asciiTheme="minorHAnsi" w:hAnsiTheme="minorHAnsi"/>
          <w:szCs w:val="24"/>
        </w:rPr>
        <w:t>AGFD 2001</w:t>
      </w:r>
      <w:r w:rsidRPr="003F3317">
        <w:rPr>
          <w:rFonts w:asciiTheme="minorHAnsi" w:hAnsiTheme="minorHAnsi"/>
          <w:szCs w:val="24"/>
        </w:rPr>
        <w:t xml:space="preserve">). </w:t>
      </w:r>
    </w:p>
    <w:p w:rsidR="003F3317" w:rsidRPr="003F3317" w:rsidRDefault="003F3317" w:rsidP="00B412B1">
      <w:pPr>
        <w:spacing w:after="60"/>
        <w:rPr>
          <w:rFonts w:asciiTheme="minorHAnsi" w:hAnsiTheme="minorHAnsi"/>
          <w:szCs w:val="24"/>
        </w:rPr>
      </w:pPr>
    </w:p>
    <w:p w:rsidR="00242A7A" w:rsidRPr="003F3317" w:rsidRDefault="00242A7A" w:rsidP="00607A85">
      <w:pPr>
        <w:pStyle w:val="Default"/>
        <w:rPr>
          <w:rFonts w:asciiTheme="minorHAnsi" w:hAnsiTheme="minorHAnsi"/>
          <w:u w:val="single"/>
        </w:rPr>
      </w:pPr>
      <w:r w:rsidRPr="003F3317">
        <w:rPr>
          <w:rFonts w:asciiTheme="minorHAnsi" w:hAnsiTheme="minorHAnsi"/>
          <w:u w:val="single"/>
        </w:rPr>
        <w:t>Threats</w:t>
      </w:r>
    </w:p>
    <w:p w:rsidR="003F3317" w:rsidRPr="003F3317" w:rsidRDefault="003F3317" w:rsidP="003F3317">
      <w:pPr>
        <w:rPr>
          <w:rFonts w:asciiTheme="minorHAnsi" w:hAnsiTheme="minorHAnsi"/>
          <w:szCs w:val="24"/>
        </w:rPr>
      </w:pPr>
      <w:r w:rsidRPr="003F3317">
        <w:rPr>
          <w:rFonts w:asciiTheme="minorHAnsi" w:hAnsiTheme="minorHAnsi"/>
          <w:szCs w:val="24"/>
        </w:rPr>
        <w:t xml:space="preserve">Residential and commercial development, road construction and maintenance, and utility corridor construction associated with a rapidly growing human population in southern Arizona continues to be the most significant </w:t>
      </w:r>
      <w:r w:rsidR="00624B52">
        <w:rPr>
          <w:rFonts w:asciiTheme="minorHAnsi" w:hAnsiTheme="minorHAnsi"/>
          <w:szCs w:val="24"/>
        </w:rPr>
        <w:t xml:space="preserve">threat to PPC </w:t>
      </w:r>
      <w:r w:rsidRPr="003F3317">
        <w:rPr>
          <w:rFonts w:asciiTheme="minorHAnsi" w:hAnsiTheme="minorHAnsi"/>
          <w:szCs w:val="24"/>
        </w:rPr>
        <w:t>caus</w:t>
      </w:r>
      <w:r w:rsidR="00624B52">
        <w:rPr>
          <w:rFonts w:asciiTheme="minorHAnsi" w:hAnsiTheme="minorHAnsi"/>
          <w:szCs w:val="24"/>
        </w:rPr>
        <w:t xml:space="preserve">ing </w:t>
      </w:r>
      <w:r w:rsidRPr="003F3317">
        <w:rPr>
          <w:rFonts w:asciiTheme="minorHAnsi" w:hAnsiTheme="minorHAnsi"/>
          <w:szCs w:val="24"/>
        </w:rPr>
        <w:t xml:space="preserve">habitat loss and fragmentation throughout the </w:t>
      </w:r>
      <w:r w:rsidR="00624B52">
        <w:rPr>
          <w:rFonts w:asciiTheme="minorHAnsi" w:hAnsiTheme="minorHAnsi"/>
          <w:szCs w:val="24"/>
        </w:rPr>
        <w:t>species</w:t>
      </w:r>
      <w:r w:rsidRPr="003F3317">
        <w:rPr>
          <w:rFonts w:asciiTheme="minorHAnsi" w:hAnsiTheme="minorHAnsi"/>
          <w:szCs w:val="24"/>
        </w:rPr>
        <w:t xml:space="preserve"> range</w:t>
      </w:r>
      <w:r w:rsidR="00192A7F">
        <w:rPr>
          <w:rFonts w:asciiTheme="minorHAnsi" w:hAnsiTheme="minorHAnsi"/>
          <w:szCs w:val="24"/>
        </w:rPr>
        <w:t xml:space="preserve">. Invasive grass species, such as Lehman's </w:t>
      </w:r>
      <w:proofErr w:type="spellStart"/>
      <w:r w:rsidR="00192A7F">
        <w:rPr>
          <w:rFonts w:asciiTheme="minorHAnsi" w:hAnsiTheme="minorHAnsi"/>
          <w:szCs w:val="24"/>
        </w:rPr>
        <w:t>lovegrass</w:t>
      </w:r>
      <w:proofErr w:type="spellEnd"/>
      <w:r w:rsidR="00192A7F">
        <w:rPr>
          <w:rFonts w:asciiTheme="minorHAnsi" w:hAnsiTheme="minorHAnsi"/>
          <w:szCs w:val="24"/>
        </w:rPr>
        <w:t xml:space="preserve"> and </w:t>
      </w:r>
      <w:proofErr w:type="spellStart"/>
      <w:r w:rsidR="00192A7F">
        <w:rPr>
          <w:rFonts w:asciiTheme="minorHAnsi" w:hAnsiTheme="minorHAnsi"/>
          <w:szCs w:val="24"/>
        </w:rPr>
        <w:t>bufflegrass</w:t>
      </w:r>
      <w:proofErr w:type="spellEnd"/>
      <w:r w:rsidR="00192A7F">
        <w:rPr>
          <w:rFonts w:asciiTheme="minorHAnsi" w:hAnsiTheme="minorHAnsi"/>
          <w:szCs w:val="24"/>
        </w:rPr>
        <w:t>, are also a threat to the existence of PPC by converting previously suitable, open habitats into dense stands of grasses</w:t>
      </w:r>
      <w:r w:rsidR="00933D20">
        <w:rPr>
          <w:rFonts w:asciiTheme="minorHAnsi" w:hAnsiTheme="minorHAnsi"/>
          <w:szCs w:val="24"/>
        </w:rPr>
        <w:t xml:space="preserve"> (USFWS 2007)</w:t>
      </w:r>
      <w:r w:rsidR="00192A7F">
        <w:rPr>
          <w:rFonts w:asciiTheme="minorHAnsi" w:hAnsiTheme="minorHAnsi"/>
          <w:szCs w:val="24"/>
        </w:rPr>
        <w:t xml:space="preserve">. Though, </w:t>
      </w:r>
      <w:r w:rsidR="00933D20">
        <w:rPr>
          <w:rFonts w:asciiTheme="minorHAnsi" w:hAnsiTheme="minorHAnsi"/>
          <w:szCs w:val="24"/>
        </w:rPr>
        <w:t>treatment of these invasive grasses also poses</w:t>
      </w:r>
      <w:r w:rsidR="00192A7F">
        <w:rPr>
          <w:rFonts w:asciiTheme="minorHAnsi" w:hAnsiTheme="minorHAnsi"/>
          <w:szCs w:val="24"/>
        </w:rPr>
        <w:t xml:space="preserve"> a problem for PPC </w:t>
      </w:r>
      <w:r w:rsidR="00933D20">
        <w:rPr>
          <w:rFonts w:asciiTheme="minorHAnsi" w:hAnsiTheme="minorHAnsi"/>
          <w:szCs w:val="24"/>
        </w:rPr>
        <w:t xml:space="preserve">if present within this converted habitat. Herbicides that are </w:t>
      </w:r>
      <w:r w:rsidR="00192A7F">
        <w:rPr>
          <w:rFonts w:asciiTheme="minorHAnsi" w:hAnsiTheme="minorHAnsi"/>
          <w:szCs w:val="24"/>
        </w:rPr>
        <w:t>direct</w:t>
      </w:r>
      <w:r w:rsidR="00933D20">
        <w:rPr>
          <w:rFonts w:asciiTheme="minorHAnsi" w:hAnsiTheme="minorHAnsi"/>
          <w:szCs w:val="24"/>
        </w:rPr>
        <w:t>ly applied to PPC could result in injury or mortality.</w:t>
      </w:r>
    </w:p>
    <w:p w:rsidR="003F3317" w:rsidRPr="003F3317" w:rsidRDefault="003F3317">
      <w:pPr>
        <w:rPr>
          <w:rFonts w:asciiTheme="minorHAnsi" w:hAnsiTheme="minorHAnsi"/>
          <w:szCs w:val="24"/>
        </w:rPr>
      </w:pPr>
    </w:p>
    <w:p w:rsidR="00242A7A" w:rsidRPr="003F3317" w:rsidRDefault="00242A7A" w:rsidP="00242A7A">
      <w:pPr>
        <w:spacing w:after="60"/>
        <w:rPr>
          <w:rFonts w:asciiTheme="minorHAnsi" w:hAnsiTheme="minorHAnsi"/>
          <w:szCs w:val="24"/>
          <w:u w:val="single"/>
        </w:rPr>
      </w:pPr>
      <w:r w:rsidRPr="003F3317">
        <w:rPr>
          <w:rFonts w:asciiTheme="minorHAnsi" w:hAnsiTheme="minorHAnsi"/>
          <w:szCs w:val="24"/>
          <w:u w:val="single"/>
        </w:rPr>
        <w:t>Range and Survey History</w:t>
      </w:r>
    </w:p>
    <w:p w:rsidR="003F3317" w:rsidRPr="003F3317" w:rsidRDefault="003F3317" w:rsidP="003F3317">
      <w:pPr>
        <w:spacing w:after="60"/>
        <w:rPr>
          <w:rFonts w:asciiTheme="minorHAnsi" w:hAnsiTheme="minorHAnsi"/>
          <w:szCs w:val="24"/>
        </w:rPr>
      </w:pPr>
      <w:r w:rsidRPr="003F3317">
        <w:rPr>
          <w:rFonts w:asciiTheme="minorHAnsi" w:hAnsiTheme="minorHAnsi"/>
          <w:szCs w:val="24"/>
        </w:rPr>
        <w:t xml:space="preserve">In Arizona, </w:t>
      </w:r>
      <w:r w:rsidR="00624B52">
        <w:rPr>
          <w:rFonts w:asciiTheme="minorHAnsi" w:hAnsiTheme="minorHAnsi"/>
          <w:szCs w:val="24"/>
        </w:rPr>
        <w:t>PPC</w:t>
      </w:r>
      <w:r w:rsidRPr="003F3317">
        <w:rPr>
          <w:rFonts w:asciiTheme="minorHAnsi" w:hAnsiTheme="minorHAnsi"/>
          <w:szCs w:val="24"/>
        </w:rPr>
        <w:t xml:space="preserve"> may be found between the Baboquivari Mountains and the western foothills of the Santa Rita Mountains from southern Tucson south to the US/Mexico border.</w:t>
      </w:r>
      <w:r>
        <w:rPr>
          <w:rFonts w:asciiTheme="minorHAnsi" w:hAnsiTheme="minorHAnsi"/>
        </w:rPr>
        <w:t xml:space="preserve"> </w:t>
      </w:r>
      <w:r w:rsidRPr="003F3317">
        <w:rPr>
          <w:rFonts w:asciiTheme="minorHAnsi" w:hAnsiTheme="minorHAnsi"/>
          <w:szCs w:val="24"/>
        </w:rPr>
        <w:t>PPC are usually sparsely distributed within its habitat</w:t>
      </w:r>
      <w:r w:rsidR="00624B52">
        <w:rPr>
          <w:rFonts w:asciiTheme="minorHAnsi" w:hAnsiTheme="minorHAnsi"/>
          <w:szCs w:val="24"/>
        </w:rPr>
        <w:t>. P</w:t>
      </w:r>
      <w:r w:rsidRPr="003F3317">
        <w:rPr>
          <w:rFonts w:asciiTheme="minorHAnsi" w:hAnsiTheme="minorHAnsi"/>
          <w:szCs w:val="24"/>
        </w:rPr>
        <w:t>opulation density estimates vary between 0.22 and 0.54 plants per acre within suitable habitat (USFWS 1993).</w:t>
      </w:r>
    </w:p>
    <w:p w:rsidR="003F3317" w:rsidRDefault="003F3317" w:rsidP="00242A7A">
      <w:pPr>
        <w:pStyle w:val="Default"/>
        <w:rPr>
          <w:rFonts w:asciiTheme="minorHAnsi" w:hAnsiTheme="minorHAnsi"/>
        </w:rPr>
      </w:pPr>
    </w:p>
    <w:p w:rsidR="00624B52" w:rsidRPr="0020166B" w:rsidRDefault="00624B52" w:rsidP="00624B52">
      <w:pPr>
        <w:pStyle w:val="Default"/>
        <w:rPr>
          <w:color w:val="FF0000"/>
          <w:sz w:val="23"/>
          <w:szCs w:val="23"/>
        </w:rPr>
      </w:pPr>
      <w:r>
        <w:rPr>
          <w:rFonts w:asciiTheme="minorHAnsi" w:hAnsiTheme="minorHAnsi"/>
          <w:color w:val="FF0000"/>
        </w:rPr>
        <w:t xml:space="preserve">Include information in this section to establish an environmental baseline </w:t>
      </w:r>
      <w:r w:rsidRPr="0020166B">
        <w:rPr>
          <w:rFonts w:asciiTheme="minorHAnsi" w:hAnsiTheme="minorHAnsi"/>
          <w:color w:val="FF0000"/>
        </w:rPr>
        <w:t>(i.e. survey d</w:t>
      </w:r>
      <w:r>
        <w:rPr>
          <w:rFonts w:asciiTheme="minorHAnsi" w:hAnsiTheme="minorHAnsi"/>
          <w:color w:val="FF0000"/>
        </w:rPr>
        <w:t xml:space="preserve">ata, local status, etc) for PPC </w:t>
      </w:r>
      <w:r w:rsidRPr="0020166B">
        <w:rPr>
          <w:color w:val="FF0000"/>
          <w:sz w:val="23"/>
          <w:szCs w:val="23"/>
        </w:rPr>
        <w:t>within your projects vicinity</w:t>
      </w:r>
      <w:r>
        <w:rPr>
          <w:color w:val="FF0000"/>
          <w:sz w:val="23"/>
          <w:szCs w:val="23"/>
        </w:rPr>
        <w:t xml:space="preserve">. </w:t>
      </w:r>
      <w:r>
        <w:rPr>
          <w:rFonts w:asciiTheme="minorHAnsi" w:hAnsiTheme="minorHAnsi"/>
          <w:color w:val="FF0000"/>
        </w:rPr>
        <w:t>The</w:t>
      </w:r>
      <w:r w:rsidRPr="0020166B">
        <w:rPr>
          <w:rFonts w:asciiTheme="minorHAnsi" w:hAnsiTheme="minorHAnsi"/>
          <w:color w:val="FF0000"/>
        </w:rPr>
        <w:t xml:space="preserve"> following </w:t>
      </w:r>
      <w:r>
        <w:rPr>
          <w:rFonts w:asciiTheme="minorHAnsi" w:hAnsiTheme="minorHAnsi"/>
          <w:color w:val="FF0000"/>
        </w:rPr>
        <w:t xml:space="preserve">references and </w:t>
      </w:r>
      <w:r w:rsidRPr="0020166B">
        <w:rPr>
          <w:rFonts w:asciiTheme="minorHAnsi" w:hAnsiTheme="minorHAnsi"/>
          <w:color w:val="FF0000"/>
        </w:rPr>
        <w:t>resources</w:t>
      </w:r>
      <w:r>
        <w:rPr>
          <w:rFonts w:asciiTheme="minorHAnsi" w:hAnsiTheme="minorHAnsi"/>
          <w:color w:val="FF0000"/>
        </w:rPr>
        <w:t xml:space="preserve"> may assist in </w:t>
      </w:r>
      <w:r w:rsidRPr="0020166B">
        <w:rPr>
          <w:rFonts w:asciiTheme="minorHAnsi" w:hAnsiTheme="minorHAnsi"/>
          <w:color w:val="FF0000"/>
        </w:rPr>
        <w:t>establish</w:t>
      </w:r>
      <w:r>
        <w:rPr>
          <w:rFonts w:asciiTheme="minorHAnsi" w:hAnsiTheme="minorHAnsi"/>
          <w:color w:val="FF0000"/>
        </w:rPr>
        <w:t>ing</w:t>
      </w:r>
      <w:r w:rsidRPr="0020166B">
        <w:rPr>
          <w:rFonts w:asciiTheme="minorHAnsi" w:hAnsiTheme="minorHAnsi"/>
          <w:color w:val="FF0000"/>
        </w:rPr>
        <w:t xml:space="preserve"> an environmental baseline</w:t>
      </w:r>
      <w:r>
        <w:rPr>
          <w:rFonts w:asciiTheme="minorHAnsi" w:hAnsiTheme="minorHAnsi"/>
          <w:color w:val="FF0000"/>
        </w:rPr>
        <w:t xml:space="preserve">. Always obtain permission from the ADOT biologist prior to contacting outside agencies about an ADOT project. </w:t>
      </w:r>
    </w:p>
    <w:p w:rsidR="00624B52" w:rsidRPr="0020166B" w:rsidRDefault="00624B52" w:rsidP="00624B52">
      <w:pPr>
        <w:pStyle w:val="Default"/>
        <w:rPr>
          <w:color w:val="FF0000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2703"/>
        <w:gridCol w:w="2061"/>
        <w:gridCol w:w="3087"/>
      </w:tblGrid>
      <w:tr w:rsidR="00624B52" w:rsidRPr="0020166B" w:rsidTr="00B600DA">
        <w:tc>
          <w:tcPr>
            <w:tcW w:w="9576" w:type="dxa"/>
            <w:gridSpan w:val="4"/>
            <w:tcBorders>
              <w:bottom w:val="single" w:sz="4" w:space="0" w:color="FF0000"/>
            </w:tcBorders>
          </w:tcPr>
          <w:p w:rsidR="00624B52" w:rsidRPr="0020166B" w:rsidRDefault="00F66E55" w:rsidP="00B600DA">
            <w:pPr>
              <w:pStyle w:val="Default"/>
              <w:rPr>
                <w:color w:val="FF0000"/>
                <w:sz w:val="23"/>
                <w:szCs w:val="23"/>
                <w:u w:val="single"/>
              </w:rPr>
            </w:pPr>
            <w:r>
              <w:rPr>
                <w:color w:val="FF0000"/>
                <w:sz w:val="23"/>
                <w:szCs w:val="23"/>
                <w:u w:val="single"/>
              </w:rPr>
              <w:t>Arizona Sonoran Desert Museum</w:t>
            </w:r>
          </w:p>
        </w:tc>
      </w:tr>
      <w:tr w:rsidR="00624B52" w:rsidRPr="0020166B" w:rsidTr="00F66E55">
        <w:tc>
          <w:tcPr>
            <w:tcW w:w="1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24B52" w:rsidRPr="0020166B" w:rsidRDefault="00F66E55" w:rsidP="00B600DA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Mark Fleming</w:t>
            </w:r>
          </w:p>
        </w:tc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24B52" w:rsidRPr="0020166B" w:rsidRDefault="00F66E55" w:rsidP="00B600DA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Curator of Botany</w:t>
            </w:r>
          </w:p>
        </w:tc>
        <w:tc>
          <w:tcPr>
            <w:tcW w:w="20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24B52" w:rsidRPr="0020166B" w:rsidRDefault="00F66E55" w:rsidP="00B600DA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520.833.3069</w:t>
            </w:r>
          </w:p>
        </w:tc>
        <w:tc>
          <w:tcPr>
            <w:tcW w:w="308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24B52" w:rsidRPr="0020166B" w:rsidRDefault="00F66E55" w:rsidP="00B600DA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mfleming@desertmuseum.org</w:t>
            </w:r>
          </w:p>
        </w:tc>
      </w:tr>
      <w:tr w:rsidR="00F66E55" w:rsidRPr="0020166B" w:rsidTr="00F66E55">
        <w:tc>
          <w:tcPr>
            <w:tcW w:w="17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66E55" w:rsidRDefault="00F66E55" w:rsidP="00B600DA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John Wiens</w:t>
            </w:r>
          </w:p>
        </w:tc>
        <w:tc>
          <w:tcPr>
            <w:tcW w:w="27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66E55" w:rsidRDefault="00F66E55" w:rsidP="00B600DA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Nursery Horticulturist</w:t>
            </w:r>
          </w:p>
        </w:tc>
        <w:tc>
          <w:tcPr>
            <w:tcW w:w="20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66E55" w:rsidRDefault="00F66E55" w:rsidP="00B600DA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520.833.3010</w:t>
            </w:r>
          </w:p>
        </w:tc>
        <w:tc>
          <w:tcPr>
            <w:tcW w:w="308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66E55" w:rsidRDefault="00F66E55" w:rsidP="00B600DA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jwiens@desertmuseum.org</w:t>
            </w:r>
          </w:p>
        </w:tc>
      </w:tr>
    </w:tbl>
    <w:p w:rsidR="007651DB" w:rsidRDefault="007651DB" w:rsidP="007651DB">
      <w:pPr>
        <w:pStyle w:val="ListParagraph"/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700"/>
        <w:gridCol w:w="2070"/>
        <w:gridCol w:w="3078"/>
      </w:tblGrid>
      <w:tr w:rsidR="00F66E55" w:rsidRPr="0020166B" w:rsidTr="00434C9F">
        <w:tc>
          <w:tcPr>
            <w:tcW w:w="9576" w:type="dxa"/>
            <w:gridSpan w:val="4"/>
            <w:tcBorders>
              <w:bottom w:val="single" w:sz="4" w:space="0" w:color="FF0000"/>
            </w:tcBorders>
          </w:tcPr>
          <w:p w:rsidR="00F66E55" w:rsidRPr="0020166B" w:rsidRDefault="00F66E55" w:rsidP="00434C9F">
            <w:pPr>
              <w:pStyle w:val="Default"/>
              <w:rPr>
                <w:color w:val="FF0000"/>
                <w:sz w:val="23"/>
                <w:szCs w:val="23"/>
                <w:u w:val="single"/>
              </w:rPr>
            </w:pPr>
            <w:r w:rsidRPr="0020166B">
              <w:rPr>
                <w:color w:val="FF0000"/>
                <w:sz w:val="23"/>
                <w:szCs w:val="23"/>
                <w:u w:val="single"/>
              </w:rPr>
              <w:t>US Fish and Wildlife Service</w:t>
            </w:r>
          </w:p>
        </w:tc>
      </w:tr>
      <w:tr w:rsidR="00F66E55" w:rsidRPr="0020166B" w:rsidTr="00F66E55">
        <w:tc>
          <w:tcPr>
            <w:tcW w:w="17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66E55" w:rsidRPr="0020166B" w:rsidRDefault="00F66E55" w:rsidP="00434C9F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Julie</w:t>
            </w:r>
            <w:r w:rsidRPr="0020166B">
              <w:rPr>
                <w:color w:val="FF0000"/>
                <w:sz w:val="23"/>
                <w:szCs w:val="23"/>
              </w:rPr>
              <w:t xml:space="preserve"> Crawford</w:t>
            </w:r>
          </w:p>
        </w:tc>
        <w:tc>
          <w:tcPr>
            <w:tcW w:w="2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66E55" w:rsidRPr="0020166B" w:rsidRDefault="00F66E55" w:rsidP="00434C9F">
            <w:pPr>
              <w:pStyle w:val="Default"/>
              <w:rPr>
                <w:color w:val="FF0000"/>
                <w:sz w:val="23"/>
                <w:szCs w:val="23"/>
              </w:rPr>
            </w:pPr>
            <w:r w:rsidRPr="0020166B">
              <w:rPr>
                <w:color w:val="FF0000"/>
                <w:sz w:val="23"/>
                <w:szCs w:val="23"/>
              </w:rPr>
              <w:t>Species Lead</w:t>
            </w:r>
          </w:p>
        </w:tc>
        <w:tc>
          <w:tcPr>
            <w:tcW w:w="20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66E55" w:rsidRPr="0020166B" w:rsidRDefault="00F66E55" w:rsidP="00434C9F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0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66E55" w:rsidRPr="0020166B" w:rsidRDefault="00F66E55" w:rsidP="00434C9F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Julie</w:t>
            </w:r>
            <w:r w:rsidRPr="0020166B">
              <w:rPr>
                <w:color w:val="FF0000"/>
                <w:sz w:val="23"/>
                <w:szCs w:val="23"/>
              </w:rPr>
              <w:t>_Crawford@fws.gov</w:t>
            </w:r>
          </w:p>
        </w:tc>
      </w:tr>
    </w:tbl>
    <w:p w:rsidR="00F66E55" w:rsidRPr="00F66E55" w:rsidRDefault="00F66E55" w:rsidP="00F66E55">
      <w:pPr>
        <w:rPr>
          <w:color w:val="FF0000"/>
        </w:rPr>
      </w:pPr>
    </w:p>
    <w:p w:rsidR="00F66E55" w:rsidRDefault="00F66E55" w:rsidP="007651DB">
      <w:pPr>
        <w:pStyle w:val="ListParagraph"/>
        <w:rPr>
          <w:color w:val="FF0000"/>
        </w:rPr>
      </w:pPr>
    </w:p>
    <w:p w:rsidR="007651DB" w:rsidRPr="007651DB" w:rsidRDefault="007651DB" w:rsidP="007651DB">
      <w:pPr>
        <w:pStyle w:val="ListParagraph"/>
        <w:ind w:left="0"/>
        <w:jc w:val="left"/>
        <w:rPr>
          <w:color w:val="FF0000"/>
          <w:u w:val="single"/>
        </w:rPr>
      </w:pPr>
      <w:r>
        <w:rPr>
          <w:color w:val="FF0000"/>
          <w:u w:val="single"/>
        </w:rPr>
        <w:t>Additional Resources</w:t>
      </w:r>
    </w:p>
    <w:p w:rsidR="006F53EA" w:rsidRDefault="008205F3" w:rsidP="006F53EA">
      <w:pPr>
        <w:pStyle w:val="ListParagraph"/>
        <w:numPr>
          <w:ilvl w:val="0"/>
          <w:numId w:val="2"/>
        </w:numPr>
        <w:rPr>
          <w:color w:val="FF0000"/>
        </w:rPr>
      </w:pPr>
      <w:r w:rsidRPr="00B06804">
        <w:rPr>
          <w:color w:val="FF0000"/>
        </w:rPr>
        <w:t xml:space="preserve">Pima County </w:t>
      </w:r>
      <w:r w:rsidR="006F53EA">
        <w:rPr>
          <w:color w:val="FF0000"/>
        </w:rPr>
        <w:t>Geographic Information System</w:t>
      </w:r>
      <w:r w:rsidRPr="00B06804">
        <w:rPr>
          <w:color w:val="FF0000"/>
        </w:rPr>
        <w:t xml:space="preserve"> for PPC habitat</w:t>
      </w:r>
      <w:r>
        <w:rPr>
          <w:color w:val="FF0000"/>
        </w:rPr>
        <w:t xml:space="preserve"> areas</w:t>
      </w:r>
      <w:r w:rsidR="006F53EA">
        <w:rPr>
          <w:color w:val="FF0000"/>
        </w:rPr>
        <w:t xml:space="preserve"> </w:t>
      </w:r>
    </w:p>
    <w:p w:rsidR="008205F3" w:rsidRDefault="006F53EA" w:rsidP="006F53EA">
      <w:pPr>
        <w:pStyle w:val="ListParagraph"/>
        <w:rPr>
          <w:color w:val="FF0000"/>
        </w:rPr>
      </w:pPr>
      <w:r>
        <w:rPr>
          <w:color w:val="FF0000"/>
        </w:rPr>
        <w:t>&lt;</w:t>
      </w:r>
      <w:r w:rsidRPr="006F53EA">
        <w:rPr>
          <w:color w:val="FF0000"/>
        </w:rPr>
        <w:t>http://gis.pima.gov/data/contents/</w:t>
      </w:r>
      <w:r>
        <w:rPr>
          <w:color w:val="FF0000"/>
        </w:rPr>
        <w:t>&gt;</w:t>
      </w:r>
    </w:p>
    <w:p w:rsidR="008205F3" w:rsidRPr="006F53EA" w:rsidRDefault="006F53EA" w:rsidP="008205F3">
      <w:pPr>
        <w:pStyle w:val="ListParagraph"/>
        <w:numPr>
          <w:ilvl w:val="0"/>
          <w:numId w:val="2"/>
        </w:numPr>
        <w:rPr>
          <w:color w:val="FF0000"/>
        </w:rPr>
      </w:pPr>
      <w:proofErr w:type="spellStart"/>
      <w:r>
        <w:rPr>
          <w:color w:val="FF0000"/>
        </w:rPr>
        <w:t>SEINet</w:t>
      </w:r>
      <w:proofErr w:type="spellEnd"/>
      <w:r>
        <w:rPr>
          <w:color w:val="FF0000"/>
        </w:rPr>
        <w:t xml:space="preserve"> data portal</w:t>
      </w:r>
      <w:r w:rsidR="008205F3" w:rsidRPr="006F53EA">
        <w:rPr>
          <w:color w:val="FF0000"/>
        </w:rPr>
        <w:t xml:space="preserve"> or other herbarium record source </w:t>
      </w:r>
    </w:p>
    <w:p w:rsidR="00624B52" w:rsidRDefault="00624B52" w:rsidP="00624B52">
      <w:pPr>
        <w:rPr>
          <w:color w:val="FF0000"/>
        </w:rPr>
      </w:pPr>
    </w:p>
    <w:p w:rsidR="00624B52" w:rsidRDefault="00624B52" w:rsidP="00624B52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Notes:</w:t>
      </w:r>
      <w:r>
        <w:rPr>
          <w:rFonts w:asciiTheme="minorHAnsi" w:hAnsiTheme="minorHAnsi"/>
          <w:color w:val="FF0000"/>
        </w:rPr>
        <w:tab/>
      </w:r>
      <w:r w:rsidRPr="0020166B">
        <w:rPr>
          <w:rFonts w:asciiTheme="minorHAnsi" w:hAnsiTheme="minorHAnsi"/>
          <w:color w:val="FF0000"/>
          <w:vertAlign w:val="superscript"/>
        </w:rPr>
        <w:t>1</w:t>
      </w:r>
      <w:r>
        <w:rPr>
          <w:rFonts w:asciiTheme="minorHAnsi" w:hAnsiTheme="minorHAnsi"/>
          <w:color w:val="FF0000"/>
        </w:rPr>
        <w:t xml:space="preserve">Consultants are NOT to discuss potential effect findings with outside agencies. </w:t>
      </w:r>
    </w:p>
    <w:p w:rsidR="00624B52" w:rsidRDefault="00624B52" w:rsidP="00624B52">
      <w:pPr>
        <w:ind w:firstLine="720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  <w:vertAlign w:val="superscript"/>
        </w:rPr>
        <w:t>2</w:t>
      </w:r>
      <w:r>
        <w:rPr>
          <w:rFonts w:asciiTheme="minorHAnsi" w:hAnsiTheme="minorHAnsi"/>
          <w:color w:val="FF0000"/>
        </w:rPr>
        <w:t>Red text is to be removed prior to placing this evaluation into a Biological Evaluation.</w:t>
      </w:r>
    </w:p>
    <w:p w:rsidR="00624B52" w:rsidRDefault="00624B52" w:rsidP="00242A7A">
      <w:pPr>
        <w:pStyle w:val="Default"/>
        <w:rPr>
          <w:rFonts w:asciiTheme="minorHAnsi" w:hAnsiTheme="minorHAnsi"/>
        </w:rPr>
      </w:pPr>
    </w:p>
    <w:p w:rsidR="003F3317" w:rsidRPr="003F3317" w:rsidRDefault="003F3317" w:rsidP="00242A7A">
      <w:pPr>
        <w:pStyle w:val="Default"/>
        <w:rPr>
          <w:rFonts w:asciiTheme="minorHAnsi" w:hAnsiTheme="minorHAnsi"/>
          <w:u w:val="single"/>
        </w:rPr>
      </w:pPr>
      <w:r w:rsidRPr="003F3317">
        <w:rPr>
          <w:rFonts w:asciiTheme="minorHAnsi" w:hAnsiTheme="minorHAnsi"/>
          <w:u w:val="single"/>
        </w:rPr>
        <w:t>References</w:t>
      </w:r>
    </w:p>
    <w:p w:rsidR="003F3317" w:rsidRDefault="003F3317" w:rsidP="003F3317">
      <w:pPr>
        <w:tabs>
          <w:tab w:val="left" w:pos="-1440"/>
        </w:tabs>
        <w:ind w:left="720" w:hanging="720"/>
        <w:rPr>
          <w:rFonts w:asciiTheme="minorHAnsi" w:hAnsiTheme="minorHAnsi"/>
          <w:szCs w:val="24"/>
        </w:rPr>
      </w:pPr>
      <w:r w:rsidRPr="003F3317">
        <w:rPr>
          <w:rFonts w:asciiTheme="minorHAnsi" w:hAnsiTheme="minorHAnsi"/>
          <w:szCs w:val="24"/>
        </w:rPr>
        <w:t xml:space="preserve">Arizona Game and Fish Department. 2001. </w:t>
      </w:r>
      <w:proofErr w:type="spellStart"/>
      <w:r w:rsidRPr="003F3317">
        <w:rPr>
          <w:rFonts w:asciiTheme="minorHAnsi" w:hAnsiTheme="minorHAnsi"/>
          <w:szCs w:val="24"/>
        </w:rPr>
        <w:t>Coryphantha</w:t>
      </w:r>
      <w:proofErr w:type="spellEnd"/>
      <w:r w:rsidRPr="003F3317">
        <w:rPr>
          <w:rFonts w:asciiTheme="minorHAnsi" w:hAnsiTheme="minorHAnsi"/>
          <w:szCs w:val="24"/>
        </w:rPr>
        <w:t xml:space="preserve"> </w:t>
      </w:r>
      <w:proofErr w:type="spellStart"/>
      <w:r w:rsidRPr="003F3317">
        <w:rPr>
          <w:rFonts w:asciiTheme="minorHAnsi" w:hAnsiTheme="minorHAnsi"/>
          <w:szCs w:val="24"/>
        </w:rPr>
        <w:t>scheeri</w:t>
      </w:r>
      <w:proofErr w:type="spellEnd"/>
      <w:r w:rsidRPr="003F3317">
        <w:rPr>
          <w:rFonts w:asciiTheme="minorHAnsi" w:hAnsiTheme="minorHAnsi"/>
          <w:szCs w:val="24"/>
        </w:rPr>
        <w:t xml:space="preserve"> var. </w:t>
      </w:r>
      <w:proofErr w:type="spellStart"/>
      <w:r w:rsidRPr="003F3317">
        <w:rPr>
          <w:rFonts w:asciiTheme="minorHAnsi" w:hAnsiTheme="minorHAnsi"/>
          <w:szCs w:val="24"/>
        </w:rPr>
        <w:t>robustispina</w:t>
      </w:r>
      <w:proofErr w:type="spellEnd"/>
      <w:r w:rsidRPr="003F3317">
        <w:rPr>
          <w:rFonts w:asciiTheme="minorHAnsi" w:hAnsiTheme="minorHAnsi"/>
          <w:szCs w:val="24"/>
        </w:rPr>
        <w:t xml:space="preserve">. Unpublished abstract compiled and edited by the Heritage Data Management System, Arizona Game and Fish </w:t>
      </w:r>
      <w:proofErr w:type="spellStart"/>
      <w:r w:rsidRPr="003F3317">
        <w:rPr>
          <w:rFonts w:asciiTheme="minorHAnsi" w:hAnsiTheme="minorHAnsi"/>
          <w:szCs w:val="24"/>
        </w:rPr>
        <w:t>Department</w:t>
      </w:r>
      <w:proofErr w:type="gramStart"/>
      <w:r w:rsidRPr="003F3317">
        <w:rPr>
          <w:rFonts w:asciiTheme="minorHAnsi" w:hAnsiTheme="minorHAnsi"/>
          <w:szCs w:val="24"/>
        </w:rPr>
        <w:t>,Phoenix</w:t>
      </w:r>
      <w:proofErr w:type="spellEnd"/>
      <w:proofErr w:type="gramEnd"/>
      <w:r w:rsidRPr="003F3317">
        <w:rPr>
          <w:rFonts w:asciiTheme="minorHAnsi" w:hAnsiTheme="minorHAnsi"/>
          <w:szCs w:val="24"/>
        </w:rPr>
        <w:t xml:space="preserve">, AZ. </w:t>
      </w:r>
      <w:r w:rsidR="009708EC">
        <w:rPr>
          <w:rFonts w:asciiTheme="minorHAnsi" w:hAnsiTheme="minorHAnsi"/>
          <w:szCs w:val="24"/>
        </w:rPr>
        <w:t>4</w:t>
      </w:r>
      <w:r w:rsidRPr="003F3317">
        <w:rPr>
          <w:rFonts w:asciiTheme="minorHAnsi" w:hAnsiTheme="minorHAnsi"/>
          <w:szCs w:val="24"/>
        </w:rPr>
        <w:t xml:space="preserve"> pp.</w:t>
      </w:r>
    </w:p>
    <w:p w:rsidR="008205F3" w:rsidRDefault="008205F3" w:rsidP="003F3317">
      <w:pPr>
        <w:tabs>
          <w:tab w:val="left" w:pos="-1440"/>
        </w:tabs>
        <w:ind w:left="720" w:hanging="720"/>
        <w:rPr>
          <w:rFonts w:asciiTheme="minorHAnsi" w:hAnsiTheme="minorHAnsi"/>
          <w:szCs w:val="24"/>
        </w:rPr>
      </w:pPr>
    </w:p>
    <w:p w:rsidR="00FC5D46" w:rsidRPr="00FC5D46" w:rsidRDefault="00FC5D46" w:rsidP="00FC5D46">
      <w:pPr>
        <w:tabs>
          <w:tab w:val="left" w:pos="-1440"/>
        </w:tabs>
        <w:ind w:left="720"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Environmental Conservation Online System (ECOS). </w:t>
      </w:r>
      <w:r w:rsidRPr="00FC5D46">
        <w:rPr>
          <w:rFonts w:asciiTheme="minorHAnsi" w:hAnsiTheme="minorHAnsi"/>
          <w:szCs w:val="24"/>
        </w:rPr>
        <w:t>Accessed April 20, 2017.</w:t>
      </w:r>
      <w:r>
        <w:rPr>
          <w:rFonts w:asciiTheme="minorHAnsi" w:hAnsiTheme="minorHAnsi"/>
          <w:szCs w:val="24"/>
        </w:rPr>
        <w:t xml:space="preserve"> Species Profile for Pima Pineapple Cactus </w:t>
      </w:r>
      <w:r w:rsidRPr="00FC5D46">
        <w:rPr>
          <w:rFonts w:asciiTheme="minorHAnsi" w:hAnsiTheme="minorHAnsi"/>
          <w:szCs w:val="24"/>
        </w:rPr>
        <w:t>(</w:t>
      </w:r>
      <w:proofErr w:type="spellStart"/>
      <w:r w:rsidRPr="00FC5D46">
        <w:rPr>
          <w:rFonts w:asciiTheme="minorHAnsi" w:hAnsiTheme="minorHAnsi"/>
          <w:szCs w:val="24"/>
        </w:rPr>
        <w:t>Coryphantha</w:t>
      </w:r>
      <w:proofErr w:type="spellEnd"/>
      <w:r w:rsidRPr="00FC5D46">
        <w:rPr>
          <w:rFonts w:asciiTheme="minorHAnsi" w:hAnsiTheme="minorHAnsi"/>
          <w:szCs w:val="24"/>
        </w:rPr>
        <w:t xml:space="preserve"> </w:t>
      </w:r>
      <w:proofErr w:type="spellStart"/>
      <w:r w:rsidRPr="00FC5D46">
        <w:rPr>
          <w:rFonts w:asciiTheme="minorHAnsi" w:hAnsiTheme="minorHAnsi"/>
          <w:szCs w:val="24"/>
        </w:rPr>
        <w:t>scheeri</w:t>
      </w:r>
      <w:proofErr w:type="spellEnd"/>
      <w:r w:rsidRPr="00FC5D46">
        <w:rPr>
          <w:rFonts w:asciiTheme="minorHAnsi" w:hAnsiTheme="minorHAnsi"/>
          <w:szCs w:val="24"/>
        </w:rPr>
        <w:t xml:space="preserve"> var. </w:t>
      </w:r>
      <w:proofErr w:type="spellStart"/>
      <w:r w:rsidRPr="00FC5D46">
        <w:rPr>
          <w:rFonts w:asciiTheme="minorHAnsi" w:hAnsiTheme="minorHAnsi"/>
          <w:szCs w:val="24"/>
        </w:rPr>
        <w:t>robustispina</w:t>
      </w:r>
      <w:proofErr w:type="spellEnd"/>
      <w:r w:rsidRPr="00FC5D46">
        <w:rPr>
          <w:rFonts w:asciiTheme="minorHAnsi" w:hAnsiTheme="minorHAnsi"/>
          <w:szCs w:val="24"/>
        </w:rPr>
        <w:t>).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br/>
      </w:r>
      <w:r w:rsidRPr="00FC5D46">
        <w:rPr>
          <w:rFonts w:asciiTheme="minorHAnsi" w:hAnsiTheme="minorHAnsi"/>
          <w:szCs w:val="24"/>
        </w:rPr>
        <w:t xml:space="preserve">&lt; </w:t>
      </w:r>
      <w:hyperlink r:id="rId6" w:history="1">
        <w:r w:rsidRPr="00FC5D46">
          <w:rPr>
            <w:rFonts w:asciiTheme="minorHAnsi" w:hAnsiTheme="minorHAnsi"/>
          </w:rPr>
          <w:t>https://ecos.fws.gov/ecp0/profile/speciesProfile?sId=4919</w:t>
        </w:r>
      </w:hyperlink>
      <w:r w:rsidRPr="00FC5D46">
        <w:rPr>
          <w:rFonts w:asciiTheme="minorHAnsi" w:hAnsiTheme="minorHAnsi"/>
          <w:szCs w:val="24"/>
        </w:rPr>
        <w:t xml:space="preserve">&gt; </w:t>
      </w:r>
    </w:p>
    <w:p w:rsidR="006F5931" w:rsidRPr="003F3317" w:rsidRDefault="006F5931" w:rsidP="003F3317">
      <w:pPr>
        <w:tabs>
          <w:tab w:val="left" w:pos="-1440"/>
        </w:tabs>
        <w:ind w:left="720" w:hanging="720"/>
        <w:rPr>
          <w:rFonts w:asciiTheme="minorHAnsi" w:hAnsiTheme="minorHAnsi"/>
          <w:szCs w:val="24"/>
        </w:rPr>
      </w:pPr>
    </w:p>
    <w:p w:rsidR="006F5931" w:rsidRDefault="003F3317" w:rsidP="006F5931">
      <w:pPr>
        <w:tabs>
          <w:tab w:val="left" w:pos="-1440"/>
        </w:tabs>
        <w:ind w:left="720" w:hanging="720"/>
        <w:rPr>
          <w:rFonts w:asciiTheme="minorHAnsi" w:hAnsiTheme="minorHAnsi"/>
          <w:szCs w:val="24"/>
        </w:rPr>
      </w:pPr>
      <w:r w:rsidRPr="003F3317">
        <w:rPr>
          <w:rFonts w:asciiTheme="minorHAnsi" w:hAnsiTheme="minorHAnsi"/>
          <w:szCs w:val="24"/>
        </w:rPr>
        <w:t>U.S. Fish and Wildlife Service. 1993. Endangered and Threatened Wildlife and Plants; Determination of Endangered Status for the Plant Pima Pineapple Cactus (</w:t>
      </w:r>
      <w:proofErr w:type="spellStart"/>
      <w:r w:rsidRPr="003F3317">
        <w:rPr>
          <w:rFonts w:asciiTheme="minorHAnsi" w:hAnsiTheme="minorHAnsi"/>
          <w:i/>
          <w:iCs/>
          <w:szCs w:val="24"/>
        </w:rPr>
        <w:t>Coryphantha</w:t>
      </w:r>
      <w:proofErr w:type="spellEnd"/>
      <w:r w:rsidRPr="003F3317">
        <w:rPr>
          <w:rFonts w:asciiTheme="minorHAnsi" w:hAnsiTheme="minorHAnsi"/>
          <w:i/>
          <w:iCs/>
          <w:szCs w:val="24"/>
        </w:rPr>
        <w:t xml:space="preserve"> </w:t>
      </w:r>
      <w:proofErr w:type="spellStart"/>
      <w:r w:rsidRPr="003F3317">
        <w:rPr>
          <w:rFonts w:asciiTheme="minorHAnsi" w:hAnsiTheme="minorHAnsi"/>
          <w:i/>
          <w:iCs/>
          <w:szCs w:val="24"/>
        </w:rPr>
        <w:t>scheeri</w:t>
      </w:r>
      <w:proofErr w:type="spellEnd"/>
      <w:r w:rsidRPr="003F3317">
        <w:rPr>
          <w:rFonts w:asciiTheme="minorHAnsi" w:hAnsiTheme="minorHAnsi"/>
          <w:i/>
          <w:iCs/>
          <w:szCs w:val="24"/>
        </w:rPr>
        <w:t xml:space="preserve"> var. </w:t>
      </w:r>
      <w:proofErr w:type="spellStart"/>
      <w:r w:rsidRPr="003F3317">
        <w:rPr>
          <w:rFonts w:asciiTheme="minorHAnsi" w:hAnsiTheme="minorHAnsi"/>
          <w:i/>
          <w:iCs/>
          <w:szCs w:val="24"/>
        </w:rPr>
        <w:t>robustispina</w:t>
      </w:r>
      <w:proofErr w:type="spellEnd"/>
      <w:r w:rsidRPr="003F3317">
        <w:rPr>
          <w:rFonts w:asciiTheme="minorHAnsi" w:hAnsiTheme="minorHAnsi"/>
          <w:szCs w:val="24"/>
        </w:rPr>
        <w:t>); Final Rule Federal Register 58(183):49875-49880.</w:t>
      </w:r>
    </w:p>
    <w:p w:rsidR="006F5931" w:rsidRDefault="006F5931" w:rsidP="006F5931">
      <w:pPr>
        <w:tabs>
          <w:tab w:val="left" w:pos="-1440"/>
        </w:tabs>
        <w:ind w:left="720" w:hanging="720"/>
        <w:rPr>
          <w:rFonts w:asciiTheme="minorHAnsi" w:hAnsiTheme="minorHAnsi"/>
          <w:szCs w:val="24"/>
        </w:rPr>
      </w:pPr>
    </w:p>
    <w:p w:rsidR="003F3317" w:rsidRPr="003F3317" w:rsidRDefault="003F3317" w:rsidP="006F5931">
      <w:pPr>
        <w:tabs>
          <w:tab w:val="left" w:pos="-1440"/>
        </w:tabs>
        <w:ind w:left="720" w:hanging="720"/>
        <w:rPr>
          <w:rFonts w:asciiTheme="minorHAnsi" w:hAnsiTheme="minorHAnsi"/>
          <w:szCs w:val="24"/>
        </w:rPr>
      </w:pPr>
      <w:r w:rsidRPr="003F3317">
        <w:rPr>
          <w:rFonts w:asciiTheme="minorHAnsi" w:hAnsiTheme="minorHAnsi"/>
          <w:szCs w:val="24"/>
        </w:rPr>
        <w:t>_____.</w:t>
      </w:r>
      <w:r w:rsidRPr="003F3317">
        <w:rPr>
          <w:rFonts w:asciiTheme="minorHAnsi" w:hAnsiTheme="minorHAnsi"/>
          <w:szCs w:val="24"/>
        </w:rPr>
        <w:tab/>
        <w:t>2007. Pima pineapple cactus (</w:t>
      </w:r>
      <w:proofErr w:type="spellStart"/>
      <w:r w:rsidRPr="003F3317">
        <w:rPr>
          <w:rFonts w:asciiTheme="minorHAnsi" w:hAnsiTheme="minorHAnsi"/>
          <w:i/>
          <w:szCs w:val="24"/>
        </w:rPr>
        <w:t>Coryphantha</w:t>
      </w:r>
      <w:proofErr w:type="spellEnd"/>
      <w:r w:rsidRPr="003F3317">
        <w:rPr>
          <w:rFonts w:asciiTheme="minorHAnsi" w:hAnsiTheme="minorHAnsi"/>
          <w:i/>
          <w:szCs w:val="24"/>
        </w:rPr>
        <w:t xml:space="preserve"> </w:t>
      </w:r>
      <w:proofErr w:type="spellStart"/>
      <w:r w:rsidRPr="003F3317">
        <w:rPr>
          <w:rFonts w:asciiTheme="minorHAnsi" w:hAnsiTheme="minorHAnsi"/>
          <w:i/>
          <w:szCs w:val="24"/>
        </w:rPr>
        <w:t>scheeri</w:t>
      </w:r>
      <w:proofErr w:type="spellEnd"/>
      <w:r w:rsidRPr="003F3317">
        <w:rPr>
          <w:rFonts w:asciiTheme="minorHAnsi" w:hAnsiTheme="minorHAnsi"/>
          <w:szCs w:val="24"/>
        </w:rPr>
        <w:t xml:space="preserve"> var. </w:t>
      </w:r>
      <w:proofErr w:type="spellStart"/>
      <w:r w:rsidRPr="003F3317">
        <w:rPr>
          <w:rFonts w:asciiTheme="minorHAnsi" w:hAnsiTheme="minorHAnsi"/>
          <w:i/>
          <w:szCs w:val="24"/>
        </w:rPr>
        <w:t>robustispina</w:t>
      </w:r>
      <w:proofErr w:type="spellEnd"/>
      <w:r w:rsidRPr="003F3317">
        <w:rPr>
          <w:rFonts w:asciiTheme="minorHAnsi" w:hAnsiTheme="minorHAnsi"/>
          <w:szCs w:val="24"/>
        </w:rPr>
        <w:t>)</w:t>
      </w:r>
      <w:r w:rsidRPr="003F3317">
        <w:rPr>
          <w:rFonts w:asciiTheme="minorHAnsi" w:hAnsiTheme="minorHAnsi"/>
          <w:i/>
          <w:szCs w:val="24"/>
        </w:rPr>
        <w:t xml:space="preserve">. </w:t>
      </w:r>
      <w:r w:rsidRPr="003F3317">
        <w:rPr>
          <w:rFonts w:asciiTheme="minorHAnsi" w:hAnsiTheme="minorHAnsi"/>
          <w:szCs w:val="24"/>
        </w:rPr>
        <w:t>5-year Review. February 8, 2007.</w:t>
      </w:r>
    </w:p>
    <w:p w:rsidR="00242A7A" w:rsidRPr="003F3317" w:rsidRDefault="00242A7A">
      <w:pPr>
        <w:rPr>
          <w:rFonts w:asciiTheme="minorHAnsi" w:hAnsiTheme="minorHAnsi"/>
          <w:szCs w:val="24"/>
        </w:rPr>
      </w:pPr>
    </w:p>
    <w:sectPr w:rsidR="00242A7A" w:rsidRPr="003F3317" w:rsidSect="003C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7C78"/>
    <w:multiLevelType w:val="multilevel"/>
    <w:tmpl w:val="B110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72C97"/>
    <w:multiLevelType w:val="hybridMultilevel"/>
    <w:tmpl w:val="D5FC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B1"/>
    <w:rsid w:val="00033F50"/>
    <w:rsid w:val="000A47CC"/>
    <w:rsid w:val="0015112B"/>
    <w:rsid w:val="00181F52"/>
    <w:rsid w:val="0018401E"/>
    <w:rsid w:val="00192A7F"/>
    <w:rsid w:val="001A4FEC"/>
    <w:rsid w:val="00242A7A"/>
    <w:rsid w:val="00246C94"/>
    <w:rsid w:val="002A02FE"/>
    <w:rsid w:val="002B65C0"/>
    <w:rsid w:val="003268A3"/>
    <w:rsid w:val="00337770"/>
    <w:rsid w:val="0036378F"/>
    <w:rsid w:val="003C3518"/>
    <w:rsid w:val="003F3317"/>
    <w:rsid w:val="004B1537"/>
    <w:rsid w:val="00530455"/>
    <w:rsid w:val="00546D77"/>
    <w:rsid w:val="005662E3"/>
    <w:rsid w:val="005979C2"/>
    <w:rsid w:val="005C58F2"/>
    <w:rsid w:val="00607A85"/>
    <w:rsid w:val="00624B52"/>
    <w:rsid w:val="006724A3"/>
    <w:rsid w:val="006F53EA"/>
    <w:rsid w:val="006F5931"/>
    <w:rsid w:val="007651DB"/>
    <w:rsid w:val="007C2613"/>
    <w:rsid w:val="007E38A2"/>
    <w:rsid w:val="008205F3"/>
    <w:rsid w:val="008F5989"/>
    <w:rsid w:val="00933D20"/>
    <w:rsid w:val="009708EC"/>
    <w:rsid w:val="00A60CC4"/>
    <w:rsid w:val="00A82390"/>
    <w:rsid w:val="00AF7E12"/>
    <w:rsid w:val="00B13A12"/>
    <w:rsid w:val="00B412B1"/>
    <w:rsid w:val="00B600DA"/>
    <w:rsid w:val="00B74ECB"/>
    <w:rsid w:val="00BD776C"/>
    <w:rsid w:val="00C91304"/>
    <w:rsid w:val="00D725F1"/>
    <w:rsid w:val="00D831B2"/>
    <w:rsid w:val="00DB5693"/>
    <w:rsid w:val="00EB585A"/>
    <w:rsid w:val="00EC4FBA"/>
    <w:rsid w:val="00EE584C"/>
    <w:rsid w:val="00EF043F"/>
    <w:rsid w:val="00F66E55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B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412B1"/>
    <w:pPr>
      <w:keepNext/>
      <w:jc w:val="center"/>
      <w:outlineLvl w:val="1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12B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7A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2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5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2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5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5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5F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B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412B1"/>
    <w:pPr>
      <w:keepNext/>
      <w:jc w:val="center"/>
      <w:outlineLvl w:val="1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12B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7A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2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5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2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5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5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5F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s.fws.gov/ecp0/profile/speciesProfile?sId=49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Pima pineapple cactus (Coryphantha scheeri var. robustispina)</dc:title>
  <dc:creator>ADOT</dc:creator>
  <cp:lastModifiedBy>Rebeca Hensler</cp:lastModifiedBy>
  <cp:revision>23</cp:revision>
  <cp:lastPrinted>2017-03-17T23:45:00Z</cp:lastPrinted>
  <dcterms:created xsi:type="dcterms:W3CDTF">2017-03-03T17:43:00Z</dcterms:created>
  <dcterms:modified xsi:type="dcterms:W3CDTF">2019-06-07T20:51:00Z</dcterms:modified>
</cp:coreProperties>
</file>