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BAF88A" w14:textId="4FECBFA9" w:rsidR="008400A6" w:rsidRDefault="00F5783E" w:rsidP="00020D20">
      <w:pPr>
        <w:tabs>
          <w:tab w:val="clear" w:pos="180"/>
          <w:tab w:val="clear" w:pos="360"/>
          <w:tab w:val="clear" w:pos="540"/>
          <w:tab w:val="clear" w:pos="720"/>
        </w:tabs>
        <w:spacing w:before="0" w:after="0" w:line="240" w:lineRule="auto"/>
        <w:ind w:left="144"/>
      </w:pPr>
      <w:r>
        <w:rPr>
          <w:rFonts w:ascii="Century Gothic" w:hAnsi="Century Gothic"/>
          <w:noProof/>
          <w:color w:val="FFFFFF"/>
        </w:rPr>
        <w:drawing>
          <wp:anchor distT="0" distB="0" distL="114300" distR="114300" simplePos="0" relativeHeight="251659604" behindDoc="0" locked="0" layoutInCell="1" allowOverlap="1" wp14:anchorId="63DF0392" wp14:editId="715A56AC">
            <wp:simplePos x="0" y="0"/>
            <wp:positionH relativeFrom="column">
              <wp:posOffset>787095</wp:posOffset>
            </wp:positionH>
            <wp:positionV relativeFrom="paragraph">
              <wp:posOffset>4069715</wp:posOffset>
            </wp:positionV>
            <wp:extent cx="434340" cy="363220"/>
            <wp:effectExtent l="0" t="0" r="3810" b="0"/>
            <wp:wrapNone/>
            <wp:docPr id="816286498" name="Picture 81628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98" name="LHMPO_Cover.png"/>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434340" cy="363220"/>
                    </a:xfrm>
                    <a:prstGeom prst="rect">
                      <a:avLst/>
                    </a:prstGeom>
                  </pic:spPr>
                </pic:pic>
              </a:graphicData>
            </a:graphic>
          </wp:anchor>
        </w:drawing>
      </w:r>
      <w:r>
        <w:rPr>
          <w:rFonts w:ascii="Century Gothic" w:hAnsi="Century Gothic"/>
          <w:noProof/>
          <w:color w:val="FFFFFF"/>
        </w:rPr>
        <w:drawing>
          <wp:anchor distT="0" distB="0" distL="114300" distR="114300" simplePos="0" relativeHeight="251619667" behindDoc="1" locked="0" layoutInCell="1" allowOverlap="1" wp14:anchorId="6E920B81" wp14:editId="18D525FC">
            <wp:simplePos x="0" y="0"/>
            <wp:positionH relativeFrom="column">
              <wp:posOffset>-187960</wp:posOffset>
            </wp:positionH>
            <wp:positionV relativeFrom="paragraph">
              <wp:posOffset>-821900</wp:posOffset>
            </wp:positionV>
            <wp:extent cx="7346950" cy="9652635"/>
            <wp:effectExtent l="0" t="0" r="6350" b="5715"/>
            <wp:wrapNone/>
            <wp:docPr id="169091250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12500" name="Picture 1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46950" cy="965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Century Gothic" w:hAnsi="Century Gothic"/>
          <w:noProof/>
          <w:color w:val="FFFFFF"/>
        </w:rPr>
        <w:drawing>
          <wp:anchor distT="0" distB="0" distL="114300" distR="114300" simplePos="0" relativeHeight="251620691" behindDoc="1" locked="0" layoutInCell="1" allowOverlap="1" wp14:anchorId="25A288CF" wp14:editId="1C9E91A6">
            <wp:simplePos x="0" y="0"/>
            <wp:positionH relativeFrom="column">
              <wp:posOffset>-400050</wp:posOffset>
            </wp:positionH>
            <wp:positionV relativeFrom="paragraph">
              <wp:posOffset>-1027640</wp:posOffset>
            </wp:positionV>
            <wp:extent cx="7772400" cy="10058400"/>
            <wp:effectExtent l="0" t="0" r="0" b="0"/>
            <wp:wrapNone/>
            <wp:docPr id="169091250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12501" name="Picture 1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Century Gothic" w:hAnsi="Century Gothic"/>
          <w:noProof/>
          <w:color w:val="FFFFFF"/>
        </w:rPr>
        <mc:AlternateContent>
          <mc:Choice Requires="wps">
            <w:drawing>
              <wp:anchor distT="0" distB="0" distL="114300" distR="114300" simplePos="0" relativeHeight="251621715" behindDoc="1" locked="0" layoutInCell="1" allowOverlap="1" wp14:anchorId="68C78FF2" wp14:editId="25BE31B8">
                <wp:simplePos x="0" y="0"/>
                <wp:positionH relativeFrom="column">
                  <wp:posOffset>377190</wp:posOffset>
                </wp:positionH>
                <wp:positionV relativeFrom="paragraph">
                  <wp:posOffset>911015</wp:posOffset>
                </wp:positionV>
                <wp:extent cx="6005195" cy="7593330"/>
                <wp:effectExtent l="0" t="0" r="0" b="7620"/>
                <wp:wrapNone/>
                <wp:docPr id="1690912502"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5195" cy="7593330"/>
                        </a:xfrm>
                        <a:custGeom>
                          <a:avLst/>
                          <a:gdLst>
                            <a:gd name="T0" fmla="+- 0 2570 1224"/>
                            <a:gd name="T1" fmla="*/ T0 w 9457"/>
                            <a:gd name="T2" fmla="+- 0 3121 3053"/>
                            <a:gd name="T3" fmla="*/ 3121 h 11958"/>
                            <a:gd name="T4" fmla="+- 0 2544 1224"/>
                            <a:gd name="T5" fmla="*/ T4 w 9457"/>
                            <a:gd name="T6" fmla="+- 0 3520 3053"/>
                            <a:gd name="T7" fmla="*/ 3520 h 11958"/>
                            <a:gd name="T8" fmla="+- 0 2470 1224"/>
                            <a:gd name="T9" fmla="*/ T8 w 9457"/>
                            <a:gd name="T10" fmla="+- 0 4809 3053"/>
                            <a:gd name="T11" fmla="*/ 4809 h 11958"/>
                            <a:gd name="T12" fmla="+- 0 2420 1224"/>
                            <a:gd name="T13" fmla="*/ T12 w 9457"/>
                            <a:gd name="T14" fmla="+- 0 5032 3053"/>
                            <a:gd name="T15" fmla="*/ 5032 h 11958"/>
                            <a:gd name="T16" fmla="+- 0 2212 1224"/>
                            <a:gd name="T17" fmla="*/ T16 w 9457"/>
                            <a:gd name="T18" fmla="+- 0 5155 3053"/>
                            <a:gd name="T19" fmla="*/ 5155 h 11958"/>
                            <a:gd name="T20" fmla="+- 0 2019 1224"/>
                            <a:gd name="T21" fmla="*/ T20 w 9457"/>
                            <a:gd name="T22" fmla="+- 0 5080 3053"/>
                            <a:gd name="T23" fmla="*/ 5080 h 11958"/>
                            <a:gd name="T24" fmla="+- 0 1833 1224"/>
                            <a:gd name="T25" fmla="*/ T24 w 9457"/>
                            <a:gd name="T26" fmla="+- 0 4954 3053"/>
                            <a:gd name="T27" fmla="*/ 4954 h 11958"/>
                            <a:gd name="T28" fmla="+- 0 1649 1224"/>
                            <a:gd name="T29" fmla="*/ T28 w 9457"/>
                            <a:gd name="T30" fmla="+- 0 4976 3053"/>
                            <a:gd name="T31" fmla="*/ 4976 h 11958"/>
                            <a:gd name="T32" fmla="+- 0 1517 1224"/>
                            <a:gd name="T33" fmla="*/ T32 w 9457"/>
                            <a:gd name="T34" fmla="+- 0 5145 3053"/>
                            <a:gd name="T35" fmla="*/ 5145 h 11958"/>
                            <a:gd name="T36" fmla="+- 0 1504 1224"/>
                            <a:gd name="T37" fmla="*/ T36 w 9457"/>
                            <a:gd name="T38" fmla="+- 0 5359 3053"/>
                            <a:gd name="T39" fmla="*/ 5359 h 11958"/>
                            <a:gd name="T40" fmla="+- 0 1579 1224"/>
                            <a:gd name="T41" fmla="*/ T40 w 9457"/>
                            <a:gd name="T42" fmla="+- 0 5582 3053"/>
                            <a:gd name="T43" fmla="*/ 5582 h 11958"/>
                            <a:gd name="T44" fmla="+- 0 1633 1224"/>
                            <a:gd name="T45" fmla="*/ T44 w 9457"/>
                            <a:gd name="T46" fmla="+- 0 5813 3053"/>
                            <a:gd name="T47" fmla="*/ 5813 h 11958"/>
                            <a:gd name="T48" fmla="+- 0 1659 1224"/>
                            <a:gd name="T49" fmla="*/ T48 w 9457"/>
                            <a:gd name="T50" fmla="+- 0 6046 3053"/>
                            <a:gd name="T51" fmla="*/ 6046 h 11958"/>
                            <a:gd name="T52" fmla="+- 0 1657 1224"/>
                            <a:gd name="T53" fmla="*/ T52 w 9457"/>
                            <a:gd name="T54" fmla="+- 0 6280 3053"/>
                            <a:gd name="T55" fmla="*/ 6280 h 11958"/>
                            <a:gd name="T56" fmla="+- 0 1628 1224"/>
                            <a:gd name="T57" fmla="*/ T56 w 9457"/>
                            <a:gd name="T58" fmla="+- 0 6516 3053"/>
                            <a:gd name="T59" fmla="*/ 6516 h 11958"/>
                            <a:gd name="T60" fmla="+- 0 1585 1224"/>
                            <a:gd name="T61" fmla="*/ T60 w 9457"/>
                            <a:gd name="T62" fmla="+- 0 6723 3053"/>
                            <a:gd name="T63" fmla="*/ 6723 h 11958"/>
                            <a:gd name="T64" fmla="+- 0 1556 1224"/>
                            <a:gd name="T65" fmla="*/ T64 w 9457"/>
                            <a:gd name="T66" fmla="+- 0 6947 3053"/>
                            <a:gd name="T67" fmla="*/ 6947 h 11958"/>
                            <a:gd name="T68" fmla="+- 0 1592 1224"/>
                            <a:gd name="T69" fmla="*/ T68 w 9457"/>
                            <a:gd name="T70" fmla="+- 0 7159 3053"/>
                            <a:gd name="T71" fmla="*/ 7159 h 11958"/>
                            <a:gd name="T72" fmla="+- 0 1666 1224"/>
                            <a:gd name="T73" fmla="*/ T72 w 9457"/>
                            <a:gd name="T74" fmla="+- 0 7361 3053"/>
                            <a:gd name="T75" fmla="*/ 7361 h 11958"/>
                            <a:gd name="T76" fmla="+- 0 1706 1224"/>
                            <a:gd name="T77" fmla="*/ T76 w 9457"/>
                            <a:gd name="T78" fmla="+- 0 7580 3053"/>
                            <a:gd name="T79" fmla="*/ 7580 h 11958"/>
                            <a:gd name="T80" fmla="+- 0 1760 1224"/>
                            <a:gd name="T81" fmla="*/ T80 w 9457"/>
                            <a:gd name="T82" fmla="+- 0 7809 3053"/>
                            <a:gd name="T83" fmla="*/ 7809 h 11958"/>
                            <a:gd name="T84" fmla="+- 0 1848 1224"/>
                            <a:gd name="T85" fmla="*/ T84 w 9457"/>
                            <a:gd name="T86" fmla="+- 0 8019 3053"/>
                            <a:gd name="T87" fmla="*/ 8019 h 11958"/>
                            <a:gd name="T88" fmla="+- 0 1965 1224"/>
                            <a:gd name="T89" fmla="*/ T88 w 9457"/>
                            <a:gd name="T90" fmla="+- 0 8215 3053"/>
                            <a:gd name="T91" fmla="*/ 8215 h 11958"/>
                            <a:gd name="T92" fmla="+- 0 2106 1224"/>
                            <a:gd name="T93" fmla="*/ T92 w 9457"/>
                            <a:gd name="T94" fmla="+- 0 8399 3053"/>
                            <a:gd name="T95" fmla="*/ 8399 h 11958"/>
                            <a:gd name="T96" fmla="+- 0 2252 1224"/>
                            <a:gd name="T97" fmla="*/ T96 w 9457"/>
                            <a:gd name="T98" fmla="+- 0 8586 3053"/>
                            <a:gd name="T99" fmla="*/ 8586 h 11958"/>
                            <a:gd name="T100" fmla="+- 0 2256 1224"/>
                            <a:gd name="T101" fmla="*/ T100 w 9457"/>
                            <a:gd name="T102" fmla="+- 0 8725 3053"/>
                            <a:gd name="T103" fmla="*/ 8725 h 11958"/>
                            <a:gd name="T104" fmla="+- 0 2003 1224"/>
                            <a:gd name="T105" fmla="*/ T104 w 9457"/>
                            <a:gd name="T106" fmla="+- 0 8860 3053"/>
                            <a:gd name="T107" fmla="*/ 8860 h 11958"/>
                            <a:gd name="T108" fmla="+- 0 1813 1224"/>
                            <a:gd name="T109" fmla="*/ T108 w 9457"/>
                            <a:gd name="T110" fmla="+- 0 8984 3053"/>
                            <a:gd name="T111" fmla="*/ 8984 h 11958"/>
                            <a:gd name="T112" fmla="+- 0 1683 1224"/>
                            <a:gd name="T113" fmla="*/ T112 w 9457"/>
                            <a:gd name="T114" fmla="+- 0 9143 3053"/>
                            <a:gd name="T115" fmla="*/ 9143 h 11958"/>
                            <a:gd name="T116" fmla="+- 0 1601 1224"/>
                            <a:gd name="T117" fmla="*/ T116 w 9457"/>
                            <a:gd name="T118" fmla="+- 0 9330 3053"/>
                            <a:gd name="T119" fmla="*/ 9330 h 11958"/>
                            <a:gd name="T120" fmla="+- 0 1553 1224"/>
                            <a:gd name="T121" fmla="*/ T120 w 9457"/>
                            <a:gd name="T122" fmla="+- 0 9538 3053"/>
                            <a:gd name="T123" fmla="*/ 9538 h 11958"/>
                            <a:gd name="T124" fmla="+- 0 1528 1224"/>
                            <a:gd name="T125" fmla="*/ T124 w 9457"/>
                            <a:gd name="T126" fmla="+- 0 9760 3053"/>
                            <a:gd name="T127" fmla="*/ 9760 h 11958"/>
                            <a:gd name="T128" fmla="+- 0 1517 1224"/>
                            <a:gd name="T129" fmla="*/ T128 w 9457"/>
                            <a:gd name="T130" fmla="+- 0 9988 3053"/>
                            <a:gd name="T131" fmla="*/ 9988 h 11958"/>
                            <a:gd name="T132" fmla="+- 0 1513 1224"/>
                            <a:gd name="T133" fmla="*/ T132 w 9457"/>
                            <a:gd name="T134" fmla="+- 0 10446 3053"/>
                            <a:gd name="T135" fmla="*/ 10446 h 11958"/>
                            <a:gd name="T136" fmla="+- 0 1473 1224"/>
                            <a:gd name="T137" fmla="*/ T136 w 9457"/>
                            <a:gd name="T138" fmla="+- 0 10657 3053"/>
                            <a:gd name="T139" fmla="*/ 10657 h 11958"/>
                            <a:gd name="T140" fmla="+- 0 1355 1224"/>
                            <a:gd name="T141" fmla="*/ T140 w 9457"/>
                            <a:gd name="T142" fmla="+- 0 10887 3053"/>
                            <a:gd name="T143" fmla="*/ 10887 h 11958"/>
                            <a:gd name="T144" fmla="+- 0 1349 1224"/>
                            <a:gd name="T145" fmla="*/ T144 w 9457"/>
                            <a:gd name="T146" fmla="+- 0 11044 3053"/>
                            <a:gd name="T147" fmla="*/ 11044 h 11958"/>
                            <a:gd name="T148" fmla="+- 0 1513 1224"/>
                            <a:gd name="T149" fmla="*/ T148 w 9457"/>
                            <a:gd name="T150" fmla="+- 0 11227 3053"/>
                            <a:gd name="T151" fmla="*/ 11227 h 11958"/>
                            <a:gd name="T152" fmla="+- 0 1557 1224"/>
                            <a:gd name="T153" fmla="*/ T152 w 9457"/>
                            <a:gd name="T154" fmla="+- 0 11360 3053"/>
                            <a:gd name="T155" fmla="*/ 11360 h 11958"/>
                            <a:gd name="T156" fmla="+- 0 1431 1224"/>
                            <a:gd name="T157" fmla="*/ T156 w 9457"/>
                            <a:gd name="T158" fmla="+- 0 11491 3053"/>
                            <a:gd name="T159" fmla="*/ 11491 h 11958"/>
                            <a:gd name="T160" fmla="+- 0 1245 1224"/>
                            <a:gd name="T161" fmla="*/ T160 w 9457"/>
                            <a:gd name="T162" fmla="+- 0 11708 3053"/>
                            <a:gd name="T163" fmla="*/ 11708 h 11958"/>
                            <a:gd name="T164" fmla="+- 0 1321 1224"/>
                            <a:gd name="T165" fmla="*/ T164 w 9457"/>
                            <a:gd name="T166" fmla="+- 0 11952 3053"/>
                            <a:gd name="T167" fmla="*/ 11952 h 11958"/>
                            <a:gd name="T168" fmla="+- 0 7051 1224"/>
                            <a:gd name="T169" fmla="*/ T168 w 9457"/>
                            <a:gd name="T170" fmla="+- 0 14861 3053"/>
                            <a:gd name="T171" fmla="*/ 14861 h 11958"/>
                            <a:gd name="T172" fmla="+- 0 7294 1224"/>
                            <a:gd name="T173" fmla="*/ T172 w 9457"/>
                            <a:gd name="T174" fmla="+- 0 14934 3053"/>
                            <a:gd name="T175" fmla="*/ 14934 h 11958"/>
                            <a:gd name="T176" fmla="+- 0 10425 1224"/>
                            <a:gd name="T177" fmla="*/ T176 w 9457"/>
                            <a:gd name="T178" fmla="+- 0 15011 3053"/>
                            <a:gd name="T179" fmla="*/ 15011 h 11958"/>
                            <a:gd name="T180" fmla="+- 0 10651 1224"/>
                            <a:gd name="T181" fmla="*/ T180 w 9457"/>
                            <a:gd name="T182" fmla="+- 0 14953 3053"/>
                            <a:gd name="T183" fmla="*/ 14953 h 11958"/>
                            <a:gd name="T184" fmla="+- 0 10680 1224"/>
                            <a:gd name="T185" fmla="*/ T184 w 9457"/>
                            <a:gd name="T186" fmla="+- 0 14643 3053"/>
                            <a:gd name="T187" fmla="*/ 14643 h 11958"/>
                            <a:gd name="T188" fmla="+- 0 10611 1224"/>
                            <a:gd name="T189" fmla="*/ T188 w 9457"/>
                            <a:gd name="T190" fmla="+- 0 3507 3053"/>
                            <a:gd name="T191" fmla="*/ 3507 h 11958"/>
                            <a:gd name="T192" fmla="+- 0 10528 1224"/>
                            <a:gd name="T193" fmla="*/ T192 w 9457"/>
                            <a:gd name="T194" fmla="+- 0 3272 3053"/>
                            <a:gd name="T195" fmla="*/ 3272 h 11958"/>
                            <a:gd name="T196" fmla="+- 0 10281 1224"/>
                            <a:gd name="T197" fmla="*/ T196 w 9457"/>
                            <a:gd name="T198" fmla="+- 0 3255 3053"/>
                            <a:gd name="T199" fmla="*/ 3255 h 11958"/>
                            <a:gd name="T200" fmla="+- 0 7255 1224"/>
                            <a:gd name="T201" fmla="*/ T200 w 9457"/>
                            <a:gd name="T202" fmla="+- 0 3209 3053"/>
                            <a:gd name="T203" fmla="*/ 3209 h 11958"/>
                            <a:gd name="T204" fmla="+- 0 6453 1224"/>
                            <a:gd name="T205" fmla="*/ T204 w 9457"/>
                            <a:gd name="T206" fmla="+- 0 3189 3053"/>
                            <a:gd name="T207" fmla="*/ 3189 h 11958"/>
                            <a:gd name="T208" fmla="+- 0 4922 1224"/>
                            <a:gd name="T209" fmla="*/ T208 w 9457"/>
                            <a:gd name="T210" fmla="+- 0 3177 3053"/>
                            <a:gd name="T211" fmla="*/ 3177 h 11958"/>
                            <a:gd name="T212" fmla="+- 0 4439 1224"/>
                            <a:gd name="T213" fmla="*/ T212 w 9457"/>
                            <a:gd name="T214" fmla="+- 0 3165 3053"/>
                            <a:gd name="T215" fmla="*/ 3165 h 11958"/>
                            <a:gd name="T216" fmla="+- 0 4036 1224"/>
                            <a:gd name="T217" fmla="*/ T216 w 9457"/>
                            <a:gd name="T218" fmla="+- 0 3145 3053"/>
                            <a:gd name="T219" fmla="*/ 3145 h 11958"/>
                            <a:gd name="T220" fmla="+- 0 2966 1224"/>
                            <a:gd name="T221" fmla="*/ T220 w 9457"/>
                            <a:gd name="T222" fmla="+- 0 3072 3053"/>
                            <a:gd name="T223" fmla="*/ 3072 h 11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457" h="11958">
                              <a:moveTo>
                                <a:pt x="1494" y="0"/>
                              </a:moveTo>
                              <a:lnTo>
                                <a:pt x="1422" y="1"/>
                              </a:lnTo>
                              <a:lnTo>
                                <a:pt x="1346" y="68"/>
                              </a:lnTo>
                              <a:lnTo>
                                <a:pt x="1335" y="145"/>
                              </a:lnTo>
                              <a:lnTo>
                                <a:pt x="1328" y="306"/>
                              </a:lnTo>
                              <a:lnTo>
                                <a:pt x="1320" y="467"/>
                              </a:lnTo>
                              <a:lnTo>
                                <a:pt x="1307" y="709"/>
                              </a:lnTo>
                              <a:lnTo>
                                <a:pt x="1269" y="1354"/>
                              </a:lnTo>
                              <a:lnTo>
                                <a:pt x="1246" y="1756"/>
                              </a:lnTo>
                              <a:lnTo>
                                <a:pt x="1240" y="1838"/>
                              </a:lnTo>
                              <a:lnTo>
                                <a:pt x="1225" y="1913"/>
                              </a:lnTo>
                              <a:lnTo>
                                <a:pt x="1196" y="1979"/>
                              </a:lnTo>
                              <a:lnTo>
                                <a:pt x="1146" y="2036"/>
                              </a:lnTo>
                              <a:lnTo>
                                <a:pt x="1070" y="2081"/>
                              </a:lnTo>
                              <a:lnTo>
                                <a:pt x="988" y="2102"/>
                              </a:lnTo>
                              <a:lnTo>
                                <a:pt x="917" y="2096"/>
                              </a:lnTo>
                              <a:lnTo>
                                <a:pt x="854" y="2069"/>
                              </a:lnTo>
                              <a:lnTo>
                                <a:pt x="795" y="2027"/>
                              </a:lnTo>
                              <a:lnTo>
                                <a:pt x="737" y="1976"/>
                              </a:lnTo>
                              <a:lnTo>
                                <a:pt x="674" y="1929"/>
                              </a:lnTo>
                              <a:lnTo>
                                <a:pt x="609" y="1901"/>
                              </a:lnTo>
                              <a:lnTo>
                                <a:pt x="545" y="1891"/>
                              </a:lnTo>
                              <a:lnTo>
                                <a:pt x="483" y="1899"/>
                              </a:lnTo>
                              <a:lnTo>
                                <a:pt x="425" y="1923"/>
                              </a:lnTo>
                              <a:lnTo>
                                <a:pt x="372" y="1964"/>
                              </a:lnTo>
                              <a:lnTo>
                                <a:pt x="328" y="2021"/>
                              </a:lnTo>
                              <a:lnTo>
                                <a:pt x="293" y="2092"/>
                              </a:lnTo>
                              <a:lnTo>
                                <a:pt x="274" y="2164"/>
                              </a:lnTo>
                              <a:lnTo>
                                <a:pt x="270" y="2236"/>
                              </a:lnTo>
                              <a:lnTo>
                                <a:pt x="280" y="2306"/>
                              </a:lnTo>
                              <a:lnTo>
                                <a:pt x="302" y="2376"/>
                              </a:lnTo>
                              <a:lnTo>
                                <a:pt x="330" y="2452"/>
                              </a:lnTo>
                              <a:lnTo>
                                <a:pt x="355" y="2529"/>
                              </a:lnTo>
                              <a:lnTo>
                                <a:pt x="376" y="2606"/>
                              </a:lnTo>
                              <a:lnTo>
                                <a:pt x="394" y="2683"/>
                              </a:lnTo>
                              <a:lnTo>
                                <a:pt x="409" y="2760"/>
                              </a:lnTo>
                              <a:lnTo>
                                <a:pt x="421" y="2838"/>
                              </a:lnTo>
                              <a:lnTo>
                                <a:pt x="429" y="2915"/>
                              </a:lnTo>
                              <a:lnTo>
                                <a:pt x="435" y="2993"/>
                              </a:lnTo>
                              <a:lnTo>
                                <a:pt x="437" y="3071"/>
                              </a:lnTo>
                              <a:lnTo>
                                <a:pt x="436" y="3149"/>
                              </a:lnTo>
                              <a:lnTo>
                                <a:pt x="433" y="3227"/>
                              </a:lnTo>
                              <a:lnTo>
                                <a:pt x="426" y="3306"/>
                              </a:lnTo>
                              <a:lnTo>
                                <a:pt x="416" y="3384"/>
                              </a:lnTo>
                              <a:lnTo>
                                <a:pt x="404" y="3463"/>
                              </a:lnTo>
                              <a:lnTo>
                                <a:pt x="388" y="3542"/>
                              </a:lnTo>
                              <a:lnTo>
                                <a:pt x="370" y="3621"/>
                              </a:lnTo>
                              <a:lnTo>
                                <a:pt x="361" y="3670"/>
                              </a:lnTo>
                              <a:lnTo>
                                <a:pt x="351" y="3769"/>
                              </a:lnTo>
                              <a:lnTo>
                                <a:pt x="343" y="3818"/>
                              </a:lnTo>
                              <a:lnTo>
                                <a:pt x="332" y="3894"/>
                              </a:lnTo>
                              <a:lnTo>
                                <a:pt x="335" y="3966"/>
                              </a:lnTo>
                              <a:lnTo>
                                <a:pt x="348" y="4037"/>
                              </a:lnTo>
                              <a:lnTo>
                                <a:pt x="368" y="4106"/>
                              </a:lnTo>
                              <a:lnTo>
                                <a:pt x="393" y="4174"/>
                              </a:lnTo>
                              <a:lnTo>
                                <a:pt x="419" y="4241"/>
                              </a:lnTo>
                              <a:lnTo>
                                <a:pt x="442" y="4308"/>
                              </a:lnTo>
                              <a:lnTo>
                                <a:pt x="461" y="4376"/>
                              </a:lnTo>
                              <a:lnTo>
                                <a:pt x="473" y="4445"/>
                              </a:lnTo>
                              <a:lnTo>
                                <a:pt x="482" y="4527"/>
                              </a:lnTo>
                              <a:lnTo>
                                <a:pt x="496" y="4605"/>
                              </a:lnTo>
                              <a:lnTo>
                                <a:pt x="514" y="4681"/>
                              </a:lnTo>
                              <a:lnTo>
                                <a:pt x="536" y="4756"/>
                              </a:lnTo>
                              <a:lnTo>
                                <a:pt x="562" y="4828"/>
                              </a:lnTo>
                              <a:lnTo>
                                <a:pt x="591" y="4898"/>
                              </a:lnTo>
                              <a:lnTo>
                                <a:pt x="624" y="4966"/>
                              </a:lnTo>
                              <a:lnTo>
                                <a:pt x="660" y="5033"/>
                              </a:lnTo>
                              <a:lnTo>
                                <a:pt x="699" y="5098"/>
                              </a:lnTo>
                              <a:lnTo>
                                <a:pt x="741" y="5162"/>
                              </a:lnTo>
                              <a:lnTo>
                                <a:pt x="785" y="5224"/>
                              </a:lnTo>
                              <a:lnTo>
                                <a:pt x="833" y="5286"/>
                              </a:lnTo>
                              <a:lnTo>
                                <a:pt x="882" y="5346"/>
                              </a:lnTo>
                              <a:lnTo>
                                <a:pt x="934" y="5406"/>
                              </a:lnTo>
                              <a:lnTo>
                                <a:pt x="989" y="5474"/>
                              </a:lnTo>
                              <a:lnTo>
                                <a:pt x="1028" y="5533"/>
                              </a:lnTo>
                              <a:lnTo>
                                <a:pt x="1048" y="5585"/>
                              </a:lnTo>
                              <a:lnTo>
                                <a:pt x="1050" y="5631"/>
                              </a:lnTo>
                              <a:lnTo>
                                <a:pt x="1032" y="5672"/>
                              </a:lnTo>
                              <a:lnTo>
                                <a:pt x="995" y="5709"/>
                              </a:lnTo>
                              <a:lnTo>
                                <a:pt x="937" y="5743"/>
                              </a:lnTo>
                              <a:lnTo>
                                <a:pt x="779" y="5807"/>
                              </a:lnTo>
                              <a:lnTo>
                                <a:pt x="708" y="5844"/>
                              </a:lnTo>
                              <a:lnTo>
                                <a:pt x="645" y="5885"/>
                              </a:lnTo>
                              <a:lnTo>
                                <a:pt x="589" y="5931"/>
                              </a:lnTo>
                              <a:lnTo>
                                <a:pt x="539" y="5980"/>
                              </a:lnTo>
                              <a:lnTo>
                                <a:pt x="496" y="6034"/>
                              </a:lnTo>
                              <a:lnTo>
                                <a:pt x="459" y="6090"/>
                              </a:lnTo>
                              <a:lnTo>
                                <a:pt x="427" y="6150"/>
                              </a:lnTo>
                              <a:lnTo>
                                <a:pt x="400" y="6212"/>
                              </a:lnTo>
                              <a:lnTo>
                                <a:pt x="377" y="6277"/>
                              </a:lnTo>
                              <a:lnTo>
                                <a:pt x="358" y="6345"/>
                              </a:lnTo>
                              <a:lnTo>
                                <a:pt x="342" y="6414"/>
                              </a:lnTo>
                              <a:lnTo>
                                <a:pt x="329" y="6485"/>
                              </a:lnTo>
                              <a:lnTo>
                                <a:pt x="319" y="6558"/>
                              </a:lnTo>
                              <a:lnTo>
                                <a:pt x="311" y="6631"/>
                              </a:lnTo>
                              <a:lnTo>
                                <a:pt x="304" y="6707"/>
                              </a:lnTo>
                              <a:lnTo>
                                <a:pt x="299" y="6783"/>
                              </a:lnTo>
                              <a:lnTo>
                                <a:pt x="295" y="6859"/>
                              </a:lnTo>
                              <a:lnTo>
                                <a:pt x="293" y="6935"/>
                              </a:lnTo>
                              <a:lnTo>
                                <a:pt x="292" y="7011"/>
                              </a:lnTo>
                              <a:lnTo>
                                <a:pt x="291" y="7087"/>
                              </a:lnTo>
                              <a:lnTo>
                                <a:pt x="289" y="7393"/>
                              </a:lnTo>
                              <a:lnTo>
                                <a:pt x="284" y="7466"/>
                              </a:lnTo>
                              <a:lnTo>
                                <a:pt x="271" y="7536"/>
                              </a:lnTo>
                              <a:lnTo>
                                <a:pt x="249" y="7604"/>
                              </a:lnTo>
                              <a:lnTo>
                                <a:pt x="218" y="7670"/>
                              </a:lnTo>
                              <a:lnTo>
                                <a:pt x="167" y="7762"/>
                              </a:lnTo>
                              <a:lnTo>
                                <a:pt x="131" y="7834"/>
                              </a:lnTo>
                              <a:lnTo>
                                <a:pt x="112" y="7893"/>
                              </a:lnTo>
                              <a:lnTo>
                                <a:pt x="110" y="7943"/>
                              </a:lnTo>
                              <a:lnTo>
                                <a:pt x="125" y="7991"/>
                              </a:lnTo>
                              <a:lnTo>
                                <a:pt x="160" y="8041"/>
                              </a:lnTo>
                              <a:lnTo>
                                <a:pt x="214" y="8100"/>
                              </a:lnTo>
                              <a:lnTo>
                                <a:pt x="289" y="8174"/>
                              </a:lnTo>
                              <a:lnTo>
                                <a:pt x="329" y="8221"/>
                              </a:lnTo>
                              <a:lnTo>
                                <a:pt x="343" y="8264"/>
                              </a:lnTo>
                              <a:lnTo>
                                <a:pt x="333" y="8307"/>
                              </a:lnTo>
                              <a:lnTo>
                                <a:pt x="294" y="8352"/>
                              </a:lnTo>
                              <a:lnTo>
                                <a:pt x="264" y="8380"/>
                              </a:lnTo>
                              <a:lnTo>
                                <a:pt x="207" y="8438"/>
                              </a:lnTo>
                              <a:lnTo>
                                <a:pt x="109" y="8535"/>
                              </a:lnTo>
                              <a:lnTo>
                                <a:pt x="57" y="8597"/>
                              </a:lnTo>
                              <a:lnTo>
                                <a:pt x="21" y="8655"/>
                              </a:lnTo>
                              <a:lnTo>
                                <a:pt x="0" y="8759"/>
                              </a:lnTo>
                              <a:lnTo>
                                <a:pt x="15" y="8807"/>
                              </a:lnTo>
                              <a:lnTo>
                                <a:pt x="97" y="8899"/>
                              </a:lnTo>
                              <a:lnTo>
                                <a:pt x="164" y="8944"/>
                              </a:lnTo>
                              <a:lnTo>
                                <a:pt x="249" y="8991"/>
                              </a:lnTo>
                              <a:lnTo>
                                <a:pt x="5827" y="11808"/>
                              </a:lnTo>
                              <a:lnTo>
                                <a:pt x="5907" y="11842"/>
                              </a:lnTo>
                              <a:lnTo>
                                <a:pt x="5988" y="11867"/>
                              </a:lnTo>
                              <a:lnTo>
                                <a:pt x="6070" y="11881"/>
                              </a:lnTo>
                              <a:lnTo>
                                <a:pt x="6156" y="11887"/>
                              </a:lnTo>
                              <a:lnTo>
                                <a:pt x="9092" y="11956"/>
                              </a:lnTo>
                              <a:lnTo>
                                <a:pt x="9201" y="11958"/>
                              </a:lnTo>
                              <a:lnTo>
                                <a:pt x="9287" y="11956"/>
                              </a:lnTo>
                              <a:lnTo>
                                <a:pt x="9351" y="11948"/>
                              </a:lnTo>
                              <a:lnTo>
                                <a:pt x="9427" y="11900"/>
                              </a:lnTo>
                              <a:lnTo>
                                <a:pt x="9454" y="11788"/>
                              </a:lnTo>
                              <a:lnTo>
                                <a:pt x="9457" y="11701"/>
                              </a:lnTo>
                              <a:lnTo>
                                <a:pt x="9456" y="11590"/>
                              </a:lnTo>
                              <a:lnTo>
                                <a:pt x="9416" y="6094"/>
                              </a:lnTo>
                              <a:lnTo>
                                <a:pt x="9424" y="6094"/>
                              </a:lnTo>
                              <a:lnTo>
                                <a:pt x="9387" y="454"/>
                              </a:lnTo>
                              <a:lnTo>
                                <a:pt x="9384" y="355"/>
                              </a:lnTo>
                              <a:lnTo>
                                <a:pt x="9372" y="287"/>
                              </a:lnTo>
                              <a:lnTo>
                                <a:pt x="9304" y="219"/>
                              </a:lnTo>
                              <a:lnTo>
                                <a:pt x="9235" y="207"/>
                              </a:lnTo>
                              <a:lnTo>
                                <a:pt x="9137" y="204"/>
                              </a:lnTo>
                              <a:lnTo>
                                <a:pt x="9057" y="202"/>
                              </a:lnTo>
                              <a:lnTo>
                                <a:pt x="6986" y="176"/>
                              </a:lnTo>
                              <a:lnTo>
                                <a:pt x="6429" y="166"/>
                              </a:lnTo>
                              <a:lnTo>
                                <a:pt x="6031" y="156"/>
                              </a:lnTo>
                              <a:lnTo>
                                <a:pt x="5551" y="142"/>
                              </a:lnTo>
                              <a:lnTo>
                                <a:pt x="5390" y="138"/>
                              </a:lnTo>
                              <a:lnTo>
                                <a:pt x="5229" y="136"/>
                              </a:lnTo>
                              <a:lnTo>
                                <a:pt x="4987" y="133"/>
                              </a:lnTo>
                              <a:lnTo>
                                <a:pt x="3939" y="127"/>
                              </a:lnTo>
                              <a:lnTo>
                                <a:pt x="3698" y="124"/>
                              </a:lnTo>
                              <a:lnTo>
                                <a:pt x="3537" y="121"/>
                              </a:lnTo>
                              <a:lnTo>
                                <a:pt x="3376" y="117"/>
                              </a:lnTo>
                              <a:lnTo>
                                <a:pt x="3215" y="112"/>
                              </a:lnTo>
                              <a:lnTo>
                                <a:pt x="3053" y="105"/>
                              </a:lnTo>
                              <a:lnTo>
                                <a:pt x="2893" y="97"/>
                              </a:lnTo>
                              <a:lnTo>
                                <a:pt x="2812" y="92"/>
                              </a:lnTo>
                              <a:lnTo>
                                <a:pt x="2732" y="87"/>
                              </a:lnTo>
                              <a:lnTo>
                                <a:pt x="2568" y="76"/>
                              </a:lnTo>
                              <a:lnTo>
                                <a:pt x="1742" y="19"/>
                              </a:lnTo>
                              <a:lnTo>
                                <a:pt x="1494" y="0"/>
                              </a:lnTo>
                              <a:close/>
                            </a:path>
                          </a:pathLst>
                        </a:custGeom>
                        <a:solidFill>
                          <a:srgbClr val="FFFFFF">
                            <a:alpha val="2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72B2570" id="Freeform 130" o:spid="_x0000_s1026" style="position:absolute;margin-left:29.7pt;margin-top:71.75pt;width:472.85pt;height:597.9pt;z-index:-251694765;visibility:visible;mso-wrap-style:square;mso-wrap-distance-left:9pt;mso-wrap-distance-top:0;mso-wrap-distance-right:9pt;mso-wrap-distance-bottom:0;mso-position-horizontal:absolute;mso-position-horizontal-relative:text;mso-position-vertical:absolute;mso-position-vertical-relative:text;v-text-anchor:top" coordsize="9457,11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" path="m1494,r-72,1l1346,68r-11,77l1328,306r-8,161l1307,709r-38,645l1246,1756r-6,82l1225,1913r-29,66l1146,2036r-76,45l988,2102r-71,-6l854,2069r-59,-42l737,1976r-63,-47l609,1901r-64,-10l483,1899r-58,24l372,1964r-44,57l293,2092r-19,72l270,2236r10,70l302,2376r28,76l355,2529r21,77l394,2683r15,77l421,2838r8,77l435,2993r2,78l436,3149r-3,78l426,3306r-10,78l404,3463r-16,79l370,3621r-9,49l351,3769r-8,49l332,3894r3,72l348,4037r20,69l393,4174r26,67l442,4308r19,68l473,4445r9,82l496,4605r18,76l536,4756r26,72l591,4898r33,68l660,5033r39,65l741,5162r44,62l833,5286r49,60l934,5406r55,68l1028,5533r20,52l1050,5631r-18,41l995,5709r-58,34l779,5807r-71,37l645,5885r-56,46l539,5980r-43,54l459,6090r-32,60l400,6212r-23,65l358,6345r-16,69l329,6485r-10,73l311,6631r-7,76l299,6783r-4,76l293,6935r-1,76l291,7087r-2,306l284,7466r-13,70l249,7604r-31,66l167,7762r-36,72l112,7893r-2,50l125,7991r35,50l214,8100r75,74l329,8221r14,43l333,8307r-39,45l264,8380r-57,58l109,8535r-52,62l21,8655,,8759r15,48l97,8899r67,45l249,8991r5578,2817l5907,11842r81,25l6070,11881r86,6l9092,11956r109,2l9287,11956r64,-8l9427,11900r27,-112l9457,11701r-1,-111l9416,6094r8,l9387,454r-3,-99l9372,287r-68,-68l9235,207r-98,-3l9057,202,6986,176,6429,166,6031,156,5551,142r-161,-4l5229,136r-242,-3l3939,127r-241,-3l3537,121r-161,-4l3215,112r-162,-7l2893,97r-81,-5l2732,87,2568,76,1742,19,1494,xe" stroked="f">
                <v:fill opacity="19018f"/>
                <v:path arrowok="t" o:connecttype="custom" o:connectlocs="854710,1981835;838200,2235200;791210,3053715;759460,3195320;627380,3273425;504825,3225800;386715,3145790;269875,3159760;186055,3267075;177800,3402965;225425,3544570;259715,3691255;276225,3839210;274955,3987800;256540,4137660;229235,4269105;210820,4411345;233680,4545965;280670,4674235;306070,4813300;340360,4958715;396240,5092065;470535,5216525;560070,5333365;652780,5452110;655320,5540375;494665,5626100;374015,5704840;291465,5805805;239395,5924550;208915,6056630;193040,6197600;186055,6342380;183515,6633210;158115,6767195;83185,6913245;79375,7012940;183515,7129145;211455,7213600;131445,7296785;13335,7434580;61595,7589520;3700145,9436735;3854450,9483090;5842635,9531985;5986145,9495155;6004560,9298305;5960745,2226945;5908040,2077720;5751195,2066925;3829685,2037715;3320415,2025015;2348230,2017395;2041525,2009775;1785620,1997075;1106170,1950720" o:connectangles="0,0,0,0,0,0,0,0,0,0,0,0,0,0,0,0,0,0,0,0,0,0,0,0,0,0,0,0,0,0,0,0,0,0,0,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22739" behindDoc="1" locked="0" layoutInCell="1" allowOverlap="1" wp14:anchorId="55F534F0" wp14:editId="0C8614AC">
                <wp:simplePos x="0" y="0"/>
                <wp:positionH relativeFrom="column">
                  <wp:posOffset>2058035</wp:posOffset>
                </wp:positionH>
                <wp:positionV relativeFrom="paragraph">
                  <wp:posOffset>994200</wp:posOffset>
                </wp:positionV>
                <wp:extent cx="789940" cy="6391275"/>
                <wp:effectExtent l="0" t="0" r="10160" b="28575"/>
                <wp:wrapNone/>
                <wp:docPr id="1690912503"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9940" cy="6391275"/>
                        </a:xfrm>
                        <a:custGeom>
                          <a:avLst/>
                          <a:gdLst>
                            <a:gd name="T0" fmla="+- 0 5115 3871"/>
                            <a:gd name="T1" fmla="*/ T0 w 1244"/>
                            <a:gd name="T2" fmla="+- 0 3185 3185"/>
                            <a:gd name="T3" fmla="*/ 3185 h 10065"/>
                            <a:gd name="T4" fmla="+- 0 4967 3871"/>
                            <a:gd name="T5" fmla="*/ T4 w 1244"/>
                            <a:gd name="T6" fmla="+- 0 3954 3185"/>
                            <a:gd name="T7" fmla="*/ 3954 h 10065"/>
                            <a:gd name="T8" fmla="+- 0 4966 3871"/>
                            <a:gd name="T9" fmla="*/ T8 w 1244"/>
                            <a:gd name="T10" fmla="+- 0 3961 3185"/>
                            <a:gd name="T11" fmla="*/ 3961 h 10065"/>
                            <a:gd name="T12" fmla="+- 0 4965 3871"/>
                            <a:gd name="T13" fmla="*/ T12 w 1244"/>
                            <a:gd name="T14" fmla="+- 0 3967 3185"/>
                            <a:gd name="T15" fmla="*/ 3967 h 10065"/>
                            <a:gd name="T16" fmla="+- 0 4966 3871"/>
                            <a:gd name="T17" fmla="*/ T16 w 1244"/>
                            <a:gd name="T18" fmla="+- 0 3973 3185"/>
                            <a:gd name="T19" fmla="*/ 3973 h 10065"/>
                            <a:gd name="T20" fmla="+- 0 5000 3871"/>
                            <a:gd name="T21" fmla="*/ T20 w 1244"/>
                            <a:gd name="T22" fmla="+- 0 4509 3185"/>
                            <a:gd name="T23" fmla="*/ 4509 h 10065"/>
                            <a:gd name="T24" fmla="+- 0 4999 3871"/>
                            <a:gd name="T25" fmla="*/ T24 w 1244"/>
                            <a:gd name="T26" fmla="+- 0 4523 3185"/>
                            <a:gd name="T27" fmla="*/ 4523 h 10065"/>
                            <a:gd name="T28" fmla="+- 0 4135 3871"/>
                            <a:gd name="T29" fmla="*/ T28 w 1244"/>
                            <a:gd name="T30" fmla="+- 0 5085 3185"/>
                            <a:gd name="T31" fmla="*/ 5085 h 10065"/>
                            <a:gd name="T32" fmla="+- 0 4112 3871"/>
                            <a:gd name="T33" fmla="*/ T32 w 1244"/>
                            <a:gd name="T34" fmla="+- 0 5094 3185"/>
                            <a:gd name="T35" fmla="*/ 5094 h 10065"/>
                            <a:gd name="T36" fmla="+- 0 4100 3871"/>
                            <a:gd name="T37" fmla="*/ T36 w 1244"/>
                            <a:gd name="T38" fmla="+- 0 5094 3185"/>
                            <a:gd name="T39" fmla="*/ 5094 h 10065"/>
                            <a:gd name="T40" fmla="+- 0 3957 3871"/>
                            <a:gd name="T41" fmla="*/ T40 w 1244"/>
                            <a:gd name="T42" fmla="+- 0 5088 3185"/>
                            <a:gd name="T43" fmla="*/ 5088 h 10065"/>
                            <a:gd name="T44" fmla="+- 0 3945 3871"/>
                            <a:gd name="T45" fmla="*/ T44 w 1244"/>
                            <a:gd name="T46" fmla="+- 0 5088 3185"/>
                            <a:gd name="T47" fmla="*/ 5088 h 10065"/>
                            <a:gd name="T48" fmla="+- 0 3935 3871"/>
                            <a:gd name="T49" fmla="*/ T48 w 1244"/>
                            <a:gd name="T50" fmla="+- 0 5092 3185"/>
                            <a:gd name="T51" fmla="*/ 5092 h 10065"/>
                            <a:gd name="T52" fmla="+- 0 3927 3871"/>
                            <a:gd name="T53" fmla="*/ T52 w 1244"/>
                            <a:gd name="T54" fmla="+- 0 5101 3185"/>
                            <a:gd name="T55" fmla="*/ 5101 h 10065"/>
                            <a:gd name="T56" fmla="+- 0 3900 3871"/>
                            <a:gd name="T57" fmla="*/ T56 w 1244"/>
                            <a:gd name="T58" fmla="+- 0 5131 3185"/>
                            <a:gd name="T59" fmla="*/ 5131 h 10065"/>
                            <a:gd name="T60" fmla="+- 0 3891 3871"/>
                            <a:gd name="T61" fmla="*/ T60 w 1244"/>
                            <a:gd name="T62" fmla="+- 0 5142 3185"/>
                            <a:gd name="T63" fmla="*/ 5142 h 10065"/>
                            <a:gd name="T64" fmla="+- 0 3886 3871"/>
                            <a:gd name="T65" fmla="*/ T64 w 1244"/>
                            <a:gd name="T66" fmla="+- 0 5155 3185"/>
                            <a:gd name="T67" fmla="*/ 5155 h 10065"/>
                            <a:gd name="T68" fmla="+- 0 3886 3871"/>
                            <a:gd name="T69" fmla="*/ T68 w 1244"/>
                            <a:gd name="T70" fmla="+- 0 5168 3185"/>
                            <a:gd name="T71" fmla="*/ 5168 h 10065"/>
                            <a:gd name="T72" fmla="+- 0 3871 3871"/>
                            <a:gd name="T73" fmla="*/ T72 w 1244"/>
                            <a:gd name="T74" fmla="+- 0 13250 3185"/>
                            <a:gd name="T75" fmla="*/ 13250 h 10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44" h="10065">
                              <a:moveTo>
                                <a:pt x="1244" y="0"/>
                              </a:moveTo>
                              <a:lnTo>
                                <a:pt x="1096" y="769"/>
                              </a:lnTo>
                              <a:lnTo>
                                <a:pt x="1095" y="776"/>
                              </a:lnTo>
                              <a:lnTo>
                                <a:pt x="1094" y="782"/>
                              </a:lnTo>
                              <a:lnTo>
                                <a:pt x="1095" y="788"/>
                              </a:lnTo>
                              <a:lnTo>
                                <a:pt x="1129" y="1324"/>
                              </a:lnTo>
                              <a:lnTo>
                                <a:pt x="1128" y="1338"/>
                              </a:lnTo>
                              <a:lnTo>
                                <a:pt x="264" y="1900"/>
                              </a:lnTo>
                              <a:lnTo>
                                <a:pt x="241" y="1909"/>
                              </a:lnTo>
                              <a:lnTo>
                                <a:pt x="229" y="1909"/>
                              </a:lnTo>
                              <a:lnTo>
                                <a:pt x="86" y="1903"/>
                              </a:lnTo>
                              <a:lnTo>
                                <a:pt x="74" y="1903"/>
                              </a:lnTo>
                              <a:lnTo>
                                <a:pt x="64" y="1907"/>
                              </a:lnTo>
                              <a:lnTo>
                                <a:pt x="56" y="1916"/>
                              </a:lnTo>
                              <a:lnTo>
                                <a:pt x="29" y="1946"/>
                              </a:lnTo>
                              <a:lnTo>
                                <a:pt x="20" y="1957"/>
                              </a:lnTo>
                              <a:lnTo>
                                <a:pt x="15" y="1970"/>
                              </a:lnTo>
                              <a:lnTo>
                                <a:pt x="15" y="1983"/>
                              </a:lnTo>
                              <a:lnTo>
                                <a:pt x="0" y="10065"/>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4C346D15" id="Freeform 131" o:spid="_x0000_s1026" style="position:absolute;z-index:-251693741;visibility:visible;mso-wrap-style:square;mso-wrap-distance-left:9pt;mso-wrap-distance-top:0;mso-wrap-distance-right:9pt;mso-wrap-distance-bottom:0;mso-position-horizontal:absolute;mso-position-horizontal-relative:text;mso-position-vertical:absolute;mso-position-vertical-relative:text;v-text-anchor:top" points="224.25pt,78.3pt,216.85pt,116.75pt,216.8pt,117.1pt,216.75pt,117.4pt,216.8pt,117.7pt,218.5pt,144.5pt,218.45pt,145.2pt,175.25pt,173.3pt,174.1pt,173.75pt,173.5pt,173.75pt,166.35pt,173.45pt,165.75pt,173.45pt,165.25pt,173.65pt,164.85pt,174.1pt,163.5pt,175.6pt,163.05pt,176.15pt,162.8pt,176.8pt,162.8pt,177.45pt,162.05pt,581.55pt" coordsize="1244,10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" filled="f" strokecolor="white" strokeweight="1.5pt">
                <v:path arrowok="t" o:connecttype="custom" o:connectlocs="789940,2022475;695960,2510790;695325,2515235;694690,2519045;695325,2522855;716915,2863215;716280,2872105;167640,3228975;153035,3234690;145415,3234690;54610,3230880;46990,3230880;40640,3233420;35560,3239135;18415,3258185;12700,3265170;9525,3273425;9525,3281680;0,8413750" o:connectangles="0,0,0,0,0,0,0,0,0,0,0,0,0,0,0,0,0,0,0"/>
              </v:polyline>
            </w:pict>
          </mc:Fallback>
        </mc:AlternateContent>
      </w:r>
      <w:r>
        <w:rPr>
          <w:rFonts w:ascii="Century Gothic" w:hAnsi="Century Gothic"/>
          <w:noProof/>
          <w:color w:val="FFFFFF"/>
        </w:rPr>
        <mc:AlternateContent>
          <mc:Choice Requires="wps">
            <w:drawing>
              <wp:anchor distT="0" distB="0" distL="114300" distR="114300" simplePos="0" relativeHeight="251623763" behindDoc="1" locked="0" layoutInCell="1" allowOverlap="1" wp14:anchorId="05E0216E" wp14:editId="0ED3C023">
                <wp:simplePos x="0" y="0"/>
                <wp:positionH relativeFrom="column">
                  <wp:posOffset>384175</wp:posOffset>
                </wp:positionH>
                <wp:positionV relativeFrom="paragraph">
                  <wp:posOffset>5605570</wp:posOffset>
                </wp:positionV>
                <wp:extent cx="1677035" cy="1772920"/>
                <wp:effectExtent l="0" t="0" r="18415" b="17780"/>
                <wp:wrapNone/>
                <wp:docPr id="1690912504"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7035" cy="1772920"/>
                        </a:xfrm>
                        <a:custGeom>
                          <a:avLst/>
                          <a:gdLst>
                            <a:gd name="T0" fmla="+- 0 1585 1236"/>
                            <a:gd name="T1" fmla="*/ T0 w 2641"/>
                            <a:gd name="T2" fmla="+- 0 11355 10446"/>
                            <a:gd name="T3" fmla="*/ 11355 h 2792"/>
                            <a:gd name="T4" fmla="+- 0 1643 1236"/>
                            <a:gd name="T5" fmla="*/ T4 w 2641"/>
                            <a:gd name="T6" fmla="+- 0 11328 10446"/>
                            <a:gd name="T7" fmla="*/ 11328 h 2792"/>
                            <a:gd name="T8" fmla="+- 0 2318 1236"/>
                            <a:gd name="T9" fmla="*/ T8 w 2641"/>
                            <a:gd name="T10" fmla="+- 0 11316 10446"/>
                            <a:gd name="T11" fmla="*/ 11316 h 2792"/>
                            <a:gd name="T12" fmla="+- 0 2330 1236"/>
                            <a:gd name="T13" fmla="*/ T12 w 2641"/>
                            <a:gd name="T14" fmla="+- 0 11316 10446"/>
                            <a:gd name="T15" fmla="*/ 11316 h 2792"/>
                            <a:gd name="T16" fmla="+- 0 2340 1236"/>
                            <a:gd name="T17" fmla="*/ T16 w 2641"/>
                            <a:gd name="T18" fmla="+- 0 11306 10446"/>
                            <a:gd name="T19" fmla="*/ 11306 h 2792"/>
                            <a:gd name="T20" fmla="+- 0 2340 1236"/>
                            <a:gd name="T21" fmla="*/ T20 w 2641"/>
                            <a:gd name="T22" fmla="+- 0 11293 10446"/>
                            <a:gd name="T23" fmla="*/ 11293 h 2792"/>
                            <a:gd name="T24" fmla="+- 0 2331 1236"/>
                            <a:gd name="T25" fmla="*/ T24 w 2641"/>
                            <a:gd name="T26" fmla="+- 0 10471 10446"/>
                            <a:gd name="T27" fmla="*/ 10471 h 2792"/>
                            <a:gd name="T28" fmla="+- 0 2331 1236"/>
                            <a:gd name="T29" fmla="*/ T28 w 2641"/>
                            <a:gd name="T30" fmla="+- 0 10457 10446"/>
                            <a:gd name="T31" fmla="*/ 10457 h 2792"/>
                            <a:gd name="T32" fmla="+- 0 2342 1236"/>
                            <a:gd name="T33" fmla="*/ T32 w 2641"/>
                            <a:gd name="T34" fmla="+- 0 10446 10446"/>
                            <a:gd name="T35" fmla="*/ 10446 h 2792"/>
                            <a:gd name="T36" fmla="+- 0 2356 1236"/>
                            <a:gd name="T37" fmla="*/ T36 w 2641"/>
                            <a:gd name="T38" fmla="+- 0 10446 10446"/>
                            <a:gd name="T39" fmla="*/ 10446 h 2792"/>
                            <a:gd name="T40" fmla="+- 0 2856 1236"/>
                            <a:gd name="T41" fmla="*/ T40 w 2641"/>
                            <a:gd name="T42" fmla="+- 0 10455 10446"/>
                            <a:gd name="T43" fmla="*/ 10455 h 2792"/>
                            <a:gd name="T44" fmla="+- 0 2868 1236"/>
                            <a:gd name="T45" fmla="*/ T44 w 2641"/>
                            <a:gd name="T46" fmla="+- 0 10455 10446"/>
                            <a:gd name="T47" fmla="*/ 10455 h 2792"/>
                            <a:gd name="T48" fmla="+- 0 2877 1236"/>
                            <a:gd name="T49" fmla="*/ T48 w 2641"/>
                            <a:gd name="T50" fmla="+- 0 10464 10446"/>
                            <a:gd name="T51" fmla="*/ 10464 h 2792"/>
                            <a:gd name="T52" fmla="+- 0 2878 1236"/>
                            <a:gd name="T53" fmla="*/ T52 w 2641"/>
                            <a:gd name="T54" fmla="+- 0 10476 10446"/>
                            <a:gd name="T55" fmla="*/ 10476 h 2792"/>
                            <a:gd name="T56" fmla="+- 0 2885 1236"/>
                            <a:gd name="T57" fmla="*/ T56 w 2641"/>
                            <a:gd name="T58" fmla="+- 0 10621 10446"/>
                            <a:gd name="T59" fmla="*/ 10621 h 2792"/>
                            <a:gd name="T60" fmla="+- 0 2886 1236"/>
                            <a:gd name="T61" fmla="*/ T60 w 2641"/>
                            <a:gd name="T62" fmla="+- 0 10632 10446"/>
                            <a:gd name="T63" fmla="*/ 10632 h 2792"/>
                            <a:gd name="T64" fmla="+- 0 2895 1236"/>
                            <a:gd name="T65" fmla="*/ T64 w 2641"/>
                            <a:gd name="T66" fmla="+- 0 10640 10446"/>
                            <a:gd name="T67" fmla="*/ 10640 h 2792"/>
                            <a:gd name="T68" fmla="+- 0 2906 1236"/>
                            <a:gd name="T69" fmla="*/ T68 w 2641"/>
                            <a:gd name="T70" fmla="+- 0 10640 10446"/>
                            <a:gd name="T71" fmla="*/ 10640 h 2792"/>
                            <a:gd name="T72" fmla="+- 0 3876 1236"/>
                            <a:gd name="T73" fmla="*/ T72 w 2641"/>
                            <a:gd name="T74" fmla="+- 0 10649 10446"/>
                            <a:gd name="T75" fmla="*/ 10649 h 2792"/>
                            <a:gd name="T76" fmla="+- 0 3872 1236"/>
                            <a:gd name="T77" fmla="*/ T76 w 2641"/>
                            <a:gd name="T78" fmla="+- 0 13238 10446"/>
                            <a:gd name="T79" fmla="*/ 13238 h 2792"/>
                            <a:gd name="T80" fmla="+- 0 1441 1236"/>
                            <a:gd name="T81" fmla="*/ T80 w 2641"/>
                            <a:gd name="T82" fmla="+- 0 12013 10446"/>
                            <a:gd name="T83" fmla="*/ 12013 h 2792"/>
                            <a:gd name="T84" fmla="+- 0 1330 1236"/>
                            <a:gd name="T85" fmla="*/ T84 w 2641"/>
                            <a:gd name="T86" fmla="+- 0 11941 10446"/>
                            <a:gd name="T87" fmla="*/ 11941 h 2792"/>
                            <a:gd name="T88" fmla="+- 0 1283 1236"/>
                            <a:gd name="T89" fmla="*/ T88 w 2641"/>
                            <a:gd name="T90" fmla="+- 0 11896 10446"/>
                            <a:gd name="T91" fmla="*/ 11896 h 2792"/>
                            <a:gd name="T92" fmla="+- 0 1254 1236"/>
                            <a:gd name="T93" fmla="*/ T92 w 2641"/>
                            <a:gd name="T94" fmla="+- 0 11842 10446"/>
                            <a:gd name="T95" fmla="*/ 11842 h 2792"/>
                            <a:gd name="T96" fmla="+- 0 1236 1236"/>
                            <a:gd name="T97" fmla="*/ T96 w 2641"/>
                            <a:gd name="T98" fmla="+- 0 11772 10446"/>
                            <a:gd name="T99" fmla="*/ 11772 h 2792"/>
                            <a:gd name="T100" fmla="+- 0 1241 1236"/>
                            <a:gd name="T101" fmla="*/ T100 w 2641"/>
                            <a:gd name="T102" fmla="+- 0 11748 10446"/>
                            <a:gd name="T103" fmla="*/ 11748 h 2792"/>
                            <a:gd name="T104" fmla="+- 0 1294 1236"/>
                            <a:gd name="T105" fmla="*/ T104 w 2641"/>
                            <a:gd name="T106" fmla="+- 0 11652 10446"/>
                            <a:gd name="T107" fmla="*/ 11652 h 2792"/>
                            <a:gd name="T108" fmla="+- 0 1313 1236"/>
                            <a:gd name="T109" fmla="*/ T108 w 2641"/>
                            <a:gd name="T110" fmla="+- 0 11629 10446"/>
                            <a:gd name="T111" fmla="*/ 11629 h 2792"/>
                            <a:gd name="T112" fmla="+- 0 1345 1236"/>
                            <a:gd name="T113" fmla="*/ T112 w 2641"/>
                            <a:gd name="T114" fmla="+- 0 11600 10446"/>
                            <a:gd name="T115" fmla="*/ 11600 h 2792"/>
                            <a:gd name="T116" fmla="+- 0 1377 1236"/>
                            <a:gd name="T117" fmla="*/ T116 w 2641"/>
                            <a:gd name="T118" fmla="+- 0 11571 10446"/>
                            <a:gd name="T119" fmla="*/ 11571 h 2792"/>
                            <a:gd name="T120" fmla="+- 0 1398 1236"/>
                            <a:gd name="T121" fmla="*/ T120 w 2641"/>
                            <a:gd name="T122" fmla="+- 0 11551 10446"/>
                            <a:gd name="T123" fmla="*/ 11551 h 2792"/>
                            <a:gd name="T124" fmla="+- 0 1585 1236"/>
                            <a:gd name="T125" fmla="*/ T124 w 2641"/>
                            <a:gd name="T126" fmla="+- 0 11355 10446"/>
                            <a:gd name="T127" fmla="*/ 11355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641" h="2792">
                              <a:moveTo>
                                <a:pt x="349" y="909"/>
                              </a:moveTo>
                              <a:lnTo>
                                <a:pt x="407" y="882"/>
                              </a:lnTo>
                              <a:lnTo>
                                <a:pt x="1082" y="870"/>
                              </a:lnTo>
                              <a:lnTo>
                                <a:pt x="1094" y="870"/>
                              </a:lnTo>
                              <a:lnTo>
                                <a:pt x="1104" y="860"/>
                              </a:lnTo>
                              <a:lnTo>
                                <a:pt x="1104" y="847"/>
                              </a:lnTo>
                              <a:lnTo>
                                <a:pt x="1095" y="25"/>
                              </a:lnTo>
                              <a:lnTo>
                                <a:pt x="1095" y="11"/>
                              </a:lnTo>
                              <a:lnTo>
                                <a:pt x="1106" y="0"/>
                              </a:lnTo>
                              <a:lnTo>
                                <a:pt x="1120" y="0"/>
                              </a:lnTo>
                              <a:lnTo>
                                <a:pt x="1620" y="9"/>
                              </a:lnTo>
                              <a:lnTo>
                                <a:pt x="1632" y="9"/>
                              </a:lnTo>
                              <a:lnTo>
                                <a:pt x="1641" y="18"/>
                              </a:lnTo>
                              <a:lnTo>
                                <a:pt x="1642" y="30"/>
                              </a:lnTo>
                              <a:lnTo>
                                <a:pt x="1649" y="175"/>
                              </a:lnTo>
                              <a:lnTo>
                                <a:pt x="1650" y="186"/>
                              </a:lnTo>
                              <a:lnTo>
                                <a:pt x="1659" y="194"/>
                              </a:lnTo>
                              <a:lnTo>
                                <a:pt x="1670" y="194"/>
                              </a:lnTo>
                              <a:lnTo>
                                <a:pt x="2640" y="203"/>
                              </a:lnTo>
                              <a:lnTo>
                                <a:pt x="2636" y="2792"/>
                              </a:lnTo>
                              <a:lnTo>
                                <a:pt x="205" y="1567"/>
                              </a:lnTo>
                              <a:lnTo>
                                <a:pt x="94" y="1495"/>
                              </a:lnTo>
                              <a:lnTo>
                                <a:pt x="47" y="1450"/>
                              </a:lnTo>
                              <a:lnTo>
                                <a:pt x="18" y="1396"/>
                              </a:lnTo>
                              <a:lnTo>
                                <a:pt x="0" y="1326"/>
                              </a:lnTo>
                              <a:lnTo>
                                <a:pt x="5" y="1302"/>
                              </a:lnTo>
                              <a:lnTo>
                                <a:pt x="58" y="1206"/>
                              </a:lnTo>
                              <a:lnTo>
                                <a:pt x="77" y="1183"/>
                              </a:lnTo>
                              <a:lnTo>
                                <a:pt x="109" y="1154"/>
                              </a:lnTo>
                              <a:lnTo>
                                <a:pt x="141" y="1125"/>
                              </a:lnTo>
                              <a:lnTo>
                                <a:pt x="162" y="1105"/>
                              </a:lnTo>
                              <a:lnTo>
                                <a:pt x="349" y="909"/>
                              </a:lnTo>
                              <a:close/>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FBB0934" id="Freeform 132" o:spid="_x0000_s1026" style="position:absolute;margin-left:30.25pt;margin-top:441.4pt;width:132.05pt;height:139.6pt;z-index:-251692717;visibility:visible;mso-wrap-style:square;mso-wrap-distance-left:9pt;mso-wrap-distance-top:0;mso-wrap-distance-right:9pt;mso-wrap-distance-bottom:0;mso-position-horizontal:absolute;mso-position-horizontal-relative:text;mso-position-vertical:absolute;mso-position-vertical-relative:text;v-text-anchor:top" coordsize="2641,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" path="m349,909r58,-27l1082,870r12,l1104,860r,-13l1095,25r,-14l1106,r14,l1620,9r12,l1641,18r1,12l1649,175r1,11l1659,194r11,l2640,203r-4,2589l205,1567,94,1495,47,1450,18,1396,,1326r5,-24l58,1206r19,-23l109,1154r32,-29l162,1105,349,909xe" filled="f" strokecolor="white" strokeweight="1.5pt">
                <v:path arrowok="t" o:connecttype="custom" o:connectlocs="221615,7210425;258445,7193280;687070,7185660;694690,7185660;701040,7179310;701040,7171055;695325,6649085;695325,6640195;702310,6633210;711200,6633210;1028700,6638925;1036320,6638925;1042035,6644640;1042670,6652260;1047115,6744335;1047750,6751320;1053465,6756400;1060450,6756400;1676400,6762115;1673860,8406130;130175,7628255;59690,7582535;29845,7553960;11430,7519670;0,7475220;3175,7459980;36830,7399020;48895,7384415;69215,7366000;89535,7347585;102870,7334885;221615,7210425" o:connectangles="0,0,0,0,0,0,0,0,0,0,0,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24787" behindDoc="1" locked="0" layoutInCell="1" allowOverlap="1" wp14:anchorId="4F5DF283" wp14:editId="6C7EB449">
                <wp:simplePos x="0" y="0"/>
                <wp:positionH relativeFrom="column">
                  <wp:posOffset>2054860</wp:posOffset>
                </wp:positionH>
                <wp:positionV relativeFrom="paragraph">
                  <wp:posOffset>4886750</wp:posOffset>
                </wp:positionV>
                <wp:extent cx="2259330" cy="2005330"/>
                <wp:effectExtent l="0" t="0" r="26670" b="13970"/>
                <wp:wrapNone/>
                <wp:docPr id="1690912505"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9330" cy="2005330"/>
                        </a:xfrm>
                        <a:custGeom>
                          <a:avLst/>
                          <a:gdLst>
                            <a:gd name="T0" fmla="+- 0 3867 3867"/>
                            <a:gd name="T1" fmla="*/ T0 w 3558"/>
                            <a:gd name="T2" fmla="+- 0 9410 9314"/>
                            <a:gd name="T3" fmla="*/ 9410 h 3158"/>
                            <a:gd name="T4" fmla="+- 0 4793 3867"/>
                            <a:gd name="T5" fmla="*/ T4 w 3558"/>
                            <a:gd name="T6" fmla="+- 0 9428 9314"/>
                            <a:gd name="T7" fmla="*/ 9428 h 3158"/>
                            <a:gd name="T8" fmla="+- 0 4798 3867"/>
                            <a:gd name="T9" fmla="*/ T8 w 3558"/>
                            <a:gd name="T10" fmla="+- 0 9428 9314"/>
                            <a:gd name="T11" fmla="*/ 9428 h 3158"/>
                            <a:gd name="T12" fmla="+- 0 4804 3867"/>
                            <a:gd name="T13" fmla="*/ T12 w 3558"/>
                            <a:gd name="T14" fmla="+- 0 9429 9314"/>
                            <a:gd name="T15" fmla="*/ 9429 h 3158"/>
                            <a:gd name="T16" fmla="+- 0 4810 3867"/>
                            <a:gd name="T17" fmla="*/ T16 w 3558"/>
                            <a:gd name="T18" fmla="+- 0 9431 9314"/>
                            <a:gd name="T19" fmla="*/ 9431 h 3158"/>
                            <a:gd name="T20" fmla="+- 0 5483 3867"/>
                            <a:gd name="T21" fmla="*/ T20 w 3558"/>
                            <a:gd name="T22" fmla="+- 0 9688 9314"/>
                            <a:gd name="T23" fmla="*/ 9688 h 3158"/>
                            <a:gd name="T24" fmla="+- 0 5495 3867"/>
                            <a:gd name="T25" fmla="*/ T24 w 3558"/>
                            <a:gd name="T26" fmla="+- 0 9693 9314"/>
                            <a:gd name="T27" fmla="*/ 9693 h 3158"/>
                            <a:gd name="T28" fmla="+- 0 5509 3867"/>
                            <a:gd name="T29" fmla="*/ T28 w 3558"/>
                            <a:gd name="T30" fmla="+- 0 9688 9314"/>
                            <a:gd name="T31" fmla="*/ 9688 h 3158"/>
                            <a:gd name="T32" fmla="+- 0 5515 3867"/>
                            <a:gd name="T33" fmla="*/ T32 w 3558"/>
                            <a:gd name="T34" fmla="+- 0 9676 9314"/>
                            <a:gd name="T35" fmla="*/ 9676 h 3158"/>
                            <a:gd name="T36" fmla="+- 0 5694 3867"/>
                            <a:gd name="T37" fmla="*/ T36 w 3558"/>
                            <a:gd name="T38" fmla="+- 0 9335 9314"/>
                            <a:gd name="T39" fmla="*/ 9335 h 3158"/>
                            <a:gd name="T40" fmla="+- 0 5702 3867"/>
                            <a:gd name="T41" fmla="*/ T40 w 3558"/>
                            <a:gd name="T42" fmla="+- 0 9325 9314"/>
                            <a:gd name="T43" fmla="*/ 9325 h 3158"/>
                            <a:gd name="T44" fmla="+- 0 5712 3867"/>
                            <a:gd name="T45" fmla="*/ T44 w 3558"/>
                            <a:gd name="T46" fmla="+- 0 9318 9314"/>
                            <a:gd name="T47" fmla="*/ 9318 h 3158"/>
                            <a:gd name="T48" fmla="+- 0 5725 3867"/>
                            <a:gd name="T49" fmla="*/ T48 w 3558"/>
                            <a:gd name="T50" fmla="+- 0 9314 9314"/>
                            <a:gd name="T51" fmla="*/ 9314 h 3158"/>
                            <a:gd name="T52" fmla="+- 0 5738 3867"/>
                            <a:gd name="T53" fmla="*/ T52 w 3558"/>
                            <a:gd name="T54" fmla="+- 0 9315 9314"/>
                            <a:gd name="T55" fmla="*/ 9315 h 3158"/>
                            <a:gd name="T56" fmla="+- 0 6182 3867"/>
                            <a:gd name="T57" fmla="*/ T56 w 3558"/>
                            <a:gd name="T58" fmla="+- 0 9426 9314"/>
                            <a:gd name="T59" fmla="*/ 9426 h 3158"/>
                            <a:gd name="T60" fmla="+- 0 6187 3867"/>
                            <a:gd name="T61" fmla="*/ T60 w 3558"/>
                            <a:gd name="T62" fmla="+- 0 9428 9314"/>
                            <a:gd name="T63" fmla="*/ 9428 h 3158"/>
                            <a:gd name="T64" fmla="+- 0 6192 3867"/>
                            <a:gd name="T65" fmla="*/ T64 w 3558"/>
                            <a:gd name="T66" fmla="+- 0 9428 9314"/>
                            <a:gd name="T67" fmla="*/ 9428 h 3158"/>
                            <a:gd name="T68" fmla="+- 0 6197 3867"/>
                            <a:gd name="T69" fmla="*/ T68 w 3558"/>
                            <a:gd name="T70" fmla="+- 0 9428 9314"/>
                            <a:gd name="T71" fmla="*/ 9428 h 3158"/>
                            <a:gd name="T72" fmla="+- 0 6726 3867"/>
                            <a:gd name="T73" fmla="*/ T72 w 3558"/>
                            <a:gd name="T74" fmla="+- 0 9428 9314"/>
                            <a:gd name="T75" fmla="*/ 9428 h 3158"/>
                            <a:gd name="T76" fmla="+- 0 6911 3867"/>
                            <a:gd name="T77" fmla="*/ T76 w 3558"/>
                            <a:gd name="T78" fmla="+- 0 9909 9314"/>
                            <a:gd name="T79" fmla="*/ 9909 h 3158"/>
                            <a:gd name="T80" fmla="+- 0 6966 3867"/>
                            <a:gd name="T81" fmla="*/ T80 w 3558"/>
                            <a:gd name="T82" fmla="+- 0 10039 9314"/>
                            <a:gd name="T83" fmla="*/ 10039 h 3158"/>
                            <a:gd name="T84" fmla="+- 0 7121 3867"/>
                            <a:gd name="T85" fmla="*/ T84 w 3558"/>
                            <a:gd name="T86" fmla="+- 0 10202 9314"/>
                            <a:gd name="T87" fmla="*/ 10202 h 3158"/>
                            <a:gd name="T88" fmla="+- 0 7128 3867"/>
                            <a:gd name="T89" fmla="*/ T88 w 3558"/>
                            <a:gd name="T90" fmla="+- 0 10209 9314"/>
                            <a:gd name="T91" fmla="*/ 10209 h 3158"/>
                            <a:gd name="T92" fmla="+- 0 7139 3867"/>
                            <a:gd name="T93" fmla="*/ T92 w 3558"/>
                            <a:gd name="T94" fmla="+- 0 10210 9314"/>
                            <a:gd name="T95" fmla="*/ 10210 h 3158"/>
                            <a:gd name="T96" fmla="+- 0 7146 3867"/>
                            <a:gd name="T97" fmla="*/ T96 w 3558"/>
                            <a:gd name="T98" fmla="+- 0 10204 9314"/>
                            <a:gd name="T99" fmla="*/ 10204 h 3158"/>
                            <a:gd name="T100" fmla="+- 0 7241 3867"/>
                            <a:gd name="T101" fmla="*/ T100 w 3558"/>
                            <a:gd name="T102" fmla="+- 0 10130 9314"/>
                            <a:gd name="T103" fmla="*/ 10130 h 3158"/>
                            <a:gd name="T104" fmla="+- 0 7250 3867"/>
                            <a:gd name="T105" fmla="*/ T104 w 3558"/>
                            <a:gd name="T106" fmla="+- 0 10126 9314"/>
                            <a:gd name="T107" fmla="*/ 10126 h 3158"/>
                            <a:gd name="T108" fmla="+- 0 7259 3867"/>
                            <a:gd name="T109" fmla="*/ T108 w 3558"/>
                            <a:gd name="T110" fmla="+- 0 10126 9314"/>
                            <a:gd name="T111" fmla="*/ 10126 h 3158"/>
                            <a:gd name="T112" fmla="+- 0 7267 3867"/>
                            <a:gd name="T113" fmla="*/ T112 w 3558"/>
                            <a:gd name="T114" fmla="+- 0 10130 9314"/>
                            <a:gd name="T115" fmla="*/ 10130 h 3158"/>
                            <a:gd name="T116" fmla="+- 0 7273 3867"/>
                            <a:gd name="T117" fmla="*/ T116 w 3558"/>
                            <a:gd name="T118" fmla="+- 0 10138 9314"/>
                            <a:gd name="T119" fmla="*/ 10138 h 3158"/>
                            <a:gd name="T120" fmla="+- 0 7420 3867"/>
                            <a:gd name="T121" fmla="*/ T120 w 3558"/>
                            <a:gd name="T122" fmla="+- 0 10489 9314"/>
                            <a:gd name="T123" fmla="*/ 10489 h 3158"/>
                            <a:gd name="T124" fmla="+- 0 7424 3867"/>
                            <a:gd name="T125" fmla="*/ T124 w 3558"/>
                            <a:gd name="T126" fmla="+- 0 10499 9314"/>
                            <a:gd name="T127" fmla="*/ 10499 h 3158"/>
                            <a:gd name="T128" fmla="+- 0 7417 3867"/>
                            <a:gd name="T129" fmla="*/ T128 w 3558"/>
                            <a:gd name="T130" fmla="+- 0 10511 9314"/>
                            <a:gd name="T131" fmla="*/ 10511 h 3158"/>
                            <a:gd name="T132" fmla="+- 0 7406 3867"/>
                            <a:gd name="T133" fmla="*/ T132 w 3558"/>
                            <a:gd name="T134" fmla="+- 0 10511 9314"/>
                            <a:gd name="T135" fmla="*/ 10511 h 3158"/>
                            <a:gd name="T136" fmla="+- 0 7153 3867"/>
                            <a:gd name="T137" fmla="*/ T136 w 3558"/>
                            <a:gd name="T138" fmla="+- 0 10511 9314"/>
                            <a:gd name="T139" fmla="*/ 10511 h 3158"/>
                            <a:gd name="T140" fmla="+- 0 7142 3867"/>
                            <a:gd name="T141" fmla="*/ T140 w 3558"/>
                            <a:gd name="T142" fmla="+- 0 10511 9314"/>
                            <a:gd name="T143" fmla="*/ 10511 h 3158"/>
                            <a:gd name="T144" fmla="+- 0 7133 3867"/>
                            <a:gd name="T145" fmla="*/ T144 w 3558"/>
                            <a:gd name="T146" fmla="+- 0 10519 9314"/>
                            <a:gd name="T147" fmla="*/ 10519 h 3158"/>
                            <a:gd name="T148" fmla="+- 0 7133 3867"/>
                            <a:gd name="T149" fmla="*/ T148 w 3558"/>
                            <a:gd name="T150" fmla="+- 0 10530 9314"/>
                            <a:gd name="T151" fmla="*/ 10530 h 3158"/>
                            <a:gd name="T152" fmla="+- 0 7142 3867"/>
                            <a:gd name="T153" fmla="*/ T152 w 3558"/>
                            <a:gd name="T154" fmla="+- 0 12472 9314"/>
                            <a:gd name="T155" fmla="*/ 12472 h 3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58" h="3158">
                              <a:moveTo>
                                <a:pt x="0" y="96"/>
                              </a:moveTo>
                              <a:lnTo>
                                <a:pt x="926" y="114"/>
                              </a:lnTo>
                              <a:lnTo>
                                <a:pt x="931" y="114"/>
                              </a:lnTo>
                              <a:lnTo>
                                <a:pt x="937" y="115"/>
                              </a:lnTo>
                              <a:lnTo>
                                <a:pt x="943" y="117"/>
                              </a:lnTo>
                              <a:lnTo>
                                <a:pt x="1616" y="374"/>
                              </a:lnTo>
                              <a:lnTo>
                                <a:pt x="1628" y="379"/>
                              </a:lnTo>
                              <a:lnTo>
                                <a:pt x="1642" y="374"/>
                              </a:lnTo>
                              <a:lnTo>
                                <a:pt x="1648" y="362"/>
                              </a:lnTo>
                              <a:lnTo>
                                <a:pt x="1827" y="21"/>
                              </a:lnTo>
                              <a:lnTo>
                                <a:pt x="1835" y="11"/>
                              </a:lnTo>
                              <a:lnTo>
                                <a:pt x="1845" y="4"/>
                              </a:lnTo>
                              <a:lnTo>
                                <a:pt x="1858" y="0"/>
                              </a:lnTo>
                              <a:lnTo>
                                <a:pt x="1871" y="1"/>
                              </a:lnTo>
                              <a:lnTo>
                                <a:pt x="2315" y="112"/>
                              </a:lnTo>
                              <a:lnTo>
                                <a:pt x="2320" y="114"/>
                              </a:lnTo>
                              <a:lnTo>
                                <a:pt x="2325" y="114"/>
                              </a:lnTo>
                              <a:lnTo>
                                <a:pt x="2330" y="114"/>
                              </a:lnTo>
                              <a:lnTo>
                                <a:pt x="2859" y="114"/>
                              </a:lnTo>
                              <a:lnTo>
                                <a:pt x="3044" y="595"/>
                              </a:lnTo>
                              <a:lnTo>
                                <a:pt x="3099" y="725"/>
                              </a:lnTo>
                              <a:lnTo>
                                <a:pt x="3254" y="888"/>
                              </a:lnTo>
                              <a:lnTo>
                                <a:pt x="3261" y="895"/>
                              </a:lnTo>
                              <a:lnTo>
                                <a:pt x="3272" y="896"/>
                              </a:lnTo>
                              <a:lnTo>
                                <a:pt x="3279" y="890"/>
                              </a:lnTo>
                              <a:lnTo>
                                <a:pt x="3374" y="816"/>
                              </a:lnTo>
                              <a:lnTo>
                                <a:pt x="3383" y="812"/>
                              </a:lnTo>
                              <a:lnTo>
                                <a:pt x="3392" y="812"/>
                              </a:lnTo>
                              <a:lnTo>
                                <a:pt x="3400" y="816"/>
                              </a:lnTo>
                              <a:lnTo>
                                <a:pt x="3406" y="824"/>
                              </a:lnTo>
                              <a:lnTo>
                                <a:pt x="3553" y="1175"/>
                              </a:lnTo>
                              <a:lnTo>
                                <a:pt x="3557" y="1185"/>
                              </a:lnTo>
                              <a:lnTo>
                                <a:pt x="3550" y="1197"/>
                              </a:lnTo>
                              <a:lnTo>
                                <a:pt x="3539" y="1197"/>
                              </a:lnTo>
                              <a:lnTo>
                                <a:pt x="3286" y="1197"/>
                              </a:lnTo>
                              <a:lnTo>
                                <a:pt x="3275" y="1197"/>
                              </a:lnTo>
                              <a:lnTo>
                                <a:pt x="3266" y="1205"/>
                              </a:lnTo>
                              <a:lnTo>
                                <a:pt x="3266" y="1216"/>
                              </a:lnTo>
                              <a:lnTo>
                                <a:pt x="3275" y="3158"/>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3F04C42E" id="Freeform 133" o:spid="_x0000_s1026" style="position:absolute;z-index:-251691693;visibility:visible;mso-wrap-style:square;mso-wrap-distance-left:9pt;mso-wrap-distance-top:0;mso-wrap-distance-right:9pt;mso-wrap-distance-bottom:0;mso-position-horizontal:absolute;mso-position-horizontal-relative:text;mso-position-vertical:absolute;mso-position-vertical-relative:text;v-text-anchor:top" points="161.8pt,389.6pt,208.1pt,390.5pt,208.35pt,390.5pt,208.65pt,390.55pt,208.95pt,390.65pt,242.6pt,403.5pt,243.2pt,403.75pt,243.9pt,403.5pt,244.2pt,402.9pt,253.15pt,385.85pt,253.55pt,385.35pt,254.05pt,385pt,254.7pt,384.8pt,255.35pt,384.85pt,277.55pt,390.4pt,277.8pt,390.5pt,278.05pt,390.5pt,278.3pt,390.5pt,304.75pt,390.5pt,314pt,414.55pt,316.75pt,421.05pt,324.5pt,429.2pt,324.85pt,429.55pt,325.4pt,429.6pt,325.75pt,429.3pt,330.5pt,425.6pt,330.95pt,425.4pt,331.4pt,425.4pt,331.8pt,425.6pt,332.1pt,426pt,339.45pt,443.55pt,339.65pt,444.05pt,339.3pt,444.65pt,338.75pt,444.65pt,326.1pt,444.65pt,325.55pt,444.65pt,325.1pt,445.05pt,325.1pt,445.6pt,325.55pt,542.7pt" coordsize="3558,3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" filled="f" strokecolor="white" strokeweight="1.5pt">
                <v:path arrowok="t" o:connecttype="custom" o:connectlocs="0,5975350;588010,5986780;591185,5986780;594995,5987415;598805,5988685;1026160,6151880;1033780,6155055;1042670,6151880;1046480,6144260;1160145,5927725;1165225,5921375;1171575,5916930;1179830,5914390;1188085,5915025;1470025,5985510;1473200,5986780;1476375,5986780;1479550,5986780;1815465,5986780;1932940,6292215;1967865,6374765;2066290,6478270;2070735,6482715;2077720,6483350;2082165,6479540;2142490,6432550;2148205,6430010;2153920,6430010;2159000,6432550;2162810,6437630;2256155,6660515;2258695,6666865;2254250,6674485;2247265,6674485;2086610,6674485;2079625,6674485;2073910,6679565;2073910,6686550;2079625,7919720" o:connectangles="0,0,0,0,0,0,0,0,0,0,0,0,0,0,0,0,0,0,0,0,0,0,0,0,0,0,0,0,0,0,0,0,0,0,0,0,0,0,0"/>
              </v:polyline>
            </w:pict>
          </mc:Fallback>
        </mc:AlternateContent>
      </w:r>
      <w:r>
        <w:rPr>
          <w:rFonts w:ascii="Century Gothic" w:hAnsi="Century Gothic"/>
          <w:noProof/>
          <w:color w:val="FFFFFF"/>
        </w:rPr>
        <mc:AlternateContent>
          <mc:Choice Requires="wps">
            <w:drawing>
              <wp:anchor distT="0" distB="0" distL="114300" distR="114300" simplePos="0" relativeHeight="251625811" behindDoc="1" locked="0" layoutInCell="1" allowOverlap="1" wp14:anchorId="73938A27" wp14:editId="53D74FDA">
                <wp:simplePos x="0" y="0"/>
                <wp:positionH relativeFrom="column">
                  <wp:posOffset>2049780</wp:posOffset>
                </wp:positionH>
                <wp:positionV relativeFrom="paragraph">
                  <wp:posOffset>6886365</wp:posOffset>
                </wp:positionV>
                <wp:extent cx="2872740" cy="0"/>
                <wp:effectExtent l="0" t="0" r="22860" b="19050"/>
                <wp:wrapNone/>
                <wp:docPr id="1690912506"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2740" cy="0"/>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436FBDA3" id="Line 134" o:spid="_x0000_s1026" style="position:absolute;z-index:-251690669;visibility:visible;mso-wrap-style:square;mso-wrap-distance-left:9pt;mso-wrap-distance-top:0;mso-wrap-distance-right:9pt;mso-wrap-distance-bottom:0;mso-position-horizontal:absolute;mso-position-horizontal-relative:text;mso-position-vertical:absolute;mso-position-vertical-relative:text" from="161.4pt,542.25pt" to="387.6pt,5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" strokecolor="white" strokeweight="1.5pt"/>
            </w:pict>
          </mc:Fallback>
        </mc:AlternateContent>
      </w:r>
      <w:r>
        <w:rPr>
          <w:rFonts w:ascii="Century Gothic" w:hAnsi="Century Gothic"/>
          <w:noProof/>
          <w:color w:val="FFFFFF"/>
        </w:rPr>
        <mc:AlternateContent>
          <mc:Choice Requires="wps">
            <w:drawing>
              <wp:anchor distT="0" distB="0" distL="114300" distR="114300" simplePos="0" relativeHeight="251626835" behindDoc="1" locked="0" layoutInCell="1" allowOverlap="1" wp14:anchorId="5E740443" wp14:editId="061F3770">
                <wp:simplePos x="0" y="0"/>
                <wp:positionH relativeFrom="column">
                  <wp:posOffset>3653790</wp:posOffset>
                </wp:positionH>
                <wp:positionV relativeFrom="paragraph">
                  <wp:posOffset>4367955</wp:posOffset>
                </wp:positionV>
                <wp:extent cx="1691640" cy="3961765"/>
                <wp:effectExtent l="0" t="0" r="22860" b="19685"/>
                <wp:wrapNone/>
                <wp:docPr id="1690912507"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1640" cy="3961765"/>
                        </a:xfrm>
                        <a:custGeom>
                          <a:avLst/>
                          <a:gdLst>
                            <a:gd name="T0" fmla="+- 0 6742 6385"/>
                            <a:gd name="T1" fmla="*/ T0 w 2664"/>
                            <a:gd name="T2" fmla="+- 0 9161 8498"/>
                            <a:gd name="T3" fmla="*/ 9161 h 6239"/>
                            <a:gd name="T4" fmla="+- 0 6735 6385"/>
                            <a:gd name="T5" fmla="*/ T4 w 2664"/>
                            <a:gd name="T6" fmla="+- 0 9141 8498"/>
                            <a:gd name="T7" fmla="*/ 9141 h 6239"/>
                            <a:gd name="T8" fmla="+- 0 6406 6385"/>
                            <a:gd name="T9" fmla="*/ T8 w 2664"/>
                            <a:gd name="T10" fmla="+- 0 9133 8498"/>
                            <a:gd name="T11" fmla="*/ 9133 h 6239"/>
                            <a:gd name="T12" fmla="+- 0 6385 6385"/>
                            <a:gd name="T13" fmla="*/ T12 w 2664"/>
                            <a:gd name="T14" fmla="+- 0 9122 8498"/>
                            <a:gd name="T15" fmla="*/ 9122 h 6239"/>
                            <a:gd name="T16" fmla="+- 0 6428 6385"/>
                            <a:gd name="T17" fmla="*/ T16 w 2664"/>
                            <a:gd name="T18" fmla="+- 0 8701 8498"/>
                            <a:gd name="T19" fmla="*/ 8701 h 6239"/>
                            <a:gd name="T20" fmla="+- 0 6640 6385"/>
                            <a:gd name="T21" fmla="*/ T20 w 2664"/>
                            <a:gd name="T22" fmla="+- 0 8498 8498"/>
                            <a:gd name="T23" fmla="*/ 8498 h 6239"/>
                            <a:gd name="T24" fmla="+- 0 6797 6385"/>
                            <a:gd name="T25" fmla="*/ T24 w 2664"/>
                            <a:gd name="T26" fmla="+- 0 8606 8498"/>
                            <a:gd name="T27" fmla="*/ 8606 h 6239"/>
                            <a:gd name="T28" fmla="+- 0 6814 6385"/>
                            <a:gd name="T29" fmla="*/ T28 w 2664"/>
                            <a:gd name="T30" fmla="+- 0 8614 8498"/>
                            <a:gd name="T31" fmla="*/ 8614 h 6239"/>
                            <a:gd name="T32" fmla="+- 0 6878 6385"/>
                            <a:gd name="T33" fmla="*/ T32 w 2664"/>
                            <a:gd name="T34" fmla="+- 0 8621 8498"/>
                            <a:gd name="T35" fmla="*/ 8621 h 6239"/>
                            <a:gd name="T36" fmla="+- 0 6897 6385"/>
                            <a:gd name="T37" fmla="*/ T36 w 2664"/>
                            <a:gd name="T38" fmla="+- 0 8621 8498"/>
                            <a:gd name="T39" fmla="*/ 8621 h 6239"/>
                            <a:gd name="T40" fmla="+- 0 7072 6385"/>
                            <a:gd name="T41" fmla="*/ T40 w 2664"/>
                            <a:gd name="T42" fmla="+- 0 8520 8498"/>
                            <a:gd name="T43" fmla="*/ 8520 h 6239"/>
                            <a:gd name="T44" fmla="+- 0 7092 6385"/>
                            <a:gd name="T45" fmla="*/ T44 w 2664"/>
                            <a:gd name="T46" fmla="+- 0 8515 8498"/>
                            <a:gd name="T47" fmla="*/ 8515 h 6239"/>
                            <a:gd name="T48" fmla="+- 0 7833 6385"/>
                            <a:gd name="T49" fmla="*/ T48 w 2664"/>
                            <a:gd name="T50" fmla="+- 0 8863 8498"/>
                            <a:gd name="T51" fmla="*/ 8863 h 6239"/>
                            <a:gd name="T52" fmla="+- 0 7849 6385"/>
                            <a:gd name="T53" fmla="*/ T52 w 2664"/>
                            <a:gd name="T54" fmla="+- 0 8877 8498"/>
                            <a:gd name="T55" fmla="*/ 8877 h 6239"/>
                            <a:gd name="T56" fmla="+- 0 7855 6385"/>
                            <a:gd name="T57" fmla="*/ T56 w 2664"/>
                            <a:gd name="T58" fmla="+- 0 8897 8498"/>
                            <a:gd name="T59" fmla="*/ 8897 h 6239"/>
                            <a:gd name="T60" fmla="+- 0 7864 6385"/>
                            <a:gd name="T61" fmla="*/ T60 w 2664"/>
                            <a:gd name="T62" fmla="+- 0 9400 8498"/>
                            <a:gd name="T63" fmla="*/ 9400 h 6239"/>
                            <a:gd name="T64" fmla="+- 0 7886 6385"/>
                            <a:gd name="T65" fmla="*/ T64 w 2664"/>
                            <a:gd name="T66" fmla="+- 0 9410 8498"/>
                            <a:gd name="T67" fmla="*/ 9410 h 6239"/>
                            <a:gd name="T68" fmla="+- 0 9040 6385"/>
                            <a:gd name="T69" fmla="*/ T68 w 2664"/>
                            <a:gd name="T70" fmla="+- 0 9419 8498"/>
                            <a:gd name="T71" fmla="*/ 9419 h 6239"/>
                            <a:gd name="T72" fmla="+- 0 9048 6385"/>
                            <a:gd name="T73" fmla="*/ T72 w 2664"/>
                            <a:gd name="T74" fmla="+- 0 9438 8498"/>
                            <a:gd name="T75" fmla="*/ 9438 h 6239"/>
                            <a:gd name="T76" fmla="+- 0 8799 6385"/>
                            <a:gd name="T77" fmla="*/ T76 w 2664"/>
                            <a:gd name="T78" fmla="+- 0 10501 8498"/>
                            <a:gd name="T79" fmla="*/ 10501 h 6239"/>
                            <a:gd name="T80" fmla="+- 0 8786 6385"/>
                            <a:gd name="T81" fmla="*/ T80 w 2664"/>
                            <a:gd name="T82" fmla="+- 0 10503 8498"/>
                            <a:gd name="T83" fmla="*/ 10503 h 6239"/>
                            <a:gd name="T84" fmla="+- 0 8399 6385"/>
                            <a:gd name="T85" fmla="*/ T84 w 2664"/>
                            <a:gd name="T86" fmla="+- 0 10661 8498"/>
                            <a:gd name="T87" fmla="*/ 10661 h 6239"/>
                            <a:gd name="T88" fmla="+- 0 8382 6385"/>
                            <a:gd name="T89" fmla="*/ T88 w 2664"/>
                            <a:gd name="T90" fmla="+- 0 10675 8498"/>
                            <a:gd name="T91" fmla="*/ 10675 h 6239"/>
                            <a:gd name="T92" fmla="+- 0 8382 6385"/>
                            <a:gd name="T93" fmla="*/ T92 w 2664"/>
                            <a:gd name="T94" fmla="+- 0 13915 8498"/>
                            <a:gd name="T95" fmla="*/ 13915 h 6239"/>
                            <a:gd name="T96" fmla="+- 0 7198 6385"/>
                            <a:gd name="T97" fmla="*/ T96 w 2664"/>
                            <a:gd name="T98" fmla="+- 0 13964 8498"/>
                            <a:gd name="T99" fmla="*/ 13964 h 6239"/>
                            <a:gd name="T100" fmla="+- 0 7182 6385"/>
                            <a:gd name="T101" fmla="*/ T100 w 2664"/>
                            <a:gd name="T102" fmla="+- 0 13981 8498"/>
                            <a:gd name="T103" fmla="*/ 13981 h 6239"/>
                            <a:gd name="T104" fmla="+- 0 7179 6385"/>
                            <a:gd name="T105" fmla="*/ T104 w 2664"/>
                            <a:gd name="T106" fmla="+- 0 14284 8498"/>
                            <a:gd name="T107" fmla="*/ 14284 h 6239"/>
                            <a:gd name="T108" fmla="+- 0 7171 6385"/>
                            <a:gd name="T109" fmla="*/ T108 w 2664"/>
                            <a:gd name="T110" fmla="+- 0 14305 8498"/>
                            <a:gd name="T111" fmla="*/ 14305 h 6239"/>
                            <a:gd name="T112" fmla="+- 0 7150 6385"/>
                            <a:gd name="T113" fmla="*/ T112 w 2664"/>
                            <a:gd name="T114" fmla="+- 0 14314 8498"/>
                            <a:gd name="T115" fmla="*/ 14314 h 6239"/>
                            <a:gd name="T116" fmla="+- 0 6838 6385"/>
                            <a:gd name="T117" fmla="*/ T116 w 2664"/>
                            <a:gd name="T118" fmla="+- 0 14316 8498"/>
                            <a:gd name="T119" fmla="*/ 14316 h 6239"/>
                            <a:gd name="T120" fmla="+- 0 6821 6385"/>
                            <a:gd name="T121" fmla="*/ T120 w 2664"/>
                            <a:gd name="T122" fmla="+- 0 14333 8498"/>
                            <a:gd name="T123" fmla="*/ 14333 h 6239"/>
                            <a:gd name="T124" fmla="+- 0 6818 6385"/>
                            <a:gd name="T125" fmla="*/ T124 w 2664"/>
                            <a:gd name="T126" fmla="+- 0 14736 8498"/>
                            <a:gd name="T127" fmla="*/ 14736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664" h="6239">
                              <a:moveTo>
                                <a:pt x="330" y="907"/>
                              </a:moveTo>
                              <a:lnTo>
                                <a:pt x="357" y="663"/>
                              </a:lnTo>
                              <a:lnTo>
                                <a:pt x="358" y="652"/>
                              </a:lnTo>
                              <a:lnTo>
                                <a:pt x="350" y="643"/>
                              </a:lnTo>
                              <a:lnTo>
                                <a:pt x="339" y="643"/>
                              </a:lnTo>
                              <a:lnTo>
                                <a:pt x="21" y="635"/>
                              </a:lnTo>
                              <a:lnTo>
                                <a:pt x="9" y="634"/>
                              </a:lnTo>
                              <a:lnTo>
                                <a:pt x="0" y="624"/>
                              </a:lnTo>
                              <a:lnTo>
                                <a:pt x="1" y="611"/>
                              </a:lnTo>
                              <a:lnTo>
                                <a:pt x="43" y="203"/>
                              </a:lnTo>
                              <a:lnTo>
                                <a:pt x="235" y="8"/>
                              </a:lnTo>
                              <a:lnTo>
                                <a:pt x="255" y="0"/>
                              </a:lnTo>
                              <a:lnTo>
                                <a:pt x="263" y="6"/>
                              </a:lnTo>
                              <a:lnTo>
                                <a:pt x="412" y="108"/>
                              </a:lnTo>
                              <a:lnTo>
                                <a:pt x="420" y="113"/>
                              </a:lnTo>
                              <a:lnTo>
                                <a:pt x="429" y="116"/>
                              </a:lnTo>
                              <a:lnTo>
                                <a:pt x="438" y="117"/>
                              </a:lnTo>
                              <a:lnTo>
                                <a:pt x="493" y="123"/>
                              </a:lnTo>
                              <a:lnTo>
                                <a:pt x="502" y="125"/>
                              </a:lnTo>
                              <a:lnTo>
                                <a:pt x="512" y="123"/>
                              </a:lnTo>
                              <a:lnTo>
                                <a:pt x="520" y="118"/>
                              </a:lnTo>
                              <a:lnTo>
                                <a:pt x="687" y="22"/>
                              </a:lnTo>
                              <a:lnTo>
                                <a:pt x="696" y="17"/>
                              </a:lnTo>
                              <a:lnTo>
                                <a:pt x="707" y="17"/>
                              </a:lnTo>
                              <a:lnTo>
                                <a:pt x="717" y="21"/>
                              </a:lnTo>
                              <a:lnTo>
                                <a:pt x="1448" y="365"/>
                              </a:lnTo>
                              <a:lnTo>
                                <a:pt x="1457" y="371"/>
                              </a:lnTo>
                              <a:lnTo>
                                <a:pt x="1464" y="379"/>
                              </a:lnTo>
                              <a:lnTo>
                                <a:pt x="1468" y="388"/>
                              </a:lnTo>
                              <a:lnTo>
                                <a:pt x="1470" y="399"/>
                              </a:lnTo>
                              <a:lnTo>
                                <a:pt x="1479" y="889"/>
                              </a:lnTo>
                              <a:lnTo>
                                <a:pt x="1479" y="902"/>
                              </a:lnTo>
                              <a:lnTo>
                                <a:pt x="1489" y="912"/>
                              </a:lnTo>
                              <a:lnTo>
                                <a:pt x="1501" y="912"/>
                              </a:lnTo>
                              <a:lnTo>
                                <a:pt x="2644" y="921"/>
                              </a:lnTo>
                              <a:lnTo>
                                <a:pt x="2655" y="921"/>
                              </a:lnTo>
                              <a:lnTo>
                                <a:pt x="2663" y="929"/>
                              </a:lnTo>
                              <a:lnTo>
                                <a:pt x="2663" y="940"/>
                              </a:lnTo>
                              <a:lnTo>
                                <a:pt x="2663" y="2003"/>
                              </a:lnTo>
                              <a:lnTo>
                                <a:pt x="2414" y="2003"/>
                              </a:lnTo>
                              <a:lnTo>
                                <a:pt x="2408" y="2003"/>
                              </a:lnTo>
                              <a:lnTo>
                                <a:pt x="2401" y="2005"/>
                              </a:lnTo>
                              <a:lnTo>
                                <a:pt x="2395" y="2007"/>
                              </a:lnTo>
                              <a:lnTo>
                                <a:pt x="2014" y="2163"/>
                              </a:lnTo>
                              <a:lnTo>
                                <a:pt x="2004" y="2167"/>
                              </a:lnTo>
                              <a:lnTo>
                                <a:pt x="1997" y="2177"/>
                              </a:lnTo>
                              <a:lnTo>
                                <a:pt x="1997" y="2188"/>
                              </a:lnTo>
                              <a:lnTo>
                                <a:pt x="1997" y="5417"/>
                              </a:lnTo>
                              <a:lnTo>
                                <a:pt x="825" y="5463"/>
                              </a:lnTo>
                              <a:lnTo>
                                <a:pt x="813" y="5466"/>
                              </a:lnTo>
                              <a:lnTo>
                                <a:pt x="803" y="5473"/>
                              </a:lnTo>
                              <a:lnTo>
                                <a:pt x="797" y="5483"/>
                              </a:lnTo>
                              <a:lnTo>
                                <a:pt x="794" y="5495"/>
                              </a:lnTo>
                              <a:lnTo>
                                <a:pt x="794" y="5786"/>
                              </a:lnTo>
                              <a:lnTo>
                                <a:pt x="792" y="5798"/>
                              </a:lnTo>
                              <a:lnTo>
                                <a:pt x="786" y="5807"/>
                              </a:lnTo>
                              <a:lnTo>
                                <a:pt x="776" y="5813"/>
                              </a:lnTo>
                              <a:lnTo>
                                <a:pt x="765" y="5816"/>
                              </a:lnTo>
                              <a:lnTo>
                                <a:pt x="466" y="5816"/>
                              </a:lnTo>
                              <a:lnTo>
                                <a:pt x="453" y="5818"/>
                              </a:lnTo>
                              <a:lnTo>
                                <a:pt x="443" y="5825"/>
                              </a:lnTo>
                              <a:lnTo>
                                <a:pt x="436" y="5835"/>
                              </a:lnTo>
                              <a:lnTo>
                                <a:pt x="433" y="5848"/>
                              </a:lnTo>
                              <a:lnTo>
                                <a:pt x="433" y="6238"/>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7ACDBC89" id="Freeform 135" o:spid="_x0000_s1026" style="position:absolute;z-index:-251689645;visibility:visible;mso-wrap-style:square;mso-wrap-distance-left:9pt;mso-wrap-distance-top:0;mso-wrap-distance-right:9pt;mso-wrap-distance-bottom:0;mso-position-horizontal:absolute;mso-position-horizontal-relative:text;mso-position-vertical:absolute;mso-position-vertical-relative:text;v-text-anchor:top" points="304.2pt,389.3pt,305.55pt,377.1pt,305.6pt,376.55pt,305.2pt,376.1pt,304.65pt,376.1pt,288.75pt,375.7pt,288.15pt,375.65pt,287.7pt,375.15pt,287.75pt,374.5pt,289.85pt,354.1pt,299.45pt,344.35pt,300.45pt,343.95pt,300.85pt,344.25pt,308.3pt,349.35pt,308.7pt,349.6pt,309.15pt,349.75pt,309.6pt,349.8pt,312.35pt,350.1pt,312.8pt,350.2pt,313.3pt,350.1pt,313.7pt,349.85pt,322.05pt,345.05pt,322.5pt,344.8pt,323.05pt,344.8pt,323.55pt,345pt,360.1pt,362.2pt,360.55pt,362.5pt,360.9pt,362.9pt,361.1pt,363.35pt,361.2pt,363.9pt,361.65pt,388.4pt,361.65pt,389.05pt,362.15pt,389.55pt,362.75pt,389.55pt,419.9pt,390pt,420.45pt,390pt,420.85pt,390.4pt,420.85pt,390.95pt,420.85pt,444.1pt,408.4pt,444.1pt,408.1pt,444.1pt,407.75pt,444.2pt,407.45pt,444.3pt,388.4pt,452.1pt,387.9pt,452.3pt,387.55pt,452.8pt,387.55pt,453.35pt,387.55pt,614.8pt,328.95pt,617.1pt,328.35pt,617.25pt,327.85pt,617.6pt,327.55pt,618.1pt,327.4pt,618.7pt,327.4pt,633.25pt,327.3pt,633.85pt,327pt,634.3pt,326.5pt,634.6pt,325.95pt,634.75pt,311pt,634.75pt,310.35pt,634.85pt,309.85pt,635.2pt,309.5pt,635.7pt,309.35pt,636.35pt,309.35pt,655.85pt" coordsize="2664,6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" filled="f" strokecolor="white" strokeweight="1.5pt">
                <v:path arrowok="t" o:connecttype="custom" o:connectlocs="226695,5817235;222250,5804535;13335,5799455;0,5792470;27305,5525135;161925,5396230;261620,5464810;272415,5469890;313055,5474335;325120,5474335;436245,5410200;448945,5407025;919480,5628005;929640,5636895;933450,5649595;939165,5969000;953135,5975350;1685925,5981065;1691005,5993130;1532890,6668135;1524635,6669405;1278890,6769735;1268095,6778625;1268095,8836025;516255,8867140;506095,8877935;504190,9070340;499110,9083675;485775,9089390;287655,9090660;276860,9101455;274955,9357360" o:connectangles="0,0,0,0,0,0,0,0,0,0,0,0,0,0,0,0,0,0,0,0,0,0,0,0,0,0,0,0,0,0,0,0"/>
              </v:polyline>
            </w:pict>
          </mc:Fallback>
        </mc:AlternateContent>
      </w:r>
      <w:r>
        <w:rPr>
          <w:rFonts w:ascii="Century Gothic" w:hAnsi="Century Gothic"/>
          <w:noProof/>
          <w:color w:val="FFFFFF"/>
        </w:rPr>
        <mc:AlternateContent>
          <mc:Choice Requires="wps">
            <w:drawing>
              <wp:anchor distT="0" distB="0" distL="114300" distR="114300" simplePos="0" relativeHeight="251627859" behindDoc="1" locked="0" layoutInCell="1" allowOverlap="1" wp14:anchorId="093923DF" wp14:editId="769E83F9">
                <wp:simplePos x="0" y="0"/>
                <wp:positionH relativeFrom="column">
                  <wp:posOffset>5349875</wp:posOffset>
                </wp:positionH>
                <wp:positionV relativeFrom="paragraph">
                  <wp:posOffset>5211235</wp:posOffset>
                </wp:positionV>
                <wp:extent cx="1010285" cy="389255"/>
                <wp:effectExtent l="0" t="0" r="18415" b="10795"/>
                <wp:wrapNone/>
                <wp:docPr id="1690912508"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0285" cy="389255"/>
                        </a:xfrm>
                        <a:custGeom>
                          <a:avLst/>
                          <a:gdLst>
                            <a:gd name="T0" fmla="+- 0 10646 9055"/>
                            <a:gd name="T1" fmla="*/ T0 w 1591"/>
                            <a:gd name="T2" fmla="+- 0 9826 9826"/>
                            <a:gd name="T3" fmla="*/ 9826 h 613"/>
                            <a:gd name="T4" fmla="+- 0 10083 9055"/>
                            <a:gd name="T5" fmla="*/ T4 w 1591"/>
                            <a:gd name="T6" fmla="+- 0 9835 9826"/>
                            <a:gd name="T7" fmla="*/ 9835 h 613"/>
                            <a:gd name="T8" fmla="+- 0 10072 9055"/>
                            <a:gd name="T9" fmla="*/ T8 w 1591"/>
                            <a:gd name="T10" fmla="+- 0 9835 9826"/>
                            <a:gd name="T11" fmla="*/ 9835 h 613"/>
                            <a:gd name="T12" fmla="+- 0 10062 9055"/>
                            <a:gd name="T13" fmla="*/ T12 w 1591"/>
                            <a:gd name="T14" fmla="+- 0 9839 9826"/>
                            <a:gd name="T15" fmla="*/ 9839 h 613"/>
                            <a:gd name="T16" fmla="+- 0 10054 9055"/>
                            <a:gd name="T17" fmla="*/ T16 w 1591"/>
                            <a:gd name="T18" fmla="+- 0 9847 9826"/>
                            <a:gd name="T19" fmla="*/ 9847 h 613"/>
                            <a:gd name="T20" fmla="+- 0 9454 9055"/>
                            <a:gd name="T21" fmla="*/ T20 w 1591"/>
                            <a:gd name="T22" fmla="+- 0 10429 9826"/>
                            <a:gd name="T23" fmla="*/ 10429 h 613"/>
                            <a:gd name="T24" fmla="+- 0 9444 9055"/>
                            <a:gd name="T25" fmla="*/ T24 w 1591"/>
                            <a:gd name="T26" fmla="+- 0 10439 9826"/>
                            <a:gd name="T27" fmla="*/ 10439 h 613"/>
                            <a:gd name="T28" fmla="+- 0 9429 9055"/>
                            <a:gd name="T29" fmla="*/ T28 w 1591"/>
                            <a:gd name="T30" fmla="+- 0 10439 9826"/>
                            <a:gd name="T31" fmla="*/ 10439 h 613"/>
                            <a:gd name="T32" fmla="+- 0 9419 9055"/>
                            <a:gd name="T33" fmla="*/ T32 w 1591"/>
                            <a:gd name="T34" fmla="+- 0 10430 9826"/>
                            <a:gd name="T35" fmla="*/ 10430 h 613"/>
                            <a:gd name="T36" fmla="+- 0 9262 9055"/>
                            <a:gd name="T37" fmla="*/ T36 w 1591"/>
                            <a:gd name="T38" fmla="+- 0 10289 9826"/>
                            <a:gd name="T39" fmla="*/ 10289 h 613"/>
                            <a:gd name="T40" fmla="+- 0 9256 9055"/>
                            <a:gd name="T41" fmla="*/ T40 w 1591"/>
                            <a:gd name="T42" fmla="+- 0 10283 9826"/>
                            <a:gd name="T43" fmla="*/ 10283 h 613"/>
                            <a:gd name="T44" fmla="+- 0 9247 9055"/>
                            <a:gd name="T45" fmla="*/ T44 w 1591"/>
                            <a:gd name="T46" fmla="+- 0 10279 9826"/>
                            <a:gd name="T47" fmla="*/ 10279 h 613"/>
                            <a:gd name="T48" fmla="+- 0 9238 9055"/>
                            <a:gd name="T49" fmla="*/ T48 w 1591"/>
                            <a:gd name="T50" fmla="+- 0 10279 9826"/>
                            <a:gd name="T51" fmla="*/ 10279 h 613"/>
                            <a:gd name="T52" fmla="+- 0 9055 9055"/>
                            <a:gd name="T53" fmla="*/ T52 w 1591"/>
                            <a:gd name="T54" fmla="+- 0 10279 9826"/>
                            <a:gd name="T55" fmla="*/ 10279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91" h="613">
                              <a:moveTo>
                                <a:pt x="1591" y="0"/>
                              </a:moveTo>
                              <a:lnTo>
                                <a:pt x="1028" y="9"/>
                              </a:lnTo>
                              <a:lnTo>
                                <a:pt x="1017" y="9"/>
                              </a:lnTo>
                              <a:lnTo>
                                <a:pt x="1007" y="13"/>
                              </a:lnTo>
                              <a:lnTo>
                                <a:pt x="999" y="21"/>
                              </a:lnTo>
                              <a:lnTo>
                                <a:pt x="399" y="603"/>
                              </a:lnTo>
                              <a:lnTo>
                                <a:pt x="389" y="613"/>
                              </a:lnTo>
                              <a:lnTo>
                                <a:pt x="374" y="613"/>
                              </a:lnTo>
                              <a:lnTo>
                                <a:pt x="364" y="604"/>
                              </a:lnTo>
                              <a:lnTo>
                                <a:pt x="207" y="463"/>
                              </a:lnTo>
                              <a:lnTo>
                                <a:pt x="201" y="457"/>
                              </a:lnTo>
                              <a:lnTo>
                                <a:pt x="192" y="453"/>
                              </a:lnTo>
                              <a:lnTo>
                                <a:pt x="183" y="453"/>
                              </a:lnTo>
                              <a:lnTo>
                                <a:pt x="0" y="453"/>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55ACC315" id="Freeform 136" o:spid="_x0000_s1026" style="position:absolute;z-index:-251688621;visibility:visible;mso-wrap-style:square;mso-wrap-distance-left:9pt;mso-wrap-distance-top:0;mso-wrap-distance-right:9pt;mso-wrap-distance-bottom:0;mso-position-horizontal:absolute;mso-position-horizontal-relative:text;mso-position-vertical:absolute;mso-position-vertical-relative:text;v-text-anchor:top" points="500.8pt,410.35pt,472.65pt,410.8pt,472.1pt,410.8pt,471.6pt,411pt,471.2pt,411.4pt,441.2pt,440.5pt,440.7pt,441pt,439.95pt,441pt,439.45pt,440.55pt,431.6pt,433.5pt,431.3pt,433.2pt,430.85pt,433pt,430.4pt,433pt,421.25pt,433pt" coordsize="1591,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" filled="f" strokecolor="white" strokeweight="1.5pt">
                <v:path arrowok="t" o:connecttype="custom" o:connectlocs="1010285,6239510;652780,6245225;645795,6245225;639445,6247765;634365,6252845;253365,6622415;247015,6628765;237490,6628765;231140,6623050;131445,6533515;127635,6529705;121920,6527165;116205,6527165;0,6527165" o:connectangles="0,0,0,0,0,0,0,0,0,0,0,0,0,0"/>
              </v:polyline>
            </w:pict>
          </mc:Fallback>
        </mc:AlternateContent>
      </w:r>
      <w:r>
        <w:rPr>
          <w:rFonts w:ascii="Century Gothic" w:hAnsi="Century Gothic"/>
          <w:noProof/>
          <w:color w:val="FFFFFF"/>
        </w:rPr>
        <mc:AlternateContent>
          <mc:Choice Requires="wps">
            <w:drawing>
              <wp:anchor distT="0" distB="0" distL="114300" distR="114300" simplePos="0" relativeHeight="251628883" behindDoc="1" locked="0" layoutInCell="1" allowOverlap="1" wp14:anchorId="2689A7F9" wp14:editId="3A39E1D1">
                <wp:simplePos x="0" y="0"/>
                <wp:positionH relativeFrom="column">
                  <wp:posOffset>2619375</wp:posOffset>
                </wp:positionH>
                <wp:positionV relativeFrom="paragraph">
                  <wp:posOffset>3673900</wp:posOffset>
                </wp:positionV>
                <wp:extent cx="612775" cy="670560"/>
                <wp:effectExtent l="0" t="0" r="15875" b="15240"/>
                <wp:wrapNone/>
                <wp:docPr id="1690912513"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775" cy="670560"/>
                        </a:xfrm>
                        <a:custGeom>
                          <a:avLst/>
                          <a:gdLst>
                            <a:gd name="T0" fmla="+- 0 4908 4756"/>
                            <a:gd name="T1" fmla="*/ T0 w 965"/>
                            <a:gd name="T2" fmla="+- 0 7693 7405"/>
                            <a:gd name="T3" fmla="*/ 7693 h 1056"/>
                            <a:gd name="T4" fmla="+- 0 4921 4756"/>
                            <a:gd name="T5" fmla="*/ T4 w 965"/>
                            <a:gd name="T6" fmla="+- 0 7699 7405"/>
                            <a:gd name="T7" fmla="*/ 7699 h 1056"/>
                            <a:gd name="T8" fmla="+- 0 4926 4756"/>
                            <a:gd name="T9" fmla="*/ T8 w 965"/>
                            <a:gd name="T10" fmla="+- 0 7819 7405"/>
                            <a:gd name="T11" fmla="*/ 7819 h 1056"/>
                            <a:gd name="T12" fmla="+- 0 4932 4756"/>
                            <a:gd name="T13" fmla="*/ T12 w 965"/>
                            <a:gd name="T14" fmla="+- 0 7831 7405"/>
                            <a:gd name="T15" fmla="*/ 7831 h 1056"/>
                            <a:gd name="T16" fmla="+- 0 5062 4756"/>
                            <a:gd name="T17" fmla="*/ T16 w 965"/>
                            <a:gd name="T18" fmla="+- 0 7831 7405"/>
                            <a:gd name="T19" fmla="*/ 7831 h 1056"/>
                            <a:gd name="T20" fmla="+- 0 5076 4756"/>
                            <a:gd name="T21" fmla="*/ T20 w 965"/>
                            <a:gd name="T22" fmla="+- 0 7825 7405"/>
                            <a:gd name="T23" fmla="*/ 7825 h 1056"/>
                            <a:gd name="T24" fmla="+- 0 5076 4756"/>
                            <a:gd name="T25" fmla="*/ T24 w 965"/>
                            <a:gd name="T26" fmla="+- 0 7421 7405"/>
                            <a:gd name="T27" fmla="*/ 7421 h 1056"/>
                            <a:gd name="T28" fmla="+- 0 5083 4756"/>
                            <a:gd name="T29" fmla="*/ T28 w 965"/>
                            <a:gd name="T30" fmla="+- 0 7405 7405"/>
                            <a:gd name="T31" fmla="*/ 7405 h 1056"/>
                            <a:gd name="T32" fmla="+- 0 5352 4756"/>
                            <a:gd name="T33" fmla="*/ T32 w 965"/>
                            <a:gd name="T34" fmla="+- 0 7405 7405"/>
                            <a:gd name="T35" fmla="*/ 7405 h 1056"/>
                            <a:gd name="T36" fmla="+- 0 5369 4756"/>
                            <a:gd name="T37" fmla="*/ T36 w 965"/>
                            <a:gd name="T38" fmla="+- 0 7412 7405"/>
                            <a:gd name="T39" fmla="*/ 7412 h 1056"/>
                            <a:gd name="T40" fmla="+- 0 5374 4756"/>
                            <a:gd name="T41" fmla="*/ T40 w 965"/>
                            <a:gd name="T42" fmla="+- 0 7695 7405"/>
                            <a:gd name="T43" fmla="*/ 7695 h 1056"/>
                            <a:gd name="T44" fmla="+- 0 5380 4756"/>
                            <a:gd name="T45" fmla="*/ T44 w 965"/>
                            <a:gd name="T46" fmla="+- 0 7709 7405"/>
                            <a:gd name="T47" fmla="*/ 7709 h 1056"/>
                            <a:gd name="T48" fmla="+- 0 5593 4756"/>
                            <a:gd name="T49" fmla="*/ T48 w 965"/>
                            <a:gd name="T50" fmla="+- 0 7709 7405"/>
                            <a:gd name="T51" fmla="*/ 7709 h 1056"/>
                            <a:gd name="T52" fmla="+- 0 5609 4756"/>
                            <a:gd name="T53" fmla="*/ T52 w 965"/>
                            <a:gd name="T54" fmla="+- 0 7716 7405"/>
                            <a:gd name="T55" fmla="*/ 7716 h 1056"/>
                            <a:gd name="T56" fmla="+- 0 5614 4756"/>
                            <a:gd name="T57" fmla="*/ T56 w 965"/>
                            <a:gd name="T58" fmla="+- 0 7895 7405"/>
                            <a:gd name="T59" fmla="*/ 7895 h 1056"/>
                            <a:gd name="T60" fmla="+- 0 5621 4756"/>
                            <a:gd name="T61" fmla="*/ T60 w 965"/>
                            <a:gd name="T62" fmla="+- 0 7911 7405"/>
                            <a:gd name="T63" fmla="*/ 7911 h 1056"/>
                            <a:gd name="T64" fmla="+- 0 5697 4756"/>
                            <a:gd name="T65" fmla="*/ T64 w 965"/>
                            <a:gd name="T66" fmla="+- 0 7911 7405"/>
                            <a:gd name="T67" fmla="*/ 7911 h 1056"/>
                            <a:gd name="T68" fmla="+- 0 5710 4756"/>
                            <a:gd name="T69" fmla="*/ T68 w 965"/>
                            <a:gd name="T70" fmla="+- 0 7917 7405"/>
                            <a:gd name="T71" fmla="*/ 7917 h 1056"/>
                            <a:gd name="T72" fmla="+- 0 5720 4756"/>
                            <a:gd name="T73" fmla="*/ T72 w 965"/>
                            <a:gd name="T74" fmla="+- 0 8440 7405"/>
                            <a:gd name="T75" fmla="*/ 8440 h 1056"/>
                            <a:gd name="T76" fmla="+- 0 5712 4756"/>
                            <a:gd name="T77" fmla="*/ T76 w 965"/>
                            <a:gd name="T78" fmla="+- 0 8461 7405"/>
                            <a:gd name="T79" fmla="*/ 8461 h 1056"/>
                            <a:gd name="T80" fmla="+- 0 5477 4756"/>
                            <a:gd name="T81" fmla="*/ T80 w 965"/>
                            <a:gd name="T82" fmla="+- 0 8461 7405"/>
                            <a:gd name="T83" fmla="*/ 8461 h 1056"/>
                            <a:gd name="T84" fmla="+- 0 5459 4756"/>
                            <a:gd name="T85" fmla="*/ T84 w 965"/>
                            <a:gd name="T86" fmla="+- 0 8453 7405"/>
                            <a:gd name="T87" fmla="*/ 8453 h 1056"/>
                            <a:gd name="T88" fmla="+- 0 5450 4756"/>
                            <a:gd name="T89" fmla="*/ T88 w 965"/>
                            <a:gd name="T90" fmla="+- 0 8343 7405"/>
                            <a:gd name="T91" fmla="*/ 8343 h 1056"/>
                            <a:gd name="T92" fmla="+- 0 5442 4756"/>
                            <a:gd name="T93" fmla="*/ T92 w 965"/>
                            <a:gd name="T94" fmla="+- 0 8327 7405"/>
                            <a:gd name="T95" fmla="*/ 8327 h 1056"/>
                            <a:gd name="T96" fmla="+- 0 5312 4756"/>
                            <a:gd name="T97" fmla="*/ T96 w 965"/>
                            <a:gd name="T98" fmla="+- 0 8327 7405"/>
                            <a:gd name="T99" fmla="*/ 8327 h 1056"/>
                            <a:gd name="T100" fmla="+- 0 5296 4756"/>
                            <a:gd name="T101" fmla="*/ T100 w 965"/>
                            <a:gd name="T102" fmla="+- 0 8331 7405"/>
                            <a:gd name="T103" fmla="*/ 8331 h 1056"/>
                            <a:gd name="T104" fmla="+- 0 5181 4756"/>
                            <a:gd name="T105" fmla="*/ T104 w 965"/>
                            <a:gd name="T106" fmla="+- 0 8451 7405"/>
                            <a:gd name="T107" fmla="*/ 8451 h 1056"/>
                            <a:gd name="T108" fmla="+- 0 5167 4756"/>
                            <a:gd name="T109" fmla="*/ T108 w 965"/>
                            <a:gd name="T110" fmla="+- 0 8460 7405"/>
                            <a:gd name="T111" fmla="*/ 8460 h 1056"/>
                            <a:gd name="T112" fmla="+- 0 5038 4756"/>
                            <a:gd name="T113" fmla="*/ T112 w 965"/>
                            <a:gd name="T114" fmla="+- 0 8443 7405"/>
                            <a:gd name="T115" fmla="*/ 8443 h 1056"/>
                            <a:gd name="T116" fmla="+- 0 5033 4756"/>
                            <a:gd name="T117" fmla="*/ T116 w 965"/>
                            <a:gd name="T118" fmla="+- 0 8109 7405"/>
                            <a:gd name="T119" fmla="*/ 8109 h 1056"/>
                            <a:gd name="T120" fmla="+- 0 5020 4756"/>
                            <a:gd name="T121" fmla="*/ T120 w 965"/>
                            <a:gd name="T122" fmla="+- 0 8094 7405"/>
                            <a:gd name="T123" fmla="*/ 8094 h 1056"/>
                            <a:gd name="T124" fmla="+- 0 4766 4756"/>
                            <a:gd name="T125" fmla="*/ T124 w 965"/>
                            <a:gd name="T126" fmla="+- 0 7915 7405"/>
                            <a:gd name="T127" fmla="*/ 7915 h 1056"/>
                            <a:gd name="T128" fmla="+- 0 4760 4756"/>
                            <a:gd name="T129" fmla="*/ T128 w 965"/>
                            <a:gd name="T130" fmla="+- 0 7894 7405"/>
                            <a:gd name="T131" fmla="*/ 7894 h 1056"/>
                            <a:gd name="T132" fmla="+- 0 4756 4756"/>
                            <a:gd name="T133" fmla="*/ T132 w 965"/>
                            <a:gd name="T134" fmla="+- 0 7699 7405"/>
                            <a:gd name="T135" fmla="*/ 7699 h 1056"/>
                            <a:gd name="T136" fmla="+- 0 4770 4756"/>
                            <a:gd name="T137" fmla="*/ T136 w 965"/>
                            <a:gd name="T138" fmla="+- 0 7693 7405"/>
                            <a:gd name="T139" fmla="*/ 7693 h 1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65" h="1056">
                              <a:moveTo>
                                <a:pt x="14" y="288"/>
                              </a:moveTo>
                              <a:lnTo>
                                <a:pt x="152" y="288"/>
                              </a:lnTo>
                              <a:lnTo>
                                <a:pt x="159" y="288"/>
                              </a:lnTo>
                              <a:lnTo>
                                <a:pt x="165" y="294"/>
                              </a:lnTo>
                              <a:lnTo>
                                <a:pt x="165" y="301"/>
                              </a:lnTo>
                              <a:lnTo>
                                <a:pt x="170" y="414"/>
                              </a:lnTo>
                              <a:lnTo>
                                <a:pt x="170" y="421"/>
                              </a:lnTo>
                              <a:lnTo>
                                <a:pt x="176" y="426"/>
                              </a:lnTo>
                              <a:lnTo>
                                <a:pt x="183" y="426"/>
                              </a:lnTo>
                              <a:lnTo>
                                <a:pt x="306" y="426"/>
                              </a:lnTo>
                              <a:lnTo>
                                <a:pt x="313" y="426"/>
                              </a:lnTo>
                              <a:lnTo>
                                <a:pt x="320" y="420"/>
                              </a:lnTo>
                              <a:lnTo>
                                <a:pt x="320" y="413"/>
                              </a:lnTo>
                              <a:lnTo>
                                <a:pt x="320" y="16"/>
                              </a:lnTo>
                              <a:lnTo>
                                <a:pt x="320" y="7"/>
                              </a:lnTo>
                              <a:lnTo>
                                <a:pt x="327" y="0"/>
                              </a:lnTo>
                              <a:lnTo>
                                <a:pt x="336" y="0"/>
                              </a:lnTo>
                              <a:lnTo>
                                <a:pt x="596" y="0"/>
                              </a:lnTo>
                              <a:lnTo>
                                <a:pt x="605" y="0"/>
                              </a:lnTo>
                              <a:lnTo>
                                <a:pt x="613" y="7"/>
                              </a:lnTo>
                              <a:lnTo>
                                <a:pt x="613" y="16"/>
                              </a:lnTo>
                              <a:lnTo>
                                <a:pt x="618" y="290"/>
                              </a:lnTo>
                              <a:lnTo>
                                <a:pt x="618" y="298"/>
                              </a:lnTo>
                              <a:lnTo>
                                <a:pt x="624" y="304"/>
                              </a:lnTo>
                              <a:lnTo>
                                <a:pt x="632" y="304"/>
                              </a:lnTo>
                              <a:lnTo>
                                <a:pt x="837" y="304"/>
                              </a:lnTo>
                              <a:lnTo>
                                <a:pt x="846" y="304"/>
                              </a:lnTo>
                              <a:lnTo>
                                <a:pt x="853" y="311"/>
                              </a:lnTo>
                              <a:lnTo>
                                <a:pt x="853" y="320"/>
                              </a:lnTo>
                              <a:lnTo>
                                <a:pt x="858" y="490"/>
                              </a:lnTo>
                              <a:lnTo>
                                <a:pt x="858" y="499"/>
                              </a:lnTo>
                              <a:lnTo>
                                <a:pt x="865" y="506"/>
                              </a:lnTo>
                              <a:lnTo>
                                <a:pt x="874" y="506"/>
                              </a:lnTo>
                              <a:lnTo>
                                <a:pt x="941" y="506"/>
                              </a:lnTo>
                              <a:lnTo>
                                <a:pt x="948" y="506"/>
                              </a:lnTo>
                              <a:lnTo>
                                <a:pt x="954" y="512"/>
                              </a:lnTo>
                              <a:lnTo>
                                <a:pt x="954" y="519"/>
                              </a:lnTo>
                              <a:lnTo>
                                <a:pt x="964" y="1035"/>
                              </a:lnTo>
                              <a:lnTo>
                                <a:pt x="965" y="1046"/>
                              </a:lnTo>
                              <a:lnTo>
                                <a:pt x="956" y="1056"/>
                              </a:lnTo>
                              <a:lnTo>
                                <a:pt x="944" y="1056"/>
                              </a:lnTo>
                              <a:lnTo>
                                <a:pt x="721" y="1056"/>
                              </a:lnTo>
                              <a:lnTo>
                                <a:pt x="711" y="1056"/>
                              </a:lnTo>
                              <a:lnTo>
                                <a:pt x="703" y="1048"/>
                              </a:lnTo>
                              <a:lnTo>
                                <a:pt x="702" y="1039"/>
                              </a:lnTo>
                              <a:lnTo>
                                <a:pt x="694" y="938"/>
                              </a:lnTo>
                              <a:lnTo>
                                <a:pt x="693" y="929"/>
                              </a:lnTo>
                              <a:lnTo>
                                <a:pt x="686" y="922"/>
                              </a:lnTo>
                              <a:lnTo>
                                <a:pt x="677" y="922"/>
                              </a:lnTo>
                              <a:lnTo>
                                <a:pt x="556" y="922"/>
                              </a:lnTo>
                              <a:lnTo>
                                <a:pt x="548" y="922"/>
                              </a:lnTo>
                              <a:lnTo>
                                <a:pt x="540" y="926"/>
                              </a:lnTo>
                              <a:lnTo>
                                <a:pt x="535" y="931"/>
                              </a:lnTo>
                              <a:lnTo>
                                <a:pt x="425" y="1046"/>
                              </a:lnTo>
                              <a:lnTo>
                                <a:pt x="419" y="1052"/>
                              </a:lnTo>
                              <a:lnTo>
                                <a:pt x="411" y="1055"/>
                              </a:lnTo>
                              <a:lnTo>
                                <a:pt x="295" y="1051"/>
                              </a:lnTo>
                              <a:lnTo>
                                <a:pt x="282" y="1038"/>
                              </a:lnTo>
                              <a:lnTo>
                                <a:pt x="277" y="714"/>
                              </a:lnTo>
                              <a:lnTo>
                                <a:pt x="277" y="704"/>
                              </a:lnTo>
                              <a:lnTo>
                                <a:pt x="272" y="695"/>
                              </a:lnTo>
                              <a:lnTo>
                                <a:pt x="264" y="689"/>
                              </a:lnTo>
                              <a:lnTo>
                                <a:pt x="19" y="516"/>
                              </a:lnTo>
                              <a:lnTo>
                                <a:pt x="10" y="510"/>
                              </a:lnTo>
                              <a:lnTo>
                                <a:pt x="5" y="500"/>
                              </a:lnTo>
                              <a:lnTo>
                                <a:pt x="4" y="489"/>
                              </a:lnTo>
                              <a:lnTo>
                                <a:pt x="0" y="302"/>
                              </a:lnTo>
                              <a:lnTo>
                                <a:pt x="0" y="294"/>
                              </a:lnTo>
                              <a:lnTo>
                                <a:pt x="6" y="288"/>
                              </a:lnTo>
                              <a:lnTo>
                                <a:pt x="14" y="288"/>
                              </a:lnTo>
                              <a:close/>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66EA6E8D" id="Freeform 137" o:spid="_x0000_s1026" style="position:absolute;margin-left:206.25pt;margin-top:289.3pt;width:48.25pt;height:52.8pt;z-index:-251687597;visibility:visible;mso-wrap-style:square;mso-wrap-distance-left:9pt;mso-wrap-distance-top:0;mso-wrap-distance-right:9pt;mso-wrap-distance-bottom:0;mso-position-horizontal:absolute;mso-position-horizontal-relative:text;mso-position-vertical:absolute;mso-position-vertical-relative:text;v-text-anchor:top" coordsize="965,1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" path="m14,288r138,l159,288r6,6l165,301r5,113l170,421r6,5l183,426r123,l313,426r7,-6l320,413r,-397l320,7,327,r9,l596,r9,l613,7r,9l618,290r,8l624,304r8,l837,304r9,l853,311r,9l858,490r,9l865,506r9,l941,506r7,l954,512r,7l964,1035r1,11l956,1056r-12,l721,1056r-10,l703,1048r-1,-9l694,938r-1,-9l686,922r-9,l556,922r-8,l540,926r-5,5l425,1046r-6,6l411,1055r-116,-4l282,1038,277,714r,-10l272,695r-8,-6l19,516r-9,-6l5,500,4,489,,302r,-8l6,288r8,xe" filled="f" strokecolor="white" strokeweight="1.5pt">
                <v:path arrowok="t" o:connecttype="custom" o:connectlocs="96520,4885055;104775,4888865;107950,4965065;111760,4972685;194310,4972685;203200,4968875;203200,4712335;207645,4702175;378460,4702175;389255,4706620;392430,4886325;396240,4895215;531495,4895215;541655,4899660;544830,5013325;549275,5023485;597535,5023485;605790,5027295;612140,5359400;607060,5372735;457835,5372735;446405,5367655;440690,5297805;435610,5287645;353060,5287645;342900,5290185;269875,5366385;260985,5372100;179070,5361305;175895,5149215;167640,5139690;6350,5026025;2540,5012690;0,4888865;8890,4885055" o:connectangles="0,0,0,0,0,0,0,0,0,0,0,0,0,0,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29907" behindDoc="1" locked="0" layoutInCell="1" allowOverlap="1" wp14:anchorId="72E7CB75" wp14:editId="5998DA3A">
                <wp:simplePos x="0" y="0"/>
                <wp:positionH relativeFrom="column">
                  <wp:posOffset>3500755</wp:posOffset>
                </wp:positionH>
                <wp:positionV relativeFrom="paragraph">
                  <wp:posOffset>3111925</wp:posOffset>
                </wp:positionV>
                <wp:extent cx="480060" cy="477520"/>
                <wp:effectExtent l="0" t="0" r="15240" b="17780"/>
                <wp:wrapNone/>
                <wp:docPr id="1690912514"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060" cy="477520"/>
                        </a:xfrm>
                        <a:custGeom>
                          <a:avLst/>
                          <a:gdLst>
                            <a:gd name="T0" fmla="+- 0 6159 6144"/>
                            <a:gd name="T1" fmla="*/ T0 w 756"/>
                            <a:gd name="T2" fmla="+- 0 7005 6519"/>
                            <a:gd name="T3" fmla="*/ 7005 h 752"/>
                            <a:gd name="T4" fmla="+- 0 6178 6144"/>
                            <a:gd name="T5" fmla="*/ T4 w 756"/>
                            <a:gd name="T6" fmla="+- 0 7005 6519"/>
                            <a:gd name="T7" fmla="*/ 7005 h 752"/>
                            <a:gd name="T8" fmla="+- 0 6184 6144"/>
                            <a:gd name="T9" fmla="*/ T8 w 756"/>
                            <a:gd name="T10" fmla="+- 0 7005 6519"/>
                            <a:gd name="T11" fmla="*/ 7005 h 752"/>
                            <a:gd name="T12" fmla="+- 0 6190 6144"/>
                            <a:gd name="T13" fmla="*/ T12 w 756"/>
                            <a:gd name="T14" fmla="+- 0 6999 6519"/>
                            <a:gd name="T15" fmla="*/ 6999 h 752"/>
                            <a:gd name="T16" fmla="+- 0 6190 6144"/>
                            <a:gd name="T17" fmla="*/ T16 w 756"/>
                            <a:gd name="T18" fmla="+- 0 6992 6519"/>
                            <a:gd name="T19" fmla="*/ 6992 h 752"/>
                            <a:gd name="T20" fmla="+- 0 6190 6144"/>
                            <a:gd name="T21" fmla="*/ T20 w 756"/>
                            <a:gd name="T22" fmla="+- 0 6539 6519"/>
                            <a:gd name="T23" fmla="*/ 6539 h 752"/>
                            <a:gd name="T24" fmla="+- 0 6190 6144"/>
                            <a:gd name="T25" fmla="*/ T24 w 756"/>
                            <a:gd name="T26" fmla="+- 0 6528 6519"/>
                            <a:gd name="T27" fmla="*/ 6528 h 752"/>
                            <a:gd name="T28" fmla="+- 0 6199 6144"/>
                            <a:gd name="T29" fmla="*/ T28 w 756"/>
                            <a:gd name="T30" fmla="+- 0 6519 6519"/>
                            <a:gd name="T31" fmla="*/ 6519 h 752"/>
                            <a:gd name="T32" fmla="+- 0 6210 6144"/>
                            <a:gd name="T33" fmla="*/ T32 w 756"/>
                            <a:gd name="T34" fmla="+- 0 6519 6519"/>
                            <a:gd name="T35" fmla="*/ 6519 h 752"/>
                            <a:gd name="T36" fmla="+- 0 6880 6144"/>
                            <a:gd name="T37" fmla="*/ T36 w 756"/>
                            <a:gd name="T38" fmla="+- 0 6519 6519"/>
                            <a:gd name="T39" fmla="*/ 6519 h 752"/>
                            <a:gd name="T40" fmla="+- 0 6891 6144"/>
                            <a:gd name="T41" fmla="*/ T40 w 756"/>
                            <a:gd name="T42" fmla="+- 0 6519 6519"/>
                            <a:gd name="T43" fmla="*/ 6519 h 752"/>
                            <a:gd name="T44" fmla="+- 0 6899 6144"/>
                            <a:gd name="T45" fmla="*/ T44 w 756"/>
                            <a:gd name="T46" fmla="+- 0 6528 6519"/>
                            <a:gd name="T47" fmla="*/ 6528 h 752"/>
                            <a:gd name="T48" fmla="+- 0 6899 6144"/>
                            <a:gd name="T49" fmla="*/ T48 w 756"/>
                            <a:gd name="T50" fmla="+- 0 6538 6519"/>
                            <a:gd name="T51" fmla="*/ 6538 h 752"/>
                            <a:gd name="T52" fmla="+- 0 6899 6144"/>
                            <a:gd name="T53" fmla="*/ T52 w 756"/>
                            <a:gd name="T54" fmla="+- 0 7255 6519"/>
                            <a:gd name="T55" fmla="*/ 7255 h 752"/>
                            <a:gd name="T56" fmla="+- 0 6899 6144"/>
                            <a:gd name="T57" fmla="*/ T56 w 756"/>
                            <a:gd name="T58" fmla="+- 0 7264 6519"/>
                            <a:gd name="T59" fmla="*/ 7264 h 752"/>
                            <a:gd name="T60" fmla="+- 0 6892 6144"/>
                            <a:gd name="T61" fmla="*/ T60 w 756"/>
                            <a:gd name="T62" fmla="+- 0 7271 6519"/>
                            <a:gd name="T63" fmla="*/ 7271 h 752"/>
                            <a:gd name="T64" fmla="+- 0 6883 6144"/>
                            <a:gd name="T65" fmla="*/ T64 w 756"/>
                            <a:gd name="T66" fmla="+- 0 7271 6519"/>
                            <a:gd name="T67" fmla="*/ 7271 h 752"/>
                            <a:gd name="T68" fmla="+- 0 6166 6144"/>
                            <a:gd name="T69" fmla="*/ T68 w 756"/>
                            <a:gd name="T70" fmla="+- 0 7271 6519"/>
                            <a:gd name="T71" fmla="*/ 7271 h 752"/>
                            <a:gd name="T72" fmla="+- 0 6157 6144"/>
                            <a:gd name="T73" fmla="*/ T72 w 756"/>
                            <a:gd name="T74" fmla="+- 0 7271 6519"/>
                            <a:gd name="T75" fmla="*/ 7271 h 752"/>
                            <a:gd name="T76" fmla="+- 0 6149 6144"/>
                            <a:gd name="T77" fmla="*/ T76 w 756"/>
                            <a:gd name="T78" fmla="+- 0 7264 6519"/>
                            <a:gd name="T79" fmla="*/ 7264 h 752"/>
                            <a:gd name="T80" fmla="+- 0 6148 6144"/>
                            <a:gd name="T81" fmla="*/ T80 w 756"/>
                            <a:gd name="T82" fmla="+- 0 7254 6519"/>
                            <a:gd name="T83" fmla="*/ 7254 h 752"/>
                            <a:gd name="T84" fmla="+- 0 6144 6144"/>
                            <a:gd name="T85" fmla="*/ T84 w 756"/>
                            <a:gd name="T86" fmla="+- 0 7021 6519"/>
                            <a:gd name="T87" fmla="*/ 7021 h 752"/>
                            <a:gd name="T88" fmla="+- 0 6144 6144"/>
                            <a:gd name="T89" fmla="*/ T88 w 756"/>
                            <a:gd name="T90" fmla="+- 0 7012 6519"/>
                            <a:gd name="T91" fmla="*/ 7012 h 752"/>
                            <a:gd name="T92" fmla="+- 0 6151 6144"/>
                            <a:gd name="T93" fmla="*/ T92 w 756"/>
                            <a:gd name="T94" fmla="+- 0 7005 6519"/>
                            <a:gd name="T95" fmla="*/ 7005 h 752"/>
                            <a:gd name="T96" fmla="+- 0 6159 6144"/>
                            <a:gd name="T97" fmla="*/ T96 w 756"/>
                            <a:gd name="T98" fmla="+- 0 7005 6519"/>
                            <a:gd name="T99" fmla="*/ 7005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56" h="752">
                              <a:moveTo>
                                <a:pt x="15" y="486"/>
                              </a:moveTo>
                              <a:lnTo>
                                <a:pt x="34" y="486"/>
                              </a:lnTo>
                              <a:lnTo>
                                <a:pt x="40" y="486"/>
                              </a:lnTo>
                              <a:lnTo>
                                <a:pt x="46" y="480"/>
                              </a:lnTo>
                              <a:lnTo>
                                <a:pt x="46" y="473"/>
                              </a:lnTo>
                              <a:lnTo>
                                <a:pt x="46" y="20"/>
                              </a:lnTo>
                              <a:lnTo>
                                <a:pt x="46" y="9"/>
                              </a:lnTo>
                              <a:lnTo>
                                <a:pt x="55" y="0"/>
                              </a:lnTo>
                              <a:lnTo>
                                <a:pt x="66" y="0"/>
                              </a:lnTo>
                              <a:lnTo>
                                <a:pt x="736" y="0"/>
                              </a:lnTo>
                              <a:lnTo>
                                <a:pt x="747" y="0"/>
                              </a:lnTo>
                              <a:lnTo>
                                <a:pt x="755" y="9"/>
                              </a:lnTo>
                              <a:lnTo>
                                <a:pt x="755" y="19"/>
                              </a:lnTo>
                              <a:lnTo>
                                <a:pt x="755" y="736"/>
                              </a:lnTo>
                              <a:lnTo>
                                <a:pt x="755" y="745"/>
                              </a:lnTo>
                              <a:lnTo>
                                <a:pt x="748" y="752"/>
                              </a:lnTo>
                              <a:lnTo>
                                <a:pt x="739" y="752"/>
                              </a:lnTo>
                              <a:lnTo>
                                <a:pt x="22" y="752"/>
                              </a:lnTo>
                              <a:lnTo>
                                <a:pt x="13" y="752"/>
                              </a:lnTo>
                              <a:lnTo>
                                <a:pt x="5" y="745"/>
                              </a:lnTo>
                              <a:lnTo>
                                <a:pt x="4" y="735"/>
                              </a:lnTo>
                              <a:lnTo>
                                <a:pt x="0" y="502"/>
                              </a:lnTo>
                              <a:lnTo>
                                <a:pt x="0" y="493"/>
                              </a:lnTo>
                              <a:lnTo>
                                <a:pt x="7" y="486"/>
                              </a:lnTo>
                              <a:lnTo>
                                <a:pt x="15" y="486"/>
                              </a:lnTo>
                              <a:close/>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26CA818" id="Freeform 138" o:spid="_x0000_s1026" style="position:absolute;margin-left:275.65pt;margin-top:245.05pt;width:37.8pt;height:37.6pt;z-index:-251686573;visibility:visible;mso-wrap-style:square;mso-wrap-distance-left:9pt;mso-wrap-distance-top:0;mso-wrap-distance-right:9pt;mso-wrap-distance-bottom:0;mso-position-horizontal:absolute;mso-position-horizontal-relative:text;mso-position-vertical:absolute;mso-position-vertical-relative:text;v-text-anchor:top" coordsize="756,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" path="m15,486r19,l40,486r6,-6l46,473,46,20,46,9,55,,66,,736,r11,l755,9r,10l755,736r,9l748,752r-9,l22,752r-9,l5,745,4,735,,502r,-9l7,486r8,xe" filled="f" strokecolor="white" strokeweight="1.5pt">
                <v:path arrowok="t" o:connecttype="custom" o:connectlocs="9525,4448175;21590,4448175;25400,4448175;29210,4444365;29210,4439920;29210,4152265;29210,4145280;34925,4139565;41910,4139565;467360,4139565;474345,4139565;479425,4145280;479425,4151630;479425,4606925;479425,4612640;474980,4617085;469265,4617085;13970,4617085;8255,4617085;3175,4612640;2540,4606290;0,4458335;0,4452620;4445,4448175;9525,4448175" o:connectangles="0,0,0,0,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30931" behindDoc="1" locked="0" layoutInCell="1" allowOverlap="1" wp14:anchorId="360A585A" wp14:editId="57F8D1F7">
                <wp:simplePos x="0" y="0"/>
                <wp:positionH relativeFrom="column">
                  <wp:posOffset>4908550</wp:posOffset>
                </wp:positionH>
                <wp:positionV relativeFrom="paragraph">
                  <wp:posOffset>7749330</wp:posOffset>
                </wp:positionV>
                <wp:extent cx="490855" cy="726440"/>
                <wp:effectExtent l="0" t="0" r="23495" b="16510"/>
                <wp:wrapNone/>
                <wp:docPr id="1690912515"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0855" cy="726440"/>
                        </a:xfrm>
                        <a:custGeom>
                          <a:avLst/>
                          <a:gdLst>
                            <a:gd name="T0" fmla="+- 0 8384 8361"/>
                            <a:gd name="T1" fmla="*/ T0 w 773"/>
                            <a:gd name="T2" fmla="+- 0 13834 13823"/>
                            <a:gd name="T3" fmla="*/ 13834 h 1144"/>
                            <a:gd name="T4" fmla="+- 0 8849 8361"/>
                            <a:gd name="T5" fmla="*/ T4 w 773"/>
                            <a:gd name="T6" fmla="+- 0 13823 13823"/>
                            <a:gd name="T7" fmla="*/ 13823 h 1144"/>
                            <a:gd name="T8" fmla="+- 0 8855 8361"/>
                            <a:gd name="T9" fmla="*/ T8 w 773"/>
                            <a:gd name="T10" fmla="+- 0 13823 13823"/>
                            <a:gd name="T11" fmla="*/ 13823 h 1144"/>
                            <a:gd name="T12" fmla="+- 0 8860 8361"/>
                            <a:gd name="T13" fmla="*/ T12 w 773"/>
                            <a:gd name="T14" fmla="+- 0 13826 13823"/>
                            <a:gd name="T15" fmla="*/ 13826 h 1144"/>
                            <a:gd name="T16" fmla="+- 0 8862 8361"/>
                            <a:gd name="T17" fmla="*/ T16 w 773"/>
                            <a:gd name="T18" fmla="+- 0 13832 13823"/>
                            <a:gd name="T19" fmla="*/ 13832 h 1144"/>
                            <a:gd name="T20" fmla="+- 0 9131 8361"/>
                            <a:gd name="T21" fmla="*/ T20 w 773"/>
                            <a:gd name="T22" fmla="+- 0 14746 13823"/>
                            <a:gd name="T23" fmla="*/ 14746 h 1144"/>
                            <a:gd name="T24" fmla="+- 0 9133 8361"/>
                            <a:gd name="T25" fmla="*/ T24 w 773"/>
                            <a:gd name="T26" fmla="+- 0 14752 13823"/>
                            <a:gd name="T27" fmla="*/ 14752 h 1144"/>
                            <a:gd name="T28" fmla="+- 0 9133 8361"/>
                            <a:gd name="T29" fmla="*/ T28 w 773"/>
                            <a:gd name="T30" fmla="+- 0 14759 13823"/>
                            <a:gd name="T31" fmla="*/ 14759 h 1144"/>
                            <a:gd name="T32" fmla="+- 0 9133 8361"/>
                            <a:gd name="T33" fmla="*/ T32 w 773"/>
                            <a:gd name="T34" fmla="+- 0 14765 13823"/>
                            <a:gd name="T35" fmla="*/ 14765 h 1144"/>
                            <a:gd name="T36" fmla="+- 0 9115 8361"/>
                            <a:gd name="T37" fmla="*/ T36 w 773"/>
                            <a:gd name="T38" fmla="+- 0 14892 13823"/>
                            <a:gd name="T39" fmla="*/ 14892 h 1144"/>
                            <a:gd name="T40" fmla="+- 0 9114 8361"/>
                            <a:gd name="T41" fmla="*/ T40 w 773"/>
                            <a:gd name="T42" fmla="+- 0 14896 13823"/>
                            <a:gd name="T43" fmla="*/ 14896 h 1144"/>
                            <a:gd name="T44" fmla="+- 0 9112 8361"/>
                            <a:gd name="T45" fmla="*/ T44 w 773"/>
                            <a:gd name="T46" fmla="+- 0 14901 13823"/>
                            <a:gd name="T47" fmla="*/ 14901 h 1144"/>
                            <a:gd name="T48" fmla="+- 0 9110 8361"/>
                            <a:gd name="T49" fmla="*/ T48 w 773"/>
                            <a:gd name="T50" fmla="+- 0 14905 13823"/>
                            <a:gd name="T51" fmla="*/ 14905 h 1144"/>
                            <a:gd name="T52" fmla="+- 0 9069 8361"/>
                            <a:gd name="T53" fmla="*/ T52 w 773"/>
                            <a:gd name="T54" fmla="+- 0 14967 13823"/>
                            <a:gd name="T55" fmla="*/ 14967 h 1144"/>
                            <a:gd name="T56" fmla="+- 0 8367 8361"/>
                            <a:gd name="T57" fmla="*/ T56 w 773"/>
                            <a:gd name="T58" fmla="+- 0 14950 13823"/>
                            <a:gd name="T59" fmla="*/ 14950 h 1144"/>
                            <a:gd name="T60" fmla="+- 0 8361 8361"/>
                            <a:gd name="T61" fmla="*/ T60 w 773"/>
                            <a:gd name="T62" fmla="+- 0 14349 13823"/>
                            <a:gd name="T63" fmla="*/ 14349 h 1144"/>
                            <a:gd name="T64" fmla="+- 0 8376 8361"/>
                            <a:gd name="T65" fmla="*/ T64 w 773"/>
                            <a:gd name="T66" fmla="+- 0 14323 13823"/>
                            <a:gd name="T67" fmla="*/ 14323 h 1144"/>
                            <a:gd name="T68" fmla="+- 0 8384 8361"/>
                            <a:gd name="T69" fmla="*/ T68 w 773"/>
                            <a:gd name="T70" fmla="+- 0 13834 13823"/>
                            <a:gd name="T71" fmla="*/ 13834 h 1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73" h="1144">
                              <a:moveTo>
                                <a:pt x="23" y="11"/>
                              </a:moveTo>
                              <a:lnTo>
                                <a:pt x="488" y="0"/>
                              </a:lnTo>
                              <a:lnTo>
                                <a:pt x="494" y="0"/>
                              </a:lnTo>
                              <a:lnTo>
                                <a:pt x="499" y="3"/>
                              </a:lnTo>
                              <a:lnTo>
                                <a:pt x="501" y="9"/>
                              </a:lnTo>
                              <a:lnTo>
                                <a:pt x="770" y="923"/>
                              </a:lnTo>
                              <a:lnTo>
                                <a:pt x="772" y="929"/>
                              </a:lnTo>
                              <a:lnTo>
                                <a:pt x="772" y="936"/>
                              </a:lnTo>
                              <a:lnTo>
                                <a:pt x="772" y="942"/>
                              </a:lnTo>
                              <a:lnTo>
                                <a:pt x="754" y="1069"/>
                              </a:lnTo>
                              <a:lnTo>
                                <a:pt x="753" y="1073"/>
                              </a:lnTo>
                              <a:lnTo>
                                <a:pt x="751" y="1078"/>
                              </a:lnTo>
                              <a:lnTo>
                                <a:pt x="749" y="1082"/>
                              </a:lnTo>
                              <a:lnTo>
                                <a:pt x="708" y="1144"/>
                              </a:lnTo>
                              <a:lnTo>
                                <a:pt x="6" y="1127"/>
                              </a:lnTo>
                              <a:lnTo>
                                <a:pt x="0" y="526"/>
                              </a:lnTo>
                              <a:lnTo>
                                <a:pt x="15" y="500"/>
                              </a:lnTo>
                              <a:lnTo>
                                <a:pt x="23" y="11"/>
                              </a:lnTo>
                              <a:close/>
                            </a:path>
                          </a:pathLst>
                        </a:custGeom>
                        <a:noFill/>
                        <a:ln w="1666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409E4CC0" id="Freeform 139" o:spid="_x0000_s1026" style="position:absolute;margin-left:386.5pt;margin-top:610.2pt;width:38.65pt;height:57.2pt;z-index:-251685549;visibility:visible;mso-wrap-style:square;mso-wrap-distance-left:9pt;mso-wrap-distance-top:0;mso-wrap-distance-right:9pt;mso-wrap-distance-bottom:0;mso-position-horizontal:absolute;mso-position-horizontal-relative:text;mso-position-vertical:absolute;mso-position-vertical-relative:text;v-text-anchor:top" coordsize="773,1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" path="m23,11l488,r6,l499,3r2,6l770,923r2,6l772,936r,6l754,1069r-1,4l751,1078r-2,4l708,1144,6,1127,,526,15,500,23,11xe" filled="f" strokecolor="white" strokeweight=".46283mm">
                <v:path arrowok="t" o:connecttype="custom" o:connectlocs="14605,8784590;309880,8777605;313690,8777605;316865,8779510;318135,8783320;488950,9363710;490220,9367520;490220,9371965;490220,9375775;478790,9456420;478155,9458960;476885,9462135;475615,9464675;449580,9504045;3810,9493250;0,9111615;9525,9095105;14605,8784590" o:connectangles="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31955" behindDoc="1" locked="0" layoutInCell="1" allowOverlap="1" wp14:anchorId="49756EA3" wp14:editId="7F9BC3F9">
                <wp:simplePos x="0" y="0"/>
                <wp:positionH relativeFrom="column">
                  <wp:posOffset>3333750</wp:posOffset>
                </wp:positionH>
                <wp:positionV relativeFrom="paragraph">
                  <wp:posOffset>6206915</wp:posOffset>
                </wp:positionV>
                <wp:extent cx="798195" cy="678180"/>
                <wp:effectExtent l="0" t="0" r="20955" b="26670"/>
                <wp:wrapNone/>
                <wp:docPr id="1690912516"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8195" cy="678180"/>
                        </a:xfrm>
                        <a:custGeom>
                          <a:avLst/>
                          <a:gdLst>
                            <a:gd name="T0" fmla="+- 0 5881 5881"/>
                            <a:gd name="T1" fmla="*/ T0 w 1257"/>
                            <a:gd name="T2" fmla="+- 0 11614 11394"/>
                            <a:gd name="T3" fmla="*/ 11614 h 1068"/>
                            <a:gd name="T4" fmla="+- 0 5885 5881"/>
                            <a:gd name="T5" fmla="*/ T4 w 1257"/>
                            <a:gd name="T6" fmla="+- 0 11606 11394"/>
                            <a:gd name="T7" fmla="*/ 11606 h 1068"/>
                            <a:gd name="T8" fmla="+- 0 5965 5881"/>
                            <a:gd name="T9" fmla="*/ T8 w 1257"/>
                            <a:gd name="T10" fmla="+- 0 11606 11394"/>
                            <a:gd name="T11" fmla="*/ 11606 h 1068"/>
                            <a:gd name="T12" fmla="+- 0 5973 5881"/>
                            <a:gd name="T13" fmla="*/ T12 w 1257"/>
                            <a:gd name="T14" fmla="+- 0 11602 11394"/>
                            <a:gd name="T15" fmla="*/ 11602 h 1068"/>
                            <a:gd name="T16" fmla="+- 0 5973 5881"/>
                            <a:gd name="T17" fmla="*/ T16 w 1257"/>
                            <a:gd name="T18" fmla="+- 0 11484 11394"/>
                            <a:gd name="T19" fmla="*/ 11484 h 1068"/>
                            <a:gd name="T20" fmla="+- 0 5977 5881"/>
                            <a:gd name="T21" fmla="*/ T20 w 1257"/>
                            <a:gd name="T22" fmla="+- 0 11475 11394"/>
                            <a:gd name="T23" fmla="*/ 11475 h 1068"/>
                            <a:gd name="T24" fmla="+- 0 6019 5881"/>
                            <a:gd name="T25" fmla="*/ T24 w 1257"/>
                            <a:gd name="T26" fmla="+- 0 11475 11394"/>
                            <a:gd name="T27" fmla="*/ 11475 h 1068"/>
                            <a:gd name="T28" fmla="+- 0 6027 5881"/>
                            <a:gd name="T29" fmla="*/ T28 w 1257"/>
                            <a:gd name="T30" fmla="+- 0 11471 11394"/>
                            <a:gd name="T31" fmla="*/ 11471 h 1068"/>
                            <a:gd name="T32" fmla="+- 0 6027 5881"/>
                            <a:gd name="T33" fmla="*/ T32 w 1257"/>
                            <a:gd name="T34" fmla="+- 0 11452 11394"/>
                            <a:gd name="T35" fmla="*/ 11452 h 1068"/>
                            <a:gd name="T36" fmla="+- 0 6031 5881"/>
                            <a:gd name="T37" fmla="*/ T36 w 1257"/>
                            <a:gd name="T38" fmla="+- 0 11443 11394"/>
                            <a:gd name="T39" fmla="*/ 11443 h 1068"/>
                            <a:gd name="T40" fmla="+- 0 6378 5881"/>
                            <a:gd name="T41" fmla="*/ T40 w 1257"/>
                            <a:gd name="T42" fmla="+- 0 11443 11394"/>
                            <a:gd name="T43" fmla="*/ 11443 h 1068"/>
                            <a:gd name="T44" fmla="+- 0 6387 5881"/>
                            <a:gd name="T45" fmla="*/ T44 w 1257"/>
                            <a:gd name="T46" fmla="+- 0 11447 11394"/>
                            <a:gd name="T47" fmla="*/ 11447 h 1068"/>
                            <a:gd name="T48" fmla="+- 0 6387 5881"/>
                            <a:gd name="T49" fmla="*/ T48 w 1257"/>
                            <a:gd name="T50" fmla="+- 0 11508 11394"/>
                            <a:gd name="T51" fmla="*/ 11508 h 1068"/>
                            <a:gd name="T52" fmla="+- 0 6390 5881"/>
                            <a:gd name="T53" fmla="*/ T52 w 1257"/>
                            <a:gd name="T54" fmla="+- 0 11517 11394"/>
                            <a:gd name="T55" fmla="*/ 11517 h 1068"/>
                            <a:gd name="T56" fmla="+- 0 6502 5881"/>
                            <a:gd name="T57" fmla="*/ T56 w 1257"/>
                            <a:gd name="T58" fmla="+- 0 11517 11394"/>
                            <a:gd name="T59" fmla="*/ 11517 h 1068"/>
                            <a:gd name="T60" fmla="+- 0 6511 5881"/>
                            <a:gd name="T61" fmla="*/ T60 w 1257"/>
                            <a:gd name="T62" fmla="+- 0 11513 11394"/>
                            <a:gd name="T63" fmla="*/ 11513 h 1068"/>
                            <a:gd name="T64" fmla="+- 0 6511 5881"/>
                            <a:gd name="T65" fmla="*/ T64 w 1257"/>
                            <a:gd name="T66" fmla="+- 0 11462 11394"/>
                            <a:gd name="T67" fmla="*/ 11462 h 1068"/>
                            <a:gd name="T68" fmla="+- 0 6513 5881"/>
                            <a:gd name="T69" fmla="*/ T68 w 1257"/>
                            <a:gd name="T70" fmla="+- 0 11455 11394"/>
                            <a:gd name="T71" fmla="*/ 11455 h 1068"/>
                            <a:gd name="T72" fmla="+- 0 6552 5881"/>
                            <a:gd name="T73" fmla="*/ T72 w 1257"/>
                            <a:gd name="T74" fmla="+- 0 11440 11394"/>
                            <a:gd name="T75" fmla="*/ 11440 h 1068"/>
                            <a:gd name="T76" fmla="+- 0 6608 5881"/>
                            <a:gd name="T77" fmla="*/ T76 w 1257"/>
                            <a:gd name="T78" fmla="+- 0 11395 11394"/>
                            <a:gd name="T79" fmla="*/ 11395 h 1068"/>
                            <a:gd name="T80" fmla="+- 0 6616 5881"/>
                            <a:gd name="T81" fmla="*/ T80 w 1257"/>
                            <a:gd name="T82" fmla="+- 0 11395 11394"/>
                            <a:gd name="T83" fmla="*/ 11395 h 1068"/>
                            <a:gd name="T84" fmla="+- 0 6673 5881"/>
                            <a:gd name="T85" fmla="*/ T84 w 1257"/>
                            <a:gd name="T86" fmla="+- 0 11415 11394"/>
                            <a:gd name="T87" fmla="*/ 11415 h 1068"/>
                            <a:gd name="T88" fmla="+- 0 6674 5881"/>
                            <a:gd name="T89" fmla="*/ T88 w 1257"/>
                            <a:gd name="T90" fmla="+- 0 11415 11394"/>
                            <a:gd name="T91" fmla="*/ 11415 h 1068"/>
                            <a:gd name="T92" fmla="+- 0 6794 5881"/>
                            <a:gd name="T93" fmla="*/ T92 w 1257"/>
                            <a:gd name="T94" fmla="+- 0 11415 11394"/>
                            <a:gd name="T95" fmla="*/ 11415 h 1068"/>
                            <a:gd name="T96" fmla="+- 0 6804 5881"/>
                            <a:gd name="T97" fmla="*/ T96 w 1257"/>
                            <a:gd name="T98" fmla="+- 0 11421 11394"/>
                            <a:gd name="T99" fmla="*/ 11421 h 1068"/>
                            <a:gd name="T100" fmla="+- 0 6792 5881"/>
                            <a:gd name="T101" fmla="*/ T100 w 1257"/>
                            <a:gd name="T102" fmla="+- 0 11453 11394"/>
                            <a:gd name="T103" fmla="*/ 11453 h 1068"/>
                            <a:gd name="T104" fmla="+- 0 6791 5881"/>
                            <a:gd name="T105" fmla="*/ T104 w 1257"/>
                            <a:gd name="T106" fmla="+- 0 11457 11394"/>
                            <a:gd name="T107" fmla="*/ 11457 h 1068"/>
                            <a:gd name="T108" fmla="+- 0 6800 5881"/>
                            <a:gd name="T109" fmla="*/ T108 w 1257"/>
                            <a:gd name="T110" fmla="+- 0 11482 11394"/>
                            <a:gd name="T111" fmla="*/ 11482 h 1068"/>
                            <a:gd name="T112" fmla="+- 0 6807 5881"/>
                            <a:gd name="T113" fmla="*/ T112 w 1257"/>
                            <a:gd name="T114" fmla="+- 0 11489 11394"/>
                            <a:gd name="T115" fmla="*/ 11489 h 1068"/>
                            <a:gd name="T116" fmla="+- 0 6853 5881"/>
                            <a:gd name="T117" fmla="*/ T116 w 1257"/>
                            <a:gd name="T118" fmla="+- 0 11467 11394"/>
                            <a:gd name="T119" fmla="*/ 11467 h 1068"/>
                            <a:gd name="T120" fmla="+- 0 6855 5881"/>
                            <a:gd name="T121" fmla="*/ T120 w 1257"/>
                            <a:gd name="T122" fmla="+- 0 11466 11394"/>
                            <a:gd name="T123" fmla="*/ 11466 h 1068"/>
                            <a:gd name="T124" fmla="+- 0 6874 5881"/>
                            <a:gd name="T125" fmla="*/ T124 w 1257"/>
                            <a:gd name="T126" fmla="+- 0 11466 11394"/>
                            <a:gd name="T127" fmla="*/ 11466 h 1068"/>
                            <a:gd name="T128" fmla="+- 0 6883 5881"/>
                            <a:gd name="T129" fmla="*/ T128 w 1257"/>
                            <a:gd name="T130" fmla="+- 0 11470 11394"/>
                            <a:gd name="T131" fmla="*/ 11470 h 1068"/>
                            <a:gd name="T132" fmla="+- 0 6883 5881"/>
                            <a:gd name="T133" fmla="*/ T132 w 1257"/>
                            <a:gd name="T134" fmla="+- 0 11546 11394"/>
                            <a:gd name="T135" fmla="*/ 11546 h 1068"/>
                            <a:gd name="T136" fmla="+- 0 6887 5881"/>
                            <a:gd name="T137" fmla="*/ T136 w 1257"/>
                            <a:gd name="T138" fmla="+- 0 11555 11394"/>
                            <a:gd name="T139" fmla="*/ 11555 h 1068"/>
                            <a:gd name="T140" fmla="+- 0 7129 5881"/>
                            <a:gd name="T141" fmla="*/ T140 w 1257"/>
                            <a:gd name="T142" fmla="+- 0 11555 11394"/>
                            <a:gd name="T143" fmla="*/ 11555 h 1068"/>
                            <a:gd name="T144" fmla="+- 0 7137 5881"/>
                            <a:gd name="T145" fmla="*/ T144 w 1257"/>
                            <a:gd name="T146" fmla="+- 0 11559 11394"/>
                            <a:gd name="T147" fmla="*/ 11559 h 1068"/>
                            <a:gd name="T148" fmla="+- 0 7137 5881"/>
                            <a:gd name="T149" fmla="*/ T148 w 1257"/>
                            <a:gd name="T150" fmla="+- 0 12453 11394"/>
                            <a:gd name="T151" fmla="*/ 12453 h 1068"/>
                            <a:gd name="T152" fmla="+- 0 7134 5881"/>
                            <a:gd name="T153" fmla="*/ T152 w 1257"/>
                            <a:gd name="T154" fmla="+- 0 12462 11394"/>
                            <a:gd name="T155" fmla="*/ 12462 h 1068"/>
                            <a:gd name="T156" fmla="+- 0 6217 5881"/>
                            <a:gd name="T157" fmla="*/ T156 w 1257"/>
                            <a:gd name="T158" fmla="+- 0 12462 11394"/>
                            <a:gd name="T159" fmla="*/ 12462 h 1068"/>
                            <a:gd name="T160" fmla="+- 0 6208 5881"/>
                            <a:gd name="T161" fmla="*/ T160 w 1257"/>
                            <a:gd name="T162" fmla="+- 0 12458 11394"/>
                            <a:gd name="T163" fmla="*/ 12458 h 1068"/>
                            <a:gd name="T164" fmla="+- 0 6208 5881"/>
                            <a:gd name="T165" fmla="*/ T164 w 1257"/>
                            <a:gd name="T166" fmla="+- 0 12111 11394"/>
                            <a:gd name="T167" fmla="*/ 12111 h 1068"/>
                            <a:gd name="T168" fmla="+- 0 6212 5881"/>
                            <a:gd name="T169" fmla="*/ T168 w 1257"/>
                            <a:gd name="T170" fmla="+- 0 12102 11394"/>
                            <a:gd name="T171" fmla="*/ 12102 h 1068"/>
                            <a:gd name="T172" fmla="+- 0 6235 5881"/>
                            <a:gd name="T173" fmla="*/ T172 w 1257"/>
                            <a:gd name="T174" fmla="+- 0 12102 11394"/>
                            <a:gd name="T175" fmla="*/ 12102 h 1068"/>
                            <a:gd name="T176" fmla="+- 0 6243 5881"/>
                            <a:gd name="T177" fmla="*/ T176 w 1257"/>
                            <a:gd name="T178" fmla="+- 0 12098 11394"/>
                            <a:gd name="T179" fmla="*/ 12098 h 1068"/>
                            <a:gd name="T180" fmla="+- 0 6243 5881"/>
                            <a:gd name="T181" fmla="*/ T180 w 1257"/>
                            <a:gd name="T182" fmla="+- 0 12031 11394"/>
                            <a:gd name="T183" fmla="*/ 12031 h 1068"/>
                            <a:gd name="T184" fmla="+- 0 6247 5881"/>
                            <a:gd name="T185" fmla="*/ T184 w 1257"/>
                            <a:gd name="T186" fmla="+- 0 12022 11394"/>
                            <a:gd name="T187" fmla="*/ 12022 h 1068"/>
                            <a:gd name="T188" fmla="+- 0 6295 5881"/>
                            <a:gd name="T189" fmla="*/ T188 w 1257"/>
                            <a:gd name="T190" fmla="+- 0 12022 11394"/>
                            <a:gd name="T191" fmla="*/ 12022 h 1068"/>
                            <a:gd name="T192" fmla="+- 0 6304 5881"/>
                            <a:gd name="T193" fmla="*/ T192 w 1257"/>
                            <a:gd name="T194" fmla="+- 0 12019 11394"/>
                            <a:gd name="T195" fmla="*/ 12019 h 1068"/>
                            <a:gd name="T196" fmla="+- 0 6304 5881"/>
                            <a:gd name="T197" fmla="*/ T196 w 1257"/>
                            <a:gd name="T198" fmla="+- 0 11945 11394"/>
                            <a:gd name="T199" fmla="*/ 11945 h 1068"/>
                            <a:gd name="T200" fmla="+- 0 6300 5881"/>
                            <a:gd name="T201" fmla="*/ T200 w 1257"/>
                            <a:gd name="T202" fmla="+- 0 11937 11394"/>
                            <a:gd name="T203" fmla="*/ 11937 h 1068"/>
                            <a:gd name="T204" fmla="+- 0 6246 5881"/>
                            <a:gd name="T205" fmla="*/ T204 w 1257"/>
                            <a:gd name="T206" fmla="+- 0 11937 11394"/>
                            <a:gd name="T207" fmla="*/ 11937 h 1068"/>
                            <a:gd name="T208" fmla="+- 0 6237 5881"/>
                            <a:gd name="T209" fmla="*/ T208 w 1257"/>
                            <a:gd name="T210" fmla="+- 0 11933 11394"/>
                            <a:gd name="T211" fmla="*/ 11933 h 1068"/>
                            <a:gd name="T212" fmla="+- 0 6237 5881"/>
                            <a:gd name="T213" fmla="*/ T212 w 1257"/>
                            <a:gd name="T214" fmla="+- 0 11875 11394"/>
                            <a:gd name="T215" fmla="*/ 11875 h 1068"/>
                            <a:gd name="T216" fmla="+- 0 6233 5881"/>
                            <a:gd name="T217" fmla="*/ T216 w 1257"/>
                            <a:gd name="T218" fmla="+- 0 11867 11394"/>
                            <a:gd name="T219" fmla="*/ 11867 h 1068"/>
                            <a:gd name="T220" fmla="+- 0 6077 5881"/>
                            <a:gd name="T221" fmla="*/ T220 w 1257"/>
                            <a:gd name="T222" fmla="+- 0 11867 11394"/>
                            <a:gd name="T223" fmla="*/ 11867 h 1068"/>
                            <a:gd name="T224" fmla="+- 0 6069 5881"/>
                            <a:gd name="T225" fmla="*/ T224 w 1257"/>
                            <a:gd name="T226" fmla="+- 0 11870 11394"/>
                            <a:gd name="T227" fmla="*/ 11870 h 1068"/>
                            <a:gd name="T228" fmla="+- 0 6069 5881"/>
                            <a:gd name="T229" fmla="*/ T228 w 1257"/>
                            <a:gd name="T230" fmla="+- 0 11915 11394"/>
                            <a:gd name="T231" fmla="*/ 11915 h 1068"/>
                            <a:gd name="T232" fmla="+- 0 6065 5881"/>
                            <a:gd name="T233" fmla="*/ T232 w 1257"/>
                            <a:gd name="T234" fmla="+- 0 11924 11394"/>
                            <a:gd name="T235" fmla="*/ 11924 h 1068"/>
                            <a:gd name="T236" fmla="+- 0 6025 5881"/>
                            <a:gd name="T237" fmla="*/ T236 w 1257"/>
                            <a:gd name="T238" fmla="+- 0 11923 11394"/>
                            <a:gd name="T239" fmla="*/ 11923 h 1068"/>
                            <a:gd name="T240" fmla="+- 0 5925 5881"/>
                            <a:gd name="T241" fmla="*/ T240 w 1257"/>
                            <a:gd name="T242" fmla="+- 0 11922 11394"/>
                            <a:gd name="T243" fmla="*/ 11922 h 1068"/>
                            <a:gd name="T244" fmla="+- 0 5885 5881"/>
                            <a:gd name="T245" fmla="*/ T244 w 1257"/>
                            <a:gd name="T246" fmla="+- 0 11923 11394"/>
                            <a:gd name="T247" fmla="*/ 11923 h 1068"/>
                            <a:gd name="T248" fmla="+- 0 5881 5881"/>
                            <a:gd name="T249" fmla="*/ T248 w 1257"/>
                            <a:gd name="T250" fmla="+- 0 11914 11394"/>
                            <a:gd name="T251" fmla="*/ 11914 h 10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57" h="1068">
                              <a:moveTo>
                                <a:pt x="0" y="520"/>
                              </a:moveTo>
                              <a:lnTo>
                                <a:pt x="0" y="220"/>
                              </a:lnTo>
                              <a:lnTo>
                                <a:pt x="0" y="216"/>
                              </a:lnTo>
                              <a:lnTo>
                                <a:pt x="4" y="212"/>
                              </a:lnTo>
                              <a:lnTo>
                                <a:pt x="8" y="212"/>
                              </a:lnTo>
                              <a:lnTo>
                                <a:pt x="84" y="212"/>
                              </a:lnTo>
                              <a:lnTo>
                                <a:pt x="88" y="212"/>
                              </a:lnTo>
                              <a:lnTo>
                                <a:pt x="92" y="208"/>
                              </a:lnTo>
                              <a:lnTo>
                                <a:pt x="92" y="203"/>
                              </a:lnTo>
                              <a:lnTo>
                                <a:pt x="92" y="90"/>
                              </a:lnTo>
                              <a:lnTo>
                                <a:pt x="92" y="85"/>
                              </a:lnTo>
                              <a:lnTo>
                                <a:pt x="96" y="81"/>
                              </a:lnTo>
                              <a:lnTo>
                                <a:pt x="101" y="81"/>
                              </a:lnTo>
                              <a:lnTo>
                                <a:pt x="138" y="81"/>
                              </a:lnTo>
                              <a:lnTo>
                                <a:pt x="142" y="81"/>
                              </a:lnTo>
                              <a:lnTo>
                                <a:pt x="146" y="77"/>
                              </a:lnTo>
                              <a:lnTo>
                                <a:pt x="146" y="73"/>
                              </a:lnTo>
                              <a:lnTo>
                                <a:pt x="146" y="58"/>
                              </a:lnTo>
                              <a:lnTo>
                                <a:pt x="146" y="53"/>
                              </a:lnTo>
                              <a:lnTo>
                                <a:pt x="150" y="49"/>
                              </a:lnTo>
                              <a:lnTo>
                                <a:pt x="155" y="49"/>
                              </a:lnTo>
                              <a:lnTo>
                                <a:pt x="497" y="49"/>
                              </a:lnTo>
                              <a:lnTo>
                                <a:pt x="502" y="49"/>
                              </a:lnTo>
                              <a:lnTo>
                                <a:pt x="506" y="53"/>
                              </a:lnTo>
                              <a:lnTo>
                                <a:pt x="506" y="58"/>
                              </a:lnTo>
                              <a:lnTo>
                                <a:pt x="506" y="114"/>
                              </a:lnTo>
                              <a:lnTo>
                                <a:pt x="506" y="119"/>
                              </a:lnTo>
                              <a:lnTo>
                                <a:pt x="509" y="123"/>
                              </a:lnTo>
                              <a:lnTo>
                                <a:pt x="514" y="123"/>
                              </a:lnTo>
                              <a:lnTo>
                                <a:pt x="621" y="123"/>
                              </a:lnTo>
                              <a:lnTo>
                                <a:pt x="626" y="123"/>
                              </a:lnTo>
                              <a:lnTo>
                                <a:pt x="630" y="119"/>
                              </a:lnTo>
                              <a:lnTo>
                                <a:pt x="630" y="114"/>
                              </a:lnTo>
                              <a:lnTo>
                                <a:pt x="630" y="68"/>
                              </a:lnTo>
                              <a:lnTo>
                                <a:pt x="630" y="65"/>
                              </a:lnTo>
                              <a:lnTo>
                                <a:pt x="632" y="61"/>
                              </a:lnTo>
                              <a:lnTo>
                                <a:pt x="635" y="60"/>
                              </a:lnTo>
                              <a:lnTo>
                                <a:pt x="671" y="46"/>
                              </a:lnTo>
                              <a:lnTo>
                                <a:pt x="725" y="5"/>
                              </a:lnTo>
                              <a:lnTo>
                                <a:pt x="727" y="1"/>
                              </a:lnTo>
                              <a:lnTo>
                                <a:pt x="731" y="0"/>
                              </a:lnTo>
                              <a:lnTo>
                                <a:pt x="735" y="1"/>
                              </a:lnTo>
                              <a:lnTo>
                                <a:pt x="791" y="20"/>
                              </a:lnTo>
                              <a:lnTo>
                                <a:pt x="792" y="21"/>
                              </a:lnTo>
                              <a:lnTo>
                                <a:pt x="793" y="21"/>
                              </a:lnTo>
                              <a:lnTo>
                                <a:pt x="887" y="21"/>
                              </a:lnTo>
                              <a:lnTo>
                                <a:pt x="913" y="21"/>
                              </a:lnTo>
                              <a:lnTo>
                                <a:pt x="919" y="21"/>
                              </a:lnTo>
                              <a:lnTo>
                                <a:pt x="923" y="27"/>
                              </a:lnTo>
                              <a:lnTo>
                                <a:pt x="921" y="32"/>
                              </a:lnTo>
                              <a:lnTo>
                                <a:pt x="911" y="59"/>
                              </a:lnTo>
                              <a:lnTo>
                                <a:pt x="910" y="61"/>
                              </a:lnTo>
                              <a:lnTo>
                                <a:pt x="910" y="63"/>
                              </a:lnTo>
                              <a:lnTo>
                                <a:pt x="911" y="65"/>
                              </a:lnTo>
                              <a:lnTo>
                                <a:pt x="919" y="88"/>
                              </a:lnTo>
                              <a:lnTo>
                                <a:pt x="921" y="93"/>
                              </a:lnTo>
                              <a:lnTo>
                                <a:pt x="926" y="95"/>
                              </a:lnTo>
                              <a:lnTo>
                                <a:pt x="931" y="93"/>
                              </a:lnTo>
                              <a:lnTo>
                                <a:pt x="972" y="73"/>
                              </a:lnTo>
                              <a:lnTo>
                                <a:pt x="973" y="72"/>
                              </a:lnTo>
                              <a:lnTo>
                                <a:pt x="974" y="72"/>
                              </a:lnTo>
                              <a:lnTo>
                                <a:pt x="975" y="72"/>
                              </a:lnTo>
                              <a:lnTo>
                                <a:pt x="993" y="72"/>
                              </a:lnTo>
                              <a:lnTo>
                                <a:pt x="998" y="72"/>
                              </a:lnTo>
                              <a:lnTo>
                                <a:pt x="1002" y="76"/>
                              </a:lnTo>
                              <a:lnTo>
                                <a:pt x="1002" y="80"/>
                              </a:lnTo>
                              <a:lnTo>
                                <a:pt x="1002" y="152"/>
                              </a:lnTo>
                              <a:lnTo>
                                <a:pt x="1002" y="157"/>
                              </a:lnTo>
                              <a:lnTo>
                                <a:pt x="1006" y="161"/>
                              </a:lnTo>
                              <a:lnTo>
                                <a:pt x="1010" y="161"/>
                              </a:lnTo>
                              <a:lnTo>
                                <a:pt x="1248" y="161"/>
                              </a:lnTo>
                              <a:lnTo>
                                <a:pt x="1253" y="161"/>
                              </a:lnTo>
                              <a:lnTo>
                                <a:pt x="1256" y="165"/>
                              </a:lnTo>
                              <a:lnTo>
                                <a:pt x="1256" y="169"/>
                              </a:lnTo>
                              <a:lnTo>
                                <a:pt x="1256" y="1059"/>
                              </a:lnTo>
                              <a:lnTo>
                                <a:pt x="1256" y="1064"/>
                              </a:lnTo>
                              <a:lnTo>
                                <a:pt x="1253" y="1068"/>
                              </a:lnTo>
                              <a:lnTo>
                                <a:pt x="1248" y="1068"/>
                              </a:lnTo>
                              <a:lnTo>
                                <a:pt x="336" y="1068"/>
                              </a:lnTo>
                              <a:lnTo>
                                <a:pt x="331" y="1068"/>
                              </a:lnTo>
                              <a:lnTo>
                                <a:pt x="327" y="1064"/>
                              </a:lnTo>
                              <a:lnTo>
                                <a:pt x="327" y="1059"/>
                              </a:lnTo>
                              <a:lnTo>
                                <a:pt x="327" y="717"/>
                              </a:lnTo>
                              <a:lnTo>
                                <a:pt x="327" y="712"/>
                              </a:lnTo>
                              <a:lnTo>
                                <a:pt x="331" y="708"/>
                              </a:lnTo>
                              <a:lnTo>
                                <a:pt x="336" y="708"/>
                              </a:lnTo>
                              <a:lnTo>
                                <a:pt x="354" y="708"/>
                              </a:lnTo>
                              <a:lnTo>
                                <a:pt x="359" y="708"/>
                              </a:lnTo>
                              <a:lnTo>
                                <a:pt x="362" y="704"/>
                              </a:lnTo>
                              <a:lnTo>
                                <a:pt x="362" y="700"/>
                              </a:lnTo>
                              <a:lnTo>
                                <a:pt x="362" y="637"/>
                              </a:lnTo>
                              <a:lnTo>
                                <a:pt x="362" y="632"/>
                              </a:lnTo>
                              <a:lnTo>
                                <a:pt x="366" y="628"/>
                              </a:lnTo>
                              <a:lnTo>
                                <a:pt x="371" y="628"/>
                              </a:lnTo>
                              <a:lnTo>
                                <a:pt x="414" y="628"/>
                              </a:lnTo>
                              <a:lnTo>
                                <a:pt x="419" y="628"/>
                              </a:lnTo>
                              <a:lnTo>
                                <a:pt x="423" y="625"/>
                              </a:lnTo>
                              <a:lnTo>
                                <a:pt x="423" y="620"/>
                              </a:lnTo>
                              <a:lnTo>
                                <a:pt x="423" y="551"/>
                              </a:lnTo>
                              <a:lnTo>
                                <a:pt x="423" y="546"/>
                              </a:lnTo>
                              <a:lnTo>
                                <a:pt x="419" y="543"/>
                              </a:lnTo>
                              <a:lnTo>
                                <a:pt x="414" y="543"/>
                              </a:lnTo>
                              <a:lnTo>
                                <a:pt x="365" y="543"/>
                              </a:lnTo>
                              <a:lnTo>
                                <a:pt x="360" y="543"/>
                              </a:lnTo>
                              <a:lnTo>
                                <a:pt x="356" y="539"/>
                              </a:lnTo>
                              <a:lnTo>
                                <a:pt x="356" y="534"/>
                              </a:lnTo>
                              <a:lnTo>
                                <a:pt x="356" y="481"/>
                              </a:lnTo>
                              <a:lnTo>
                                <a:pt x="356" y="476"/>
                              </a:lnTo>
                              <a:lnTo>
                                <a:pt x="352" y="473"/>
                              </a:lnTo>
                              <a:lnTo>
                                <a:pt x="348" y="473"/>
                              </a:lnTo>
                              <a:lnTo>
                                <a:pt x="196" y="473"/>
                              </a:lnTo>
                              <a:lnTo>
                                <a:pt x="191" y="473"/>
                              </a:lnTo>
                              <a:lnTo>
                                <a:pt x="188" y="476"/>
                              </a:lnTo>
                              <a:lnTo>
                                <a:pt x="188" y="481"/>
                              </a:lnTo>
                              <a:lnTo>
                                <a:pt x="188" y="521"/>
                              </a:lnTo>
                              <a:lnTo>
                                <a:pt x="188" y="526"/>
                              </a:lnTo>
                              <a:lnTo>
                                <a:pt x="184" y="530"/>
                              </a:lnTo>
                              <a:lnTo>
                                <a:pt x="179" y="530"/>
                              </a:lnTo>
                              <a:lnTo>
                                <a:pt x="144" y="529"/>
                              </a:lnTo>
                              <a:lnTo>
                                <a:pt x="94" y="529"/>
                              </a:lnTo>
                              <a:lnTo>
                                <a:pt x="44" y="528"/>
                              </a:lnTo>
                              <a:lnTo>
                                <a:pt x="9" y="529"/>
                              </a:lnTo>
                              <a:lnTo>
                                <a:pt x="4" y="529"/>
                              </a:lnTo>
                              <a:lnTo>
                                <a:pt x="0" y="525"/>
                              </a:lnTo>
                              <a:lnTo>
                                <a:pt x="0" y="520"/>
                              </a:lnTo>
                              <a:close/>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3ACC7A28" id="Freeform 140" o:spid="_x0000_s1026" style="position:absolute;margin-left:262.5pt;margin-top:488.75pt;width:62.85pt;height:53.4pt;z-index:-251684525;visibility:visible;mso-wrap-style:square;mso-wrap-distance-left:9pt;mso-wrap-distance-top:0;mso-wrap-distance-right:9pt;mso-wrap-distance-bottom:0;mso-position-horizontal:absolute;mso-position-horizontal-relative:text;mso-position-vertical:absolute;mso-position-vertical-relative:text;v-text-anchor:top" coordsize="1257,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" path="m,520l,220r,-4l4,212r4,l84,212r4,l92,208r,-5l92,90r,-5l96,81r5,l138,81r4,l146,77r,-4l146,58r,-5l150,49r5,l497,49r5,l506,53r,5l506,114r,5l509,123r5,l621,123r5,l630,119r,-5l630,68r,-3l632,61r3,-1l671,46,725,5r2,-4l731,r4,1l791,20r1,1l793,21r94,l913,21r6,l923,27r-2,5l911,59r-1,2l910,63r1,2l919,88r2,5l926,95r5,-2l972,73r1,-1l974,72r1,l993,72r5,l1002,76r,4l1002,152r,5l1006,161r4,l1248,161r5,l1256,165r,4l1256,1059r,5l1253,1068r-5,l336,1068r-5,l327,1064r,-5l327,717r,-5l331,708r5,l354,708r5,l362,704r,-4l362,637r,-5l366,628r5,l414,628r5,l423,625r,-5l423,551r,-5l419,543r-5,l365,543r-5,l356,539r,-5l356,481r,-5l352,473r-4,l196,473r-5,l188,476r,5l188,521r,5l184,530r-5,l144,529r-50,l44,528,9,529r-5,l,525r,-5xe" filled="f" strokecolor="white" strokeweight="1.5pt">
                <v:path arrowok="t" o:connecttype="custom" o:connectlocs="0,7374890;2540,7369810;53340,7369810;58420,7367270;58420,7292340;60960,7286625;87630,7286625;92710,7284085;92710,7272020;95250,7266305;315595,7266305;321310,7268845;321310,7307580;323215,7313295;394335,7313295;400050,7310755;400050,7278370;401320,7273925;426085,7264400;461645,7235825;466725,7235825;502920,7248525;503555,7248525;579755,7248525;586105,7252335;578485,7272655;577850,7275195;583565,7291070;588010,7295515;617220,7281545;618490,7280910;630555,7280910;636270,7283450;636270,7331710;638810,7337425;792480,7337425;797560,7339965;797560,7907655;795655,7913370;213360,7913370;207645,7910830;207645,7690485;210185,7684770;224790,7684770;229870,7682230;229870,7639685;232410,7633970;262890,7633970;268605,7632065;268605,7585075;266065,7579995;231775,7579995;226060,7577455;226060,7540625;223520,7535545;124460,7535545;119380,7537450;119380,7566025;116840,7571740;91440,7571105;27940,7570470;2540,7571105;0,7565390" o:connectangles="0,0,0,0,0,0,0,0,0,0,0,0,0,0,0,0,0,0,0,0,0,0,0,0,0,0,0,0,0,0,0,0,0,0,0,0,0,0,0,0,0,0,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32979" behindDoc="1" locked="0" layoutInCell="1" allowOverlap="1" wp14:anchorId="5868DFFA" wp14:editId="15BA2018">
                <wp:simplePos x="0" y="0"/>
                <wp:positionH relativeFrom="column">
                  <wp:posOffset>3093720</wp:posOffset>
                </wp:positionH>
                <wp:positionV relativeFrom="paragraph">
                  <wp:posOffset>6542830</wp:posOffset>
                </wp:positionV>
                <wp:extent cx="449580" cy="342900"/>
                <wp:effectExtent l="0" t="0" r="26670" b="19050"/>
                <wp:wrapNone/>
                <wp:docPr id="1690912517"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9580" cy="342900"/>
                        </a:xfrm>
                        <a:custGeom>
                          <a:avLst/>
                          <a:gdLst>
                            <a:gd name="T0" fmla="+- 0 5884 5502"/>
                            <a:gd name="T1" fmla="*/ T0 w 708"/>
                            <a:gd name="T2" fmla="+- 0 11922 11922"/>
                            <a:gd name="T3" fmla="*/ 11922 h 540"/>
                            <a:gd name="T4" fmla="+- 0 5776 5502"/>
                            <a:gd name="T5" fmla="*/ T4 w 708"/>
                            <a:gd name="T6" fmla="+- 0 11922 11922"/>
                            <a:gd name="T7" fmla="*/ 11922 h 540"/>
                            <a:gd name="T8" fmla="+- 0 5772 5502"/>
                            <a:gd name="T9" fmla="*/ T8 w 708"/>
                            <a:gd name="T10" fmla="+- 0 11922 11922"/>
                            <a:gd name="T11" fmla="*/ 11922 h 540"/>
                            <a:gd name="T12" fmla="+- 0 5769 5502"/>
                            <a:gd name="T13" fmla="*/ T12 w 708"/>
                            <a:gd name="T14" fmla="+- 0 11925 11922"/>
                            <a:gd name="T15" fmla="*/ 11925 h 540"/>
                            <a:gd name="T16" fmla="+- 0 5769 5502"/>
                            <a:gd name="T17" fmla="*/ T16 w 708"/>
                            <a:gd name="T18" fmla="+- 0 11929 11922"/>
                            <a:gd name="T19" fmla="*/ 11929 h 540"/>
                            <a:gd name="T20" fmla="+- 0 5769 5502"/>
                            <a:gd name="T21" fmla="*/ T20 w 708"/>
                            <a:gd name="T22" fmla="+- 0 12005 11922"/>
                            <a:gd name="T23" fmla="*/ 12005 h 540"/>
                            <a:gd name="T24" fmla="+- 0 5769 5502"/>
                            <a:gd name="T25" fmla="*/ T24 w 708"/>
                            <a:gd name="T26" fmla="+- 0 12008 11922"/>
                            <a:gd name="T27" fmla="*/ 12008 h 540"/>
                            <a:gd name="T28" fmla="+- 0 5765 5502"/>
                            <a:gd name="T29" fmla="*/ T28 w 708"/>
                            <a:gd name="T30" fmla="+- 0 12012 11922"/>
                            <a:gd name="T31" fmla="*/ 12012 h 540"/>
                            <a:gd name="T32" fmla="+- 0 5762 5502"/>
                            <a:gd name="T33" fmla="*/ T32 w 708"/>
                            <a:gd name="T34" fmla="+- 0 12012 11922"/>
                            <a:gd name="T35" fmla="*/ 12012 h 540"/>
                            <a:gd name="T36" fmla="+- 0 5593 5502"/>
                            <a:gd name="T37" fmla="*/ T36 w 708"/>
                            <a:gd name="T38" fmla="+- 0 12012 11922"/>
                            <a:gd name="T39" fmla="*/ 12012 h 540"/>
                            <a:gd name="T40" fmla="+- 0 5589 5502"/>
                            <a:gd name="T41" fmla="*/ T40 w 708"/>
                            <a:gd name="T42" fmla="+- 0 12012 11922"/>
                            <a:gd name="T43" fmla="*/ 12012 h 540"/>
                            <a:gd name="T44" fmla="+- 0 5586 5502"/>
                            <a:gd name="T45" fmla="*/ T44 w 708"/>
                            <a:gd name="T46" fmla="+- 0 12015 11922"/>
                            <a:gd name="T47" fmla="*/ 12015 h 540"/>
                            <a:gd name="T48" fmla="+- 0 5586 5502"/>
                            <a:gd name="T49" fmla="*/ T48 w 708"/>
                            <a:gd name="T50" fmla="+- 0 12019 11922"/>
                            <a:gd name="T51" fmla="*/ 12019 h 540"/>
                            <a:gd name="T52" fmla="+- 0 5586 5502"/>
                            <a:gd name="T53" fmla="*/ T52 w 708"/>
                            <a:gd name="T54" fmla="+- 0 12095 11922"/>
                            <a:gd name="T55" fmla="*/ 12095 h 540"/>
                            <a:gd name="T56" fmla="+- 0 5586 5502"/>
                            <a:gd name="T57" fmla="*/ T56 w 708"/>
                            <a:gd name="T58" fmla="+- 0 12099 11922"/>
                            <a:gd name="T59" fmla="*/ 12099 h 540"/>
                            <a:gd name="T60" fmla="+- 0 5583 5502"/>
                            <a:gd name="T61" fmla="*/ T60 w 708"/>
                            <a:gd name="T62" fmla="+- 0 12102 11922"/>
                            <a:gd name="T63" fmla="*/ 12102 h 540"/>
                            <a:gd name="T64" fmla="+- 0 5579 5502"/>
                            <a:gd name="T65" fmla="*/ T64 w 708"/>
                            <a:gd name="T66" fmla="+- 0 12102 11922"/>
                            <a:gd name="T67" fmla="*/ 12102 h 540"/>
                            <a:gd name="T68" fmla="+- 0 5509 5502"/>
                            <a:gd name="T69" fmla="*/ T68 w 708"/>
                            <a:gd name="T70" fmla="+- 0 12102 11922"/>
                            <a:gd name="T71" fmla="*/ 12102 h 540"/>
                            <a:gd name="T72" fmla="+- 0 5505 5502"/>
                            <a:gd name="T73" fmla="*/ T72 w 708"/>
                            <a:gd name="T74" fmla="+- 0 12102 11922"/>
                            <a:gd name="T75" fmla="*/ 12102 h 540"/>
                            <a:gd name="T76" fmla="+- 0 5502 5502"/>
                            <a:gd name="T77" fmla="*/ T76 w 708"/>
                            <a:gd name="T78" fmla="+- 0 12105 11922"/>
                            <a:gd name="T79" fmla="*/ 12105 h 540"/>
                            <a:gd name="T80" fmla="+- 0 5502 5502"/>
                            <a:gd name="T81" fmla="*/ T80 w 708"/>
                            <a:gd name="T82" fmla="+- 0 12109 11922"/>
                            <a:gd name="T83" fmla="*/ 12109 h 540"/>
                            <a:gd name="T84" fmla="+- 0 5502 5502"/>
                            <a:gd name="T85" fmla="*/ T84 w 708"/>
                            <a:gd name="T86" fmla="+- 0 12455 11922"/>
                            <a:gd name="T87" fmla="*/ 12455 h 540"/>
                            <a:gd name="T88" fmla="+- 0 5502 5502"/>
                            <a:gd name="T89" fmla="*/ T88 w 708"/>
                            <a:gd name="T90" fmla="+- 0 12458 11922"/>
                            <a:gd name="T91" fmla="*/ 12458 h 540"/>
                            <a:gd name="T92" fmla="+- 0 5505 5502"/>
                            <a:gd name="T93" fmla="*/ T92 w 708"/>
                            <a:gd name="T94" fmla="+- 0 12462 11922"/>
                            <a:gd name="T95" fmla="*/ 12462 h 540"/>
                            <a:gd name="T96" fmla="+- 0 5509 5502"/>
                            <a:gd name="T97" fmla="*/ T96 w 708"/>
                            <a:gd name="T98" fmla="+- 0 12462 11922"/>
                            <a:gd name="T99" fmla="*/ 12462 h 540"/>
                            <a:gd name="T100" fmla="+- 0 6210 5502"/>
                            <a:gd name="T101" fmla="*/ T100 w 708"/>
                            <a:gd name="T102" fmla="+- 0 12462 11922"/>
                            <a:gd name="T103" fmla="*/ 1246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8" h="540">
                              <a:moveTo>
                                <a:pt x="382" y="0"/>
                              </a:moveTo>
                              <a:lnTo>
                                <a:pt x="274" y="0"/>
                              </a:lnTo>
                              <a:lnTo>
                                <a:pt x="270" y="0"/>
                              </a:lnTo>
                              <a:lnTo>
                                <a:pt x="267" y="3"/>
                              </a:lnTo>
                              <a:lnTo>
                                <a:pt x="267" y="7"/>
                              </a:lnTo>
                              <a:lnTo>
                                <a:pt x="267" y="83"/>
                              </a:lnTo>
                              <a:lnTo>
                                <a:pt x="267" y="86"/>
                              </a:lnTo>
                              <a:lnTo>
                                <a:pt x="263" y="90"/>
                              </a:lnTo>
                              <a:lnTo>
                                <a:pt x="260" y="90"/>
                              </a:lnTo>
                              <a:lnTo>
                                <a:pt x="91" y="90"/>
                              </a:lnTo>
                              <a:lnTo>
                                <a:pt x="87" y="90"/>
                              </a:lnTo>
                              <a:lnTo>
                                <a:pt x="84" y="93"/>
                              </a:lnTo>
                              <a:lnTo>
                                <a:pt x="84" y="97"/>
                              </a:lnTo>
                              <a:lnTo>
                                <a:pt x="84" y="173"/>
                              </a:lnTo>
                              <a:lnTo>
                                <a:pt x="84" y="177"/>
                              </a:lnTo>
                              <a:lnTo>
                                <a:pt x="81" y="180"/>
                              </a:lnTo>
                              <a:lnTo>
                                <a:pt x="77" y="180"/>
                              </a:lnTo>
                              <a:lnTo>
                                <a:pt x="7" y="180"/>
                              </a:lnTo>
                              <a:lnTo>
                                <a:pt x="3" y="180"/>
                              </a:lnTo>
                              <a:lnTo>
                                <a:pt x="0" y="183"/>
                              </a:lnTo>
                              <a:lnTo>
                                <a:pt x="0" y="187"/>
                              </a:lnTo>
                              <a:lnTo>
                                <a:pt x="0" y="533"/>
                              </a:lnTo>
                              <a:lnTo>
                                <a:pt x="0" y="536"/>
                              </a:lnTo>
                              <a:lnTo>
                                <a:pt x="3" y="540"/>
                              </a:lnTo>
                              <a:lnTo>
                                <a:pt x="7" y="540"/>
                              </a:lnTo>
                              <a:lnTo>
                                <a:pt x="708" y="540"/>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2A48E0BD" id="Freeform 141" o:spid="_x0000_s1026" style="position:absolute;z-index:-251683501;visibility:visible;mso-wrap-style:square;mso-wrap-distance-left:9pt;mso-wrap-distance-top:0;mso-wrap-distance-right:9pt;mso-wrap-distance-bottom:0;mso-position-horizontal:absolute;mso-position-horizontal-relative:text;mso-position-vertical:absolute;mso-position-vertical-relative:text;v-text-anchor:top" points="262.7pt,515.2pt,257.3pt,515.2pt,257.1pt,515.2pt,256.95pt,515.35pt,256.95pt,515.55pt,256.95pt,519.35pt,256.95pt,519.5pt,256.75pt,519.7pt,256.6pt,519.7pt,248.15pt,519.7pt,247.95pt,519.7pt,247.8pt,519.85pt,247.8pt,520.05pt,247.8pt,523.85pt,247.8pt,524.05pt,247.65pt,524.2pt,247.45pt,524.2pt,243.95pt,524.2pt,243.75pt,524.2pt,243.6pt,524.35pt,243.6pt,524.55pt,243.6pt,541.85pt,243.6pt,542pt,243.75pt,542.2pt,243.95pt,542.2pt,279pt,542.2pt" coordsize="70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" filled="f" strokecolor="white" strokeweight="1.5pt">
                <v:path arrowok="t" o:connecttype="custom" o:connectlocs="242570,7570470;173990,7570470;171450,7570470;169545,7572375;169545,7574915;169545,7623175;169545,7625080;167005,7627620;165100,7627620;57785,7627620;55245,7627620;53340,7629525;53340,7632065;53340,7680325;53340,7682865;51435,7684770;48895,7684770;4445,7684770;1905,7684770;0,7686675;0,7689215;0,7908925;0,7910830;1905,7913370;4445,7913370;449580,7913370" o:connectangles="0,0,0,0,0,0,0,0,0,0,0,0,0,0,0,0,0,0,0,0,0,0,0,0,0,0"/>
              </v:polyline>
            </w:pict>
          </mc:Fallback>
        </mc:AlternateContent>
      </w:r>
      <w:r>
        <w:rPr>
          <w:rFonts w:ascii="Century Gothic" w:hAnsi="Century Gothic"/>
          <w:noProof/>
          <w:color w:val="FFFFFF"/>
        </w:rPr>
        <w:drawing>
          <wp:anchor distT="0" distB="0" distL="114300" distR="114300" simplePos="0" relativeHeight="251634003" behindDoc="1" locked="0" layoutInCell="1" allowOverlap="1" wp14:anchorId="16C7D260" wp14:editId="206DFD48">
            <wp:simplePos x="0" y="0"/>
            <wp:positionH relativeFrom="column">
              <wp:posOffset>3177540</wp:posOffset>
            </wp:positionH>
            <wp:positionV relativeFrom="paragraph">
              <wp:posOffset>6124365</wp:posOffset>
            </wp:positionV>
            <wp:extent cx="224155" cy="176530"/>
            <wp:effectExtent l="0" t="0" r="4445" b="0"/>
            <wp:wrapNone/>
            <wp:docPr id="1690912518"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12518" name="Picture 142"/>
                    <pic:cNvPicPr>
                      <a:picLocks noChangeAspect="1" noChangeArrowheads="1"/>
                    </pic:cNvPicPr>
                  </pic:nvPicPr>
                  <pic:blipFill>
                    <a:blip r:embed="rId16" cstate="hqprint">
                      <a:extLst>
                        <a:ext uri="{28A0092B-C50C-407E-A947-70E740481C1C}">
                          <a14:useLocalDpi xmlns:a14="http://schemas.microsoft.com/office/drawing/2010/main" val="0"/>
                        </a:ext>
                      </a:extLst>
                    </a:blip>
                    <a:stretch>
                      <a:fillRect/>
                    </a:stretch>
                  </pic:blipFill>
                  <pic:spPr bwMode="auto">
                    <a:xfrm>
                      <a:off x="0" y="0"/>
                      <a:ext cx="224155"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Century Gothic" w:hAnsi="Century Gothic"/>
          <w:noProof/>
          <w:color w:val="FFFFFF"/>
        </w:rPr>
        <mc:AlternateContent>
          <mc:Choice Requires="wps">
            <w:drawing>
              <wp:anchor distT="0" distB="0" distL="114300" distR="114300" simplePos="0" relativeHeight="251636051" behindDoc="1" locked="0" layoutInCell="1" allowOverlap="1" wp14:anchorId="67A7AFBF" wp14:editId="5D883934">
                <wp:simplePos x="0" y="0"/>
                <wp:positionH relativeFrom="column">
                  <wp:posOffset>-136525</wp:posOffset>
                </wp:positionH>
                <wp:positionV relativeFrom="paragraph">
                  <wp:posOffset>4792135</wp:posOffset>
                </wp:positionV>
                <wp:extent cx="6986270" cy="0"/>
                <wp:effectExtent l="0" t="19050" r="43180" b="38100"/>
                <wp:wrapNone/>
                <wp:docPr id="1690912520"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6270" cy="0"/>
                        </a:xfrm>
                        <a:prstGeom prst="line">
                          <a:avLst/>
                        </a:prstGeom>
                        <a:noFill/>
                        <a:ln w="50711">
                          <a:solidFill>
                            <a:srgbClr val="00AEE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6B5CD05" id="Line 144" o:spid="_x0000_s1026" style="position:absolute;z-index:-251680429;visibility:visible;mso-wrap-style:square;mso-wrap-distance-left:9pt;mso-wrap-distance-top:0;mso-wrap-distance-right:9pt;mso-wrap-distance-bottom:0;mso-position-horizontal:absolute;mso-position-horizontal-relative:text;mso-position-vertical:absolute;mso-position-vertical-relative:text" from="-10.75pt,377.35pt" to="539.35pt,3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" strokecolor="#00aeef" strokeweight="1.40864mm"/>
            </w:pict>
          </mc:Fallback>
        </mc:AlternateContent>
      </w:r>
      <w:r>
        <w:rPr>
          <w:rFonts w:ascii="Century Gothic" w:hAnsi="Century Gothic"/>
          <w:noProof/>
          <w:color w:val="FFFFFF"/>
        </w:rPr>
        <mc:AlternateContent>
          <mc:Choice Requires="wps">
            <w:drawing>
              <wp:anchor distT="0" distB="0" distL="114300" distR="114300" simplePos="0" relativeHeight="251637075" behindDoc="1" locked="0" layoutInCell="1" allowOverlap="1" wp14:anchorId="753D2AA9" wp14:editId="4E0756CF">
                <wp:simplePos x="0" y="0"/>
                <wp:positionH relativeFrom="column">
                  <wp:posOffset>-142875</wp:posOffset>
                </wp:positionH>
                <wp:positionV relativeFrom="paragraph">
                  <wp:posOffset>4792135</wp:posOffset>
                </wp:positionV>
                <wp:extent cx="3768090" cy="0"/>
                <wp:effectExtent l="0" t="19050" r="41910" b="38100"/>
                <wp:wrapNone/>
                <wp:docPr id="1690912521"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8090" cy="0"/>
                        </a:xfrm>
                        <a:prstGeom prst="line">
                          <a:avLst/>
                        </a:prstGeom>
                        <a:noFill/>
                        <a:ln w="50711">
                          <a:solidFill>
                            <a:srgbClr val="854982"/>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5AF102F" id="Line 145" o:spid="_x0000_s1026" style="position:absolute;z-index:-251679405;visibility:visible;mso-wrap-style:square;mso-wrap-distance-left:9pt;mso-wrap-distance-top:0;mso-wrap-distance-right:9pt;mso-wrap-distance-bottom:0;mso-position-horizontal:absolute;mso-position-horizontal-relative:text;mso-position-vertical:absolute;mso-position-vertical-relative:text" from="-11.25pt,377.35pt" to="285.45pt,3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" strokecolor="#854982" strokeweight="1.40864mm"/>
            </w:pict>
          </mc:Fallback>
        </mc:AlternateContent>
      </w:r>
      <w:r>
        <w:rPr>
          <w:rFonts w:ascii="Century Gothic" w:hAnsi="Century Gothic"/>
          <w:noProof/>
          <w:color w:val="FFFFFF"/>
        </w:rPr>
        <mc:AlternateContent>
          <mc:Choice Requires="wps">
            <w:drawing>
              <wp:anchor distT="0" distB="0" distL="114300" distR="114300" simplePos="0" relativeHeight="251638099" behindDoc="1" locked="0" layoutInCell="1" allowOverlap="1" wp14:anchorId="77159D1A" wp14:editId="0A9A11A7">
                <wp:simplePos x="0" y="0"/>
                <wp:positionH relativeFrom="column">
                  <wp:posOffset>-147320</wp:posOffset>
                </wp:positionH>
                <wp:positionV relativeFrom="paragraph">
                  <wp:posOffset>5014385</wp:posOffset>
                </wp:positionV>
                <wp:extent cx="3357245" cy="0"/>
                <wp:effectExtent l="0" t="19050" r="52705" b="38100"/>
                <wp:wrapNone/>
                <wp:docPr id="1690912522"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7245" cy="0"/>
                        </a:xfrm>
                        <a:prstGeom prst="line">
                          <a:avLst/>
                        </a:prstGeom>
                        <a:noFill/>
                        <a:ln w="50711">
                          <a:solidFill>
                            <a:srgbClr val="00AEE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BEEA4EC" id="Line 146" o:spid="_x0000_s1026" style="position:absolute;z-index:-251678381;visibility:visible;mso-wrap-style:square;mso-wrap-distance-left:9pt;mso-wrap-distance-top:0;mso-wrap-distance-right:9pt;mso-wrap-distance-bottom:0;mso-position-horizontal:absolute;mso-position-horizontal-relative:text;mso-position-vertical:absolute;mso-position-vertical-relative:text" from="-11.6pt,394.85pt" to="252.75pt,3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" strokecolor="#00aeef" strokeweight="1.40864mm"/>
            </w:pict>
          </mc:Fallback>
        </mc:AlternateContent>
      </w:r>
      <w:r>
        <w:rPr>
          <w:rFonts w:ascii="Century Gothic" w:hAnsi="Century Gothic"/>
          <w:noProof/>
          <w:color w:val="FFFFFF"/>
        </w:rPr>
        <mc:AlternateContent>
          <mc:Choice Requires="wps">
            <w:drawing>
              <wp:anchor distT="0" distB="0" distL="114300" distR="114300" simplePos="0" relativeHeight="251639123" behindDoc="1" locked="0" layoutInCell="1" allowOverlap="1" wp14:anchorId="1B2CA256" wp14:editId="4E6A6543">
                <wp:simplePos x="0" y="0"/>
                <wp:positionH relativeFrom="column">
                  <wp:posOffset>3096260</wp:posOffset>
                </wp:positionH>
                <wp:positionV relativeFrom="paragraph">
                  <wp:posOffset>5227110</wp:posOffset>
                </wp:positionV>
                <wp:extent cx="2747010" cy="1270"/>
                <wp:effectExtent l="0" t="0" r="0" b="0"/>
                <wp:wrapNone/>
                <wp:docPr id="1690912523"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7010" cy="1270"/>
                        </a:xfrm>
                        <a:custGeom>
                          <a:avLst/>
                          <a:gdLst>
                            <a:gd name="T0" fmla="+- 0 9832 5507"/>
                            <a:gd name="T1" fmla="*/ T0 w 4326"/>
                            <a:gd name="T2" fmla="+- 0 5507 5507"/>
                            <a:gd name="T3" fmla="*/ T2 w 4326"/>
                          </a:gdLst>
                          <a:ahLst/>
                          <a:cxnLst>
                            <a:cxn ang="0">
                              <a:pos x="T1" y="0"/>
                            </a:cxn>
                            <a:cxn ang="0">
                              <a:pos x="T3" y="0"/>
                            </a:cxn>
                          </a:cxnLst>
                          <a:rect l="0" t="0" r="r" b="b"/>
                          <a:pathLst>
                            <a:path w="4326">
                              <a:moveTo>
                                <a:pt x="4325" y="0"/>
                              </a:moveTo>
                              <a:lnTo>
                                <a:pt x="0" y="0"/>
                              </a:lnTo>
                            </a:path>
                          </a:pathLst>
                        </a:custGeom>
                        <a:solidFill>
                          <a:srgbClr val="F58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5518404" id="Freeform 147" o:spid="_x0000_s1026" style="position:absolute;margin-left:243.8pt;margin-top:411.6pt;width:216.3pt;height:.1pt;z-index:-251677357;visibility:visible;mso-wrap-style:square;mso-wrap-distance-left:9pt;mso-wrap-distance-top:0;mso-wrap-distance-right:9pt;mso-wrap-distance-bottom:0;mso-position-horizontal:absolute;mso-position-horizontal-relative:text;mso-position-vertical:absolute;mso-position-vertical-relative:text;v-text-anchor:top" coordsize="432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" path="m4325,l,e" fillcolor="#f58320" stroked="f">
                <v:path arrowok="t" o:connecttype="custom" o:connectlocs="2746375,0;0,0" o:connectangles="0,0"/>
              </v:shape>
            </w:pict>
          </mc:Fallback>
        </mc:AlternateContent>
      </w:r>
      <w:r>
        <w:rPr>
          <w:rFonts w:ascii="Century Gothic" w:hAnsi="Century Gothic"/>
          <w:noProof/>
          <w:color w:val="FFFFFF"/>
        </w:rPr>
        <mc:AlternateContent>
          <mc:Choice Requires="wps">
            <w:drawing>
              <wp:anchor distT="0" distB="0" distL="114300" distR="114300" simplePos="0" relativeHeight="251640147" behindDoc="1" locked="0" layoutInCell="1" allowOverlap="1" wp14:anchorId="1B34A431" wp14:editId="53A3EDF6">
                <wp:simplePos x="0" y="0"/>
                <wp:positionH relativeFrom="column">
                  <wp:posOffset>3096895</wp:posOffset>
                </wp:positionH>
                <wp:positionV relativeFrom="paragraph">
                  <wp:posOffset>5227745</wp:posOffset>
                </wp:positionV>
                <wp:extent cx="2746375" cy="0"/>
                <wp:effectExtent l="0" t="19050" r="34925" b="19050"/>
                <wp:wrapNone/>
                <wp:docPr id="1690912524"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6375" cy="0"/>
                        </a:xfrm>
                        <a:prstGeom prst="line">
                          <a:avLst/>
                        </a:prstGeom>
                        <a:noFill/>
                        <a:ln w="46761">
                          <a:solidFill>
                            <a:srgbClr val="153A62"/>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428E75D1" id="Line 148" o:spid="_x0000_s1026" style="position:absolute;z-index:-251676333;visibility:visible;mso-wrap-style:square;mso-wrap-distance-left:9pt;mso-wrap-distance-top:0;mso-wrap-distance-right:9pt;mso-wrap-distance-bottom:0;mso-position-horizontal:absolute;mso-position-horizontal-relative:text;mso-position-vertical:absolute;mso-position-vertical-relative:text" from="243.85pt,411.65pt" to="460.1pt,4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" strokecolor="#153a62" strokeweight="1.2989mm"/>
            </w:pict>
          </mc:Fallback>
        </mc:AlternateContent>
      </w:r>
      <w:r>
        <w:rPr>
          <w:rFonts w:ascii="Century Gothic" w:hAnsi="Century Gothic"/>
          <w:noProof/>
          <w:color w:val="FFFFFF"/>
        </w:rPr>
        <mc:AlternateContent>
          <mc:Choice Requires="wps">
            <w:drawing>
              <wp:anchor distT="0" distB="0" distL="114300" distR="114300" simplePos="0" relativeHeight="251641171" behindDoc="1" locked="0" layoutInCell="1" allowOverlap="1" wp14:anchorId="5E9FCD93" wp14:editId="52ECDC58">
                <wp:simplePos x="0" y="0"/>
                <wp:positionH relativeFrom="column">
                  <wp:posOffset>4293235</wp:posOffset>
                </wp:positionH>
                <wp:positionV relativeFrom="paragraph">
                  <wp:posOffset>4903260</wp:posOffset>
                </wp:positionV>
                <wp:extent cx="2457450" cy="0"/>
                <wp:effectExtent l="0" t="19050" r="38100" b="38100"/>
                <wp:wrapNone/>
                <wp:docPr id="1690912525"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7450" cy="0"/>
                        </a:xfrm>
                        <a:prstGeom prst="line">
                          <a:avLst/>
                        </a:prstGeom>
                        <a:noFill/>
                        <a:ln w="51651">
                          <a:solidFill>
                            <a:srgbClr val="FFCC07"/>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44D9146" id="Line 149" o:spid="_x0000_s1026" style="position:absolute;z-index:-251675309;visibility:visible;mso-wrap-style:square;mso-wrap-distance-left:9pt;mso-wrap-distance-top:0;mso-wrap-distance-right:9pt;mso-wrap-distance-bottom:0;mso-position-horizontal:absolute;mso-position-horizontal-relative:text;mso-position-vertical:absolute;mso-position-vertical-relative:text" from="338.05pt,386.1pt" to="531.55pt,3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" strokecolor="#ffcc07" strokeweight="1.43475mm"/>
            </w:pict>
          </mc:Fallback>
        </mc:AlternateContent>
      </w:r>
      <w:r>
        <w:rPr>
          <w:rFonts w:ascii="Century Gothic" w:hAnsi="Century Gothic"/>
          <w:noProof/>
          <w:color w:val="FFFFFF"/>
        </w:rPr>
        <mc:AlternateContent>
          <mc:Choice Requires="wps">
            <w:drawing>
              <wp:anchor distT="0" distB="0" distL="114300" distR="114300" simplePos="0" relativeHeight="251642195" behindDoc="1" locked="0" layoutInCell="1" allowOverlap="1" wp14:anchorId="0B1E18E5" wp14:editId="63CDFDF9">
                <wp:simplePos x="0" y="0"/>
                <wp:positionH relativeFrom="column">
                  <wp:posOffset>-207010</wp:posOffset>
                </wp:positionH>
                <wp:positionV relativeFrom="paragraph">
                  <wp:posOffset>4485430</wp:posOffset>
                </wp:positionV>
                <wp:extent cx="6122035" cy="417830"/>
                <wp:effectExtent l="0" t="19050" r="12065" b="39370"/>
                <wp:wrapNone/>
                <wp:docPr id="1690912526"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2035" cy="417830"/>
                        </a:xfrm>
                        <a:custGeom>
                          <a:avLst/>
                          <a:gdLst>
                            <a:gd name="T0" fmla="+- 0 304 304"/>
                            <a:gd name="T1" fmla="*/ T0 w 9641"/>
                            <a:gd name="T2" fmla="+- 0 9340 8683"/>
                            <a:gd name="T3" fmla="*/ 9340 h 658"/>
                            <a:gd name="T4" fmla="+- 0 1569 304"/>
                            <a:gd name="T5" fmla="*/ T4 w 9641"/>
                            <a:gd name="T6" fmla="+- 0 9340 8683"/>
                            <a:gd name="T7" fmla="*/ 9340 h 658"/>
                            <a:gd name="T8" fmla="+- 0 1593 304"/>
                            <a:gd name="T9" fmla="*/ T8 w 9641"/>
                            <a:gd name="T10" fmla="+- 0 9336 8683"/>
                            <a:gd name="T11" fmla="*/ 9336 h 658"/>
                            <a:gd name="T12" fmla="+- 0 1616 304"/>
                            <a:gd name="T13" fmla="*/ T12 w 9641"/>
                            <a:gd name="T14" fmla="+- 0 9326 8683"/>
                            <a:gd name="T15" fmla="*/ 9326 h 658"/>
                            <a:gd name="T16" fmla="+- 0 1638 304"/>
                            <a:gd name="T17" fmla="*/ T16 w 9641"/>
                            <a:gd name="T18" fmla="+- 0 9309 8683"/>
                            <a:gd name="T19" fmla="*/ 9309 h 658"/>
                            <a:gd name="T20" fmla="+- 0 1657 304"/>
                            <a:gd name="T21" fmla="*/ T20 w 9641"/>
                            <a:gd name="T22" fmla="+- 0 9287 8683"/>
                            <a:gd name="T23" fmla="*/ 9287 h 658"/>
                            <a:gd name="T24" fmla="+- 0 1698 304"/>
                            <a:gd name="T25" fmla="*/ T24 w 9641"/>
                            <a:gd name="T26" fmla="+- 0 9216 8683"/>
                            <a:gd name="T27" fmla="*/ 9216 h 658"/>
                            <a:gd name="T28" fmla="+- 0 1717 304"/>
                            <a:gd name="T29" fmla="*/ T28 w 9641"/>
                            <a:gd name="T30" fmla="+- 0 9193 8683"/>
                            <a:gd name="T31" fmla="*/ 9193 h 658"/>
                            <a:gd name="T32" fmla="+- 0 1739 304"/>
                            <a:gd name="T33" fmla="*/ T32 w 9641"/>
                            <a:gd name="T34" fmla="+- 0 9176 8683"/>
                            <a:gd name="T35" fmla="*/ 9176 h 658"/>
                            <a:gd name="T36" fmla="+- 0 1762 304"/>
                            <a:gd name="T37" fmla="*/ T36 w 9641"/>
                            <a:gd name="T38" fmla="+- 0 9166 8683"/>
                            <a:gd name="T39" fmla="*/ 9166 h 658"/>
                            <a:gd name="T40" fmla="+- 0 1786 304"/>
                            <a:gd name="T41" fmla="*/ T40 w 9641"/>
                            <a:gd name="T42" fmla="+- 0 9162 8683"/>
                            <a:gd name="T43" fmla="*/ 9162 h 658"/>
                            <a:gd name="T44" fmla="+- 0 2174 304"/>
                            <a:gd name="T45" fmla="*/ T44 w 9641"/>
                            <a:gd name="T46" fmla="+- 0 9162 8683"/>
                            <a:gd name="T47" fmla="*/ 9162 h 658"/>
                            <a:gd name="T48" fmla="+- 0 2198 304"/>
                            <a:gd name="T49" fmla="*/ T48 w 9641"/>
                            <a:gd name="T50" fmla="+- 0 9159 8683"/>
                            <a:gd name="T51" fmla="*/ 9159 h 658"/>
                            <a:gd name="T52" fmla="+- 0 2221 304"/>
                            <a:gd name="T53" fmla="*/ T52 w 9641"/>
                            <a:gd name="T54" fmla="+- 0 9149 8683"/>
                            <a:gd name="T55" fmla="*/ 9149 h 658"/>
                            <a:gd name="T56" fmla="+- 0 2242 304"/>
                            <a:gd name="T57" fmla="*/ T56 w 9641"/>
                            <a:gd name="T58" fmla="+- 0 9132 8683"/>
                            <a:gd name="T59" fmla="*/ 9132 h 658"/>
                            <a:gd name="T60" fmla="+- 0 2261 304"/>
                            <a:gd name="T61" fmla="*/ T60 w 9641"/>
                            <a:gd name="T62" fmla="+- 0 9109 8683"/>
                            <a:gd name="T63" fmla="*/ 9109 h 658"/>
                            <a:gd name="T64" fmla="+- 0 2309 304"/>
                            <a:gd name="T65" fmla="*/ T64 w 9641"/>
                            <a:gd name="T66" fmla="+- 0 9039 8683"/>
                            <a:gd name="T67" fmla="*/ 9039 h 658"/>
                            <a:gd name="T68" fmla="+- 0 2328 304"/>
                            <a:gd name="T69" fmla="*/ T68 w 9641"/>
                            <a:gd name="T70" fmla="+- 0 9018 8683"/>
                            <a:gd name="T71" fmla="*/ 9018 h 658"/>
                            <a:gd name="T72" fmla="+- 0 2349 304"/>
                            <a:gd name="T73" fmla="*/ T72 w 9641"/>
                            <a:gd name="T74" fmla="+- 0 9004 8683"/>
                            <a:gd name="T75" fmla="*/ 9004 h 658"/>
                            <a:gd name="T76" fmla="+- 0 2373 304"/>
                            <a:gd name="T77" fmla="*/ T76 w 9641"/>
                            <a:gd name="T78" fmla="+- 0 8996 8683"/>
                            <a:gd name="T79" fmla="*/ 8996 h 658"/>
                            <a:gd name="T80" fmla="+- 0 2397 304"/>
                            <a:gd name="T81" fmla="*/ T80 w 9641"/>
                            <a:gd name="T82" fmla="+- 0 8994 8683"/>
                            <a:gd name="T83" fmla="*/ 8994 h 658"/>
                            <a:gd name="T84" fmla="+- 0 3395 304"/>
                            <a:gd name="T85" fmla="*/ T84 w 9641"/>
                            <a:gd name="T86" fmla="+- 0 8994 8683"/>
                            <a:gd name="T87" fmla="*/ 8994 h 658"/>
                            <a:gd name="T88" fmla="+- 0 3420 304"/>
                            <a:gd name="T89" fmla="*/ T88 w 9641"/>
                            <a:gd name="T90" fmla="+- 0 8989 8683"/>
                            <a:gd name="T91" fmla="*/ 8989 h 658"/>
                            <a:gd name="T92" fmla="+- 0 3443 304"/>
                            <a:gd name="T93" fmla="*/ T92 w 9641"/>
                            <a:gd name="T94" fmla="+- 0 8976 8683"/>
                            <a:gd name="T95" fmla="*/ 8976 h 658"/>
                            <a:gd name="T96" fmla="+- 0 3464 304"/>
                            <a:gd name="T97" fmla="*/ T96 w 9641"/>
                            <a:gd name="T98" fmla="+- 0 8957 8683"/>
                            <a:gd name="T99" fmla="*/ 8957 h 658"/>
                            <a:gd name="T100" fmla="+- 0 3483 304"/>
                            <a:gd name="T101" fmla="*/ T100 w 9641"/>
                            <a:gd name="T102" fmla="+- 0 8933 8683"/>
                            <a:gd name="T103" fmla="*/ 8933 h 658"/>
                            <a:gd name="T104" fmla="+- 0 3618 304"/>
                            <a:gd name="T105" fmla="*/ T104 w 9641"/>
                            <a:gd name="T106" fmla="+- 0 8736 8683"/>
                            <a:gd name="T107" fmla="*/ 8736 h 658"/>
                            <a:gd name="T108" fmla="+- 0 3637 304"/>
                            <a:gd name="T109" fmla="*/ T108 w 9641"/>
                            <a:gd name="T110" fmla="+- 0 8713 8683"/>
                            <a:gd name="T111" fmla="*/ 8713 h 658"/>
                            <a:gd name="T112" fmla="+- 0 3658 304"/>
                            <a:gd name="T113" fmla="*/ T112 w 9641"/>
                            <a:gd name="T114" fmla="+- 0 8697 8683"/>
                            <a:gd name="T115" fmla="*/ 8697 h 658"/>
                            <a:gd name="T116" fmla="+- 0 3681 304"/>
                            <a:gd name="T117" fmla="*/ T116 w 9641"/>
                            <a:gd name="T118" fmla="+- 0 8686 8683"/>
                            <a:gd name="T119" fmla="*/ 8686 h 658"/>
                            <a:gd name="T120" fmla="+- 0 3706 304"/>
                            <a:gd name="T121" fmla="*/ T120 w 9641"/>
                            <a:gd name="T122" fmla="+- 0 8683 8683"/>
                            <a:gd name="T123" fmla="*/ 8683 h 658"/>
                            <a:gd name="T124" fmla="+- 0 9945 304"/>
                            <a:gd name="T125" fmla="*/ T124 w 9641"/>
                            <a:gd name="T126" fmla="+- 0 8683 8683"/>
                            <a:gd name="T127" fmla="*/ 8683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641" h="658">
                              <a:moveTo>
                                <a:pt x="0" y="657"/>
                              </a:moveTo>
                              <a:lnTo>
                                <a:pt x="1265" y="657"/>
                              </a:lnTo>
                              <a:lnTo>
                                <a:pt x="1289" y="653"/>
                              </a:lnTo>
                              <a:lnTo>
                                <a:pt x="1312" y="643"/>
                              </a:lnTo>
                              <a:lnTo>
                                <a:pt x="1334" y="626"/>
                              </a:lnTo>
                              <a:lnTo>
                                <a:pt x="1353" y="604"/>
                              </a:lnTo>
                              <a:lnTo>
                                <a:pt x="1394" y="533"/>
                              </a:lnTo>
                              <a:lnTo>
                                <a:pt x="1413" y="510"/>
                              </a:lnTo>
                              <a:lnTo>
                                <a:pt x="1435" y="493"/>
                              </a:lnTo>
                              <a:lnTo>
                                <a:pt x="1458" y="483"/>
                              </a:lnTo>
                              <a:lnTo>
                                <a:pt x="1482" y="479"/>
                              </a:lnTo>
                              <a:lnTo>
                                <a:pt x="1870" y="479"/>
                              </a:lnTo>
                              <a:lnTo>
                                <a:pt x="1894" y="476"/>
                              </a:lnTo>
                              <a:lnTo>
                                <a:pt x="1917" y="466"/>
                              </a:lnTo>
                              <a:lnTo>
                                <a:pt x="1938" y="449"/>
                              </a:lnTo>
                              <a:lnTo>
                                <a:pt x="1957" y="426"/>
                              </a:lnTo>
                              <a:lnTo>
                                <a:pt x="2005" y="356"/>
                              </a:lnTo>
                              <a:lnTo>
                                <a:pt x="2024" y="335"/>
                              </a:lnTo>
                              <a:lnTo>
                                <a:pt x="2045" y="321"/>
                              </a:lnTo>
                              <a:lnTo>
                                <a:pt x="2069" y="313"/>
                              </a:lnTo>
                              <a:lnTo>
                                <a:pt x="2093" y="311"/>
                              </a:lnTo>
                              <a:lnTo>
                                <a:pt x="3091" y="311"/>
                              </a:lnTo>
                              <a:lnTo>
                                <a:pt x="3116" y="306"/>
                              </a:lnTo>
                              <a:lnTo>
                                <a:pt x="3139" y="293"/>
                              </a:lnTo>
                              <a:lnTo>
                                <a:pt x="3160" y="274"/>
                              </a:lnTo>
                              <a:lnTo>
                                <a:pt x="3179" y="250"/>
                              </a:lnTo>
                              <a:lnTo>
                                <a:pt x="3314" y="53"/>
                              </a:lnTo>
                              <a:lnTo>
                                <a:pt x="3333" y="30"/>
                              </a:lnTo>
                              <a:lnTo>
                                <a:pt x="3354" y="14"/>
                              </a:lnTo>
                              <a:lnTo>
                                <a:pt x="3377" y="3"/>
                              </a:lnTo>
                              <a:lnTo>
                                <a:pt x="3402" y="0"/>
                              </a:lnTo>
                              <a:lnTo>
                                <a:pt x="9641" y="0"/>
                              </a:lnTo>
                            </a:path>
                          </a:pathLst>
                        </a:custGeom>
                        <a:noFill/>
                        <a:ln w="50711">
                          <a:solidFill>
                            <a:srgbClr val="F896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07AB2388" id="Freeform 150" o:spid="_x0000_s1026" style="position:absolute;z-index:-251674285;visibility:visible;mso-wrap-style:square;mso-wrap-distance-left:9pt;mso-wrap-distance-top:0;mso-wrap-distance-right:9pt;mso-wrap-distance-bottom:0;mso-position-horizontal:absolute;mso-position-horizontal-relative:text;mso-position-vertical:absolute;mso-position-vertical-relative:text;v-text-anchor:top" points="-16.3pt,386.05pt,46.95pt,386.05pt,48.15pt,385.85pt,49.3pt,385.35pt,50.4pt,384.5pt,51.35pt,383.4pt,53.4pt,379.85pt,54.35pt,378.7pt,55.45pt,377.85pt,56.6pt,377.35pt,57.8pt,377.15pt,77.2pt,377.15pt,78.4pt,377pt,79.55pt,376.5pt,80.6pt,375.65pt,81.55pt,374.5pt,83.95pt,371pt,84.9pt,369.95pt,85.95pt,369.25pt,87.15pt,368.85pt,88.35pt,368.75pt,138.25pt,368.75pt,139.5pt,368.5pt,140.65pt,367.85pt,141.7pt,366.9pt,142.65pt,365.7pt,149.4pt,355.85pt,150.35pt,354.7pt,151.4pt,353.9pt,152.55pt,353.35pt,153.8pt,353.2pt,465.75pt,353.2pt" coordsize="964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" filled="f" strokecolor="#f89620" strokeweight="1.40864mm">
                <v:path arrowok="t" o:connecttype="custom" o:connectlocs="0,5930900;803275,5930900;818515,5928360;833120,5922010;847090,5911215;859155,5897245;885190,5852160;897255,5837555;911225,5826760;925830,5820410;941070,5817870;1187450,5817870;1202690,5815965;1217295,5809615;1230630,5798820;1242695,5784215;1273175,5739765;1285240,5726430;1298575,5717540;1313815,5712460;1329055,5711190;1962785,5711190;1978660,5708015;1993265,5699760;2006600,5687695;2018665,5672455;2104390,5547360;2116455,5532755;2129790,5522595;2144395,5515610;2160270,5513705;6122035,5513705" o:connectangles="0,0,0,0,0,0,0,0,0,0,0,0,0,0,0,0,0,0,0,0,0,0,0,0,0,0,0,0,0,0,0,0"/>
              </v:polyline>
            </w:pict>
          </mc:Fallback>
        </mc:AlternateContent>
      </w:r>
      <w:r>
        <w:rPr>
          <w:rFonts w:ascii="Century Gothic" w:hAnsi="Century Gothic"/>
          <w:noProof/>
          <w:color w:val="FFFFFF"/>
        </w:rPr>
        <mc:AlternateContent>
          <mc:Choice Requires="wps">
            <w:drawing>
              <wp:anchor distT="0" distB="0" distL="114300" distR="114300" simplePos="0" relativeHeight="251643219" behindDoc="1" locked="0" layoutInCell="1" allowOverlap="1" wp14:anchorId="01D57B5B" wp14:editId="709529C6">
                <wp:simplePos x="0" y="0"/>
                <wp:positionH relativeFrom="column">
                  <wp:posOffset>-147955</wp:posOffset>
                </wp:positionH>
                <wp:positionV relativeFrom="paragraph">
                  <wp:posOffset>4903260</wp:posOffset>
                </wp:positionV>
                <wp:extent cx="4441190" cy="0"/>
                <wp:effectExtent l="0" t="19050" r="54610" b="38100"/>
                <wp:wrapNone/>
                <wp:docPr id="1690912527"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1190" cy="0"/>
                        </a:xfrm>
                        <a:prstGeom prst="line">
                          <a:avLst/>
                        </a:prstGeom>
                        <a:noFill/>
                        <a:ln w="52070">
                          <a:solidFill>
                            <a:srgbClr val="BCD748"/>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D7EA4C7" id="Line 151" o:spid="_x0000_s1026" style="position:absolute;z-index:-251673261;visibility:visible;mso-wrap-style:square;mso-wrap-distance-left:9pt;mso-wrap-distance-top:0;mso-wrap-distance-right:9pt;mso-wrap-distance-bottom:0;mso-position-horizontal:absolute;mso-position-horizontal-relative:text;mso-position-vertical:absolute;mso-position-vertical-relative:text" from="-11.65pt,386.1pt" to="338.05pt,3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" strokecolor="#bcd748" strokeweight="4.1pt"/>
            </w:pict>
          </mc:Fallback>
        </mc:AlternateContent>
      </w:r>
      <w:r>
        <w:rPr>
          <w:rFonts w:ascii="Century Gothic" w:hAnsi="Century Gothic"/>
          <w:noProof/>
          <w:color w:val="FFFFFF"/>
        </w:rPr>
        <mc:AlternateContent>
          <mc:Choice Requires="wps">
            <w:drawing>
              <wp:anchor distT="0" distB="0" distL="114300" distR="114300" simplePos="0" relativeHeight="251644243" behindDoc="1" locked="0" layoutInCell="1" allowOverlap="1" wp14:anchorId="5FAFE27B" wp14:editId="2570757C">
                <wp:simplePos x="0" y="0"/>
                <wp:positionH relativeFrom="column">
                  <wp:posOffset>-112395</wp:posOffset>
                </wp:positionH>
                <wp:positionV relativeFrom="paragraph">
                  <wp:posOffset>5014385</wp:posOffset>
                </wp:positionV>
                <wp:extent cx="6403975" cy="0"/>
                <wp:effectExtent l="0" t="19050" r="53975" b="38100"/>
                <wp:wrapNone/>
                <wp:docPr id="1690912528"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3975" cy="0"/>
                        </a:xfrm>
                        <a:prstGeom prst="line">
                          <a:avLst/>
                        </a:prstGeom>
                        <a:noFill/>
                        <a:ln w="50711">
                          <a:solidFill>
                            <a:srgbClr val="00AEE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4783DB1" id="Line 152" o:spid="_x0000_s1026" style="position:absolute;z-index:-251672237;visibility:visible;mso-wrap-style:square;mso-wrap-distance-left:9pt;mso-wrap-distance-top:0;mso-wrap-distance-right:9pt;mso-wrap-distance-bottom:0;mso-position-horizontal:absolute;mso-position-horizontal-relative:text;mso-position-vertical:absolute;mso-position-vertical-relative:text" from="-8.85pt,394.85pt" to="495.4pt,3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" strokecolor="#00aeef" strokeweight="1.40864mm"/>
            </w:pict>
          </mc:Fallback>
        </mc:AlternateContent>
      </w:r>
      <w:r>
        <w:rPr>
          <w:rFonts w:ascii="Century Gothic" w:hAnsi="Century Gothic"/>
          <w:noProof/>
          <w:color w:val="FFFFFF"/>
        </w:rPr>
        <mc:AlternateContent>
          <mc:Choice Requires="wps">
            <w:drawing>
              <wp:anchor distT="0" distB="0" distL="114300" distR="114300" simplePos="0" relativeHeight="251645267" behindDoc="1" locked="0" layoutInCell="1" allowOverlap="1" wp14:anchorId="41EF1F97" wp14:editId="6657E6E4">
                <wp:simplePos x="0" y="0"/>
                <wp:positionH relativeFrom="column">
                  <wp:posOffset>-211455</wp:posOffset>
                </wp:positionH>
                <wp:positionV relativeFrom="paragraph">
                  <wp:posOffset>5013750</wp:posOffset>
                </wp:positionV>
                <wp:extent cx="3326130" cy="214630"/>
                <wp:effectExtent l="0" t="19050" r="26670" b="33020"/>
                <wp:wrapNone/>
                <wp:docPr id="1690912529" name="Freeform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26130" cy="214630"/>
                        </a:xfrm>
                        <a:custGeom>
                          <a:avLst/>
                          <a:gdLst>
                            <a:gd name="T0" fmla="+- 0 298 298"/>
                            <a:gd name="T1" fmla="*/ T0 w 5238"/>
                            <a:gd name="T2" fmla="+- 0 9515 9515"/>
                            <a:gd name="T3" fmla="*/ 9515 h 338"/>
                            <a:gd name="T4" fmla="+- 0 2091 298"/>
                            <a:gd name="T5" fmla="*/ T4 w 5238"/>
                            <a:gd name="T6" fmla="+- 0 9515 9515"/>
                            <a:gd name="T7" fmla="*/ 9515 h 338"/>
                            <a:gd name="T8" fmla="+- 0 2115 298"/>
                            <a:gd name="T9" fmla="*/ T8 w 5238"/>
                            <a:gd name="T10" fmla="+- 0 9518 9515"/>
                            <a:gd name="T11" fmla="*/ 9518 h 338"/>
                            <a:gd name="T12" fmla="+- 0 2138 298"/>
                            <a:gd name="T13" fmla="*/ T12 w 5238"/>
                            <a:gd name="T14" fmla="+- 0 9529 9515"/>
                            <a:gd name="T15" fmla="*/ 9529 h 338"/>
                            <a:gd name="T16" fmla="+- 0 2160 298"/>
                            <a:gd name="T17" fmla="*/ T16 w 5238"/>
                            <a:gd name="T18" fmla="+- 0 9545 9515"/>
                            <a:gd name="T19" fmla="*/ 9545 h 338"/>
                            <a:gd name="T20" fmla="+- 0 2178 298"/>
                            <a:gd name="T21" fmla="*/ T20 w 5238"/>
                            <a:gd name="T22" fmla="+- 0 9568 9515"/>
                            <a:gd name="T23" fmla="*/ 9568 h 338"/>
                            <a:gd name="T24" fmla="+- 0 2336 298"/>
                            <a:gd name="T25" fmla="*/ T24 w 5238"/>
                            <a:gd name="T26" fmla="+- 0 9799 9515"/>
                            <a:gd name="T27" fmla="*/ 9799 h 338"/>
                            <a:gd name="T28" fmla="+- 0 2355 298"/>
                            <a:gd name="T29" fmla="*/ T28 w 5238"/>
                            <a:gd name="T30" fmla="+- 0 9821 9515"/>
                            <a:gd name="T31" fmla="*/ 9821 h 338"/>
                            <a:gd name="T32" fmla="+- 0 2376 298"/>
                            <a:gd name="T33" fmla="*/ T32 w 5238"/>
                            <a:gd name="T34" fmla="+- 0 9838 9515"/>
                            <a:gd name="T35" fmla="*/ 9838 h 338"/>
                            <a:gd name="T36" fmla="+- 0 2400 298"/>
                            <a:gd name="T37" fmla="*/ T36 w 5238"/>
                            <a:gd name="T38" fmla="+- 0 9848 9515"/>
                            <a:gd name="T39" fmla="*/ 9848 h 338"/>
                            <a:gd name="T40" fmla="+- 0 2424 298"/>
                            <a:gd name="T41" fmla="*/ T40 w 5238"/>
                            <a:gd name="T42" fmla="+- 0 9852 9515"/>
                            <a:gd name="T43" fmla="*/ 9852 h 338"/>
                            <a:gd name="T44" fmla="+- 0 5536 298"/>
                            <a:gd name="T45" fmla="*/ T44 w 5238"/>
                            <a:gd name="T46" fmla="+- 0 9852 9515"/>
                            <a:gd name="T47" fmla="*/ 9852 h 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38" h="338">
                              <a:moveTo>
                                <a:pt x="0" y="0"/>
                              </a:moveTo>
                              <a:lnTo>
                                <a:pt x="1793" y="0"/>
                              </a:lnTo>
                              <a:lnTo>
                                <a:pt x="1817" y="3"/>
                              </a:lnTo>
                              <a:lnTo>
                                <a:pt x="1840" y="14"/>
                              </a:lnTo>
                              <a:lnTo>
                                <a:pt x="1862" y="30"/>
                              </a:lnTo>
                              <a:lnTo>
                                <a:pt x="1880" y="53"/>
                              </a:lnTo>
                              <a:lnTo>
                                <a:pt x="2038" y="284"/>
                              </a:lnTo>
                              <a:lnTo>
                                <a:pt x="2057" y="306"/>
                              </a:lnTo>
                              <a:lnTo>
                                <a:pt x="2078" y="323"/>
                              </a:lnTo>
                              <a:lnTo>
                                <a:pt x="2102" y="333"/>
                              </a:lnTo>
                              <a:lnTo>
                                <a:pt x="2126" y="337"/>
                              </a:lnTo>
                              <a:lnTo>
                                <a:pt x="5238" y="337"/>
                              </a:lnTo>
                            </a:path>
                          </a:pathLst>
                        </a:custGeom>
                        <a:noFill/>
                        <a:ln w="50711">
                          <a:solidFill>
                            <a:srgbClr val="00847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79A5F80E" id="Freeform 153" o:spid="_x0000_s1026" style="position:absolute;z-index:-251671213;visibility:visible;mso-wrap-style:square;mso-wrap-distance-left:9pt;mso-wrap-distance-top:0;mso-wrap-distance-right:9pt;mso-wrap-distance-bottom:0;mso-position-horizontal:absolute;mso-position-horizontal-relative:text;mso-position-vertical:absolute;mso-position-vertical-relative:text;v-text-anchor:top" points="-16.65pt,394.8pt,73pt,394.8pt,74.2pt,394.95pt,75.35pt,395.5pt,76.45pt,396.3pt,77.35pt,397.45pt,85.25pt,409pt,86.2pt,410.1pt,87.25pt,410.95pt,88.45pt,411.45pt,89.65pt,411.65pt,245.25pt,411.65pt" coordsize="5238,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" filled="f" strokecolor="#008470" strokeweight="1.40864mm">
                <v:path arrowok="t" o:connecttype="custom" o:connectlocs="0,6042025;1138555,6042025;1153795,6043930;1168400,6050915;1182370,6061075;1193800,6075680;1294130,6222365;1306195,6236335;1319530,6247130;1334770,6253480;1350010,6256020;3326130,6256020" o:connectangles="0,0,0,0,0,0,0,0,0,0,0,0"/>
              </v:polyline>
            </w:pict>
          </mc:Fallback>
        </mc:AlternateContent>
      </w:r>
      <w:r>
        <w:rPr>
          <w:rFonts w:ascii="Century Gothic" w:hAnsi="Century Gothic"/>
          <w:noProof/>
          <w:color w:val="FFFFFF"/>
        </w:rPr>
        <mc:AlternateContent>
          <mc:Choice Requires="wps">
            <w:drawing>
              <wp:anchor distT="0" distB="0" distL="114300" distR="114300" simplePos="0" relativeHeight="251646291" behindDoc="1" locked="0" layoutInCell="1" allowOverlap="1" wp14:anchorId="1C6E4B22" wp14:editId="5541B8A8">
                <wp:simplePos x="0" y="0"/>
                <wp:positionH relativeFrom="column">
                  <wp:posOffset>2270760</wp:posOffset>
                </wp:positionH>
                <wp:positionV relativeFrom="paragraph">
                  <wp:posOffset>4683550</wp:posOffset>
                </wp:positionV>
                <wp:extent cx="4406900" cy="0"/>
                <wp:effectExtent l="0" t="19050" r="31750" b="19050"/>
                <wp:wrapNone/>
                <wp:docPr id="1690912530"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6900" cy="0"/>
                        </a:xfrm>
                        <a:prstGeom prst="line">
                          <a:avLst/>
                        </a:prstGeom>
                        <a:noFill/>
                        <a:ln w="45065">
                          <a:solidFill>
                            <a:srgbClr val="0072B0"/>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A5FA257" id="Line 154" o:spid="_x0000_s1026" style="position:absolute;z-index:-251670189;visibility:visible;mso-wrap-style:square;mso-wrap-distance-left:9pt;mso-wrap-distance-top:0;mso-wrap-distance-right:9pt;mso-wrap-distance-bottom:0;mso-position-horizontal:absolute;mso-position-horizontal-relative:text;mso-position-vertical:absolute;mso-position-vertical-relative:text" from="178.8pt,368.8pt" to="525.8pt,3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" strokecolor="#0072b0" strokeweight="1.2518mm"/>
            </w:pict>
          </mc:Fallback>
        </mc:AlternateContent>
      </w:r>
      <w:r>
        <w:rPr>
          <w:rFonts w:ascii="Century Gothic" w:hAnsi="Century Gothic"/>
          <w:noProof/>
          <w:color w:val="FFFFFF"/>
        </w:rPr>
        <mc:AlternateContent>
          <mc:Choice Requires="wps">
            <w:drawing>
              <wp:anchor distT="0" distB="0" distL="114300" distR="114300" simplePos="0" relativeHeight="251647315" behindDoc="1" locked="0" layoutInCell="1" allowOverlap="1" wp14:anchorId="10D6E10D" wp14:editId="5555DA39">
                <wp:simplePos x="0" y="0"/>
                <wp:positionH relativeFrom="column">
                  <wp:posOffset>-151130</wp:posOffset>
                </wp:positionH>
                <wp:positionV relativeFrom="paragraph">
                  <wp:posOffset>4683550</wp:posOffset>
                </wp:positionV>
                <wp:extent cx="2421890" cy="0"/>
                <wp:effectExtent l="0" t="19050" r="54610" b="38100"/>
                <wp:wrapNone/>
                <wp:docPr id="1690912531"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1890" cy="0"/>
                        </a:xfrm>
                        <a:prstGeom prst="line">
                          <a:avLst/>
                        </a:prstGeom>
                        <a:noFill/>
                        <a:ln w="50838">
                          <a:solidFill>
                            <a:srgbClr val="0072B0"/>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2BDAC9E" id="Line 155" o:spid="_x0000_s1026" style="position:absolute;z-index:-251669165;visibility:visible;mso-wrap-style:square;mso-wrap-distance-left:9pt;mso-wrap-distance-top:0;mso-wrap-distance-right:9pt;mso-wrap-distance-bottom:0;mso-position-horizontal:absolute;mso-position-horizontal-relative:text;mso-position-vertical:absolute;mso-position-vertical-relative:text" from="-11.9pt,368.8pt" to="178.8pt,3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" strokecolor="#0072b0" strokeweight="1.41217mm"/>
            </w:pict>
          </mc:Fallback>
        </mc:AlternateContent>
      </w:r>
      <w:r>
        <w:rPr>
          <w:rFonts w:ascii="Century Gothic" w:hAnsi="Century Gothic"/>
          <w:noProof/>
          <w:color w:val="FFFFFF"/>
        </w:rPr>
        <mc:AlternateContent>
          <mc:Choice Requires="wps">
            <w:drawing>
              <wp:anchor distT="0" distB="0" distL="114300" distR="114300" simplePos="0" relativeHeight="251648339" behindDoc="1" locked="0" layoutInCell="1" allowOverlap="1" wp14:anchorId="1C2B5C0E" wp14:editId="03CE3821">
                <wp:simplePos x="0" y="0"/>
                <wp:positionH relativeFrom="column">
                  <wp:posOffset>69850</wp:posOffset>
                </wp:positionH>
                <wp:positionV relativeFrom="paragraph">
                  <wp:posOffset>1709845</wp:posOffset>
                </wp:positionV>
                <wp:extent cx="878205" cy="878205"/>
                <wp:effectExtent l="0" t="0" r="0" b="0"/>
                <wp:wrapNone/>
                <wp:docPr id="1690912549" name="Freeform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1980 740"/>
                            <a:gd name="T1" fmla="*/ T0 w 1383"/>
                            <a:gd name="T2" fmla="+- 0 4311 4311"/>
                            <a:gd name="T3" fmla="*/ 4311 h 1383"/>
                            <a:gd name="T4" fmla="+- 0 883 740"/>
                            <a:gd name="T5" fmla="*/ T4 w 1383"/>
                            <a:gd name="T6" fmla="+- 0 4311 4311"/>
                            <a:gd name="T7" fmla="*/ 4311 h 1383"/>
                            <a:gd name="T8" fmla="+- 0 828 740"/>
                            <a:gd name="T9" fmla="*/ T8 w 1383"/>
                            <a:gd name="T10" fmla="+- 0 4323 4311"/>
                            <a:gd name="T11" fmla="*/ 4323 h 1383"/>
                            <a:gd name="T12" fmla="+- 0 782 740"/>
                            <a:gd name="T13" fmla="*/ T12 w 1383"/>
                            <a:gd name="T14" fmla="+- 0 4353 4311"/>
                            <a:gd name="T15" fmla="*/ 4353 h 1383"/>
                            <a:gd name="T16" fmla="+- 0 752 740"/>
                            <a:gd name="T17" fmla="*/ T16 w 1383"/>
                            <a:gd name="T18" fmla="+- 0 4399 4311"/>
                            <a:gd name="T19" fmla="*/ 4399 h 1383"/>
                            <a:gd name="T20" fmla="+- 0 740 740"/>
                            <a:gd name="T21" fmla="*/ T20 w 1383"/>
                            <a:gd name="T22" fmla="+- 0 4455 4311"/>
                            <a:gd name="T23" fmla="*/ 4455 h 1383"/>
                            <a:gd name="T24" fmla="+- 0 740 740"/>
                            <a:gd name="T25" fmla="*/ T24 w 1383"/>
                            <a:gd name="T26" fmla="+- 0 5551 4311"/>
                            <a:gd name="T27" fmla="*/ 5551 h 1383"/>
                            <a:gd name="T28" fmla="+- 0 752 740"/>
                            <a:gd name="T29" fmla="*/ T28 w 1383"/>
                            <a:gd name="T30" fmla="+- 0 5607 4311"/>
                            <a:gd name="T31" fmla="*/ 5607 h 1383"/>
                            <a:gd name="T32" fmla="+- 0 782 740"/>
                            <a:gd name="T33" fmla="*/ T32 w 1383"/>
                            <a:gd name="T34" fmla="+- 0 5652 4311"/>
                            <a:gd name="T35" fmla="*/ 5652 h 1383"/>
                            <a:gd name="T36" fmla="+- 0 828 740"/>
                            <a:gd name="T37" fmla="*/ T36 w 1383"/>
                            <a:gd name="T38" fmla="+- 0 5683 4311"/>
                            <a:gd name="T39" fmla="*/ 5683 h 1383"/>
                            <a:gd name="T40" fmla="+- 0 883 740"/>
                            <a:gd name="T41" fmla="*/ T40 w 1383"/>
                            <a:gd name="T42" fmla="+- 0 5694 4311"/>
                            <a:gd name="T43" fmla="*/ 5694 h 1383"/>
                            <a:gd name="T44" fmla="+- 0 1980 740"/>
                            <a:gd name="T45" fmla="*/ T44 w 1383"/>
                            <a:gd name="T46" fmla="+- 0 5694 4311"/>
                            <a:gd name="T47" fmla="*/ 5694 h 1383"/>
                            <a:gd name="T48" fmla="+- 0 2036 740"/>
                            <a:gd name="T49" fmla="*/ T48 w 1383"/>
                            <a:gd name="T50" fmla="+- 0 5683 4311"/>
                            <a:gd name="T51" fmla="*/ 5683 h 1383"/>
                            <a:gd name="T52" fmla="+- 0 2081 740"/>
                            <a:gd name="T53" fmla="*/ T52 w 1383"/>
                            <a:gd name="T54" fmla="+- 0 5652 4311"/>
                            <a:gd name="T55" fmla="*/ 5652 h 1383"/>
                            <a:gd name="T56" fmla="+- 0 2112 740"/>
                            <a:gd name="T57" fmla="*/ T56 w 1383"/>
                            <a:gd name="T58" fmla="+- 0 5607 4311"/>
                            <a:gd name="T59" fmla="*/ 5607 h 1383"/>
                            <a:gd name="T60" fmla="+- 0 2123 740"/>
                            <a:gd name="T61" fmla="*/ T60 w 1383"/>
                            <a:gd name="T62" fmla="+- 0 5551 4311"/>
                            <a:gd name="T63" fmla="*/ 5551 h 1383"/>
                            <a:gd name="T64" fmla="+- 0 2123 740"/>
                            <a:gd name="T65" fmla="*/ T64 w 1383"/>
                            <a:gd name="T66" fmla="+- 0 4455 4311"/>
                            <a:gd name="T67" fmla="*/ 4455 h 1383"/>
                            <a:gd name="T68" fmla="+- 0 2112 740"/>
                            <a:gd name="T69" fmla="*/ T68 w 1383"/>
                            <a:gd name="T70" fmla="+- 0 4399 4311"/>
                            <a:gd name="T71" fmla="*/ 4399 h 1383"/>
                            <a:gd name="T72" fmla="+- 0 2081 740"/>
                            <a:gd name="T73" fmla="*/ T72 w 1383"/>
                            <a:gd name="T74" fmla="+- 0 4353 4311"/>
                            <a:gd name="T75" fmla="*/ 4353 h 1383"/>
                            <a:gd name="T76" fmla="+- 0 2036 740"/>
                            <a:gd name="T77" fmla="*/ T76 w 1383"/>
                            <a:gd name="T78" fmla="+- 0 4323 4311"/>
                            <a:gd name="T79" fmla="*/ 4323 h 1383"/>
                            <a:gd name="T80" fmla="+- 0 1980 740"/>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40" y="0"/>
                              </a:moveTo>
                              <a:lnTo>
                                <a:pt x="143" y="0"/>
                              </a:lnTo>
                              <a:lnTo>
                                <a:pt x="88" y="12"/>
                              </a:lnTo>
                              <a:lnTo>
                                <a:pt x="42" y="42"/>
                              </a:lnTo>
                              <a:lnTo>
                                <a:pt x="12" y="88"/>
                              </a:lnTo>
                              <a:lnTo>
                                <a:pt x="0" y="144"/>
                              </a:lnTo>
                              <a:lnTo>
                                <a:pt x="0" y="1240"/>
                              </a:lnTo>
                              <a:lnTo>
                                <a:pt x="12" y="1296"/>
                              </a:lnTo>
                              <a:lnTo>
                                <a:pt x="42" y="1341"/>
                              </a:lnTo>
                              <a:lnTo>
                                <a:pt x="88" y="1372"/>
                              </a:lnTo>
                              <a:lnTo>
                                <a:pt x="143" y="1383"/>
                              </a:lnTo>
                              <a:lnTo>
                                <a:pt x="1240" y="1383"/>
                              </a:lnTo>
                              <a:lnTo>
                                <a:pt x="1296" y="1372"/>
                              </a:lnTo>
                              <a:lnTo>
                                <a:pt x="1341" y="1341"/>
                              </a:lnTo>
                              <a:lnTo>
                                <a:pt x="1372" y="1296"/>
                              </a:lnTo>
                              <a:lnTo>
                                <a:pt x="1383" y="1240"/>
                              </a:lnTo>
                              <a:lnTo>
                                <a:pt x="1383" y="144"/>
                              </a:lnTo>
                              <a:lnTo>
                                <a:pt x="1372" y="88"/>
                              </a:lnTo>
                              <a:lnTo>
                                <a:pt x="1341" y="42"/>
                              </a:lnTo>
                              <a:lnTo>
                                <a:pt x="1296" y="12"/>
                              </a:lnTo>
                              <a:lnTo>
                                <a:pt x="1240" y="0"/>
                              </a:lnTo>
                              <a:close/>
                            </a:path>
                          </a:pathLst>
                        </a:custGeom>
                        <a:solidFill>
                          <a:srgbClr val="F896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99D45B1" id="Freeform 156" o:spid="_x0000_s1026" style="position:absolute;margin-left:5.5pt;margin-top:134.65pt;width:69.15pt;height:69.15pt;z-index:-251668141;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" path="m1240,l143,,88,12,42,42,12,88,,144,,1240r12,56l42,1341r46,31l143,1383r1097,l1296,1372r45,-31l1372,1296r11,-56l1383,144,1372,88,1341,42,1296,12,1240,xe" fillcolor="#f89620" stroked="f">
                <v:path arrowok="t" o:connecttype="custom" o:connectlocs="787400,2737485;90805,2737485;55880,2745105;26670,2764155;7620,2793365;0,2828925;0,3524885;7620,3560445;26670,3589020;55880,3608705;90805,3615690;787400,3615690;822960,3608705;851535,3589020;871220,3560445;878205,3524885;878205,2828925;871220,2793365;851535,2764155;822960,2745105;787400,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49363" behindDoc="1" locked="0" layoutInCell="1" allowOverlap="1" wp14:anchorId="68EAE1CD" wp14:editId="10C96C9E">
                <wp:simplePos x="0" y="0"/>
                <wp:positionH relativeFrom="column">
                  <wp:posOffset>1063625</wp:posOffset>
                </wp:positionH>
                <wp:positionV relativeFrom="paragraph">
                  <wp:posOffset>1709845</wp:posOffset>
                </wp:positionV>
                <wp:extent cx="878205" cy="878205"/>
                <wp:effectExtent l="0" t="0" r="0" b="0"/>
                <wp:wrapNone/>
                <wp:docPr id="1690912562" name="Freeform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3545 2305"/>
                            <a:gd name="T1" fmla="*/ T0 w 1383"/>
                            <a:gd name="T2" fmla="+- 0 4311 4311"/>
                            <a:gd name="T3" fmla="*/ 4311 h 1383"/>
                            <a:gd name="T4" fmla="+- 0 2448 2305"/>
                            <a:gd name="T5" fmla="*/ T4 w 1383"/>
                            <a:gd name="T6" fmla="+- 0 4311 4311"/>
                            <a:gd name="T7" fmla="*/ 4311 h 1383"/>
                            <a:gd name="T8" fmla="+- 0 2393 2305"/>
                            <a:gd name="T9" fmla="*/ T8 w 1383"/>
                            <a:gd name="T10" fmla="+- 0 4323 4311"/>
                            <a:gd name="T11" fmla="*/ 4323 h 1383"/>
                            <a:gd name="T12" fmla="+- 0 2347 2305"/>
                            <a:gd name="T13" fmla="*/ T12 w 1383"/>
                            <a:gd name="T14" fmla="+- 0 4353 4311"/>
                            <a:gd name="T15" fmla="*/ 4353 h 1383"/>
                            <a:gd name="T16" fmla="+- 0 2317 2305"/>
                            <a:gd name="T17" fmla="*/ T16 w 1383"/>
                            <a:gd name="T18" fmla="+- 0 4399 4311"/>
                            <a:gd name="T19" fmla="*/ 4399 h 1383"/>
                            <a:gd name="T20" fmla="+- 0 2305 2305"/>
                            <a:gd name="T21" fmla="*/ T20 w 1383"/>
                            <a:gd name="T22" fmla="+- 0 4455 4311"/>
                            <a:gd name="T23" fmla="*/ 4455 h 1383"/>
                            <a:gd name="T24" fmla="+- 0 2305 2305"/>
                            <a:gd name="T25" fmla="*/ T24 w 1383"/>
                            <a:gd name="T26" fmla="+- 0 5551 4311"/>
                            <a:gd name="T27" fmla="*/ 5551 h 1383"/>
                            <a:gd name="T28" fmla="+- 0 2317 2305"/>
                            <a:gd name="T29" fmla="*/ T28 w 1383"/>
                            <a:gd name="T30" fmla="+- 0 5607 4311"/>
                            <a:gd name="T31" fmla="*/ 5607 h 1383"/>
                            <a:gd name="T32" fmla="+- 0 2347 2305"/>
                            <a:gd name="T33" fmla="*/ T32 w 1383"/>
                            <a:gd name="T34" fmla="+- 0 5652 4311"/>
                            <a:gd name="T35" fmla="*/ 5652 h 1383"/>
                            <a:gd name="T36" fmla="+- 0 2393 2305"/>
                            <a:gd name="T37" fmla="*/ T36 w 1383"/>
                            <a:gd name="T38" fmla="+- 0 5683 4311"/>
                            <a:gd name="T39" fmla="*/ 5683 h 1383"/>
                            <a:gd name="T40" fmla="+- 0 2448 2305"/>
                            <a:gd name="T41" fmla="*/ T40 w 1383"/>
                            <a:gd name="T42" fmla="+- 0 5694 4311"/>
                            <a:gd name="T43" fmla="*/ 5694 h 1383"/>
                            <a:gd name="T44" fmla="+- 0 3545 2305"/>
                            <a:gd name="T45" fmla="*/ T44 w 1383"/>
                            <a:gd name="T46" fmla="+- 0 5694 4311"/>
                            <a:gd name="T47" fmla="*/ 5694 h 1383"/>
                            <a:gd name="T48" fmla="+- 0 3601 2305"/>
                            <a:gd name="T49" fmla="*/ T48 w 1383"/>
                            <a:gd name="T50" fmla="+- 0 5683 4311"/>
                            <a:gd name="T51" fmla="*/ 5683 h 1383"/>
                            <a:gd name="T52" fmla="+- 0 3646 2305"/>
                            <a:gd name="T53" fmla="*/ T52 w 1383"/>
                            <a:gd name="T54" fmla="+- 0 5652 4311"/>
                            <a:gd name="T55" fmla="*/ 5652 h 1383"/>
                            <a:gd name="T56" fmla="+- 0 3677 2305"/>
                            <a:gd name="T57" fmla="*/ T56 w 1383"/>
                            <a:gd name="T58" fmla="+- 0 5607 4311"/>
                            <a:gd name="T59" fmla="*/ 5607 h 1383"/>
                            <a:gd name="T60" fmla="+- 0 3688 2305"/>
                            <a:gd name="T61" fmla="*/ T60 w 1383"/>
                            <a:gd name="T62" fmla="+- 0 5551 4311"/>
                            <a:gd name="T63" fmla="*/ 5551 h 1383"/>
                            <a:gd name="T64" fmla="+- 0 3688 2305"/>
                            <a:gd name="T65" fmla="*/ T64 w 1383"/>
                            <a:gd name="T66" fmla="+- 0 4455 4311"/>
                            <a:gd name="T67" fmla="*/ 4455 h 1383"/>
                            <a:gd name="T68" fmla="+- 0 3677 2305"/>
                            <a:gd name="T69" fmla="*/ T68 w 1383"/>
                            <a:gd name="T70" fmla="+- 0 4399 4311"/>
                            <a:gd name="T71" fmla="*/ 4399 h 1383"/>
                            <a:gd name="T72" fmla="+- 0 3646 2305"/>
                            <a:gd name="T73" fmla="*/ T72 w 1383"/>
                            <a:gd name="T74" fmla="+- 0 4353 4311"/>
                            <a:gd name="T75" fmla="*/ 4353 h 1383"/>
                            <a:gd name="T76" fmla="+- 0 3601 2305"/>
                            <a:gd name="T77" fmla="*/ T76 w 1383"/>
                            <a:gd name="T78" fmla="+- 0 4323 4311"/>
                            <a:gd name="T79" fmla="*/ 4323 h 1383"/>
                            <a:gd name="T80" fmla="+- 0 3545 2305"/>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40" y="0"/>
                              </a:moveTo>
                              <a:lnTo>
                                <a:pt x="143" y="0"/>
                              </a:lnTo>
                              <a:lnTo>
                                <a:pt x="88" y="12"/>
                              </a:lnTo>
                              <a:lnTo>
                                <a:pt x="42" y="42"/>
                              </a:lnTo>
                              <a:lnTo>
                                <a:pt x="12" y="88"/>
                              </a:lnTo>
                              <a:lnTo>
                                <a:pt x="0" y="144"/>
                              </a:lnTo>
                              <a:lnTo>
                                <a:pt x="0" y="1240"/>
                              </a:lnTo>
                              <a:lnTo>
                                <a:pt x="12" y="1296"/>
                              </a:lnTo>
                              <a:lnTo>
                                <a:pt x="42" y="1341"/>
                              </a:lnTo>
                              <a:lnTo>
                                <a:pt x="88" y="1372"/>
                              </a:lnTo>
                              <a:lnTo>
                                <a:pt x="143" y="1383"/>
                              </a:lnTo>
                              <a:lnTo>
                                <a:pt x="1240" y="1383"/>
                              </a:lnTo>
                              <a:lnTo>
                                <a:pt x="1296" y="1372"/>
                              </a:lnTo>
                              <a:lnTo>
                                <a:pt x="1341" y="1341"/>
                              </a:lnTo>
                              <a:lnTo>
                                <a:pt x="1372" y="1296"/>
                              </a:lnTo>
                              <a:lnTo>
                                <a:pt x="1383" y="1240"/>
                              </a:lnTo>
                              <a:lnTo>
                                <a:pt x="1383" y="144"/>
                              </a:lnTo>
                              <a:lnTo>
                                <a:pt x="1372" y="88"/>
                              </a:lnTo>
                              <a:lnTo>
                                <a:pt x="1341" y="42"/>
                              </a:lnTo>
                              <a:lnTo>
                                <a:pt x="1296" y="12"/>
                              </a:lnTo>
                              <a:lnTo>
                                <a:pt x="1240" y="0"/>
                              </a:lnTo>
                              <a:close/>
                            </a:path>
                          </a:pathLst>
                        </a:custGeom>
                        <a:solidFill>
                          <a:srgbClr val="0092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0B3C51D" id="Freeform 157" o:spid="_x0000_s1026" style="position:absolute;margin-left:83.75pt;margin-top:134.65pt;width:69.15pt;height:69.15pt;z-index:-251667117;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" path="m1240,l143,,88,12,42,42,12,88,,144,,1240r12,56l42,1341r46,31l143,1383r1097,l1296,1372r45,-31l1372,1296r11,-56l1383,144,1372,88,1341,42,1296,12,1240,xe" fillcolor="#00927c" stroked="f">
                <v:path arrowok="t" o:connecttype="custom" o:connectlocs="787400,2737485;90805,2737485;55880,2745105;26670,2764155;7620,2793365;0,2828925;0,3524885;7620,3560445;26670,3589020;55880,3608705;90805,3615690;787400,3615690;822960,3608705;851535,3589020;871220,3560445;878205,3524885;878205,2828925;871220,2793365;851535,2764155;822960,2745105;787400,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0387" behindDoc="1" locked="0" layoutInCell="1" allowOverlap="1" wp14:anchorId="34ED380B" wp14:editId="539599E9">
                <wp:simplePos x="0" y="0"/>
                <wp:positionH relativeFrom="column">
                  <wp:posOffset>2057400</wp:posOffset>
                </wp:positionH>
                <wp:positionV relativeFrom="paragraph">
                  <wp:posOffset>1709845</wp:posOffset>
                </wp:positionV>
                <wp:extent cx="878205" cy="878205"/>
                <wp:effectExtent l="0" t="0" r="0" b="0"/>
                <wp:wrapNone/>
                <wp:docPr id="1690912563"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5110 3870"/>
                            <a:gd name="T1" fmla="*/ T0 w 1383"/>
                            <a:gd name="T2" fmla="+- 0 4311 4311"/>
                            <a:gd name="T3" fmla="*/ 4311 h 1383"/>
                            <a:gd name="T4" fmla="+- 0 4013 3870"/>
                            <a:gd name="T5" fmla="*/ T4 w 1383"/>
                            <a:gd name="T6" fmla="+- 0 4311 4311"/>
                            <a:gd name="T7" fmla="*/ 4311 h 1383"/>
                            <a:gd name="T8" fmla="+- 0 3958 3870"/>
                            <a:gd name="T9" fmla="*/ T8 w 1383"/>
                            <a:gd name="T10" fmla="+- 0 4323 4311"/>
                            <a:gd name="T11" fmla="*/ 4323 h 1383"/>
                            <a:gd name="T12" fmla="+- 0 3912 3870"/>
                            <a:gd name="T13" fmla="*/ T12 w 1383"/>
                            <a:gd name="T14" fmla="+- 0 4353 4311"/>
                            <a:gd name="T15" fmla="*/ 4353 h 1383"/>
                            <a:gd name="T16" fmla="+- 0 3882 3870"/>
                            <a:gd name="T17" fmla="*/ T16 w 1383"/>
                            <a:gd name="T18" fmla="+- 0 4399 4311"/>
                            <a:gd name="T19" fmla="*/ 4399 h 1383"/>
                            <a:gd name="T20" fmla="+- 0 3870 3870"/>
                            <a:gd name="T21" fmla="*/ T20 w 1383"/>
                            <a:gd name="T22" fmla="+- 0 4455 4311"/>
                            <a:gd name="T23" fmla="*/ 4455 h 1383"/>
                            <a:gd name="T24" fmla="+- 0 3870 3870"/>
                            <a:gd name="T25" fmla="*/ T24 w 1383"/>
                            <a:gd name="T26" fmla="+- 0 5551 4311"/>
                            <a:gd name="T27" fmla="*/ 5551 h 1383"/>
                            <a:gd name="T28" fmla="+- 0 3882 3870"/>
                            <a:gd name="T29" fmla="*/ T28 w 1383"/>
                            <a:gd name="T30" fmla="+- 0 5607 4311"/>
                            <a:gd name="T31" fmla="*/ 5607 h 1383"/>
                            <a:gd name="T32" fmla="+- 0 3912 3870"/>
                            <a:gd name="T33" fmla="*/ T32 w 1383"/>
                            <a:gd name="T34" fmla="+- 0 5652 4311"/>
                            <a:gd name="T35" fmla="*/ 5652 h 1383"/>
                            <a:gd name="T36" fmla="+- 0 3958 3870"/>
                            <a:gd name="T37" fmla="*/ T36 w 1383"/>
                            <a:gd name="T38" fmla="+- 0 5683 4311"/>
                            <a:gd name="T39" fmla="*/ 5683 h 1383"/>
                            <a:gd name="T40" fmla="+- 0 4013 3870"/>
                            <a:gd name="T41" fmla="*/ T40 w 1383"/>
                            <a:gd name="T42" fmla="+- 0 5694 4311"/>
                            <a:gd name="T43" fmla="*/ 5694 h 1383"/>
                            <a:gd name="T44" fmla="+- 0 5110 3870"/>
                            <a:gd name="T45" fmla="*/ T44 w 1383"/>
                            <a:gd name="T46" fmla="+- 0 5694 4311"/>
                            <a:gd name="T47" fmla="*/ 5694 h 1383"/>
                            <a:gd name="T48" fmla="+- 0 5166 3870"/>
                            <a:gd name="T49" fmla="*/ T48 w 1383"/>
                            <a:gd name="T50" fmla="+- 0 5683 4311"/>
                            <a:gd name="T51" fmla="*/ 5683 h 1383"/>
                            <a:gd name="T52" fmla="+- 0 5211 3870"/>
                            <a:gd name="T53" fmla="*/ T52 w 1383"/>
                            <a:gd name="T54" fmla="+- 0 5652 4311"/>
                            <a:gd name="T55" fmla="*/ 5652 h 1383"/>
                            <a:gd name="T56" fmla="+- 0 5242 3870"/>
                            <a:gd name="T57" fmla="*/ T56 w 1383"/>
                            <a:gd name="T58" fmla="+- 0 5607 4311"/>
                            <a:gd name="T59" fmla="*/ 5607 h 1383"/>
                            <a:gd name="T60" fmla="+- 0 5253 3870"/>
                            <a:gd name="T61" fmla="*/ T60 w 1383"/>
                            <a:gd name="T62" fmla="+- 0 5551 4311"/>
                            <a:gd name="T63" fmla="*/ 5551 h 1383"/>
                            <a:gd name="T64" fmla="+- 0 5253 3870"/>
                            <a:gd name="T65" fmla="*/ T64 w 1383"/>
                            <a:gd name="T66" fmla="+- 0 4455 4311"/>
                            <a:gd name="T67" fmla="*/ 4455 h 1383"/>
                            <a:gd name="T68" fmla="+- 0 5242 3870"/>
                            <a:gd name="T69" fmla="*/ T68 w 1383"/>
                            <a:gd name="T70" fmla="+- 0 4399 4311"/>
                            <a:gd name="T71" fmla="*/ 4399 h 1383"/>
                            <a:gd name="T72" fmla="+- 0 5211 3870"/>
                            <a:gd name="T73" fmla="*/ T72 w 1383"/>
                            <a:gd name="T74" fmla="+- 0 4353 4311"/>
                            <a:gd name="T75" fmla="*/ 4353 h 1383"/>
                            <a:gd name="T76" fmla="+- 0 5166 3870"/>
                            <a:gd name="T77" fmla="*/ T76 w 1383"/>
                            <a:gd name="T78" fmla="+- 0 4323 4311"/>
                            <a:gd name="T79" fmla="*/ 4323 h 1383"/>
                            <a:gd name="T80" fmla="+- 0 5110 3870"/>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40" y="0"/>
                              </a:moveTo>
                              <a:lnTo>
                                <a:pt x="143" y="0"/>
                              </a:lnTo>
                              <a:lnTo>
                                <a:pt x="88" y="12"/>
                              </a:lnTo>
                              <a:lnTo>
                                <a:pt x="42" y="42"/>
                              </a:lnTo>
                              <a:lnTo>
                                <a:pt x="12" y="88"/>
                              </a:lnTo>
                              <a:lnTo>
                                <a:pt x="0" y="144"/>
                              </a:lnTo>
                              <a:lnTo>
                                <a:pt x="0" y="1240"/>
                              </a:lnTo>
                              <a:lnTo>
                                <a:pt x="12" y="1296"/>
                              </a:lnTo>
                              <a:lnTo>
                                <a:pt x="42" y="1341"/>
                              </a:lnTo>
                              <a:lnTo>
                                <a:pt x="88" y="1372"/>
                              </a:lnTo>
                              <a:lnTo>
                                <a:pt x="143" y="1383"/>
                              </a:lnTo>
                              <a:lnTo>
                                <a:pt x="1240" y="1383"/>
                              </a:lnTo>
                              <a:lnTo>
                                <a:pt x="1296" y="1372"/>
                              </a:lnTo>
                              <a:lnTo>
                                <a:pt x="1341" y="1341"/>
                              </a:lnTo>
                              <a:lnTo>
                                <a:pt x="1372" y="1296"/>
                              </a:lnTo>
                              <a:lnTo>
                                <a:pt x="1383" y="1240"/>
                              </a:lnTo>
                              <a:lnTo>
                                <a:pt x="1383" y="144"/>
                              </a:lnTo>
                              <a:lnTo>
                                <a:pt x="1372" y="88"/>
                              </a:lnTo>
                              <a:lnTo>
                                <a:pt x="1341" y="42"/>
                              </a:lnTo>
                              <a:lnTo>
                                <a:pt x="1296" y="12"/>
                              </a:lnTo>
                              <a:lnTo>
                                <a:pt x="1240" y="0"/>
                              </a:lnTo>
                              <a:close/>
                            </a:path>
                          </a:pathLst>
                        </a:custGeom>
                        <a:solidFill>
                          <a:srgbClr val="153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C05055D" id="Freeform 158" o:spid="_x0000_s1026" style="position:absolute;margin-left:162pt;margin-top:134.65pt;width:69.15pt;height:69.15pt;z-index:-251666093;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" path="m1240,l143,,88,12,42,42,12,88,,144,,1240r12,56l42,1341r46,31l143,1383r1097,l1296,1372r45,-31l1372,1296r11,-56l1383,144,1372,88,1341,42,1296,12,1240,xe" fillcolor="#153a62" stroked="f">
                <v:path arrowok="t" o:connecttype="custom" o:connectlocs="787400,2737485;90805,2737485;55880,2745105;26670,2764155;7620,2793365;0,2828925;0,3524885;7620,3560445;26670,3589020;55880,3608705;90805,3615690;787400,3615690;822960,3608705;851535,3589020;871220,3560445;878205,3524885;878205,2828925;871220,2793365;851535,2764155;822960,2745105;787400,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1411" behindDoc="1" locked="0" layoutInCell="1" allowOverlap="1" wp14:anchorId="1509EDFC" wp14:editId="4C0CFAF1">
                <wp:simplePos x="0" y="0"/>
                <wp:positionH relativeFrom="column">
                  <wp:posOffset>3056255</wp:posOffset>
                </wp:positionH>
                <wp:positionV relativeFrom="paragraph">
                  <wp:posOffset>1709845</wp:posOffset>
                </wp:positionV>
                <wp:extent cx="878205" cy="878205"/>
                <wp:effectExtent l="0" t="0" r="0" b="0"/>
                <wp:wrapNone/>
                <wp:docPr id="1690912564"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6683 5443"/>
                            <a:gd name="T1" fmla="*/ T0 w 1383"/>
                            <a:gd name="T2" fmla="+- 0 4311 4311"/>
                            <a:gd name="T3" fmla="*/ 4311 h 1383"/>
                            <a:gd name="T4" fmla="+- 0 5587 5443"/>
                            <a:gd name="T5" fmla="*/ T4 w 1383"/>
                            <a:gd name="T6" fmla="+- 0 4311 4311"/>
                            <a:gd name="T7" fmla="*/ 4311 h 1383"/>
                            <a:gd name="T8" fmla="+- 0 5531 5443"/>
                            <a:gd name="T9" fmla="*/ T8 w 1383"/>
                            <a:gd name="T10" fmla="+- 0 4323 4311"/>
                            <a:gd name="T11" fmla="*/ 4323 h 1383"/>
                            <a:gd name="T12" fmla="+- 0 5485 5443"/>
                            <a:gd name="T13" fmla="*/ T12 w 1383"/>
                            <a:gd name="T14" fmla="+- 0 4353 4311"/>
                            <a:gd name="T15" fmla="*/ 4353 h 1383"/>
                            <a:gd name="T16" fmla="+- 0 5455 5443"/>
                            <a:gd name="T17" fmla="*/ T16 w 1383"/>
                            <a:gd name="T18" fmla="+- 0 4399 4311"/>
                            <a:gd name="T19" fmla="*/ 4399 h 1383"/>
                            <a:gd name="T20" fmla="+- 0 5443 5443"/>
                            <a:gd name="T21" fmla="*/ T20 w 1383"/>
                            <a:gd name="T22" fmla="+- 0 4455 4311"/>
                            <a:gd name="T23" fmla="*/ 4455 h 1383"/>
                            <a:gd name="T24" fmla="+- 0 5443 5443"/>
                            <a:gd name="T25" fmla="*/ T24 w 1383"/>
                            <a:gd name="T26" fmla="+- 0 5551 4311"/>
                            <a:gd name="T27" fmla="*/ 5551 h 1383"/>
                            <a:gd name="T28" fmla="+- 0 5455 5443"/>
                            <a:gd name="T29" fmla="*/ T28 w 1383"/>
                            <a:gd name="T30" fmla="+- 0 5607 4311"/>
                            <a:gd name="T31" fmla="*/ 5607 h 1383"/>
                            <a:gd name="T32" fmla="+- 0 5485 5443"/>
                            <a:gd name="T33" fmla="*/ T32 w 1383"/>
                            <a:gd name="T34" fmla="+- 0 5652 4311"/>
                            <a:gd name="T35" fmla="*/ 5652 h 1383"/>
                            <a:gd name="T36" fmla="+- 0 5531 5443"/>
                            <a:gd name="T37" fmla="*/ T36 w 1383"/>
                            <a:gd name="T38" fmla="+- 0 5683 4311"/>
                            <a:gd name="T39" fmla="*/ 5683 h 1383"/>
                            <a:gd name="T40" fmla="+- 0 5587 5443"/>
                            <a:gd name="T41" fmla="*/ T40 w 1383"/>
                            <a:gd name="T42" fmla="+- 0 5694 4311"/>
                            <a:gd name="T43" fmla="*/ 5694 h 1383"/>
                            <a:gd name="T44" fmla="+- 0 6683 5443"/>
                            <a:gd name="T45" fmla="*/ T44 w 1383"/>
                            <a:gd name="T46" fmla="+- 0 5694 4311"/>
                            <a:gd name="T47" fmla="*/ 5694 h 1383"/>
                            <a:gd name="T48" fmla="+- 0 6739 5443"/>
                            <a:gd name="T49" fmla="*/ T48 w 1383"/>
                            <a:gd name="T50" fmla="+- 0 5683 4311"/>
                            <a:gd name="T51" fmla="*/ 5683 h 1383"/>
                            <a:gd name="T52" fmla="+- 0 6784 5443"/>
                            <a:gd name="T53" fmla="*/ T52 w 1383"/>
                            <a:gd name="T54" fmla="+- 0 5652 4311"/>
                            <a:gd name="T55" fmla="*/ 5652 h 1383"/>
                            <a:gd name="T56" fmla="+- 0 6815 5443"/>
                            <a:gd name="T57" fmla="*/ T56 w 1383"/>
                            <a:gd name="T58" fmla="+- 0 5607 4311"/>
                            <a:gd name="T59" fmla="*/ 5607 h 1383"/>
                            <a:gd name="T60" fmla="+- 0 6826 5443"/>
                            <a:gd name="T61" fmla="*/ T60 w 1383"/>
                            <a:gd name="T62" fmla="+- 0 5551 4311"/>
                            <a:gd name="T63" fmla="*/ 5551 h 1383"/>
                            <a:gd name="T64" fmla="+- 0 6826 5443"/>
                            <a:gd name="T65" fmla="*/ T64 w 1383"/>
                            <a:gd name="T66" fmla="+- 0 4455 4311"/>
                            <a:gd name="T67" fmla="*/ 4455 h 1383"/>
                            <a:gd name="T68" fmla="+- 0 6815 5443"/>
                            <a:gd name="T69" fmla="*/ T68 w 1383"/>
                            <a:gd name="T70" fmla="+- 0 4399 4311"/>
                            <a:gd name="T71" fmla="*/ 4399 h 1383"/>
                            <a:gd name="T72" fmla="+- 0 6784 5443"/>
                            <a:gd name="T73" fmla="*/ T72 w 1383"/>
                            <a:gd name="T74" fmla="+- 0 4353 4311"/>
                            <a:gd name="T75" fmla="*/ 4353 h 1383"/>
                            <a:gd name="T76" fmla="+- 0 6739 5443"/>
                            <a:gd name="T77" fmla="*/ T76 w 1383"/>
                            <a:gd name="T78" fmla="+- 0 4323 4311"/>
                            <a:gd name="T79" fmla="*/ 4323 h 1383"/>
                            <a:gd name="T80" fmla="+- 0 6683 5443"/>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40" y="0"/>
                              </a:moveTo>
                              <a:lnTo>
                                <a:pt x="144" y="0"/>
                              </a:lnTo>
                              <a:lnTo>
                                <a:pt x="88" y="12"/>
                              </a:lnTo>
                              <a:lnTo>
                                <a:pt x="42" y="42"/>
                              </a:lnTo>
                              <a:lnTo>
                                <a:pt x="12" y="88"/>
                              </a:lnTo>
                              <a:lnTo>
                                <a:pt x="0" y="144"/>
                              </a:lnTo>
                              <a:lnTo>
                                <a:pt x="0" y="1240"/>
                              </a:lnTo>
                              <a:lnTo>
                                <a:pt x="12" y="1296"/>
                              </a:lnTo>
                              <a:lnTo>
                                <a:pt x="42" y="1341"/>
                              </a:lnTo>
                              <a:lnTo>
                                <a:pt x="88" y="1372"/>
                              </a:lnTo>
                              <a:lnTo>
                                <a:pt x="144" y="1383"/>
                              </a:lnTo>
                              <a:lnTo>
                                <a:pt x="1240" y="1383"/>
                              </a:lnTo>
                              <a:lnTo>
                                <a:pt x="1296" y="1372"/>
                              </a:lnTo>
                              <a:lnTo>
                                <a:pt x="1341" y="1341"/>
                              </a:lnTo>
                              <a:lnTo>
                                <a:pt x="1372" y="1296"/>
                              </a:lnTo>
                              <a:lnTo>
                                <a:pt x="1383" y="1240"/>
                              </a:lnTo>
                              <a:lnTo>
                                <a:pt x="1383" y="144"/>
                              </a:lnTo>
                              <a:lnTo>
                                <a:pt x="1372" y="88"/>
                              </a:lnTo>
                              <a:lnTo>
                                <a:pt x="1341" y="42"/>
                              </a:lnTo>
                              <a:lnTo>
                                <a:pt x="1296" y="12"/>
                              </a:lnTo>
                              <a:lnTo>
                                <a:pt x="1240" y="0"/>
                              </a:lnTo>
                              <a:close/>
                            </a:path>
                          </a:pathLst>
                        </a:custGeom>
                        <a:solidFill>
                          <a:srgbClr val="FFCC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E1D02C1" id="Freeform 159" o:spid="_x0000_s1026" style="position:absolute;margin-left:240.65pt;margin-top:134.65pt;width:69.15pt;height:69.15pt;z-index:-251665069;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" path="m1240,l144,,88,12,42,42,12,88,,144,,1240r12,56l42,1341r46,31l144,1383r1096,l1296,1372r45,-31l1372,1296r11,-56l1383,144,1372,88,1341,42,1296,12,1240,xe" fillcolor="#ffcc07" stroked="f">
                <v:path arrowok="t" o:connecttype="custom" o:connectlocs="787400,2737485;91440,2737485;55880,2745105;26670,2764155;7620,2793365;0,2828925;0,3524885;7620,3560445;26670,3589020;55880,3608705;91440,3615690;787400,3615690;822960,3608705;851535,3589020;871220,3560445;878205,3524885;878205,2828925;871220,2793365;851535,2764155;822960,2745105;787400,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2435" behindDoc="1" locked="0" layoutInCell="1" allowOverlap="1" wp14:anchorId="286DAC9B" wp14:editId="134BBC3E">
                <wp:simplePos x="0" y="0"/>
                <wp:positionH relativeFrom="column">
                  <wp:posOffset>4050030</wp:posOffset>
                </wp:positionH>
                <wp:positionV relativeFrom="paragraph">
                  <wp:posOffset>1709845</wp:posOffset>
                </wp:positionV>
                <wp:extent cx="878205" cy="878205"/>
                <wp:effectExtent l="0" t="0" r="0" b="0"/>
                <wp:wrapNone/>
                <wp:docPr id="1690912565"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8248 7008"/>
                            <a:gd name="T1" fmla="*/ T0 w 1383"/>
                            <a:gd name="T2" fmla="+- 0 4311 4311"/>
                            <a:gd name="T3" fmla="*/ 4311 h 1383"/>
                            <a:gd name="T4" fmla="+- 0 7152 7008"/>
                            <a:gd name="T5" fmla="*/ T4 w 1383"/>
                            <a:gd name="T6" fmla="+- 0 4311 4311"/>
                            <a:gd name="T7" fmla="*/ 4311 h 1383"/>
                            <a:gd name="T8" fmla="+- 0 7096 7008"/>
                            <a:gd name="T9" fmla="*/ T8 w 1383"/>
                            <a:gd name="T10" fmla="+- 0 4323 4311"/>
                            <a:gd name="T11" fmla="*/ 4323 h 1383"/>
                            <a:gd name="T12" fmla="+- 0 7050 7008"/>
                            <a:gd name="T13" fmla="*/ T12 w 1383"/>
                            <a:gd name="T14" fmla="+- 0 4353 4311"/>
                            <a:gd name="T15" fmla="*/ 4353 h 1383"/>
                            <a:gd name="T16" fmla="+- 0 7020 7008"/>
                            <a:gd name="T17" fmla="*/ T16 w 1383"/>
                            <a:gd name="T18" fmla="+- 0 4399 4311"/>
                            <a:gd name="T19" fmla="*/ 4399 h 1383"/>
                            <a:gd name="T20" fmla="+- 0 7008 7008"/>
                            <a:gd name="T21" fmla="*/ T20 w 1383"/>
                            <a:gd name="T22" fmla="+- 0 4455 4311"/>
                            <a:gd name="T23" fmla="*/ 4455 h 1383"/>
                            <a:gd name="T24" fmla="+- 0 7008 7008"/>
                            <a:gd name="T25" fmla="*/ T24 w 1383"/>
                            <a:gd name="T26" fmla="+- 0 5551 4311"/>
                            <a:gd name="T27" fmla="*/ 5551 h 1383"/>
                            <a:gd name="T28" fmla="+- 0 7020 7008"/>
                            <a:gd name="T29" fmla="*/ T28 w 1383"/>
                            <a:gd name="T30" fmla="+- 0 5607 4311"/>
                            <a:gd name="T31" fmla="*/ 5607 h 1383"/>
                            <a:gd name="T32" fmla="+- 0 7050 7008"/>
                            <a:gd name="T33" fmla="*/ T32 w 1383"/>
                            <a:gd name="T34" fmla="+- 0 5652 4311"/>
                            <a:gd name="T35" fmla="*/ 5652 h 1383"/>
                            <a:gd name="T36" fmla="+- 0 7096 7008"/>
                            <a:gd name="T37" fmla="*/ T36 w 1383"/>
                            <a:gd name="T38" fmla="+- 0 5683 4311"/>
                            <a:gd name="T39" fmla="*/ 5683 h 1383"/>
                            <a:gd name="T40" fmla="+- 0 7152 7008"/>
                            <a:gd name="T41" fmla="*/ T40 w 1383"/>
                            <a:gd name="T42" fmla="+- 0 5694 4311"/>
                            <a:gd name="T43" fmla="*/ 5694 h 1383"/>
                            <a:gd name="T44" fmla="+- 0 8248 7008"/>
                            <a:gd name="T45" fmla="*/ T44 w 1383"/>
                            <a:gd name="T46" fmla="+- 0 5694 4311"/>
                            <a:gd name="T47" fmla="*/ 5694 h 1383"/>
                            <a:gd name="T48" fmla="+- 0 8304 7008"/>
                            <a:gd name="T49" fmla="*/ T48 w 1383"/>
                            <a:gd name="T50" fmla="+- 0 5683 4311"/>
                            <a:gd name="T51" fmla="*/ 5683 h 1383"/>
                            <a:gd name="T52" fmla="+- 0 8349 7008"/>
                            <a:gd name="T53" fmla="*/ T52 w 1383"/>
                            <a:gd name="T54" fmla="+- 0 5652 4311"/>
                            <a:gd name="T55" fmla="*/ 5652 h 1383"/>
                            <a:gd name="T56" fmla="+- 0 8380 7008"/>
                            <a:gd name="T57" fmla="*/ T56 w 1383"/>
                            <a:gd name="T58" fmla="+- 0 5607 4311"/>
                            <a:gd name="T59" fmla="*/ 5607 h 1383"/>
                            <a:gd name="T60" fmla="+- 0 8391 7008"/>
                            <a:gd name="T61" fmla="*/ T60 w 1383"/>
                            <a:gd name="T62" fmla="+- 0 5551 4311"/>
                            <a:gd name="T63" fmla="*/ 5551 h 1383"/>
                            <a:gd name="T64" fmla="+- 0 8391 7008"/>
                            <a:gd name="T65" fmla="*/ T64 w 1383"/>
                            <a:gd name="T66" fmla="+- 0 4455 4311"/>
                            <a:gd name="T67" fmla="*/ 4455 h 1383"/>
                            <a:gd name="T68" fmla="+- 0 8380 7008"/>
                            <a:gd name="T69" fmla="*/ T68 w 1383"/>
                            <a:gd name="T70" fmla="+- 0 4399 4311"/>
                            <a:gd name="T71" fmla="*/ 4399 h 1383"/>
                            <a:gd name="T72" fmla="+- 0 8349 7008"/>
                            <a:gd name="T73" fmla="*/ T72 w 1383"/>
                            <a:gd name="T74" fmla="+- 0 4353 4311"/>
                            <a:gd name="T75" fmla="*/ 4353 h 1383"/>
                            <a:gd name="T76" fmla="+- 0 8304 7008"/>
                            <a:gd name="T77" fmla="*/ T76 w 1383"/>
                            <a:gd name="T78" fmla="+- 0 4323 4311"/>
                            <a:gd name="T79" fmla="*/ 4323 h 1383"/>
                            <a:gd name="T80" fmla="+- 0 8248 7008"/>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40" y="0"/>
                              </a:moveTo>
                              <a:lnTo>
                                <a:pt x="144" y="0"/>
                              </a:lnTo>
                              <a:lnTo>
                                <a:pt x="88" y="12"/>
                              </a:lnTo>
                              <a:lnTo>
                                <a:pt x="42" y="42"/>
                              </a:lnTo>
                              <a:lnTo>
                                <a:pt x="12" y="88"/>
                              </a:lnTo>
                              <a:lnTo>
                                <a:pt x="0" y="144"/>
                              </a:lnTo>
                              <a:lnTo>
                                <a:pt x="0" y="1240"/>
                              </a:lnTo>
                              <a:lnTo>
                                <a:pt x="12" y="1296"/>
                              </a:lnTo>
                              <a:lnTo>
                                <a:pt x="42" y="1341"/>
                              </a:lnTo>
                              <a:lnTo>
                                <a:pt x="88" y="1372"/>
                              </a:lnTo>
                              <a:lnTo>
                                <a:pt x="144" y="1383"/>
                              </a:lnTo>
                              <a:lnTo>
                                <a:pt x="1240" y="1383"/>
                              </a:lnTo>
                              <a:lnTo>
                                <a:pt x="1296" y="1372"/>
                              </a:lnTo>
                              <a:lnTo>
                                <a:pt x="1341" y="1341"/>
                              </a:lnTo>
                              <a:lnTo>
                                <a:pt x="1372" y="1296"/>
                              </a:lnTo>
                              <a:lnTo>
                                <a:pt x="1383" y="1240"/>
                              </a:lnTo>
                              <a:lnTo>
                                <a:pt x="1383" y="144"/>
                              </a:lnTo>
                              <a:lnTo>
                                <a:pt x="1372" y="88"/>
                              </a:lnTo>
                              <a:lnTo>
                                <a:pt x="1341" y="42"/>
                              </a:lnTo>
                              <a:lnTo>
                                <a:pt x="1296" y="12"/>
                              </a:lnTo>
                              <a:lnTo>
                                <a:pt x="1240" y="0"/>
                              </a:lnTo>
                              <a:close/>
                            </a:path>
                          </a:pathLst>
                        </a:custGeom>
                        <a:solidFill>
                          <a:srgbClr val="0072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BA01814" id="Freeform 160" o:spid="_x0000_s1026" style="position:absolute;margin-left:318.9pt;margin-top:134.65pt;width:69.15pt;height:69.15pt;z-index:-251664045;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" path="m1240,l144,,88,12,42,42,12,88,,144,,1240r12,56l42,1341r46,31l144,1383r1096,l1296,1372r45,-31l1372,1296r11,-56l1383,144,1372,88,1341,42,1296,12,1240,xe" fillcolor="#0072b0" stroked="f">
                <v:path arrowok="t" o:connecttype="custom" o:connectlocs="787400,2737485;91440,2737485;55880,2745105;26670,2764155;7620,2793365;0,2828925;0,3524885;7620,3560445;26670,3589020;55880,3608705;91440,3615690;787400,3615690;822960,3608705;851535,3589020;871220,3560445;878205,3524885;878205,2828925;871220,2793365;851535,2764155;822960,2745105;787400,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3459" behindDoc="1" locked="0" layoutInCell="1" allowOverlap="1" wp14:anchorId="072536B2" wp14:editId="0A796E3E">
                <wp:simplePos x="0" y="0"/>
                <wp:positionH relativeFrom="column">
                  <wp:posOffset>5043805</wp:posOffset>
                </wp:positionH>
                <wp:positionV relativeFrom="paragraph">
                  <wp:posOffset>1709845</wp:posOffset>
                </wp:positionV>
                <wp:extent cx="878205" cy="878205"/>
                <wp:effectExtent l="0" t="0" r="0" b="0"/>
                <wp:wrapNone/>
                <wp:docPr id="1690912566" name="Freeform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9813 8574"/>
                            <a:gd name="T1" fmla="*/ T0 w 1383"/>
                            <a:gd name="T2" fmla="+- 0 4311 4311"/>
                            <a:gd name="T3" fmla="*/ 4311 h 1383"/>
                            <a:gd name="T4" fmla="+- 0 8717 8574"/>
                            <a:gd name="T5" fmla="*/ T4 w 1383"/>
                            <a:gd name="T6" fmla="+- 0 4311 4311"/>
                            <a:gd name="T7" fmla="*/ 4311 h 1383"/>
                            <a:gd name="T8" fmla="+- 0 8661 8574"/>
                            <a:gd name="T9" fmla="*/ T8 w 1383"/>
                            <a:gd name="T10" fmla="+- 0 4323 4311"/>
                            <a:gd name="T11" fmla="*/ 4323 h 1383"/>
                            <a:gd name="T12" fmla="+- 0 8615 8574"/>
                            <a:gd name="T13" fmla="*/ T12 w 1383"/>
                            <a:gd name="T14" fmla="+- 0 4353 4311"/>
                            <a:gd name="T15" fmla="*/ 4353 h 1383"/>
                            <a:gd name="T16" fmla="+- 0 8585 8574"/>
                            <a:gd name="T17" fmla="*/ T16 w 1383"/>
                            <a:gd name="T18" fmla="+- 0 4399 4311"/>
                            <a:gd name="T19" fmla="*/ 4399 h 1383"/>
                            <a:gd name="T20" fmla="+- 0 8574 8574"/>
                            <a:gd name="T21" fmla="*/ T20 w 1383"/>
                            <a:gd name="T22" fmla="+- 0 4455 4311"/>
                            <a:gd name="T23" fmla="*/ 4455 h 1383"/>
                            <a:gd name="T24" fmla="+- 0 8574 8574"/>
                            <a:gd name="T25" fmla="*/ T24 w 1383"/>
                            <a:gd name="T26" fmla="+- 0 5551 4311"/>
                            <a:gd name="T27" fmla="*/ 5551 h 1383"/>
                            <a:gd name="T28" fmla="+- 0 8585 8574"/>
                            <a:gd name="T29" fmla="*/ T28 w 1383"/>
                            <a:gd name="T30" fmla="+- 0 5607 4311"/>
                            <a:gd name="T31" fmla="*/ 5607 h 1383"/>
                            <a:gd name="T32" fmla="+- 0 8615 8574"/>
                            <a:gd name="T33" fmla="*/ T32 w 1383"/>
                            <a:gd name="T34" fmla="+- 0 5652 4311"/>
                            <a:gd name="T35" fmla="*/ 5652 h 1383"/>
                            <a:gd name="T36" fmla="+- 0 8661 8574"/>
                            <a:gd name="T37" fmla="*/ T36 w 1383"/>
                            <a:gd name="T38" fmla="+- 0 5683 4311"/>
                            <a:gd name="T39" fmla="*/ 5683 h 1383"/>
                            <a:gd name="T40" fmla="+- 0 8717 8574"/>
                            <a:gd name="T41" fmla="*/ T40 w 1383"/>
                            <a:gd name="T42" fmla="+- 0 5694 4311"/>
                            <a:gd name="T43" fmla="*/ 5694 h 1383"/>
                            <a:gd name="T44" fmla="+- 0 9813 8574"/>
                            <a:gd name="T45" fmla="*/ T44 w 1383"/>
                            <a:gd name="T46" fmla="+- 0 5694 4311"/>
                            <a:gd name="T47" fmla="*/ 5694 h 1383"/>
                            <a:gd name="T48" fmla="+- 0 9869 8574"/>
                            <a:gd name="T49" fmla="*/ T48 w 1383"/>
                            <a:gd name="T50" fmla="+- 0 5683 4311"/>
                            <a:gd name="T51" fmla="*/ 5683 h 1383"/>
                            <a:gd name="T52" fmla="+- 0 9914 8574"/>
                            <a:gd name="T53" fmla="*/ T52 w 1383"/>
                            <a:gd name="T54" fmla="+- 0 5652 4311"/>
                            <a:gd name="T55" fmla="*/ 5652 h 1383"/>
                            <a:gd name="T56" fmla="+- 0 9945 8574"/>
                            <a:gd name="T57" fmla="*/ T56 w 1383"/>
                            <a:gd name="T58" fmla="+- 0 5607 4311"/>
                            <a:gd name="T59" fmla="*/ 5607 h 1383"/>
                            <a:gd name="T60" fmla="+- 0 9956 8574"/>
                            <a:gd name="T61" fmla="*/ T60 w 1383"/>
                            <a:gd name="T62" fmla="+- 0 5551 4311"/>
                            <a:gd name="T63" fmla="*/ 5551 h 1383"/>
                            <a:gd name="T64" fmla="+- 0 9956 8574"/>
                            <a:gd name="T65" fmla="*/ T64 w 1383"/>
                            <a:gd name="T66" fmla="+- 0 4455 4311"/>
                            <a:gd name="T67" fmla="*/ 4455 h 1383"/>
                            <a:gd name="T68" fmla="+- 0 9945 8574"/>
                            <a:gd name="T69" fmla="*/ T68 w 1383"/>
                            <a:gd name="T70" fmla="+- 0 4399 4311"/>
                            <a:gd name="T71" fmla="*/ 4399 h 1383"/>
                            <a:gd name="T72" fmla="+- 0 9914 8574"/>
                            <a:gd name="T73" fmla="*/ T72 w 1383"/>
                            <a:gd name="T74" fmla="+- 0 4353 4311"/>
                            <a:gd name="T75" fmla="*/ 4353 h 1383"/>
                            <a:gd name="T76" fmla="+- 0 9869 8574"/>
                            <a:gd name="T77" fmla="*/ T76 w 1383"/>
                            <a:gd name="T78" fmla="+- 0 4323 4311"/>
                            <a:gd name="T79" fmla="*/ 4323 h 1383"/>
                            <a:gd name="T80" fmla="+- 0 9813 8574"/>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39" y="0"/>
                              </a:moveTo>
                              <a:lnTo>
                                <a:pt x="143" y="0"/>
                              </a:lnTo>
                              <a:lnTo>
                                <a:pt x="87" y="12"/>
                              </a:lnTo>
                              <a:lnTo>
                                <a:pt x="41" y="42"/>
                              </a:lnTo>
                              <a:lnTo>
                                <a:pt x="11" y="88"/>
                              </a:lnTo>
                              <a:lnTo>
                                <a:pt x="0" y="144"/>
                              </a:lnTo>
                              <a:lnTo>
                                <a:pt x="0" y="1240"/>
                              </a:lnTo>
                              <a:lnTo>
                                <a:pt x="11" y="1296"/>
                              </a:lnTo>
                              <a:lnTo>
                                <a:pt x="41" y="1341"/>
                              </a:lnTo>
                              <a:lnTo>
                                <a:pt x="87" y="1372"/>
                              </a:lnTo>
                              <a:lnTo>
                                <a:pt x="143" y="1383"/>
                              </a:lnTo>
                              <a:lnTo>
                                <a:pt x="1239" y="1383"/>
                              </a:lnTo>
                              <a:lnTo>
                                <a:pt x="1295" y="1372"/>
                              </a:lnTo>
                              <a:lnTo>
                                <a:pt x="1340" y="1341"/>
                              </a:lnTo>
                              <a:lnTo>
                                <a:pt x="1371" y="1296"/>
                              </a:lnTo>
                              <a:lnTo>
                                <a:pt x="1382" y="1240"/>
                              </a:lnTo>
                              <a:lnTo>
                                <a:pt x="1382" y="144"/>
                              </a:lnTo>
                              <a:lnTo>
                                <a:pt x="1371" y="88"/>
                              </a:lnTo>
                              <a:lnTo>
                                <a:pt x="1340" y="42"/>
                              </a:lnTo>
                              <a:lnTo>
                                <a:pt x="1295" y="12"/>
                              </a:lnTo>
                              <a:lnTo>
                                <a:pt x="1239" y="0"/>
                              </a:lnTo>
                              <a:close/>
                            </a:path>
                          </a:pathLst>
                        </a:custGeom>
                        <a:solidFill>
                          <a:srgbClr val="985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8A03CCB" id="Freeform 161" o:spid="_x0000_s1026" style="position:absolute;margin-left:397.15pt;margin-top:134.65pt;width:69.15pt;height:69.15pt;z-index:-251663021;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" path="m1239,l143,,87,12,41,42,11,88,,144,,1240r11,56l41,1341r46,31l143,1383r1096,l1295,1372r45,-31l1371,1296r11,-56l1382,144,1371,88,1340,42,1295,12,1239,xe" fillcolor="#985588" stroked="f">
                <v:path arrowok="t" o:connecttype="custom" o:connectlocs="786765,2737485;90805,2737485;55245,2745105;26035,2764155;6985,2793365;0,2828925;0,3524885;6985,3560445;26035,3589020;55245,3608705;90805,3615690;786765,3615690;822325,3608705;850900,3589020;870585,3560445;877570,3524885;877570,2828925;870585,2793365;850900,2764155;822325,2745105;786765,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4483" behindDoc="1" locked="0" layoutInCell="1" allowOverlap="1" wp14:anchorId="7D9D8AA4" wp14:editId="2A08D61E">
                <wp:simplePos x="0" y="0"/>
                <wp:positionH relativeFrom="column">
                  <wp:posOffset>6032500</wp:posOffset>
                </wp:positionH>
                <wp:positionV relativeFrom="paragraph">
                  <wp:posOffset>1709845</wp:posOffset>
                </wp:positionV>
                <wp:extent cx="878205" cy="878205"/>
                <wp:effectExtent l="0" t="0" r="0" b="0"/>
                <wp:wrapNone/>
                <wp:docPr id="1690912567"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8205" cy="878205"/>
                        </a:xfrm>
                        <a:custGeom>
                          <a:avLst/>
                          <a:gdLst>
                            <a:gd name="T0" fmla="+- 0 11370 10131"/>
                            <a:gd name="T1" fmla="*/ T0 w 1383"/>
                            <a:gd name="T2" fmla="+- 0 4311 4311"/>
                            <a:gd name="T3" fmla="*/ 4311 h 1383"/>
                            <a:gd name="T4" fmla="+- 0 10274 10131"/>
                            <a:gd name="T5" fmla="*/ T4 w 1383"/>
                            <a:gd name="T6" fmla="+- 0 4311 4311"/>
                            <a:gd name="T7" fmla="*/ 4311 h 1383"/>
                            <a:gd name="T8" fmla="+- 0 10218 10131"/>
                            <a:gd name="T9" fmla="*/ T8 w 1383"/>
                            <a:gd name="T10" fmla="+- 0 4323 4311"/>
                            <a:gd name="T11" fmla="*/ 4323 h 1383"/>
                            <a:gd name="T12" fmla="+- 0 10172 10131"/>
                            <a:gd name="T13" fmla="*/ T12 w 1383"/>
                            <a:gd name="T14" fmla="+- 0 4353 4311"/>
                            <a:gd name="T15" fmla="*/ 4353 h 1383"/>
                            <a:gd name="T16" fmla="+- 0 10142 10131"/>
                            <a:gd name="T17" fmla="*/ T16 w 1383"/>
                            <a:gd name="T18" fmla="+- 0 4399 4311"/>
                            <a:gd name="T19" fmla="*/ 4399 h 1383"/>
                            <a:gd name="T20" fmla="+- 0 10131 10131"/>
                            <a:gd name="T21" fmla="*/ T20 w 1383"/>
                            <a:gd name="T22" fmla="+- 0 4455 4311"/>
                            <a:gd name="T23" fmla="*/ 4455 h 1383"/>
                            <a:gd name="T24" fmla="+- 0 10131 10131"/>
                            <a:gd name="T25" fmla="*/ T24 w 1383"/>
                            <a:gd name="T26" fmla="+- 0 5551 4311"/>
                            <a:gd name="T27" fmla="*/ 5551 h 1383"/>
                            <a:gd name="T28" fmla="+- 0 10142 10131"/>
                            <a:gd name="T29" fmla="*/ T28 w 1383"/>
                            <a:gd name="T30" fmla="+- 0 5607 4311"/>
                            <a:gd name="T31" fmla="*/ 5607 h 1383"/>
                            <a:gd name="T32" fmla="+- 0 10172 10131"/>
                            <a:gd name="T33" fmla="*/ T32 w 1383"/>
                            <a:gd name="T34" fmla="+- 0 5652 4311"/>
                            <a:gd name="T35" fmla="*/ 5652 h 1383"/>
                            <a:gd name="T36" fmla="+- 0 10218 10131"/>
                            <a:gd name="T37" fmla="*/ T36 w 1383"/>
                            <a:gd name="T38" fmla="+- 0 5683 4311"/>
                            <a:gd name="T39" fmla="*/ 5683 h 1383"/>
                            <a:gd name="T40" fmla="+- 0 10274 10131"/>
                            <a:gd name="T41" fmla="*/ T40 w 1383"/>
                            <a:gd name="T42" fmla="+- 0 5694 4311"/>
                            <a:gd name="T43" fmla="*/ 5694 h 1383"/>
                            <a:gd name="T44" fmla="+- 0 11370 10131"/>
                            <a:gd name="T45" fmla="*/ T44 w 1383"/>
                            <a:gd name="T46" fmla="+- 0 5694 4311"/>
                            <a:gd name="T47" fmla="*/ 5694 h 1383"/>
                            <a:gd name="T48" fmla="+- 0 11426 10131"/>
                            <a:gd name="T49" fmla="*/ T48 w 1383"/>
                            <a:gd name="T50" fmla="+- 0 5683 4311"/>
                            <a:gd name="T51" fmla="*/ 5683 h 1383"/>
                            <a:gd name="T52" fmla="+- 0 11471 10131"/>
                            <a:gd name="T53" fmla="*/ T52 w 1383"/>
                            <a:gd name="T54" fmla="+- 0 5652 4311"/>
                            <a:gd name="T55" fmla="*/ 5652 h 1383"/>
                            <a:gd name="T56" fmla="+- 0 11502 10131"/>
                            <a:gd name="T57" fmla="*/ T56 w 1383"/>
                            <a:gd name="T58" fmla="+- 0 5607 4311"/>
                            <a:gd name="T59" fmla="*/ 5607 h 1383"/>
                            <a:gd name="T60" fmla="+- 0 11513 10131"/>
                            <a:gd name="T61" fmla="*/ T60 w 1383"/>
                            <a:gd name="T62" fmla="+- 0 5551 4311"/>
                            <a:gd name="T63" fmla="*/ 5551 h 1383"/>
                            <a:gd name="T64" fmla="+- 0 11513 10131"/>
                            <a:gd name="T65" fmla="*/ T64 w 1383"/>
                            <a:gd name="T66" fmla="+- 0 4455 4311"/>
                            <a:gd name="T67" fmla="*/ 4455 h 1383"/>
                            <a:gd name="T68" fmla="+- 0 11502 10131"/>
                            <a:gd name="T69" fmla="*/ T68 w 1383"/>
                            <a:gd name="T70" fmla="+- 0 4399 4311"/>
                            <a:gd name="T71" fmla="*/ 4399 h 1383"/>
                            <a:gd name="T72" fmla="+- 0 11471 10131"/>
                            <a:gd name="T73" fmla="*/ T72 w 1383"/>
                            <a:gd name="T74" fmla="+- 0 4353 4311"/>
                            <a:gd name="T75" fmla="*/ 4353 h 1383"/>
                            <a:gd name="T76" fmla="+- 0 11426 10131"/>
                            <a:gd name="T77" fmla="*/ T76 w 1383"/>
                            <a:gd name="T78" fmla="+- 0 4323 4311"/>
                            <a:gd name="T79" fmla="*/ 4323 h 1383"/>
                            <a:gd name="T80" fmla="+- 0 11370 10131"/>
                            <a:gd name="T81" fmla="*/ T80 w 1383"/>
                            <a:gd name="T82" fmla="+- 0 4311 4311"/>
                            <a:gd name="T83" fmla="*/ 431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3" h="1383">
                              <a:moveTo>
                                <a:pt x="1239" y="0"/>
                              </a:moveTo>
                              <a:lnTo>
                                <a:pt x="143" y="0"/>
                              </a:lnTo>
                              <a:lnTo>
                                <a:pt x="87" y="12"/>
                              </a:lnTo>
                              <a:lnTo>
                                <a:pt x="41" y="42"/>
                              </a:lnTo>
                              <a:lnTo>
                                <a:pt x="11" y="88"/>
                              </a:lnTo>
                              <a:lnTo>
                                <a:pt x="0" y="144"/>
                              </a:lnTo>
                              <a:lnTo>
                                <a:pt x="0" y="1240"/>
                              </a:lnTo>
                              <a:lnTo>
                                <a:pt x="11" y="1296"/>
                              </a:lnTo>
                              <a:lnTo>
                                <a:pt x="41" y="1341"/>
                              </a:lnTo>
                              <a:lnTo>
                                <a:pt x="87" y="1372"/>
                              </a:lnTo>
                              <a:lnTo>
                                <a:pt x="143" y="1383"/>
                              </a:lnTo>
                              <a:lnTo>
                                <a:pt x="1239" y="1383"/>
                              </a:lnTo>
                              <a:lnTo>
                                <a:pt x="1295" y="1372"/>
                              </a:lnTo>
                              <a:lnTo>
                                <a:pt x="1340" y="1341"/>
                              </a:lnTo>
                              <a:lnTo>
                                <a:pt x="1371" y="1296"/>
                              </a:lnTo>
                              <a:lnTo>
                                <a:pt x="1382" y="1240"/>
                              </a:lnTo>
                              <a:lnTo>
                                <a:pt x="1382" y="144"/>
                              </a:lnTo>
                              <a:lnTo>
                                <a:pt x="1371" y="88"/>
                              </a:lnTo>
                              <a:lnTo>
                                <a:pt x="1340" y="42"/>
                              </a:lnTo>
                              <a:lnTo>
                                <a:pt x="1295" y="12"/>
                              </a:lnTo>
                              <a:lnTo>
                                <a:pt x="1239" y="0"/>
                              </a:lnTo>
                              <a:close/>
                            </a:path>
                          </a:pathLst>
                        </a:custGeom>
                        <a:solidFill>
                          <a:srgbClr val="BCD7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D139E8B" id="Freeform 162" o:spid="_x0000_s1026" style="position:absolute;margin-left:475pt;margin-top:134.65pt;width:69.15pt;height:69.15pt;z-index:-251661997;visibility:visible;mso-wrap-style:square;mso-wrap-distance-left:9pt;mso-wrap-distance-top:0;mso-wrap-distance-right:9pt;mso-wrap-distance-bottom:0;mso-position-horizontal:absolute;mso-position-horizontal-relative:text;mso-position-vertical:absolute;mso-position-vertical-relative:text;v-text-anchor:top" coordsize="1383,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" path="m1239,l143,,87,12,41,42,11,88,,144,,1240r11,56l41,1341r46,31l143,1383r1096,l1295,1372r45,-31l1371,1296r11,-56l1382,144,1371,88,1340,42,1295,12,1239,xe" fillcolor="#bcd748" stroked="f">
                <v:path arrowok="t" o:connecttype="custom" o:connectlocs="786765,2737485;90805,2737485;55245,2745105;26035,2764155;6985,2793365;0,2828925;0,3524885;6985,3560445;26035,3589020;55245,3608705;90805,3615690;786765,3615690;822325,3608705;850900,3589020;870585,3560445;877570,3524885;877570,2828925;870585,2793365;850900,2764155;822325,2745105;786765,2737485" o:connectangles="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5507" behindDoc="1" locked="0" layoutInCell="1" allowOverlap="1" wp14:anchorId="6CF26018" wp14:editId="333230D1">
                <wp:simplePos x="0" y="0"/>
                <wp:positionH relativeFrom="column">
                  <wp:posOffset>168275</wp:posOffset>
                </wp:positionH>
                <wp:positionV relativeFrom="paragraph">
                  <wp:posOffset>1775250</wp:posOffset>
                </wp:positionV>
                <wp:extent cx="6654800" cy="704850"/>
                <wp:effectExtent l="0" t="0" r="0" b="0"/>
                <wp:wrapNone/>
                <wp:docPr id="1690912568"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4800" cy="704850"/>
                        </a:xfrm>
                        <a:custGeom>
                          <a:avLst/>
                          <a:gdLst>
                            <a:gd name="T0" fmla="+- 0 919 896"/>
                            <a:gd name="T1" fmla="*/ T0 w 10480"/>
                            <a:gd name="T2" fmla="+- 0 4684 4415"/>
                            <a:gd name="T3" fmla="*/ 4684 h 1110"/>
                            <a:gd name="T4" fmla="+- 0 1066 896"/>
                            <a:gd name="T5" fmla="*/ T4 w 10480"/>
                            <a:gd name="T6" fmla="+- 0 5221 4415"/>
                            <a:gd name="T7" fmla="*/ 5221 h 1110"/>
                            <a:gd name="T8" fmla="+- 0 1240 896"/>
                            <a:gd name="T9" fmla="*/ T8 w 10480"/>
                            <a:gd name="T10" fmla="+- 0 5459 4415"/>
                            <a:gd name="T11" fmla="*/ 5459 h 1110"/>
                            <a:gd name="T12" fmla="+- 0 1759 896"/>
                            <a:gd name="T13" fmla="*/ T12 w 10480"/>
                            <a:gd name="T14" fmla="+- 0 5439 4415"/>
                            <a:gd name="T15" fmla="*/ 5439 h 1110"/>
                            <a:gd name="T16" fmla="+- 0 3119 896"/>
                            <a:gd name="T17" fmla="*/ T16 w 10480"/>
                            <a:gd name="T18" fmla="+- 0 4416 4415"/>
                            <a:gd name="T19" fmla="*/ 4416 h 1110"/>
                            <a:gd name="T20" fmla="+- 0 3039 896"/>
                            <a:gd name="T21" fmla="*/ T20 w 10480"/>
                            <a:gd name="T22" fmla="+- 0 4532 4415"/>
                            <a:gd name="T23" fmla="*/ 4532 h 1110"/>
                            <a:gd name="T24" fmla="+- 0 2678 896"/>
                            <a:gd name="T25" fmla="*/ T24 w 10480"/>
                            <a:gd name="T26" fmla="+- 0 5374 4415"/>
                            <a:gd name="T27" fmla="*/ 5374 h 1110"/>
                            <a:gd name="T28" fmla="+- 0 3241 896"/>
                            <a:gd name="T29" fmla="*/ T28 w 10480"/>
                            <a:gd name="T30" fmla="+- 0 5241 4415"/>
                            <a:gd name="T31" fmla="*/ 5241 h 1110"/>
                            <a:gd name="T32" fmla="+- 0 3002 896"/>
                            <a:gd name="T33" fmla="*/ T32 w 10480"/>
                            <a:gd name="T34" fmla="+- 0 5154 4415"/>
                            <a:gd name="T35" fmla="*/ 5154 h 1110"/>
                            <a:gd name="T36" fmla="+- 0 2786 896"/>
                            <a:gd name="T37" fmla="*/ T36 w 10480"/>
                            <a:gd name="T38" fmla="+- 0 5202 4415"/>
                            <a:gd name="T39" fmla="*/ 5202 h 1110"/>
                            <a:gd name="T40" fmla="+- 0 3223 896"/>
                            <a:gd name="T41" fmla="*/ T40 w 10480"/>
                            <a:gd name="T42" fmla="+- 0 4593 4415"/>
                            <a:gd name="T43" fmla="*/ 4593 h 1110"/>
                            <a:gd name="T44" fmla="+- 0 3337 896"/>
                            <a:gd name="T45" fmla="*/ T44 w 10480"/>
                            <a:gd name="T46" fmla="+- 0 5245 4415"/>
                            <a:gd name="T47" fmla="*/ 5245 h 1110"/>
                            <a:gd name="T48" fmla="+- 0 4762 896"/>
                            <a:gd name="T49" fmla="*/ T48 w 10480"/>
                            <a:gd name="T50" fmla="+- 0 5142 4415"/>
                            <a:gd name="T51" fmla="*/ 5142 h 1110"/>
                            <a:gd name="T52" fmla="+- 0 4945 896"/>
                            <a:gd name="T53" fmla="*/ T52 w 10480"/>
                            <a:gd name="T54" fmla="+- 0 5279 4415"/>
                            <a:gd name="T55" fmla="*/ 5279 h 1110"/>
                            <a:gd name="T56" fmla="+- 0 4891 896"/>
                            <a:gd name="T57" fmla="*/ T56 w 10480"/>
                            <a:gd name="T58" fmla="+- 0 5103 4415"/>
                            <a:gd name="T59" fmla="*/ 5103 h 1110"/>
                            <a:gd name="T60" fmla="+- 0 4896 896"/>
                            <a:gd name="T61" fmla="*/ T60 w 10480"/>
                            <a:gd name="T62" fmla="+- 0 4877 4415"/>
                            <a:gd name="T63" fmla="*/ 4877 h 1110"/>
                            <a:gd name="T64" fmla="+- 0 4829 896"/>
                            <a:gd name="T65" fmla="*/ T64 w 10480"/>
                            <a:gd name="T66" fmla="+- 0 4921 4415"/>
                            <a:gd name="T67" fmla="*/ 4921 h 1110"/>
                            <a:gd name="T68" fmla="+- 0 4437 896"/>
                            <a:gd name="T69" fmla="*/ T68 w 10480"/>
                            <a:gd name="T70" fmla="+- 0 4999 4415"/>
                            <a:gd name="T71" fmla="*/ 4999 h 1110"/>
                            <a:gd name="T72" fmla="+- 0 4333 896"/>
                            <a:gd name="T73" fmla="*/ T72 w 10480"/>
                            <a:gd name="T74" fmla="+- 0 4725 4415"/>
                            <a:gd name="T75" fmla="*/ 4725 h 1110"/>
                            <a:gd name="T76" fmla="+- 0 4722 896"/>
                            <a:gd name="T77" fmla="*/ T76 w 10480"/>
                            <a:gd name="T78" fmla="+- 0 4601 4415"/>
                            <a:gd name="T79" fmla="*/ 4601 h 1110"/>
                            <a:gd name="T80" fmla="+- 0 4234 896"/>
                            <a:gd name="T81" fmla="*/ T80 w 10480"/>
                            <a:gd name="T82" fmla="+- 0 5267 4415"/>
                            <a:gd name="T83" fmla="*/ 5267 h 1110"/>
                            <a:gd name="T84" fmla="+- 0 4232 896"/>
                            <a:gd name="T85" fmla="*/ T84 w 10480"/>
                            <a:gd name="T86" fmla="+- 0 4875 4415"/>
                            <a:gd name="T87" fmla="*/ 4875 h 1110"/>
                            <a:gd name="T88" fmla="+- 0 4249 896"/>
                            <a:gd name="T89" fmla="*/ T88 w 10480"/>
                            <a:gd name="T90" fmla="+- 0 5027 4415"/>
                            <a:gd name="T91" fmla="*/ 5027 h 1110"/>
                            <a:gd name="T92" fmla="+- 0 4160 896"/>
                            <a:gd name="T93" fmla="*/ T92 w 10480"/>
                            <a:gd name="T94" fmla="+- 0 5387 4415"/>
                            <a:gd name="T95" fmla="*/ 5387 h 1110"/>
                            <a:gd name="T96" fmla="+- 0 4943 896"/>
                            <a:gd name="T97" fmla="*/ T96 w 10480"/>
                            <a:gd name="T98" fmla="+- 0 5517 4415"/>
                            <a:gd name="T99" fmla="*/ 5517 h 1110"/>
                            <a:gd name="T100" fmla="+- 0 6535 896"/>
                            <a:gd name="T101" fmla="*/ T100 w 10480"/>
                            <a:gd name="T102" fmla="+- 0 4679 4415"/>
                            <a:gd name="T103" fmla="*/ 4679 h 1110"/>
                            <a:gd name="T104" fmla="+- 0 6310 896"/>
                            <a:gd name="T105" fmla="*/ T104 w 10480"/>
                            <a:gd name="T106" fmla="+- 0 5247 4415"/>
                            <a:gd name="T107" fmla="*/ 5247 h 1110"/>
                            <a:gd name="T108" fmla="+- 0 6346 896"/>
                            <a:gd name="T109" fmla="*/ T108 w 10480"/>
                            <a:gd name="T110" fmla="+- 0 5117 4415"/>
                            <a:gd name="T111" fmla="*/ 5117 h 1110"/>
                            <a:gd name="T112" fmla="+- 0 5843 896"/>
                            <a:gd name="T113" fmla="*/ T112 w 10480"/>
                            <a:gd name="T114" fmla="+- 0 5167 4415"/>
                            <a:gd name="T115" fmla="*/ 5167 h 1110"/>
                            <a:gd name="T116" fmla="+- 0 5875 896"/>
                            <a:gd name="T117" fmla="*/ T116 w 10480"/>
                            <a:gd name="T118" fmla="+- 0 4695 4415"/>
                            <a:gd name="T119" fmla="*/ 4695 h 1110"/>
                            <a:gd name="T120" fmla="+- 0 6299 896"/>
                            <a:gd name="T121" fmla="*/ T120 w 10480"/>
                            <a:gd name="T122" fmla="+- 0 4571 4415"/>
                            <a:gd name="T123" fmla="*/ 4571 h 1110"/>
                            <a:gd name="T124" fmla="+- 0 5751 896"/>
                            <a:gd name="T125" fmla="*/ T124 w 10480"/>
                            <a:gd name="T126" fmla="+- 0 4655 4415"/>
                            <a:gd name="T127" fmla="*/ 4655 h 1110"/>
                            <a:gd name="T128" fmla="+- 0 5712 896"/>
                            <a:gd name="T129" fmla="*/ T128 w 10480"/>
                            <a:gd name="T130" fmla="+- 0 4911 4415"/>
                            <a:gd name="T131" fmla="*/ 4911 h 1110"/>
                            <a:gd name="T132" fmla="+- 0 6320 896"/>
                            <a:gd name="T133" fmla="*/ T132 w 10480"/>
                            <a:gd name="T134" fmla="+- 0 5427 4415"/>
                            <a:gd name="T135" fmla="*/ 5427 h 1110"/>
                            <a:gd name="T136" fmla="+- 0 6572 896"/>
                            <a:gd name="T137" fmla="*/ T136 w 10480"/>
                            <a:gd name="T138" fmla="+- 0 4925 4415"/>
                            <a:gd name="T139" fmla="*/ 4925 h 1110"/>
                            <a:gd name="T140" fmla="+- 0 7398 896"/>
                            <a:gd name="T141" fmla="*/ T140 w 10480"/>
                            <a:gd name="T142" fmla="+- 0 5365 4415"/>
                            <a:gd name="T143" fmla="*/ 5365 h 1110"/>
                            <a:gd name="T144" fmla="+- 0 7882 896"/>
                            <a:gd name="T145" fmla="*/ T144 w 10480"/>
                            <a:gd name="T146" fmla="+- 0 4541 4415"/>
                            <a:gd name="T147" fmla="*/ 4541 h 1110"/>
                            <a:gd name="T148" fmla="+- 0 7776 896"/>
                            <a:gd name="T149" fmla="*/ T148 w 10480"/>
                            <a:gd name="T150" fmla="+- 0 5160 4415"/>
                            <a:gd name="T151" fmla="*/ 5160 h 1110"/>
                            <a:gd name="T152" fmla="+- 0 7701 896"/>
                            <a:gd name="T153" fmla="*/ T152 w 10480"/>
                            <a:gd name="T154" fmla="+- 0 4833 4415"/>
                            <a:gd name="T155" fmla="*/ 4833 h 1110"/>
                            <a:gd name="T156" fmla="+- 0 7677 896"/>
                            <a:gd name="T157" fmla="*/ T156 w 10480"/>
                            <a:gd name="T158" fmla="+- 0 4760 4415"/>
                            <a:gd name="T159" fmla="*/ 4760 h 1110"/>
                            <a:gd name="T160" fmla="+- 0 7676 896"/>
                            <a:gd name="T161" fmla="*/ T160 w 10480"/>
                            <a:gd name="T162" fmla="+- 0 4613 4415"/>
                            <a:gd name="T163" fmla="*/ 4613 h 1110"/>
                            <a:gd name="T164" fmla="+- 0 7576 896"/>
                            <a:gd name="T165" fmla="*/ T164 w 10480"/>
                            <a:gd name="T166" fmla="+- 0 4645 4415"/>
                            <a:gd name="T167" fmla="*/ 4645 h 1110"/>
                            <a:gd name="T168" fmla="+- 0 7511 896"/>
                            <a:gd name="T169" fmla="*/ T168 w 10480"/>
                            <a:gd name="T170" fmla="+- 0 4554 4415"/>
                            <a:gd name="T171" fmla="*/ 4554 h 1110"/>
                            <a:gd name="T172" fmla="+- 0 8054 896"/>
                            <a:gd name="T173" fmla="*/ T172 w 10480"/>
                            <a:gd name="T174" fmla="+- 0 4795 4415"/>
                            <a:gd name="T175" fmla="*/ 4795 h 1110"/>
                            <a:gd name="T176" fmla="+- 0 9751 896"/>
                            <a:gd name="T177" fmla="*/ T176 w 10480"/>
                            <a:gd name="T178" fmla="+- 0 4776 4415"/>
                            <a:gd name="T179" fmla="*/ 4776 h 1110"/>
                            <a:gd name="T180" fmla="+- 0 8846 896"/>
                            <a:gd name="T181" fmla="*/ T180 w 10480"/>
                            <a:gd name="T182" fmla="+- 0 5086 4415"/>
                            <a:gd name="T183" fmla="*/ 5086 h 1110"/>
                            <a:gd name="T184" fmla="+- 0 9538 896"/>
                            <a:gd name="T185" fmla="*/ T184 w 10480"/>
                            <a:gd name="T186" fmla="+- 0 4674 4415"/>
                            <a:gd name="T187" fmla="*/ 4674 h 1110"/>
                            <a:gd name="T188" fmla="+- 0 8910 896"/>
                            <a:gd name="T189" fmla="*/ T188 w 10480"/>
                            <a:gd name="T190" fmla="+- 0 4713 4415"/>
                            <a:gd name="T191" fmla="*/ 4713 h 1110"/>
                            <a:gd name="T192" fmla="+- 0 8839 896"/>
                            <a:gd name="T193" fmla="*/ T192 w 10480"/>
                            <a:gd name="T194" fmla="+- 0 4877 4415"/>
                            <a:gd name="T195" fmla="*/ 4877 h 1110"/>
                            <a:gd name="T196" fmla="+- 0 8913 896"/>
                            <a:gd name="T197" fmla="*/ T196 w 10480"/>
                            <a:gd name="T198" fmla="+- 0 5255 4415"/>
                            <a:gd name="T199" fmla="*/ 5255 h 1110"/>
                            <a:gd name="T200" fmla="+- 0 9815 896"/>
                            <a:gd name="T201" fmla="*/ T200 w 10480"/>
                            <a:gd name="T202" fmla="+- 0 4999 4415"/>
                            <a:gd name="T203" fmla="*/ 4999 h 1110"/>
                            <a:gd name="T204" fmla="+- 0 9593 896"/>
                            <a:gd name="T205" fmla="*/ T204 w 10480"/>
                            <a:gd name="T206" fmla="+- 0 5043 4415"/>
                            <a:gd name="T207" fmla="*/ 5043 h 1110"/>
                            <a:gd name="T208" fmla="+- 0 11349 896"/>
                            <a:gd name="T209" fmla="*/ T208 w 10480"/>
                            <a:gd name="T210" fmla="+- 0 4988 4415"/>
                            <a:gd name="T211" fmla="*/ 4988 h 1110"/>
                            <a:gd name="T212" fmla="+- 0 11330 896"/>
                            <a:gd name="T213" fmla="*/ T212 w 10480"/>
                            <a:gd name="T214" fmla="+- 0 5030 4415"/>
                            <a:gd name="T215" fmla="*/ 5030 h 1110"/>
                            <a:gd name="T216" fmla="+- 0 10779 896"/>
                            <a:gd name="T217" fmla="*/ T216 w 10480"/>
                            <a:gd name="T218" fmla="+- 0 5097 4415"/>
                            <a:gd name="T219" fmla="*/ 5097 h 1110"/>
                            <a:gd name="T220" fmla="+- 0 10357 896"/>
                            <a:gd name="T221" fmla="*/ T220 w 10480"/>
                            <a:gd name="T222" fmla="+- 0 4975 4415"/>
                            <a:gd name="T223" fmla="*/ 4975 h 1110"/>
                            <a:gd name="T224" fmla="+- 0 10662 896"/>
                            <a:gd name="T225" fmla="*/ T224 w 10480"/>
                            <a:gd name="T226" fmla="+- 0 5085 4415"/>
                            <a:gd name="T227" fmla="*/ 5085 h 1110"/>
                            <a:gd name="T228" fmla="+- 0 11008 896"/>
                            <a:gd name="T229" fmla="*/ T228 w 10480"/>
                            <a:gd name="T230" fmla="+- 0 4637 4415"/>
                            <a:gd name="T231" fmla="*/ 4637 h 1110"/>
                            <a:gd name="T232" fmla="+- 0 10753 896"/>
                            <a:gd name="T233" fmla="*/ T232 w 10480"/>
                            <a:gd name="T234" fmla="+- 0 4683 4415"/>
                            <a:gd name="T235" fmla="*/ 4683 h 1110"/>
                            <a:gd name="T236" fmla="+- 0 10410 896"/>
                            <a:gd name="T237" fmla="*/ T236 w 10480"/>
                            <a:gd name="T238" fmla="+- 0 4898 4415"/>
                            <a:gd name="T239" fmla="*/ 4898 h 1110"/>
                            <a:gd name="T240" fmla="+- 0 10790 896"/>
                            <a:gd name="T241" fmla="*/ T240 w 10480"/>
                            <a:gd name="T242" fmla="+- 0 5136 4415"/>
                            <a:gd name="T243" fmla="*/ 5136 h 1110"/>
                            <a:gd name="T244" fmla="+- 0 11374 896"/>
                            <a:gd name="T245" fmla="*/ T244 w 10480"/>
                            <a:gd name="T246" fmla="+- 0 5136 4415"/>
                            <a:gd name="T247" fmla="*/ 5136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480" h="1110">
                              <a:moveTo>
                                <a:pt x="1033" y="129"/>
                              </a:moveTo>
                              <a:lnTo>
                                <a:pt x="1028" y="107"/>
                              </a:lnTo>
                              <a:lnTo>
                                <a:pt x="1015" y="90"/>
                              </a:lnTo>
                              <a:lnTo>
                                <a:pt x="997" y="77"/>
                              </a:lnTo>
                              <a:lnTo>
                                <a:pt x="975" y="72"/>
                              </a:lnTo>
                              <a:lnTo>
                                <a:pt x="958" y="72"/>
                              </a:lnTo>
                              <a:lnTo>
                                <a:pt x="941" y="75"/>
                              </a:lnTo>
                              <a:lnTo>
                                <a:pt x="925" y="80"/>
                              </a:lnTo>
                              <a:lnTo>
                                <a:pt x="911" y="89"/>
                              </a:lnTo>
                              <a:lnTo>
                                <a:pt x="894" y="101"/>
                              </a:lnTo>
                              <a:lnTo>
                                <a:pt x="877" y="114"/>
                              </a:lnTo>
                              <a:lnTo>
                                <a:pt x="861" y="128"/>
                              </a:lnTo>
                              <a:lnTo>
                                <a:pt x="845" y="142"/>
                              </a:lnTo>
                              <a:lnTo>
                                <a:pt x="799" y="186"/>
                              </a:lnTo>
                              <a:lnTo>
                                <a:pt x="662" y="319"/>
                              </a:lnTo>
                              <a:lnTo>
                                <a:pt x="651" y="328"/>
                              </a:lnTo>
                              <a:lnTo>
                                <a:pt x="639" y="333"/>
                              </a:lnTo>
                              <a:lnTo>
                                <a:pt x="626" y="335"/>
                              </a:lnTo>
                              <a:lnTo>
                                <a:pt x="611" y="334"/>
                              </a:lnTo>
                              <a:lnTo>
                                <a:pt x="541" y="324"/>
                              </a:lnTo>
                              <a:lnTo>
                                <a:pt x="83" y="255"/>
                              </a:lnTo>
                              <a:lnTo>
                                <a:pt x="61" y="254"/>
                              </a:lnTo>
                              <a:lnTo>
                                <a:pt x="41" y="259"/>
                              </a:lnTo>
                              <a:lnTo>
                                <a:pt x="23" y="269"/>
                              </a:lnTo>
                              <a:lnTo>
                                <a:pt x="7" y="285"/>
                              </a:lnTo>
                              <a:lnTo>
                                <a:pt x="1" y="296"/>
                              </a:lnTo>
                              <a:lnTo>
                                <a:pt x="0" y="306"/>
                              </a:lnTo>
                              <a:lnTo>
                                <a:pt x="4" y="314"/>
                              </a:lnTo>
                              <a:lnTo>
                                <a:pt x="15" y="322"/>
                              </a:lnTo>
                              <a:lnTo>
                                <a:pt x="408" y="539"/>
                              </a:lnTo>
                              <a:lnTo>
                                <a:pt x="422" y="548"/>
                              </a:lnTo>
                              <a:lnTo>
                                <a:pt x="427" y="557"/>
                              </a:lnTo>
                              <a:lnTo>
                                <a:pt x="424" y="567"/>
                              </a:lnTo>
                              <a:lnTo>
                                <a:pt x="414" y="579"/>
                              </a:lnTo>
                              <a:lnTo>
                                <a:pt x="389" y="606"/>
                              </a:lnTo>
                              <a:lnTo>
                                <a:pt x="307" y="692"/>
                              </a:lnTo>
                              <a:lnTo>
                                <a:pt x="299" y="696"/>
                              </a:lnTo>
                              <a:lnTo>
                                <a:pt x="227" y="707"/>
                              </a:lnTo>
                              <a:lnTo>
                                <a:pt x="194" y="711"/>
                              </a:lnTo>
                              <a:lnTo>
                                <a:pt x="161" y="714"/>
                              </a:lnTo>
                              <a:lnTo>
                                <a:pt x="138" y="718"/>
                              </a:lnTo>
                              <a:lnTo>
                                <a:pt x="118" y="726"/>
                              </a:lnTo>
                              <a:lnTo>
                                <a:pt x="101" y="739"/>
                              </a:lnTo>
                              <a:lnTo>
                                <a:pt x="85" y="756"/>
                              </a:lnTo>
                              <a:lnTo>
                                <a:pt x="74" y="769"/>
                              </a:lnTo>
                              <a:lnTo>
                                <a:pt x="76" y="777"/>
                              </a:lnTo>
                              <a:lnTo>
                                <a:pt x="102" y="786"/>
                              </a:lnTo>
                              <a:lnTo>
                                <a:pt x="170" y="806"/>
                              </a:lnTo>
                              <a:lnTo>
                                <a:pt x="189" y="812"/>
                              </a:lnTo>
                              <a:lnTo>
                                <a:pt x="208" y="819"/>
                              </a:lnTo>
                              <a:lnTo>
                                <a:pt x="222" y="827"/>
                              </a:lnTo>
                              <a:lnTo>
                                <a:pt x="228" y="837"/>
                              </a:lnTo>
                              <a:lnTo>
                                <a:pt x="227" y="849"/>
                              </a:lnTo>
                              <a:lnTo>
                                <a:pt x="219" y="864"/>
                              </a:lnTo>
                              <a:lnTo>
                                <a:pt x="213" y="872"/>
                              </a:lnTo>
                              <a:lnTo>
                                <a:pt x="208" y="881"/>
                              </a:lnTo>
                              <a:lnTo>
                                <a:pt x="204" y="890"/>
                              </a:lnTo>
                              <a:lnTo>
                                <a:pt x="197" y="904"/>
                              </a:lnTo>
                              <a:lnTo>
                                <a:pt x="197" y="915"/>
                              </a:lnTo>
                              <a:lnTo>
                                <a:pt x="204" y="920"/>
                              </a:lnTo>
                              <a:lnTo>
                                <a:pt x="214" y="920"/>
                              </a:lnTo>
                              <a:lnTo>
                                <a:pt x="230" y="912"/>
                              </a:lnTo>
                              <a:lnTo>
                                <a:pt x="240" y="906"/>
                              </a:lnTo>
                              <a:lnTo>
                                <a:pt x="251" y="900"/>
                              </a:lnTo>
                              <a:lnTo>
                                <a:pt x="272" y="885"/>
                              </a:lnTo>
                              <a:lnTo>
                                <a:pt x="284" y="883"/>
                              </a:lnTo>
                              <a:lnTo>
                                <a:pt x="298" y="902"/>
                              </a:lnTo>
                              <a:lnTo>
                                <a:pt x="301" y="913"/>
                              </a:lnTo>
                              <a:lnTo>
                                <a:pt x="312" y="948"/>
                              </a:lnTo>
                              <a:lnTo>
                                <a:pt x="328" y="997"/>
                              </a:lnTo>
                              <a:lnTo>
                                <a:pt x="338" y="1030"/>
                              </a:lnTo>
                              <a:lnTo>
                                <a:pt x="344" y="1044"/>
                              </a:lnTo>
                              <a:lnTo>
                                <a:pt x="371" y="1023"/>
                              </a:lnTo>
                              <a:lnTo>
                                <a:pt x="385" y="1010"/>
                              </a:lnTo>
                              <a:lnTo>
                                <a:pt x="396" y="994"/>
                              </a:lnTo>
                              <a:lnTo>
                                <a:pt x="402" y="974"/>
                              </a:lnTo>
                              <a:lnTo>
                                <a:pt x="405" y="937"/>
                              </a:lnTo>
                              <a:lnTo>
                                <a:pt x="414" y="864"/>
                              </a:lnTo>
                              <a:lnTo>
                                <a:pt x="420" y="817"/>
                              </a:lnTo>
                              <a:lnTo>
                                <a:pt x="425" y="807"/>
                              </a:lnTo>
                              <a:lnTo>
                                <a:pt x="432" y="799"/>
                              </a:lnTo>
                              <a:lnTo>
                                <a:pt x="452" y="779"/>
                              </a:lnTo>
                              <a:lnTo>
                                <a:pt x="534" y="699"/>
                              </a:lnTo>
                              <a:lnTo>
                                <a:pt x="547" y="688"/>
                              </a:lnTo>
                              <a:lnTo>
                                <a:pt x="557" y="686"/>
                              </a:lnTo>
                              <a:lnTo>
                                <a:pt x="566" y="691"/>
                              </a:lnTo>
                              <a:lnTo>
                                <a:pt x="576" y="704"/>
                              </a:lnTo>
                              <a:lnTo>
                                <a:pt x="798" y="1093"/>
                              </a:lnTo>
                              <a:lnTo>
                                <a:pt x="806" y="1104"/>
                              </a:lnTo>
                              <a:lnTo>
                                <a:pt x="815" y="1109"/>
                              </a:lnTo>
                              <a:lnTo>
                                <a:pt x="825" y="1107"/>
                              </a:lnTo>
                              <a:lnTo>
                                <a:pt x="837" y="1100"/>
                              </a:lnTo>
                              <a:lnTo>
                                <a:pt x="852" y="1084"/>
                              </a:lnTo>
                              <a:lnTo>
                                <a:pt x="861" y="1066"/>
                              </a:lnTo>
                              <a:lnTo>
                                <a:pt x="865" y="1046"/>
                              </a:lnTo>
                              <a:lnTo>
                                <a:pt x="863" y="1024"/>
                              </a:lnTo>
                              <a:lnTo>
                                <a:pt x="776" y="497"/>
                              </a:lnTo>
                              <a:lnTo>
                                <a:pt x="775" y="483"/>
                              </a:lnTo>
                              <a:lnTo>
                                <a:pt x="777" y="469"/>
                              </a:lnTo>
                              <a:lnTo>
                                <a:pt x="783" y="457"/>
                              </a:lnTo>
                              <a:lnTo>
                                <a:pt x="791" y="446"/>
                              </a:lnTo>
                              <a:lnTo>
                                <a:pt x="858" y="375"/>
                              </a:lnTo>
                              <a:lnTo>
                                <a:pt x="971" y="254"/>
                              </a:lnTo>
                              <a:lnTo>
                                <a:pt x="1000" y="221"/>
                              </a:lnTo>
                              <a:lnTo>
                                <a:pt x="1015" y="200"/>
                              </a:lnTo>
                              <a:lnTo>
                                <a:pt x="1026" y="179"/>
                              </a:lnTo>
                              <a:lnTo>
                                <a:pt x="1033" y="155"/>
                              </a:lnTo>
                              <a:lnTo>
                                <a:pt x="1033" y="129"/>
                              </a:lnTo>
                              <a:close/>
                              <a:moveTo>
                                <a:pt x="1978" y="1032"/>
                              </a:moveTo>
                              <a:lnTo>
                                <a:pt x="1919" y="1032"/>
                              </a:lnTo>
                              <a:lnTo>
                                <a:pt x="1896" y="1101"/>
                              </a:lnTo>
                              <a:lnTo>
                                <a:pt x="1955" y="1101"/>
                              </a:lnTo>
                              <a:lnTo>
                                <a:pt x="1978" y="1032"/>
                              </a:lnTo>
                              <a:close/>
                              <a:moveTo>
                                <a:pt x="2298" y="80"/>
                              </a:moveTo>
                              <a:lnTo>
                                <a:pt x="2292" y="49"/>
                              </a:lnTo>
                              <a:lnTo>
                                <a:pt x="2290" y="45"/>
                              </a:lnTo>
                              <a:lnTo>
                                <a:pt x="2289" y="44"/>
                              </a:lnTo>
                              <a:lnTo>
                                <a:pt x="2277" y="24"/>
                              </a:lnTo>
                              <a:lnTo>
                                <a:pt x="2253" y="7"/>
                              </a:lnTo>
                              <a:lnTo>
                                <a:pt x="2223" y="1"/>
                              </a:lnTo>
                              <a:lnTo>
                                <a:pt x="2106" y="0"/>
                              </a:lnTo>
                              <a:lnTo>
                                <a:pt x="1989" y="1"/>
                              </a:lnTo>
                              <a:lnTo>
                                <a:pt x="1959" y="7"/>
                              </a:lnTo>
                              <a:lnTo>
                                <a:pt x="1935" y="24"/>
                              </a:lnTo>
                              <a:lnTo>
                                <a:pt x="1920" y="50"/>
                              </a:lnTo>
                              <a:lnTo>
                                <a:pt x="1914" y="81"/>
                              </a:lnTo>
                              <a:lnTo>
                                <a:pt x="1927" y="83"/>
                              </a:lnTo>
                              <a:lnTo>
                                <a:pt x="1939" y="83"/>
                              </a:lnTo>
                              <a:lnTo>
                                <a:pt x="1949" y="78"/>
                              </a:lnTo>
                              <a:lnTo>
                                <a:pt x="1957" y="65"/>
                              </a:lnTo>
                              <a:lnTo>
                                <a:pt x="1961" y="56"/>
                              </a:lnTo>
                              <a:lnTo>
                                <a:pt x="1974" y="48"/>
                              </a:lnTo>
                              <a:lnTo>
                                <a:pt x="1989" y="44"/>
                              </a:lnTo>
                              <a:lnTo>
                                <a:pt x="1998" y="58"/>
                              </a:lnTo>
                              <a:lnTo>
                                <a:pt x="2008" y="74"/>
                              </a:lnTo>
                              <a:lnTo>
                                <a:pt x="2012" y="83"/>
                              </a:lnTo>
                              <a:lnTo>
                                <a:pt x="2014" y="92"/>
                              </a:lnTo>
                              <a:lnTo>
                                <a:pt x="2022" y="109"/>
                              </a:lnTo>
                              <a:lnTo>
                                <a:pt x="2034" y="119"/>
                              </a:lnTo>
                              <a:lnTo>
                                <a:pt x="2049" y="121"/>
                              </a:lnTo>
                              <a:lnTo>
                                <a:pt x="2069" y="117"/>
                              </a:lnTo>
                              <a:lnTo>
                                <a:pt x="2041" y="46"/>
                              </a:lnTo>
                              <a:lnTo>
                                <a:pt x="2171" y="46"/>
                              </a:lnTo>
                              <a:lnTo>
                                <a:pt x="2143" y="117"/>
                              </a:lnTo>
                              <a:lnTo>
                                <a:pt x="2163" y="121"/>
                              </a:lnTo>
                              <a:lnTo>
                                <a:pt x="2178" y="119"/>
                              </a:lnTo>
                              <a:lnTo>
                                <a:pt x="2190" y="109"/>
                              </a:lnTo>
                              <a:lnTo>
                                <a:pt x="2198" y="92"/>
                              </a:lnTo>
                              <a:lnTo>
                                <a:pt x="2200" y="83"/>
                              </a:lnTo>
                              <a:lnTo>
                                <a:pt x="2204" y="74"/>
                              </a:lnTo>
                              <a:lnTo>
                                <a:pt x="2214" y="58"/>
                              </a:lnTo>
                              <a:lnTo>
                                <a:pt x="2221" y="46"/>
                              </a:lnTo>
                              <a:lnTo>
                                <a:pt x="2222" y="45"/>
                              </a:lnTo>
                              <a:lnTo>
                                <a:pt x="2237" y="46"/>
                              </a:lnTo>
                              <a:lnTo>
                                <a:pt x="2250" y="54"/>
                              </a:lnTo>
                              <a:lnTo>
                                <a:pt x="2254" y="62"/>
                              </a:lnTo>
                              <a:lnTo>
                                <a:pt x="2262" y="76"/>
                              </a:lnTo>
                              <a:lnTo>
                                <a:pt x="2272" y="83"/>
                              </a:lnTo>
                              <a:lnTo>
                                <a:pt x="2284" y="84"/>
                              </a:lnTo>
                              <a:lnTo>
                                <a:pt x="2298" y="80"/>
                              </a:lnTo>
                              <a:close/>
                              <a:moveTo>
                                <a:pt x="2320" y="1101"/>
                              </a:moveTo>
                              <a:lnTo>
                                <a:pt x="2297" y="1032"/>
                              </a:lnTo>
                              <a:lnTo>
                                <a:pt x="2238" y="1032"/>
                              </a:lnTo>
                              <a:lnTo>
                                <a:pt x="2261" y="1101"/>
                              </a:lnTo>
                              <a:lnTo>
                                <a:pt x="2320" y="1101"/>
                              </a:lnTo>
                              <a:close/>
                              <a:moveTo>
                                <a:pt x="2436" y="912"/>
                              </a:moveTo>
                              <a:lnTo>
                                <a:pt x="1781" y="912"/>
                              </a:lnTo>
                              <a:lnTo>
                                <a:pt x="1782" y="959"/>
                              </a:lnTo>
                              <a:lnTo>
                                <a:pt x="1791" y="983"/>
                              </a:lnTo>
                              <a:lnTo>
                                <a:pt x="1813" y="992"/>
                              </a:lnTo>
                              <a:lnTo>
                                <a:pt x="1857" y="994"/>
                              </a:lnTo>
                              <a:lnTo>
                                <a:pt x="2136" y="994"/>
                              </a:lnTo>
                              <a:lnTo>
                                <a:pt x="2405" y="993"/>
                              </a:lnTo>
                              <a:lnTo>
                                <a:pt x="2421" y="987"/>
                              </a:lnTo>
                              <a:lnTo>
                                <a:pt x="2423" y="980"/>
                              </a:lnTo>
                              <a:lnTo>
                                <a:pt x="2427" y="964"/>
                              </a:lnTo>
                              <a:lnTo>
                                <a:pt x="2431" y="947"/>
                              </a:lnTo>
                              <a:lnTo>
                                <a:pt x="2436" y="912"/>
                              </a:lnTo>
                              <a:close/>
                              <a:moveTo>
                                <a:pt x="2448" y="659"/>
                              </a:moveTo>
                              <a:lnTo>
                                <a:pt x="2446" y="576"/>
                              </a:lnTo>
                              <a:lnTo>
                                <a:pt x="2440" y="495"/>
                              </a:lnTo>
                              <a:lnTo>
                                <a:pt x="2429" y="414"/>
                              </a:lnTo>
                              <a:lnTo>
                                <a:pt x="2419" y="363"/>
                              </a:lnTo>
                              <a:lnTo>
                                <a:pt x="2413" y="334"/>
                              </a:lnTo>
                              <a:lnTo>
                                <a:pt x="2410" y="322"/>
                              </a:lnTo>
                              <a:lnTo>
                                <a:pt x="2403" y="296"/>
                              </a:lnTo>
                              <a:lnTo>
                                <a:pt x="2403" y="790"/>
                              </a:lnTo>
                              <a:lnTo>
                                <a:pt x="2399" y="806"/>
                              </a:lnTo>
                              <a:lnTo>
                                <a:pt x="2390" y="819"/>
                              </a:lnTo>
                              <a:lnTo>
                                <a:pt x="2376" y="827"/>
                              </a:lnTo>
                              <a:lnTo>
                                <a:pt x="2360" y="830"/>
                              </a:lnTo>
                              <a:lnTo>
                                <a:pt x="2345" y="826"/>
                              </a:lnTo>
                              <a:lnTo>
                                <a:pt x="2333" y="817"/>
                              </a:lnTo>
                              <a:lnTo>
                                <a:pt x="2325" y="804"/>
                              </a:lnTo>
                              <a:lnTo>
                                <a:pt x="2322" y="788"/>
                              </a:lnTo>
                              <a:lnTo>
                                <a:pt x="2325" y="773"/>
                              </a:lnTo>
                              <a:lnTo>
                                <a:pt x="2334" y="760"/>
                              </a:lnTo>
                              <a:lnTo>
                                <a:pt x="2346" y="752"/>
                              </a:lnTo>
                              <a:lnTo>
                                <a:pt x="2361" y="748"/>
                              </a:lnTo>
                              <a:lnTo>
                                <a:pt x="2377" y="752"/>
                              </a:lnTo>
                              <a:lnTo>
                                <a:pt x="2391" y="761"/>
                              </a:lnTo>
                              <a:lnTo>
                                <a:pt x="2400" y="774"/>
                              </a:lnTo>
                              <a:lnTo>
                                <a:pt x="2403" y="790"/>
                              </a:lnTo>
                              <a:lnTo>
                                <a:pt x="2403" y="296"/>
                              </a:lnTo>
                              <a:lnTo>
                                <a:pt x="2391" y="254"/>
                              </a:lnTo>
                              <a:lnTo>
                                <a:pt x="2383" y="234"/>
                              </a:lnTo>
                              <a:lnTo>
                                <a:pt x="2377" y="220"/>
                              </a:lnTo>
                              <a:lnTo>
                                <a:pt x="2356" y="195"/>
                              </a:lnTo>
                              <a:lnTo>
                                <a:pt x="2332" y="181"/>
                              </a:lnTo>
                              <a:lnTo>
                                <a:pt x="2332" y="363"/>
                              </a:lnTo>
                              <a:lnTo>
                                <a:pt x="2323" y="449"/>
                              </a:lnTo>
                              <a:lnTo>
                                <a:pt x="2306" y="533"/>
                              </a:lnTo>
                              <a:lnTo>
                                <a:pt x="2276" y="611"/>
                              </a:lnTo>
                              <a:lnTo>
                                <a:pt x="2226" y="682"/>
                              </a:lnTo>
                              <a:lnTo>
                                <a:pt x="2169" y="725"/>
                              </a:lnTo>
                              <a:lnTo>
                                <a:pt x="2106" y="739"/>
                              </a:lnTo>
                              <a:lnTo>
                                <a:pt x="2044" y="725"/>
                              </a:lnTo>
                              <a:lnTo>
                                <a:pt x="1986" y="682"/>
                              </a:lnTo>
                              <a:lnTo>
                                <a:pt x="1951" y="637"/>
                              </a:lnTo>
                              <a:lnTo>
                                <a:pt x="1925" y="586"/>
                              </a:lnTo>
                              <a:lnTo>
                                <a:pt x="1907" y="533"/>
                              </a:lnTo>
                              <a:lnTo>
                                <a:pt x="1894" y="477"/>
                              </a:lnTo>
                              <a:lnTo>
                                <a:pt x="1890" y="456"/>
                              </a:lnTo>
                              <a:lnTo>
                                <a:pt x="1890" y="787"/>
                              </a:lnTo>
                              <a:lnTo>
                                <a:pt x="1888" y="803"/>
                              </a:lnTo>
                              <a:lnTo>
                                <a:pt x="1879" y="817"/>
                              </a:lnTo>
                              <a:lnTo>
                                <a:pt x="1866" y="826"/>
                              </a:lnTo>
                              <a:lnTo>
                                <a:pt x="1850" y="830"/>
                              </a:lnTo>
                              <a:lnTo>
                                <a:pt x="1835" y="827"/>
                              </a:lnTo>
                              <a:lnTo>
                                <a:pt x="1822" y="819"/>
                              </a:lnTo>
                              <a:lnTo>
                                <a:pt x="1813" y="806"/>
                              </a:lnTo>
                              <a:lnTo>
                                <a:pt x="1809" y="791"/>
                              </a:lnTo>
                              <a:lnTo>
                                <a:pt x="1812" y="775"/>
                              </a:lnTo>
                              <a:lnTo>
                                <a:pt x="1820" y="762"/>
                              </a:lnTo>
                              <a:lnTo>
                                <a:pt x="1833" y="752"/>
                              </a:lnTo>
                              <a:lnTo>
                                <a:pt x="1849" y="748"/>
                              </a:lnTo>
                              <a:lnTo>
                                <a:pt x="1864" y="751"/>
                              </a:lnTo>
                              <a:lnTo>
                                <a:pt x="1877" y="759"/>
                              </a:lnTo>
                              <a:lnTo>
                                <a:pt x="1886" y="772"/>
                              </a:lnTo>
                              <a:lnTo>
                                <a:pt x="1890" y="787"/>
                              </a:lnTo>
                              <a:lnTo>
                                <a:pt x="1890" y="456"/>
                              </a:lnTo>
                              <a:lnTo>
                                <a:pt x="1889" y="449"/>
                              </a:lnTo>
                              <a:lnTo>
                                <a:pt x="1885" y="421"/>
                              </a:lnTo>
                              <a:lnTo>
                                <a:pt x="1882" y="392"/>
                              </a:lnTo>
                              <a:lnTo>
                                <a:pt x="1878" y="363"/>
                              </a:lnTo>
                              <a:lnTo>
                                <a:pt x="2332" y="363"/>
                              </a:lnTo>
                              <a:lnTo>
                                <a:pt x="2332" y="181"/>
                              </a:lnTo>
                              <a:lnTo>
                                <a:pt x="2332" y="322"/>
                              </a:lnTo>
                              <a:lnTo>
                                <a:pt x="1885" y="322"/>
                              </a:lnTo>
                              <a:lnTo>
                                <a:pt x="1890" y="287"/>
                              </a:lnTo>
                              <a:lnTo>
                                <a:pt x="1902" y="263"/>
                              </a:lnTo>
                              <a:lnTo>
                                <a:pt x="1924" y="249"/>
                              </a:lnTo>
                              <a:lnTo>
                                <a:pt x="1957" y="243"/>
                              </a:lnTo>
                              <a:lnTo>
                                <a:pt x="2034" y="236"/>
                              </a:lnTo>
                              <a:lnTo>
                                <a:pt x="2108" y="234"/>
                              </a:lnTo>
                              <a:lnTo>
                                <a:pt x="2181" y="236"/>
                              </a:lnTo>
                              <a:lnTo>
                                <a:pt x="2258" y="242"/>
                              </a:lnTo>
                              <a:lnTo>
                                <a:pt x="2296" y="256"/>
                              </a:lnTo>
                              <a:lnTo>
                                <a:pt x="2317" y="279"/>
                              </a:lnTo>
                              <a:lnTo>
                                <a:pt x="2327" y="303"/>
                              </a:lnTo>
                              <a:lnTo>
                                <a:pt x="2332" y="322"/>
                              </a:lnTo>
                              <a:lnTo>
                                <a:pt x="2332" y="181"/>
                              </a:lnTo>
                              <a:lnTo>
                                <a:pt x="2327" y="178"/>
                              </a:lnTo>
                              <a:lnTo>
                                <a:pt x="2291" y="169"/>
                              </a:lnTo>
                              <a:lnTo>
                                <a:pt x="2205" y="162"/>
                              </a:lnTo>
                              <a:lnTo>
                                <a:pt x="2119" y="159"/>
                              </a:lnTo>
                              <a:lnTo>
                                <a:pt x="2033" y="161"/>
                              </a:lnTo>
                              <a:lnTo>
                                <a:pt x="1947" y="165"/>
                              </a:lnTo>
                              <a:lnTo>
                                <a:pt x="1897" y="174"/>
                              </a:lnTo>
                              <a:lnTo>
                                <a:pt x="1858" y="194"/>
                              </a:lnTo>
                              <a:lnTo>
                                <a:pt x="1830" y="228"/>
                              </a:lnTo>
                              <a:lnTo>
                                <a:pt x="1814" y="275"/>
                              </a:lnTo>
                              <a:lnTo>
                                <a:pt x="1811" y="288"/>
                              </a:lnTo>
                              <a:lnTo>
                                <a:pt x="1806" y="301"/>
                              </a:lnTo>
                              <a:lnTo>
                                <a:pt x="1803" y="314"/>
                              </a:lnTo>
                              <a:lnTo>
                                <a:pt x="1786" y="396"/>
                              </a:lnTo>
                              <a:lnTo>
                                <a:pt x="1774" y="479"/>
                              </a:lnTo>
                              <a:lnTo>
                                <a:pt x="1766" y="562"/>
                              </a:lnTo>
                              <a:lnTo>
                                <a:pt x="1764" y="645"/>
                              </a:lnTo>
                              <a:lnTo>
                                <a:pt x="1765" y="728"/>
                              </a:lnTo>
                              <a:lnTo>
                                <a:pt x="1770" y="812"/>
                              </a:lnTo>
                              <a:lnTo>
                                <a:pt x="1771" y="826"/>
                              </a:lnTo>
                              <a:lnTo>
                                <a:pt x="1773" y="839"/>
                              </a:lnTo>
                              <a:lnTo>
                                <a:pt x="1775" y="852"/>
                              </a:lnTo>
                              <a:lnTo>
                                <a:pt x="1777" y="866"/>
                              </a:lnTo>
                              <a:lnTo>
                                <a:pt x="2439" y="866"/>
                              </a:lnTo>
                              <a:lnTo>
                                <a:pt x="2441" y="830"/>
                              </a:lnTo>
                              <a:lnTo>
                                <a:pt x="2445" y="759"/>
                              </a:lnTo>
                              <a:lnTo>
                                <a:pt x="2445" y="748"/>
                              </a:lnTo>
                              <a:lnTo>
                                <a:pt x="2445" y="739"/>
                              </a:lnTo>
                              <a:lnTo>
                                <a:pt x="2447" y="710"/>
                              </a:lnTo>
                              <a:lnTo>
                                <a:pt x="2448" y="659"/>
                              </a:lnTo>
                              <a:close/>
                              <a:moveTo>
                                <a:pt x="3866" y="771"/>
                              </a:moveTo>
                              <a:lnTo>
                                <a:pt x="3861" y="766"/>
                              </a:lnTo>
                              <a:lnTo>
                                <a:pt x="3471" y="766"/>
                              </a:lnTo>
                              <a:lnTo>
                                <a:pt x="3466" y="771"/>
                              </a:lnTo>
                              <a:lnTo>
                                <a:pt x="3466" y="783"/>
                              </a:lnTo>
                              <a:lnTo>
                                <a:pt x="3471" y="788"/>
                              </a:lnTo>
                              <a:lnTo>
                                <a:pt x="3861" y="788"/>
                              </a:lnTo>
                              <a:lnTo>
                                <a:pt x="3866" y="783"/>
                              </a:lnTo>
                              <a:lnTo>
                                <a:pt x="3866" y="771"/>
                              </a:lnTo>
                              <a:close/>
                              <a:moveTo>
                                <a:pt x="3866" y="727"/>
                              </a:moveTo>
                              <a:lnTo>
                                <a:pt x="3861" y="722"/>
                              </a:lnTo>
                              <a:lnTo>
                                <a:pt x="3471" y="722"/>
                              </a:lnTo>
                              <a:lnTo>
                                <a:pt x="3466" y="727"/>
                              </a:lnTo>
                              <a:lnTo>
                                <a:pt x="3466" y="739"/>
                              </a:lnTo>
                              <a:lnTo>
                                <a:pt x="3471" y="744"/>
                              </a:lnTo>
                              <a:lnTo>
                                <a:pt x="3861" y="744"/>
                              </a:lnTo>
                              <a:lnTo>
                                <a:pt x="3866" y="739"/>
                              </a:lnTo>
                              <a:lnTo>
                                <a:pt x="3866" y="727"/>
                              </a:lnTo>
                              <a:close/>
                              <a:moveTo>
                                <a:pt x="3867" y="682"/>
                              </a:moveTo>
                              <a:lnTo>
                                <a:pt x="3862" y="677"/>
                              </a:lnTo>
                              <a:lnTo>
                                <a:pt x="3471" y="677"/>
                              </a:lnTo>
                              <a:lnTo>
                                <a:pt x="3466" y="682"/>
                              </a:lnTo>
                              <a:lnTo>
                                <a:pt x="3466" y="694"/>
                              </a:lnTo>
                              <a:lnTo>
                                <a:pt x="3471" y="698"/>
                              </a:lnTo>
                              <a:lnTo>
                                <a:pt x="3862" y="698"/>
                              </a:lnTo>
                              <a:lnTo>
                                <a:pt x="3867" y="694"/>
                              </a:lnTo>
                              <a:lnTo>
                                <a:pt x="3867" y="682"/>
                              </a:lnTo>
                              <a:close/>
                              <a:moveTo>
                                <a:pt x="3867" y="638"/>
                              </a:moveTo>
                              <a:lnTo>
                                <a:pt x="3862" y="634"/>
                              </a:lnTo>
                              <a:lnTo>
                                <a:pt x="3471" y="634"/>
                              </a:lnTo>
                              <a:lnTo>
                                <a:pt x="3467" y="638"/>
                              </a:lnTo>
                              <a:lnTo>
                                <a:pt x="3467" y="650"/>
                              </a:lnTo>
                              <a:lnTo>
                                <a:pt x="3471" y="655"/>
                              </a:lnTo>
                              <a:lnTo>
                                <a:pt x="3862" y="655"/>
                              </a:lnTo>
                              <a:lnTo>
                                <a:pt x="3867" y="650"/>
                              </a:lnTo>
                              <a:lnTo>
                                <a:pt x="3867" y="638"/>
                              </a:lnTo>
                              <a:close/>
                              <a:moveTo>
                                <a:pt x="4074" y="926"/>
                              </a:moveTo>
                              <a:lnTo>
                                <a:pt x="4074" y="912"/>
                              </a:lnTo>
                              <a:lnTo>
                                <a:pt x="4073" y="898"/>
                              </a:lnTo>
                              <a:lnTo>
                                <a:pt x="4072" y="888"/>
                              </a:lnTo>
                              <a:lnTo>
                                <a:pt x="4069" y="876"/>
                              </a:lnTo>
                              <a:lnTo>
                                <a:pt x="4049" y="864"/>
                              </a:lnTo>
                              <a:lnTo>
                                <a:pt x="4048" y="854"/>
                              </a:lnTo>
                              <a:lnTo>
                                <a:pt x="4047" y="852"/>
                              </a:lnTo>
                              <a:lnTo>
                                <a:pt x="4046" y="838"/>
                              </a:lnTo>
                              <a:lnTo>
                                <a:pt x="4046" y="812"/>
                              </a:lnTo>
                              <a:lnTo>
                                <a:pt x="4045" y="806"/>
                              </a:lnTo>
                              <a:lnTo>
                                <a:pt x="4043" y="774"/>
                              </a:lnTo>
                              <a:lnTo>
                                <a:pt x="4035" y="744"/>
                              </a:lnTo>
                              <a:lnTo>
                                <a:pt x="4020" y="718"/>
                              </a:lnTo>
                              <a:lnTo>
                                <a:pt x="4020" y="848"/>
                              </a:lnTo>
                              <a:lnTo>
                                <a:pt x="4013" y="854"/>
                              </a:lnTo>
                              <a:lnTo>
                                <a:pt x="3999" y="852"/>
                              </a:lnTo>
                              <a:lnTo>
                                <a:pt x="3953" y="852"/>
                              </a:lnTo>
                              <a:lnTo>
                                <a:pt x="3948" y="844"/>
                              </a:lnTo>
                              <a:lnTo>
                                <a:pt x="3948" y="822"/>
                              </a:lnTo>
                              <a:lnTo>
                                <a:pt x="3952" y="814"/>
                              </a:lnTo>
                              <a:lnTo>
                                <a:pt x="3976" y="812"/>
                              </a:lnTo>
                              <a:lnTo>
                                <a:pt x="4013" y="812"/>
                              </a:lnTo>
                              <a:lnTo>
                                <a:pt x="4019" y="818"/>
                              </a:lnTo>
                              <a:lnTo>
                                <a:pt x="4020" y="848"/>
                              </a:lnTo>
                              <a:lnTo>
                                <a:pt x="4020" y="718"/>
                              </a:lnTo>
                              <a:lnTo>
                                <a:pt x="4017" y="714"/>
                              </a:lnTo>
                              <a:lnTo>
                                <a:pt x="4009" y="706"/>
                              </a:lnTo>
                              <a:lnTo>
                                <a:pt x="4003" y="696"/>
                              </a:lnTo>
                              <a:lnTo>
                                <a:pt x="3995" y="688"/>
                              </a:lnTo>
                              <a:lnTo>
                                <a:pt x="3988" y="678"/>
                              </a:lnTo>
                              <a:lnTo>
                                <a:pt x="3983" y="668"/>
                              </a:lnTo>
                              <a:lnTo>
                                <a:pt x="3981" y="656"/>
                              </a:lnTo>
                              <a:lnTo>
                                <a:pt x="3980" y="644"/>
                              </a:lnTo>
                              <a:lnTo>
                                <a:pt x="3980" y="616"/>
                              </a:lnTo>
                              <a:lnTo>
                                <a:pt x="3980" y="580"/>
                              </a:lnTo>
                              <a:lnTo>
                                <a:pt x="3980" y="528"/>
                              </a:lnTo>
                              <a:lnTo>
                                <a:pt x="3983" y="512"/>
                              </a:lnTo>
                              <a:lnTo>
                                <a:pt x="3984" y="502"/>
                              </a:lnTo>
                              <a:lnTo>
                                <a:pt x="3996" y="482"/>
                              </a:lnTo>
                              <a:lnTo>
                                <a:pt x="3999" y="480"/>
                              </a:lnTo>
                              <a:lnTo>
                                <a:pt x="4015" y="470"/>
                              </a:lnTo>
                              <a:lnTo>
                                <a:pt x="4040" y="466"/>
                              </a:lnTo>
                              <a:lnTo>
                                <a:pt x="4057" y="466"/>
                              </a:lnTo>
                              <a:lnTo>
                                <a:pt x="4062" y="460"/>
                              </a:lnTo>
                              <a:lnTo>
                                <a:pt x="4062" y="442"/>
                              </a:lnTo>
                              <a:lnTo>
                                <a:pt x="4062" y="428"/>
                              </a:lnTo>
                              <a:lnTo>
                                <a:pt x="4062" y="352"/>
                              </a:lnTo>
                              <a:lnTo>
                                <a:pt x="4062" y="340"/>
                              </a:lnTo>
                              <a:lnTo>
                                <a:pt x="4059" y="336"/>
                              </a:lnTo>
                              <a:lnTo>
                                <a:pt x="4001" y="336"/>
                              </a:lnTo>
                              <a:lnTo>
                                <a:pt x="4001" y="428"/>
                              </a:lnTo>
                              <a:lnTo>
                                <a:pt x="4000" y="454"/>
                              </a:lnTo>
                              <a:lnTo>
                                <a:pt x="4000" y="462"/>
                              </a:lnTo>
                              <a:lnTo>
                                <a:pt x="3990" y="468"/>
                              </a:lnTo>
                              <a:lnTo>
                                <a:pt x="3981" y="480"/>
                              </a:lnTo>
                              <a:lnTo>
                                <a:pt x="3981" y="352"/>
                              </a:lnTo>
                              <a:lnTo>
                                <a:pt x="4001" y="352"/>
                              </a:lnTo>
                              <a:lnTo>
                                <a:pt x="4001" y="428"/>
                              </a:lnTo>
                              <a:lnTo>
                                <a:pt x="4001" y="336"/>
                              </a:lnTo>
                              <a:lnTo>
                                <a:pt x="3980" y="336"/>
                              </a:lnTo>
                              <a:lnTo>
                                <a:pt x="3980" y="310"/>
                              </a:lnTo>
                              <a:lnTo>
                                <a:pt x="3980" y="224"/>
                              </a:lnTo>
                              <a:lnTo>
                                <a:pt x="3980" y="180"/>
                              </a:lnTo>
                              <a:lnTo>
                                <a:pt x="3980" y="144"/>
                              </a:lnTo>
                              <a:lnTo>
                                <a:pt x="3979" y="132"/>
                              </a:lnTo>
                              <a:lnTo>
                                <a:pt x="3963" y="114"/>
                              </a:lnTo>
                              <a:lnTo>
                                <a:pt x="3961" y="102"/>
                              </a:lnTo>
                              <a:lnTo>
                                <a:pt x="3961" y="100"/>
                              </a:lnTo>
                              <a:lnTo>
                                <a:pt x="3962" y="98"/>
                              </a:lnTo>
                              <a:lnTo>
                                <a:pt x="3962" y="80"/>
                              </a:lnTo>
                              <a:lnTo>
                                <a:pt x="3962" y="54"/>
                              </a:lnTo>
                              <a:lnTo>
                                <a:pt x="3962" y="34"/>
                              </a:lnTo>
                              <a:lnTo>
                                <a:pt x="3954" y="24"/>
                              </a:lnTo>
                              <a:lnTo>
                                <a:pt x="3941" y="24"/>
                              </a:lnTo>
                              <a:lnTo>
                                <a:pt x="3941" y="486"/>
                              </a:lnTo>
                              <a:lnTo>
                                <a:pt x="3939" y="498"/>
                              </a:lnTo>
                              <a:lnTo>
                                <a:pt x="3933" y="506"/>
                              </a:lnTo>
                              <a:lnTo>
                                <a:pt x="3923" y="510"/>
                              </a:lnTo>
                              <a:lnTo>
                                <a:pt x="3909" y="512"/>
                              </a:lnTo>
                              <a:lnTo>
                                <a:pt x="3905" y="512"/>
                              </a:lnTo>
                              <a:lnTo>
                                <a:pt x="3905" y="626"/>
                              </a:lnTo>
                              <a:lnTo>
                                <a:pt x="3901" y="678"/>
                              </a:lnTo>
                              <a:lnTo>
                                <a:pt x="3898" y="722"/>
                              </a:lnTo>
                              <a:lnTo>
                                <a:pt x="3891" y="814"/>
                              </a:lnTo>
                              <a:lnTo>
                                <a:pt x="3889" y="828"/>
                              </a:lnTo>
                              <a:lnTo>
                                <a:pt x="3883" y="838"/>
                              </a:lnTo>
                              <a:lnTo>
                                <a:pt x="3873" y="842"/>
                              </a:lnTo>
                              <a:lnTo>
                                <a:pt x="3856" y="844"/>
                              </a:lnTo>
                              <a:lnTo>
                                <a:pt x="3476" y="844"/>
                              </a:lnTo>
                              <a:lnTo>
                                <a:pt x="3459" y="842"/>
                              </a:lnTo>
                              <a:lnTo>
                                <a:pt x="3449" y="838"/>
                              </a:lnTo>
                              <a:lnTo>
                                <a:pt x="3444" y="828"/>
                              </a:lnTo>
                              <a:lnTo>
                                <a:pt x="3441" y="812"/>
                              </a:lnTo>
                              <a:lnTo>
                                <a:pt x="3434" y="720"/>
                              </a:lnTo>
                              <a:lnTo>
                                <a:pt x="3431" y="674"/>
                              </a:lnTo>
                              <a:lnTo>
                                <a:pt x="3428" y="630"/>
                              </a:lnTo>
                              <a:lnTo>
                                <a:pt x="3428" y="614"/>
                              </a:lnTo>
                              <a:lnTo>
                                <a:pt x="3432" y="604"/>
                              </a:lnTo>
                              <a:lnTo>
                                <a:pt x="3442" y="598"/>
                              </a:lnTo>
                              <a:lnTo>
                                <a:pt x="3458" y="594"/>
                              </a:lnTo>
                              <a:lnTo>
                                <a:pt x="3541" y="584"/>
                              </a:lnTo>
                              <a:lnTo>
                                <a:pt x="3625" y="580"/>
                              </a:lnTo>
                              <a:lnTo>
                                <a:pt x="3709" y="580"/>
                              </a:lnTo>
                              <a:lnTo>
                                <a:pt x="3793" y="584"/>
                              </a:lnTo>
                              <a:lnTo>
                                <a:pt x="3837" y="588"/>
                              </a:lnTo>
                              <a:lnTo>
                                <a:pt x="3881" y="596"/>
                              </a:lnTo>
                              <a:lnTo>
                                <a:pt x="3894" y="598"/>
                              </a:lnTo>
                              <a:lnTo>
                                <a:pt x="3901" y="604"/>
                              </a:lnTo>
                              <a:lnTo>
                                <a:pt x="3905" y="612"/>
                              </a:lnTo>
                              <a:lnTo>
                                <a:pt x="3905" y="626"/>
                              </a:lnTo>
                              <a:lnTo>
                                <a:pt x="3905" y="512"/>
                              </a:lnTo>
                              <a:lnTo>
                                <a:pt x="3427" y="512"/>
                              </a:lnTo>
                              <a:lnTo>
                                <a:pt x="3410" y="510"/>
                              </a:lnTo>
                              <a:lnTo>
                                <a:pt x="3399" y="504"/>
                              </a:lnTo>
                              <a:lnTo>
                                <a:pt x="3393" y="494"/>
                              </a:lnTo>
                              <a:lnTo>
                                <a:pt x="3392" y="476"/>
                              </a:lnTo>
                              <a:lnTo>
                                <a:pt x="3394" y="440"/>
                              </a:lnTo>
                              <a:lnTo>
                                <a:pt x="3397" y="408"/>
                              </a:lnTo>
                              <a:lnTo>
                                <a:pt x="3399" y="374"/>
                              </a:lnTo>
                              <a:lnTo>
                                <a:pt x="3401" y="354"/>
                              </a:lnTo>
                              <a:lnTo>
                                <a:pt x="3402" y="340"/>
                              </a:lnTo>
                              <a:lnTo>
                                <a:pt x="3406" y="326"/>
                              </a:lnTo>
                              <a:lnTo>
                                <a:pt x="3412" y="318"/>
                              </a:lnTo>
                              <a:lnTo>
                                <a:pt x="3423" y="312"/>
                              </a:lnTo>
                              <a:lnTo>
                                <a:pt x="3437" y="310"/>
                              </a:lnTo>
                              <a:lnTo>
                                <a:pt x="3896" y="310"/>
                              </a:lnTo>
                              <a:lnTo>
                                <a:pt x="3910" y="312"/>
                              </a:lnTo>
                              <a:lnTo>
                                <a:pt x="3920" y="316"/>
                              </a:lnTo>
                              <a:lnTo>
                                <a:pt x="3927" y="326"/>
                              </a:lnTo>
                              <a:lnTo>
                                <a:pt x="3930" y="340"/>
                              </a:lnTo>
                              <a:lnTo>
                                <a:pt x="3933" y="376"/>
                              </a:lnTo>
                              <a:lnTo>
                                <a:pt x="3936" y="412"/>
                              </a:lnTo>
                              <a:lnTo>
                                <a:pt x="3939" y="454"/>
                              </a:lnTo>
                              <a:lnTo>
                                <a:pt x="3941" y="486"/>
                              </a:lnTo>
                              <a:lnTo>
                                <a:pt x="3941" y="24"/>
                              </a:lnTo>
                              <a:lnTo>
                                <a:pt x="3926" y="24"/>
                              </a:lnTo>
                              <a:lnTo>
                                <a:pt x="3918" y="34"/>
                              </a:lnTo>
                              <a:lnTo>
                                <a:pt x="3918" y="46"/>
                              </a:lnTo>
                              <a:lnTo>
                                <a:pt x="3918" y="98"/>
                              </a:lnTo>
                              <a:lnTo>
                                <a:pt x="3826" y="94"/>
                              </a:lnTo>
                              <a:lnTo>
                                <a:pt x="3826" y="218"/>
                              </a:lnTo>
                              <a:lnTo>
                                <a:pt x="3816" y="224"/>
                              </a:lnTo>
                              <a:lnTo>
                                <a:pt x="3518" y="224"/>
                              </a:lnTo>
                              <a:lnTo>
                                <a:pt x="3508" y="218"/>
                              </a:lnTo>
                              <a:lnTo>
                                <a:pt x="3504" y="190"/>
                              </a:lnTo>
                              <a:lnTo>
                                <a:pt x="3515" y="182"/>
                              </a:lnTo>
                              <a:lnTo>
                                <a:pt x="3734" y="182"/>
                              </a:lnTo>
                              <a:lnTo>
                                <a:pt x="3816" y="180"/>
                              </a:lnTo>
                              <a:lnTo>
                                <a:pt x="3826" y="186"/>
                              </a:lnTo>
                              <a:lnTo>
                                <a:pt x="3826" y="218"/>
                              </a:lnTo>
                              <a:lnTo>
                                <a:pt x="3826" y="94"/>
                              </a:lnTo>
                              <a:lnTo>
                                <a:pt x="3721" y="90"/>
                              </a:lnTo>
                              <a:lnTo>
                                <a:pt x="3604" y="90"/>
                              </a:lnTo>
                              <a:lnTo>
                                <a:pt x="3571" y="92"/>
                              </a:lnTo>
                              <a:lnTo>
                                <a:pt x="3506" y="94"/>
                              </a:lnTo>
                              <a:lnTo>
                                <a:pt x="3474" y="96"/>
                              </a:lnTo>
                              <a:lnTo>
                                <a:pt x="3460" y="96"/>
                              </a:lnTo>
                              <a:lnTo>
                                <a:pt x="3446" y="98"/>
                              </a:lnTo>
                              <a:lnTo>
                                <a:pt x="3415" y="100"/>
                              </a:lnTo>
                              <a:lnTo>
                                <a:pt x="3415" y="80"/>
                              </a:lnTo>
                              <a:lnTo>
                                <a:pt x="3415" y="60"/>
                              </a:lnTo>
                              <a:lnTo>
                                <a:pt x="3415" y="46"/>
                              </a:lnTo>
                              <a:lnTo>
                                <a:pt x="3414" y="34"/>
                              </a:lnTo>
                              <a:lnTo>
                                <a:pt x="3406" y="24"/>
                              </a:lnTo>
                              <a:lnTo>
                                <a:pt x="3385" y="25"/>
                              </a:lnTo>
                              <a:lnTo>
                                <a:pt x="3385" y="848"/>
                              </a:lnTo>
                              <a:lnTo>
                                <a:pt x="3376" y="854"/>
                              </a:lnTo>
                              <a:lnTo>
                                <a:pt x="3363" y="854"/>
                              </a:lnTo>
                              <a:lnTo>
                                <a:pt x="3358" y="852"/>
                              </a:lnTo>
                              <a:lnTo>
                                <a:pt x="3353" y="854"/>
                              </a:lnTo>
                              <a:lnTo>
                                <a:pt x="3348" y="854"/>
                              </a:lnTo>
                              <a:lnTo>
                                <a:pt x="3348" y="852"/>
                              </a:lnTo>
                              <a:lnTo>
                                <a:pt x="3338" y="852"/>
                              </a:lnTo>
                              <a:lnTo>
                                <a:pt x="3320" y="854"/>
                              </a:lnTo>
                              <a:lnTo>
                                <a:pt x="3313" y="846"/>
                              </a:lnTo>
                              <a:lnTo>
                                <a:pt x="3314" y="820"/>
                              </a:lnTo>
                              <a:lnTo>
                                <a:pt x="3319" y="812"/>
                              </a:lnTo>
                              <a:lnTo>
                                <a:pt x="3377" y="812"/>
                              </a:lnTo>
                              <a:lnTo>
                                <a:pt x="3384" y="818"/>
                              </a:lnTo>
                              <a:lnTo>
                                <a:pt x="3385" y="848"/>
                              </a:lnTo>
                              <a:lnTo>
                                <a:pt x="3385" y="25"/>
                              </a:lnTo>
                              <a:lnTo>
                                <a:pt x="3378" y="26"/>
                              </a:lnTo>
                              <a:lnTo>
                                <a:pt x="3371" y="34"/>
                              </a:lnTo>
                              <a:lnTo>
                                <a:pt x="3371" y="96"/>
                              </a:lnTo>
                              <a:lnTo>
                                <a:pt x="3370" y="106"/>
                              </a:lnTo>
                              <a:lnTo>
                                <a:pt x="3366" y="118"/>
                              </a:lnTo>
                              <a:lnTo>
                                <a:pt x="3358" y="128"/>
                              </a:lnTo>
                              <a:lnTo>
                                <a:pt x="3353" y="132"/>
                              </a:lnTo>
                              <a:lnTo>
                                <a:pt x="3353" y="142"/>
                              </a:lnTo>
                              <a:lnTo>
                                <a:pt x="3353" y="150"/>
                              </a:lnTo>
                              <a:lnTo>
                                <a:pt x="3353" y="180"/>
                              </a:lnTo>
                              <a:lnTo>
                                <a:pt x="3352" y="336"/>
                              </a:lnTo>
                              <a:lnTo>
                                <a:pt x="3352" y="354"/>
                              </a:lnTo>
                              <a:lnTo>
                                <a:pt x="3352" y="476"/>
                              </a:lnTo>
                              <a:lnTo>
                                <a:pt x="3343" y="468"/>
                              </a:lnTo>
                              <a:lnTo>
                                <a:pt x="3336" y="460"/>
                              </a:lnTo>
                              <a:lnTo>
                                <a:pt x="3332" y="450"/>
                              </a:lnTo>
                              <a:lnTo>
                                <a:pt x="3331" y="442"/>
                              </a:lnTo>
                              <a:lnTo>
                                <a:pt x="3331" y="434"/>
                              </a:lnTo>
                              <a:lnTo>
                                <a:pt x="3332" y="418"/>
                              </a:lnTo>
                              <a:lnTo>
                                <a:pt x="3332" y="374"/>
                              </a:lnTo>
                              <a:lnTo>
                                <a:pt x="3331" y="354"/>
                              </a:lnTo>
                              <a:lnTo>
                                <a:pt x="3352" y="354"/>
                              </a:lnTo>
                              <a:lnTo>
                                <a:pt x="3352" y="336"/>
                              </a:lnTo>
                              <a:lnTo>
                                <a:pt x="3272" y="336"/>
                              </a:lnTo>
                              <a:lnTo>
                                <a:pt x="3271" y="338"/>
                              </a:lnTo>
                              <a:lnTo>
                                <a:pt x="3271" y="440"/>
                              </a:lnTo>
                              <a:lnTo>
                                <a:pt x="3271" y="452"/>
                              </a:lnTo>
                              <a:lnTo>
                                <a:pt x="3275" y="462"/>
                              </a:lnTo>
                              <a:lnTo>
                                <a:pt x="3284" y="466"/>
                              </a:lnTo>
                              <a:lnTo>
                                <a:pt x="3302" y="466"/>
                              </a:lnTo>
                              <a:lnTo>
                                <a:pt x="3320" y="470"/>
                              </a:lnTo>
                              <a:lnTo>
                                <a:pt x="3336" y="482"/>
                              </a:lnTo>
                              <a:lnTo>
                                <a:pt x="3348" y="500"/>
                              </a:lnTo>
                              <a:lnTo>
                                <a:pt x="3352" y="518"/>
                              </a:lnTo>
                              <a:lnTo>
                                <a:pt x="3352" y="542"/>
                              </a:lnTo>
                              <a:lnTo>
                                <a:pt x="3352" y="566"/>
                              </a:lnTo>
                              <a:lnTo>
                                <a:pt x="3352" y="586"/>
                              </a:lnTo>
                              <a:lnTo>
                                <a:pt x="3352" y="594"/>
                              </a:lnTo>
                              <a:lnTo>
                                <a:pt x="3353" y="612"/>
                              </a:lnTo>
                              <a:lnTo>
                                <a:pt x="3353" y="626"/>
                              </a:lnTo>
                              <a:lnTo>
                                <a:pt x="3353" y="640"/>
                              </a:lnTo>
                              <a:lnTo>
                                <a:pt x="3348" y="664"/>
                              </a:lnTo>
                              <a:lnTo>
                                <a:pt x="3337" y="688"/>
                              </a:lnTo>
                              <a:lnTo>
                                <a:pt x="3321" y="708"/>
                              </a:lnTo>
                              <a:lnTo>
                                <a:pt x="3306" y="728"/>
                              </a:lnTo>
                              <a:lnTo>
                                <a:pt x="3295" y="750"/>
                              </a:lnTo>
                              <a:lnTo>
                                <a:pt x="3289" y="774"/>
                              </a:lnTo>
                              <a:lnTo>
                                <a:pt x="3288" y="800"/>
                              </a:lnTo>
                              <a:lnTo>
                                <a:pt x="3288" y="806"/>
                              </a:lnTo>
                              <a:lnTo>
                                <a:pt x="3288" y="814"/>
                              </a:lnTo>
                              <a:lnTo>
                                <a:pt x="3288" y="826"/>
                              </a:lnTo>
                              <a:lnTo>
                                <a:pt x="3287" y="838"/>
                              </a:lnTo>
                              <a:lnTo>
                                <a:pt x="3285" y="856"/>
                              </a:lnTo>
                              <a:lnTo>
                                <a:pt x="3282" y="864"/>
                              </a:lnTo>
                              <a:lnTo>
                                <a:pt x="3278" y="866"/>
                              </a:lnTo>
                              <a:lnTo>
                                <a:pt x="3268" y="872"/>
                              </a:lnTo>
                              <a:lnTo>
                                <a:pt x="3262" y="882"/>
                              </a:lnTo>
                              <a:lnTo>
                                <a:pt x="3260" y="892"/>
                              </a:lnTo>
                              <a:lnTo>
                                <a:pt x="3259" y="898"/>
                              </a:lnTo>
                              <a:lnTo>
                                <a:pt x="3259" y="940"/>
                              </a:lnTo>
                              <a:lnTo>
                                <a:pt x="3260" y="952"/>
                              </a:lnTo>
                              <a:lnTo>
                                <a:pt x="3260" y="968"/>
                              </a:lnTo>
                              <a:lnTo>
                                <a:pt x="3264" y="972"/>
                              </a:lnTo>
                              <a:lnTo>
                                <a:pt x="3272" y="982"/>
                              </a:lnTo>
                              <a:lnTo>
                                <a:pt x="3276" y="994"/>
                              </a:lnTo>
                              <a:lnTo>
                                <a:pt x="3277" y="1006"/>
                              </a:lnTo>
                              <a:lnTo>
                                <a:pt x="3277" y="1026"/>
                              </a:lnTo>
                              <a:lnTo>
                                <a:pt x="3277" y="1076"/>
                              </a:lnTo>
                              <a:lnTo>
                                <a:pt x="3279" y="1092"/>
                              </a:lnTo>
                              <a:lnTo>
                                <a:pt x="3285" y="1102"/>
                              </a:lnTo>
                              <a:lnTo>
                                <a:pt x="3296" y="1108"/>
                              </a:lnTo>
                              <a:lnTo>
                                <a:pt x="3310" y="1110"/>
                              </a:lnTo>
                              <a:lnTo>
                                <a:pt x="3387" y="1110"/>
                              </a:lnTo>
                              <a:lnTo>
                                <a:pt x="3402" y="1108"/>
                              </a:lnTo>
                              <a:lnTo>
                                <a:pt x="3412" y="1102"/>
                              </a:lnTo>
                              <a:lnTo>
                                <a:pt x="3419" y="1092"/>
                              </a:lnTo>
                              <a:lnTo>
                                <a:pt x="3421" y="1076"/>
                              </a:lnTo>
                              <a:lnTo>
                                <a:pt x="3421" y="1026"/>
                              </a:lnTo>
                              <a:lnTo>
                                <a:pt x="3912" y="1026"/>
                              </a:lnTo>
                              <a:lnTo>
                                <a:pt x="3912" y="1076"/>
                              </a:lnTo>
                              <a:lnTo>
                                <a:pt x="3914" y="1090"/>
                              </a:lnTo>
                              <a:lnTo>
                                <a:pt x="3921" y="1102"/>
                              </a:lnTo>
                              <a:lnTo>
                                <a:pt x="3931" y="1108"/>
                              </a:lnTo>
                              <a:lnTo>
                                <a:pt x="3947" y="1110"/>
                              </a:lnTo>
                              <a:lnTo>
                                <a:pt x="4021" y="1110"/>
                              </a:lnTo>
                              <a:lnTo>
                                <a:pt x="4037" y="1108"/>
                              </a:lnTo>
                              <a:lnTo>
                                <a:pt x="4047" y="1102"/>
                              </a:lnTo>
                              <a:lnTo>
                                <a:pt x="4054" y="1090"/>
                              </a:lnTo>
                              <a:lnTo>
                                <a:pt x="4057" y="1076"/>
                              </a:lnTo>
                              <a:lnTo>
                                <a:pt x="4057" y="1064"/>
                              </a:lnTo>
                              <a:lnTo>
                                <a:pt x="4057" y="1026"/>
                              </a:lnTo>
                              <a:lnTo>
                                <a:pt x="4057" y="1020"/>
                              </a:lnTo>
                              <a:lnTo>
                                <a:pt x="4056" y="1006"/>
                              </a:lnTo>
                              <a:lnTo>
                                <a:pt x="4057" y="996"/>
                              </a:lnTo>
                              <a:lnTo>
                                <a:pt x="4061" y="982"/>
                              </a:lnTo>
                              <a:lnTo>
                                <a:pt x="4070" y="970"/>
                              </a:lnTo>
                              <a:lnTo>
                                <a:pt x="4073" y="966"/>
                              </a:lnTo>
                              <a:lnTo>
                                <a:pt x="4074" y="940"/>
                              </a:lnTo>
                              <a:lnTo>
                                <a:pt x="4074" y="926"/>
                              </a:lnTo>
                              <a:close/>
                              <a:moveTo>
                                <a:pt x="5761" y="372"/>
                              </a:moveTo>
                              <a:lnTo>
                                <a:pt x="5759" y="352"/>
                              </a:lnTo>
                              <a:lnTo>
                                <a:pt x="5755" y="344"/>
                              </a:lnTo>
                              <a:lnTo>
                                <a:pt x="5752" y="336"/>
                              </a:lnTo>
                              <a:lnTo>
                                <a:pt x="5740" y="324"/>
                              </a:lnTo>
                              <a:lnTo>
                                <a:pt x="5724" y="316"/>
                              </a:lnTo>
                              <a:lnTo>
                                <a:pt x="5707" y="310"/>
                              </a:lnTo>
                              <a:lnTo>
                                <a:pt x="5689" y="306"/>
                              </a:lnTo>
                              <a:lnTo>
                                <a:pt x="5672" y="304"/>
                              </a:lnTo>
                              <a:lnTo>
                                <a:pt x="5639" y="304"/>
                              </a:lnTo>
                              <a:lnTo>
                                <a:pt x="5639" y="270"/>
                              </a:lnTo>
                              <a:lnTo>
                                <a:pt x="5639" y="264"/>
                              </a:lnTo>
                              <a:lnTo>
                                <a:pt x="5639" y="256"/>
                              </a:lnTo>
                              <a:lnTo>
                                <a:pt x="5636" y="236"/>
                              </a:lnTo>
                              <a:lnTo>
                                <a:pt x="5629" y="218"/>
                              </a:lnTo>
                              <a:lnTo>
                                <a:pt x="5618" y="204"/>
                              </a:lnTo>
                              <a:lnTo>
                                <a:pt x="5602" y="192"/>
                              </a:lnTo>
                              <a:lnTo>
                                <a:pt x="5596" y="188"/>
                              </a:lnTo>
                              <a:lnTo>
                                <a:pt x="5593" y="186"/>
                              </a:lnTo>
                              <a:lnTo>
                                <a:pt x="5584" y="182"/>
                              </a:lnTo>
                              <a:lnTo>
                                <a:pt x="5574" y="180"/>
                              </a:lnTo>
                              <a:lnTo>
                                <a:pt x="5574" y="826"/>
                              </a:lnTo>
                              <a:lnTo>
                                <a:pt x="5568" y="834"/>
                              </a:lnTo>
                              <a:lnTo>
                                <a:pt x="5558" y="840"/>
                              </a:lnTo>
                              <a:lnTo>
                                <a:pt x="5547" y="846"/>
                              </a:lnTo>
                              <a:lnTo>
                                <a:pt x="5535" y="850"/>
                              </a:lnTo>
                              <a:lnTo>
                                <a:pt x="5523" y="854"/>
                              </a:lnTo>
                              <a:lnTo>
                                <a:pt x="5511" y="856"/>
                              </a:lnTo>
                              <a:lnTo>
                                <a:pt x="5469" y="860"/>
                              </a:lnTo>
                              <a:lnTo>
                                <a:pt x="5448" y="860"/>
                              </a:lnTo>
                              <a:lnTo>
                                <a:pt x="5426" y="858"/>
                              </a:lnTo>
                              <a:lnTo>
                                <a:pt x="5417" y="858"/>
                              </a:lnTo>
                              <a:lnTo>
                                <a:pt x="5415" y="854"/>
                              </a:lnTo>
                              <a:lnTo>
                                <a:pt x="5414" y="846"/>
                              </a:lnTo>
                              <a:lnTo>
                                <a:pt x="5414" y="832"/>
                              </a:lnTo>
                              <a:lnTo>
                                <a:pt x="5417" y="822"/>
                              </a:lnTo>
                              <a:lnTo>
                                <a:pt x="5423" y="812"/>
                              </a:lnTo>
                              <a:lnTo>
                                <a:pt x="5432" y="804"/>
                              </a:lnTo>
                              <a:lnTo>
                                <a:pt x="5457" y="786"/>
                              </a:lnTo>
                              <a:lnTo>
                                <a:pt x="5484" y="772"/>
                              </a:lnTo>
                              <a:lnTo>
                                <a:pt x="5512" y="760"/>
                              </a:lnTo>
                              <a:lnTo>
                                <a:pt x="5543" y="754"/>
                              </a:lnTo>
                              <a:lnTo>
                                <a:pt x="5547" y="752"/>
                              </a:lnTo>
                              <a:lnTo>
                                <a:pt x="5552" y="754"/>
                              </a:lnTo>
                              <a:lnTo>
                                <a:pt x="5569" y="756"/>
                              </a:lnTo>
                              <a:lnTo>
                                <a:pt x="5573" y="762"/>
                              </a:lnTo>
                              <a:lnTo>
                                <a:pt x="5573" y="804"/>
                              </a:lnTo>
                              <a:lnTo>
                                <a:pt x="5573" y="808"/>
                              </a:lnTo>
                              <a:lnTo>
                                <a:pt x="5574" y="826"/>
                              </a:lnTo>
                              <a:lnTo>
                                <a:pt x="5574" y="180"/>
                              </a:lnTo>
                              <a:lnTo>
                                <a:pt x="5573" y="179"/>
                              </a:lnTo>
                              <a:lnTo>
                                <a:pt x="5573" y="648"/>
                              </a:lnTo>
                              <a:lnTo>
                                <a:pt x="5567" y="658"/>
                              </a:lnTo>
                              <a:lnTo>
                                <a:pt x="5555" y="666"/>
                              </a:lnTo>
                              <a:lnTo>
                                <a:pt x="5538" y="676"/>
                              </a:lnTo>
                              <a:lnTo>
                                <a:pt x="5520" y="684"/>
                              </a:lnTo>
                              <a:lnTo>
                                <a:pt x="5502" y="690"/>
                              </a:lnTo>
                              <a:lnTo>
                                <a:pt x="5483" y="694"/>
                              </a:lnTo>
                              <a:lnTo>
                                <a:pt x="5450" y="702"/>
                              </a:lnTo>
                              <a:lnTo>
                                <a:pt x="5348" y="714"/>
                              </a:lnTo>
                              <a:lnTo>
                                <a:pt x="5268" y="718"/>
                              </a:lnTo>
                              <a:lnTo>
                                <a:pt x="5228" y="718"/>
                              </a:lnTo>
                              <a:lnTo>
                                <a:pt x="5188" y="716"/>
                              </a:lnTo>
                              <a:lnTo>
                                <a:pt x="5086" y="708"/>
                              </a:lnTo>
                              <a:lnTo>
                                <a:pt x="5079" y="707"/>
                              </a:lnTo>
                              <a:lnTo>
                                <a:pt x="5079" y="822"/>
                              </a:lnTo>
                              <a:lnTo>
                                <a:pt x="5078" y="836"/>
                              </a:lnTo>
                              <a:lnTo>
                                <a:pt x="5076" y="856"/>
                              </a:lnTo>
                              <a:lnTo>
                                <a:pt x="5072" y="858"/>
                              </a:lnTo>
                              <a:lnTo>
                                <a:pt x="5055" y="858"/>
                              </a:lnTo>
                              <a:lnTo>
                                <a:pt x="5033" y="860"/>
                              </a:lnTo>
                              <a:lnTo>
                                <a:pt x="5012" y="860"/>
                              </a:lnTo>
                              <a:lnTo>
                                <a:pt x="4991" y="858"/>
                              </a:lnTo>
                              <a:lnTo>
                                <a:pt x="4971" y="854"/>
                              </a:lnTo>
                              <a:lnTo>
                                <a:pt x="4951" y="848"/>
                              </a:lnTo>
                              <a:lnTo>
                                <a:pt x="4938" y="844"/>
                              </a:lnTo>
                              <a:lnTo>
                                <a:pt x="4923" y="834"/>
                              </a:lnTo>
                              <a:lnTo>
                                <a:pt x="4918" y="826"/>
                              </a:lnTo>
                              <a:lnTo>
                                <a:pt x="4919" y="814"/>
                              </a:lnTo>
                              <a:lnTo>
                                <a:pt x="4919" y="808"/>
                              </a:lnTo>
                              <a:lnTo>
                                <a:pt x="4919" y="762"/>
                              </a:lnTo>
                              <a:lnTo>
                                <a:pt x="4923" y="756"/>
                              </a:lnTo>
                              <a:lnTo>
                                <a:pt x="4947" y="752"/>
                              </a:lnTo>
                              <a:lnTo>
                                <a:pt x="4960" y="754"/>
                              </a:lnTo>
                              <a:lnTo>
                                <a:pt x="4972" y="758"/>
                              </a:lnTo>
                              <a:lnTo>
                                <a:pt x="4994" y="766"/>
                              </a:lnTo>
                              <a:lnTo>
                                <a:pt x="5016" y="776"/>
                              </a:lnTo>
                              <a:lnTo>
                                <a:pt x="5036" y="786"/>
                              </a:lnTo>
                              <a:lnTo>
                                <a:pt x="5055" y="800"/>
                              </a:lnTo>
                              <a:lnTo>
                                <a:pt x="5060" y="804"/>
                              </a:lnTo>
                              <a:lnTo>
                                <a:pt x="5064" y="808"/>
                              </a:lnTo>
                              <a:lnTo>
                                <a:pt x="5079" y="822"/>
                              </a:lnTo>
                              <a:lnTo>
                                <a:pt x="5079" y="707"/>
                              </a:lnTo>
                              <a:lnTo>
                                <a:pt x="5035" y="700"/>
                              </a:lnTo>
                              <a:lnTo>
                                <a:pt x="4985" y="688"/>
                              </a:lnTo>
                              <a:lnTo>
                                <a:pt x="4973" y="684"/>
                              </a:lnTo>
                              <a:lnTo>
                                <a:pt x="4949" y="672"/>
                              </a:lnTo>
                              <a:lnTo>
                                <a:pt x="4937" y="666"/>
                              </a:lnTo>
                              <a:lnTo>
                                <a:pt x="4924" y="660"/>
                              </a:lnTo>
                              <a:lnTo>
                                <a:pt x="4918" y="648"/>
                              </a:lnTo>
                              <a:lnTo>
                                <a:pt x="4919" y="556"/>
                              </a:lnTo>
                              <a:lnTo>
                                <a:pt x="4919" y="344"/>
                              </a:lnTo>
                              <a:lnTo>
                                <a:pt x="4918" y="308"/>
                              </a:lnTo>
                              <a:lnTo>
                                <a:pt x="4925" y="300"/>
                              </a:lnTo>
                              <a:lnTo>
                                <a:pt x="4937" y="294"/>
                              </a:lnTo>
                              <a:lnTo>
                                <a:pt x="4950" y="288"/>
                              </a:lnTo>
                              <a:lnTo>
                                <a:pt x="4979" y="280"/>
                              </a:lnTo>
                              <a:lnTo>
                                <a:pt x="4994" y="278"/>
                              </a:lnTo>
                              <a:lnTo>
                                <a:pt x="5037" y="274"/>
                              </a:lnTo>
                              <a:lnTo>
                                <a:pt x="5123" y="270"/>
                              </a:lnTo>
                              <a:lnTo>
                                <a:pt x="5265" y="270"/>
                              </a:lnTo>
                              <a:lnTo>
                                <a:pt x="5366" y="272"/>
                              </a:lnTo>
                              <a:lnTo>
                                <a:pt x="5416" y="272"/>
                              </a:lnTo>
                              <a:lnTo>
                                <a:pt x="5477" y="276"/>
                              </a:lnTo>
                              <a:lnTo>
                                <a:pt x="5506" y="280"/>
                              </a:lnTo>
                              <a:lnTo>
                                <a:pt x="5536" y="286"/>
                              </a:lnTo>
                              <a:lnTo>
                                <a:pt x="5540" y="288"/>
                              </a:lnTo>
                              <a:lnTo>
                                <a:pt x="5544" y="288"/>
                              </a:lnTo>
                              <a:lnTo>
                                <a:pt x="5548" y="290"/>
                              </a:lnTo>
                              <a:lnTo>
                                <a:pt x="5560" y="296"/>
                              </a:lnTo>
                              <a:lnTo>
                                <a:pt x="5568" y="304"/>
                              </a:lnTo>
                              <a:lnTo>
                                <a:pt x="5572" y="314"/>
                              </a:lnTo>
                              <a:lnTo>
                                <a:pt x="5573" y="326"/>
                              </a:lnTo>
                              <a:lnTo>
                                <a:pt x="5573" y="496"/>
                              </a:lnTo>
                              <a:lnTo>
                                <a:pt x="5573" y="610"/>
                              </a:lnTo>
                              <a:lnTo>
                                <a:pt x="5573" y="648"/>
                              </a:lnTo>
                              <a:lnTo>
                                <a:pt x="5573" y="179"/>
                              </a:lnTo>
                              <a:lnTo>
                                <a:pt x="5539" y="170"/>
                              </a:lnTo>
                              <a:lnTo>
                                <a:pt x="5503" y="164"/>
                              </a:lnTo>
                              <a:lnTo>
                                <a:pt x="5431" y="156"/>
                              </a:lnTo>
                              <a:lnTo>
                                <a:pt x="5403" y="156"/>
                              </a:lnTo>
                              <a:lnTo>
                                <a:pt x="5403" y="220"/>
                              </a:lnTo>
                              <a:lnTo>
                                <a:pt x="5403" y="230"/>
                              </a:lnTo>
                              <a:lnTo>
                                <a:pt x="5399" y="234"/>
                              </a:lnTo>
                              <a:lnTo>
                                <a:pt x="5390" y="236"/>
                              </a:lnTo>
                              <a:lnTo>
                                <a:pt x="5388" y="234"/>
                              </a:lnTo>
                              <a:lnTo>
                                <a:pt x="5091" y="234"/>
                              </a:lnTo>
                              <a:lnTo>
                                <a:pt x="5088" y="232"/>
                              </a:lnTo>
                              <a:lnTo>
                                <a:pt x="5089" y="192"/>
                              </a:lnTo>
                              <a:lnTo>
                                <a:pt x="5092" y="188"/>
                              </a:lnTo>
                              <a:lnTo>
                                <a:pt x="5401" y="188"/>
                              </a:lnTo>
                              <a:lnTo>
                                <a:pt x="5403" y="192"/>
                              </a:lnTo>
                              <a:lnTo>
                                <a:pt x="5403" y="220"/>
                              </a:lnTo>
                              <a:lnTo>
                                <a:pt x="5403" y="156"/>
                              </a:lnTo>
                              <a:lnTo>
                                <a:pt x="5397" y="156"/>
                              </a:lnTo>
                              <a:lnTo>
                                <a:pt x="5363" y="154"/>
                              </a:lnTo>
                              <a:lnTo>
                                <a:pt x="5145" y="154"/>
                              </a:lnTo>
                              <a:lnTo>
                                <a:pt x="5070" y="156"/>
                              </a:lnTo>
                              <a:lnTo>
                                <a:pt x="4995" y="162"/>
                              </a:lnTo>
                              <a:lnTo>
                                <a:pt x="4951" y="170"/>
                              </a:lnTo>
                              <a:lnTo>
                                <a:pt x="4908" y="182"/>
                              </a:lnTo>
                              <a:lnTo>
                                <a:pt x="4890" y="192"/>
                              </a:lnTo>
                              <a:lnTo>
                                <a:pt x="4874" y="204"/>
                              </a:lnTo>
                              <a:lnTo>
                                <a:pt x="4863" y="220"/>
                              </a:lnTo>
                              <a:lnTo>
                                <a:pt x="4855" y="240"/>
                              </a:lnTo>
                              <a:lnTo>
                                <a:pt x="4854" y="246"/>
                              </a:lnTo>
                              <a:lnTo>
                                <a:pt x="4853" y="256"/>
                              </a:lnTo>
                              <a:lnTo>
                                <a:pt x="4853" y="264"/>
                              </a:lnTo>
                              <a:lnTo>
                                <a:pt x="4853" y="304"/>
                              </a:lnTo>
                              <a:lnTo>
                                <a:pt x="4823" y="304"/>
                              </a:lnTo>
                              <a:lnTo>
                                <a:pt x="4792" y="308"/>
                              </a:lnTo>
                              <a:lnTo>
                                <a:pt x="4776" y="312"/>
                              </a:lnTo>
                              <a:lnTo>
                                <a:pt x="4762" y="318"/>
                              </a:lnTo>
                              <a:lnTo>
                                <a:pt x="4749" y="326"/>
                              </a:lnTo>
                              <a:lnTo>
                                <a:pt x="4740" y="336"/>
                              </a:lnTo>
                              <a:lnTo>
                                <a:pt x="4733" y="348"/>
                              </a:lnTo>
                              <a:lnTo>
                                <a:pt x="4731" y="364"/>
                              </a:lnTo>
                              <a:lnTo>
                                <a:pt x="4731" y="388"/>
                              </a:lnTo>
                              <a:lnTo>
                                <a:pt x="4732" y="412"/>
                              </a:lnTo>
                              <a:lnTo>
                                <a:pt x="4735" y="436"/>
                              </a:lnTo>
                              <a:lnTo>
                                <a:pt x="4739" y="460"/>
                              </a:lnTo>
                              <a:lnTo>
                                <a:pt x="4742" y="470"/>
                              </a:lnTo>
                              <a:lnTo>
                                <a:pt x="4745" y="480"/>
                              </a:lnTo>
                              <a:lnTo>
                                <a:pt x="4749" y="492"/>
                              </a:lnTo>
                              <a:lnTo>
                                <a:pt x="4756" y="508"/>
                              </a:lnTo>
                              <a:lnTo>
                                <a:pt x="4761" y="514"/>
                              </a:lnTo>
                              <a:lnTo>
                                <a:pt x="4812" y="514"/>
                              </a:lnTo>
                              <a:lnTo>
                                <a:pt x="4816" y="508"/>
                              </a:lnTo>
                              <a:lnTo>
                                <a:pt x="4816" y="496"/>
                              </a:lnTo>
                              <a:lnTo>
                                <a:pt x="4816" y="350"/>
                              </a:lnTo>
                              <a:lnTo>
                                <a:pt x="4818" y="348"/>
                              </a:lnTo>
                              <a:lnTo>
                                <a:pt x="4837" y="344"/>
                              </a:lnTo>
                              <a:lnTo>
                                <a:pt x="4853" y="344"/>
                              </a:lnTo>
                              <a:lnTo>
                                <a:pt x="4853" y="868"/>
                              </a:lnTo>
                              <a:lnTo>
                                <a:pt x="4854" y="882"/>
                              </a:lnTo>
                              <a:lnTo>
                                <a:pt x="4858" y="894"/>
                              </a:lnTo>
                              <a:lnTo>
                                <a:pt x="4866" y="906"/>
                              </a:lnTo>
                              <a:lnTo>
                                <a:pt x="4876" y="914"/>
                              </a:lnTo>
                              <a:lnTo>
                                <a:pt x="4885" y="920"/>
                              </a:lnTo>
                              <a:lnTo>
                                <a:pt x="4894" y="924"/>
                              </a:lnTo>
                              <a:lnTo>
                                <a:pt x="4903" y="930"/>
                              </a:lnTo>
                              <a:lnTo>
                                <a:pt x="4917" y="936"/>
                              </a:lnTo>
                              <a:lnTo>
                                <a:pt x="4919" y="938"/>
                              </a:lnTo>
                              <a:lnTo>
                                <a:pt x="4918" y="1010"/>
                              </a:lnTo>
                              <a:lnTo>
                                <a:pt x="4922" y="1018"/>
                              </a:lnTo>
                              <a:lnTo>
                                <a:pt x="4956" y="1022"/>
                              </a:lnTo>
                              <a:lnTo>
                                <a:pt x="5037" y="1022"/>
                              </a:lnTo>
                              <a:lnTo>
                                <a:pt x="5048" y="1020"/>
                              </a:lnTo>
                              <a:lnTo>
                                <a:pt x="5063" y="1016"/>
                              </a:lnTo>
                              <a:lnTo>
                                <a:pt x="5068" y="1010"/>
                              </a:lnTo>
                              <a:lnTo>
                                <a:pt x="5068" y="956"/>
                              </a:lnTo>
                              <a:lnTo>
                                <a:pt x="5424" y="956"/>
                              </a:lnTo>
                              <a:lnTo>
                                <a:pt x="5424" y="1012"/>
                              </a:lnTo>
                              <a:lnTo>
                                <a:pt x="5428" y="1018"/>
                              </a:lnTo>
                              <a:lnTo>
                                <a:pt x="5462" y="1022"/>
                              </a:lnTo>
                              <a:lnTo>
                                <a:pt x="5535" y="1022"/>
                              </a:lnTo>
                              <a:lnTo>
                                <a:pt x="5570" y="1016"/>
                              </a:lnTo>
                              <a:lnTo>
                                <a:pt x="5573" y="1010"/>
                              </a:lnTo>
                              <a:lnTo>
                                <a:pt x="5573" y="956"/>
                              </a:lnTo>
                              <a:lnTo>
                                <a:pt x="5573" y="942"/>
                              </a:lnTo>
                              <a:lnTo>
                                <a:pt x="5573" y="938"/>
                              </a:lnTo>
                              <a:lnTo>
                                <a:pt x="5575" y="936"/>
                              </a:lnTo>
                              <a:lnTo>
                                <a:pt x="5590" y="930"/>
                              </a:lnTo>
                              <a:lnTo>
                                <a:pt x="5600" y="924"/>
                              </a:lnTo>
                              <a:lnTo>
                                <a:pt x="5609" y="920"/>
                              </a:lnTo>
                              <a:lnTo>
                                <a:pt x="5623" y="910"/>
                              </a:lnTo>
                              <a:lnTo>
                                <a:pt x="5632" y="896"/>
                              </a:lnTo>
                              <a:lnTo>
                                <a:pt x="5637" y="882"/>
                              </a:lnTo>
                              <a:lnTo>
                                <a:pt x="5639" y="866"/>
                              </a:lnTo>
                              <a:lnTo>
                                <a:pt x="5639" y="860"/>
                              </a:lnTo>
                              <a:lnTo>
                                <a:pt x="5639" y="752"/>
                              </a:lnTo>
                              <a:lnTo>
                                <a:pt x="5639" y="718"/>
                              </a:lnTo>
                              <a:lnTo>
                                <a:pt x="5639" y="344"/>
                              </a:lnTo>
                              <a:lnTo>
                                <a:pt x="5652" y="344"/>
                              </a:lnTo>
                              <a:lnTo>
                                <a:pt x="5672" y="346"/>
                              </a:lnTo>
                              <a:lnTo>
                                <a:pt x="5676" y="350"/>
                              </a:lnTo>
                              <a:lnTo>
                                <a:pt x="5676" y="510"/>
                              </a:lnTo>
                              <a:lnTo>
                                <a:pt x="5680" y="514"/>
                              </a:lnTo>
                              <a:lnTo>
                                <a:pt x="5727" y="514"/>
                              </a:lnTo>
                              <a:lnTo>
                                <a:pt x="5733" y="510"/>
                              </a:lnTo>
                              <a:lnTo>
                                <a:pt x="5742" y="494"/>
                              </a:lnTo>
                              <a:lnTo>
                                <a:pt x="5746" y="486"/>
                              </a:lnTo>
                              <a:lnTo>
                                <a:pt x="5748" y="478"/>
                              </a:lnTo>
                              <a:lnTo>
                                <a:pt x="5754" y="452"/>
                              </a:lnTo>
                              <a:lnTo>
                                <a:pt x="5758" y="424"/>
                              </a:lnTo>
                              <a:lnTo>
                                <a:pt x="5760" y="398"/>
                              </a:lnTo>
                              <a:lnTo>
                                <a:pt x="5761" y="372"/>
                              </a:lnTo>
                              <a:close/>
                              <a:moveTo>
                                <a:pt x="6466" y="350"/>
                              </a:moveTo>
                              <a:lnTo>
                                <a:pt x="6452" y="356"/>
                              </a:lnTo>
                              <a:lnTo>
                                <a:pt x="6440" y="366"/>
                              </a:lnTo>
                              <a:lnTo>
                                <a:pt x="6431" y="379"/>
                              </a:lnTo>
                              <a:lnTo>
                                <a:pt x="6428" y="393"/>
                              </a:lnTo>
                              <a:lnTo>
                                <a:pt x="6428" y="824"/>
                              </a:lnTo>
                              <a:lnTo>
                                <a:pt x="6431" y="839"/>
                              </a:lnTo>
                              <a:lnTo>
                                <a:pt x="6440" y="851"/>
                              </a:lnTo>
                              <a:lnTo>
                                <a:pt x="6452" y="861"/>
                              </a:lnTo>
                              <a:lnTo>
                                <a:pt x="6466" y="867"/>
                              </a:lnTo>
                              <a:lnTo>
                                <a:pt x="6466" y="350"/>
                              </a:lnTo>
                              <a:close/>
                              <a:moveTo>
                                <a:pt x="6574" y="953"/>
                              </a:moveTo>
                              <a:lnTo>
                                <a:pt x="6510" y="953"/>
                              </a:lnTo>
                              <a:lnTo>
                                <a:pt x="6502" y="950"/>
                              </a:lnTo>
                              <a:lnTo>
                                <a:pt x="6495" y="947"/>
                              </a:lnTo>
                              <a:lnTo>
                                <a:pt x="6330" y="1096"/>
                              </a:lnTo>
                              <a:lnTo>
                                <a:pt x="6426" y="1096"/>
                              </a:lnTo>
                              <a:lnTo>
                                <a:pt x="6574" y="953"/>
                              </a:lnTo>
                              <a:close/>
                              <a:moveTo>
                                <a:pt x="7026" y="1012"/>
                              </a:moveTo>
                              <a:lnTo>
                                <a:pt x="6986" y="972"/>
                              </a:lnTo>
                              <a:lnTo>
                                <a:pt x="6597" y="972"/>
                              </a:lnTo>
                              <a:lnTo>
                                <a:pt x="6558" y="1012"/>
                              </a:lnTo>
                              <a:lnTo>
                                <a:pt x="7026" y="1012"/>
                              </a:lnTo>
                              <a:close/>
                              <a:moveTo>
                                <a:pt x="7104" y="1097"/>
                              </a:moveTo>
                              <a:lnTo>
                                <a:pt x="7061" y="1057"/>
                              </a:lnTo>
                              <a:lnTo>
                                <a:pt x="6540" y="1055"/>
                              </a:lnTo>
                              <a:lnTo>
                                <a:pt x="6496" y="1097"/>
                              </a:lnTo>
                              <a:lnTo>
                                <a:pt x="7104" y="1097"/>
                              </a:lnTo>
                              <a:close/>
                              <a:moveTo>
                                <a:pt x="7113" y="140"/>
                              </a:moveTo>
                              <a:lnTo>
                                <a:pt x="7093" y="126"/>
                              </a:lnTo>
                              <a:lnTo>
                                <a:pt x="7079" y="116"/>
                              </a:lnTo>
                              <a:lnTo>
                                <a:pt x="7069" y="109"/>
                              </a:lnTo>
                              <a:lnTo>
                                <a:pt x="7069" y="138"/>
                              </a:lnTo>
                              <a:lnTo>
                                <a:pt x="7069" y="293"/>
                              </a:lnTo>
                              <a:lnTo>
                                <a:pt x="6974" y="238"/>
                              </a:lnTo>
                              <a:lnTo>
                                <a:pt x="6974" y="230"/>
                              </a:lnTo>
                              <a:lnTo>
                                <a:pt x="6974" y="138"/>
                              </a:lnTo>
                              <a:lnTo>
                                <a:pt x="6986" y="126"/>
                              </a:lnTo>
                              <a:lnTo>
                                <a:pt x="7056" y="126"/>
                              </a:lnTo>
                              <a:lnTo>
                                <a:pt x="7069" y="138"/>
                              </a:lnTo>
                              <a:lnTo>
                                <a:pt x="7069" y="109"/>
                              </a:lnTo>
                              <a:lnTo>
                                <a:pt x="6981" y="47"/>
                              </a:lnTo>
                              <a:lnTo>
                                <a:pt x="6939" y="47"/>
                              </a:lnTo>
                              <a:lnTo>
                                <a:pt x="6939" y="148"/>
                              </a:lnTo>
                              <a:lnTo>
                                <a:pt x="6939" y="198"/>
                              </a:lnTo>
                              <a:lnTo>
                                <a:pt x="6937" y="211"/>
                              </a:lnTo>
                              <a:lnTo>
                                <a:pt x="6930" y="221"/>
                              </a:lnTo>
                              <a:lnTo>
                                <a:pt x="6920" y="227"/>
                              </a:lnTo>
                              <a:lnTo>
                                <a:pt x="6914" y="229"/>
                              </a:lnTo>
                              <a:lnTo>
                                <a:pt x="6914" y="778"/>
                              </a:lnTo>
                              <a:lnTo>
                                <a:pt x="6911" y="791"/>
                              </a:lnTo>
                              <a:lnTo>
                                <a:pt x="6904" y="802"/>
                              </a:lnTo>
                              <a:lnTo>
                                <a:pt x="6893" y="809"/>
                              </a:lnTo>
                              <a:lnTo>
                                <a:pt x="6880" y="812"/>
                              </a:lnTo>
                              <a:lnTo>
                                <a:pt x="6867" y="809"/>
                              </a:lnTo>
                              <a:lnTo>
                                <a:pt x="6856" y="802"/>
                              </a:lnTo>
                              <a:lnTo>
                                <a:pt x="6849" y="791"/>
                              </a:lnTo>
                              <a:lnTo>
                                <a:pt x="6847" y="778"/>
                              </a:lnTo>
                              <a:lnTo>
                                <a:pt x="6849" y="765"/>
                              </a:lnTo>
                              <a:lnTo>
                                <a:pt x="6856" y="754"/>
                              </a:lnTo>
                              <a:lnTo>
                                <a:pt x="6867" y="747"/>
                              </a:lnTo>
                              <a:lnTo>
                                <a:pt x="6880" y="745"/>
                              </a:lnTo>
                              <a:lnTo>
                                <a:pt x="6893" y="747"/>
                              </a:lnTo>
                              <a:lnTo>
                                <a:pt x="6904" y="754"/>
                              </a:lnTo>
                              <a:lnTo>
                                <a:pt x="6911" y="765"/>
                              </a:lnTo>
                              <a:lnTo>
                                <a:pt x="6914" y="778"/>
                              </a:lnTo>
                              <a:lnTo>
                                <a:pt x="6914" y="229"/>
                              </a:lnTo>
                              <a:lnTo>
                                <a:pt x="6908" y="230"/>
                              </a:lnTo>
                              <a:lnTo>
                                <a:pt x="6839" y="230"/>
                              </a:lnTo>
                              <a:lnTo>
                                <a:pt x="6830" y="228"/>
                              </a:lnTo>
                              <a:lnTo>
                                <a:pt x="6830" y="443"/>
                              </a:lnTo>
                              <a:lnTo>
                                <a:pt x="6830" y="453"/>
                              </a:lnTo>
                              <a:lnTo>
                                <a:pt x="6827" y="466"/>
                              </a:lnTo>
                              <a:lnTo>
                                <a:pt x="6820" y="477"/>
                              </a:lnTo>
                              <a:lnTo>
                                <a:pt x="6809" y="485"/>
                              </a:lnTo>
                              <a:lnTo>
                                <a:pt x="6795" y="487"/>
                              </a:lnTo>
                              <a:lnTo>
                                <a:pt x="6782" y="485"/>
                              </a:lnTo>
                              <a:lnTo>
                                <a:pt x="6771" y="477"/>
                              </a:lnTo>
                              <a:lnTo>
                                <a:pt x="6764" y="466"/>
                              </a:lnTo>
                              <a:lnTo>
                                <a:pt x="6761" y="453"/>
                              </a:lnTo>
                              <a:lnTo>
                                <a:pt x="6761" y="445"/>
                              </a:lnTo>
                              <a:lnTo>
                                <a:pt x="6763" y="439"/>
                              </a:lnTo>
                              <a:lnTo>
                                <a:pt x="6767" y="433"/>
                              </a:lnTo>
                              <a:lnTo>
                                <a:pt x="6773" y="424"/>
                              </a:lnTo>
                              <a:lnTo>
                                <a:pt x="6784" y="418"/>
                              </a:lnTo>
                              <a:lnTo>
                                <a:pt x="6805" y="418"/>
                              </a:lnTo>
                              <a:lnTo>
                                <a:pt x="6813" y="422"/>
                              </a:lnTo>
                              <a:lnTo>
                                <a:pt x="6819" y="428"/>
                              </a:lnTo>
                              <a:lnTo>
                                <a:pt x="6826" y="434"/>
                              </a:lnTo>
                              <a:lnTo>
                                <a:pt x="6830" y="443"/>
                              </a:lnTo>
                              <a:lnTo>
                                <a:pt x="6830" y="228"/>
                              </a:lnTo>
                              <a:lnTo>
                                <a:pt x="6829" y="228"/>
                              </a:lnTo>
                              <a:lnTo>
                                <a:pt x="6829" y="377"/>
                              </a:lnTo>
                              <a:lnTo>
                                <a:pt x="6829" y="379"/>
                              </a:lnTo>
                              <a:lnTo>
                                <a:pt x="6829" y="382"/>
                              </a:lnTo>
                              <a:lnTo>
                                <a:pt x="6828" y="384"/>
                              </a:lnTo>
                              <a:lnTo>
                                <a:pt x="6824" y="395"/>
                              </a:lnTo>
                              <a:lnTo>
                                <a:pt x="6817" y="403"/>
                              </a:lnTo>
                              <a:lnTo>
                                <a:pt x="6807" y="409"/>
                              </a:lnTo>
                              <a:lnTo>
                                <a:pt x="6795" y="411"/>
                              </a:lnTo>
                              <a:lnTo>
                                <a:pt x="6793" y="411"/>
                              </a:lnTo>
                              <a:lnTo>
                                <a:pt x="6791" y="411"/>
                              </a:lnTo>
                              <a:lnTo>
                                <a:pt x="6788" y="411"/>
                              </a:lnTo>
                              <a:lnTo>
                                <a:pt x="6777" y="406"/>
                              </a:lnTo>
                              <a:lnTo>
                                <a:pt x="6768" y="399"/>
                              </a:lnTo>
                              <a:lnTo>
                                <a:pt x="6762" y="389"/>
                              </a:lnTo>
                              <a:lnTo>
                                <a:pt x="6760" y="377"/>
                              </a:lnTo>
                              <a:lnTo>
                                <a:pt x="6763" y="363"/>
                              </a:lnTo>
                              <a:lnTo>
                                <a:pt x="6770" y="352"/>
                              </a:lnTo>
                              <a:lnTo>
                                <a:pt x="6781" y="345"/>
                              </a:lnTo>
                              <a:lnTo>
                                <a:pt x="6795" y="342"/>
                              </a:lnTo>
                              <a:lnTo>
                                <a:pt x="6808" y="345"/>
                              </a:lnTo>
                              <a:lnTo>
                                <a:pt x="6819" y="352"/>
                              </a:lnTo>
                              <a:lnTo>
                                <a:pt x="6826" y="363"/>
                              </a:lnTo>
                              <a:lnTo>
                                <a:pt x="6829" y="377"/>
                              </a:lnTo>
                              <a:lnTo>
                                <a:pt x="6829" y="228"/>
                              </a:lnTo>
                              <a:lnTo>
                                <a:pt x="6827" y="227"/>
                              </a:lnTo>
                              <a:lnTo>
                                <a:pt x="6817" y="221"/>
                              </a:lnTo>
                              <a:lnTo>
                                <a:pt x="6810" y="211"/>
                              </a:lnTo>
                              <a:lnTo>
                                <a:pt x="6808" y="198"/>
                              </a:lnTo>
                              <a:lnTo>
                                <a:pt x="6808" y="148"/>
                              </a:lnTo>
                              <a:lnTo>
                                <a:pt x="6810" y="135"/>
                              </a:lnTo>
                              <a:lnTo>
                                <a:pt x="6817" y="125"/>
                              </a:lnTo>
                              <a:lnTo>
                                <a:pt x="6827" y="118"/>
                              </a:lnTo>
                              <a:lnTo>
                                <a:pt x="6839" y="116"/>
                              </a:lnTo>
                              <a:lnTo>
                                <a:pt x="6908" y="116"/>
                              </a:lnTo>
                              <a:lnTo>
                                <a:pt x="6920" y="118"/>
                              </a:lnTo>
                              <a:lnTo>
                                <a:pt x="6930" y="125"/>
                              </a:lnTo>
                              <a:lnTo>
                                <a:pt x="6937" y="135"/>
                              </a:lnTo>
                              <a:lnTo>
                                <a:pt x="6939" y="148"/>
                              </a:lnTo>
                              <a:lnTo>
                                <a:pt x="6939" y="47"/>
                              </a:lnTo>
                              <a:lnTo>
                                <a:pt x="6780" y="47"/>
                              </a:lnTo>
                              <a:lnTo>
                                <a:pt x="6780" y="148"/>
                              </a:lnTo>
                              <a:lnTo>
                                <a:pt x="6780" y="198"/>
                              </a:lnTo>
                              <a:lnTo>
                                <a:pt x="6777" y="211"/>
                              </a:lnTo>
                              <a:lnTo>
                                <a:pt x="6770" y="221"/>
                              </a:lnTo>
                              <a:lnTo>
                                <a:pt x="6760" y="227"/>
                              </a:lnTo>
                              <a:lnTo>
                                <a:pt x="6748" y="230"/>
                              </a:lnTo>
                              <a:lnTo>
                                <a:pt x="6743" y="230"/>
                              </a:lnTo>
                              <a:lnTo>
                                <a:pt x="6743" y="778"/>
                              </a:lnTo>
                              <a:lnTo>
                                <a:pt x="6741" y="791"/>
                              </a:lnTo>
                              <a:lnTo>
                                <a:pt x="6733" y="802"/>
                              </a:lnTo>
                              <a:lnTo>
                                <a:pt x="6723" y="809"/>
                              </a:lnTo>
                              <a:lnTo>
                                <a:pt x="6709" y="812"/>
                              </a:lnTo>
                              <a:lnTo>
                                <a:pt x="6696" y="809"/>
                              </a:lnTo>
                              <a:lnTo>
                                <a:pt x="6686" y="802"/>
                              </a:lnTo>
                              <a:lnTo>
                                <a:pt x="6678" y="791"/>
                              </a:lnTo>
                              <a:lnTo>
                                <a:pt x="6676" y="778"/>
                              </a:lnTo>
                              <a:lnTo>
                                <a:pt x="6678" y="765"/>
                              </a:lnTo>
                              <a:lnTo>
                                <a:pt x="6686" y="754"/>
                              </a:lnTo>
                              <a:lnTo>
                                <a:pt x="6696" y="747"/>
                              </a:lnTo>
                              <a:lnTo>
                                <a:pt x="6709" y="745"/>
                              </a:lnTo>
                              <a:lnTo>
                                <a:pt x="6723" y="747"/>
                              </a:lnTo>
                              <a:lnTo>
                                <a:pt x="6733" y="754"/>
                              </a:lnTo>
                              <a:lnTo>
                                <a:pt x="6741" y="765"/>
                              </a:lnTo>
                              <a:lnTo>
                                <a:pt x="6743" y="778"/>
                              </a:lnTo>
                              <a:lnTo>
                                <a:pt x="6743" y="230"/>
                              </a:lnTo>
                              <a:lnTo>
                                <a:pt x="6680" y="230"/>
                              </a:lnTo>
                              <a:lnTo>
                                <a:pt x="6668" y="227"/>
                              </a:lnTo>
                              <a:lnTo>
                                <a:pt x="6658" y="221"/>
                              </a:lnTo>
                              <a:lnTo>
                                <a:pt x="6651" y="211"/>
                              </a:lnTo>
                              <a:lnTo>
                                <a:pt x="6648" y="198"/>
                              </a:lnTo>
                              <a:lnTo>
                                <a:pt x="6648" y="148"/>
                              </a:lnTo>
                              <a:lnTo>
                                <a:pt x="6651" y="135"/>
                              </a:lnTo>
                              <a:lnTo>
                                <a:pt x="6656" y="127"/>
                              </a:lnTo>
                              <a:lnTo>
                                <a:pt x="6658" y="125"/>
                              </a:lnTo>
                              <a:lnTo>
                                <a:pt x="6668" y="118"/>
                              </a:lnTo>
                              <a:lnTo>
                                <a:pt x="6680" y="116"/>
                              </a:lnTo>
                              <a:lnTo>
                                <a:pt x="6748" y="116"/>
                              </a:lnTo>
                              <a:lnTo>
                                <a:pt x="6760" y="118"/>
                              </a:lnTo>
                              <a:lnTo>
                                <a:pt x="6770" y="125"/>
                              </a:lnTo>
                              <a:lnTo>
                                <a:pt x="6777" y="135"/>
                              </a:lnTo>
                              <a:lnTo>
                                <a:pt x="6780" y="148"/>
                              </a:lnTo>
                              <a:lnTo>
                                <a:pt x="6780" y="47"/>
                              </a:lnTo>
                              <a:lnTo>
                                <a:pt x="6615" y="47"/>
                              </a:lnTo>
                              <a:lnTo>
                                <a:pt x="6615" y="139"/>
                              </a:lnTo>
                              <a:lnTo>
                                <a:pt x="6615" y="239"/>
                              </a:lnTo>
                              <a:lnTo>
                                <a:pt x="6520" y="294"/>
                              </a:lnTo>
                              <a:lnTo>
                                <a:pt x="6520" y="139"/>
                              </a:lnTo>
                              <a:lnTo>
                                <a:pt x="6532" y="127"/>
                              </a:lnTo>
                              <a:lnTo>
                                <a:pt x="6603" y="127"/>
                              </a:lnTo>
                              <a:lnTo>
                                <a:pt x="6615" y="139"/>
                              </a:lnTo>
                              <a:lnTo>
                                <a:pt x="6615" y="47"/>
                              </a:lnTo>
                              <a:lnTo>
                                <a:pt x="6604" y="47"/>
                              </a:lnTo>
                              <a:lnTo>
                                <a:pt x="6479" y="134"/>
                              </a:lnTo>
                              <a:lnTo>
                                <a:pt x="6479" y="904"/>
                              </a:lnTo>
                              <a:lnTo>
                                <a:pt x="6482" y="919"/>
                              </a:lnTo>
                              <a:lnTo>
                                <a:pt x="6491" y="932"/>
                              </a:lnTo>
                              <a:lnTo>
                                <a:pt x="6504" y="941"/>
                              </a:lnTo>
                              <a:lnTo>
                                <a:pt x="6519" y="944"/>
                              </a:lnTo>
                              <a:lnTo>
                                <a:pt x="7073" y="944"/>
                              </a:lnTo>
                              <a:lnTo>
                                <a:pt x="7089" y="941"/>
                              </a:lnTo>
                              <a:lnTo>
                                <a:pt x="7102" y="932"/>
                              </a:lnTo>
                              <a:lnTo>
                                <a:pt x="7110" y="919"/>
                              </a:lnTo>
                              <a:lnTo>
                                <a:pt x="7113" y="904"/>
                              </a:lnTo>
                              <a:lnTo>
                                <a:pt x="7113" y="812"/>
                              </a:lnTo>
                              <a:lnTo>
                                <a:pt x="7113" y="745"/>
                              </a:lnTo>
                              <a:lnTo>
                                <a:pt x="7113" y="487"/>
                              </a:lnTo>
                              <a:lnTo>
                                <a:pt x="7113" y="418"/>
                              </a:lnTo>
                              <a:lnTo>
                                <a:pt x="7113" y="411"/>
                              </a:lnTo>
                              <a:lnTo>
                                <a:pt x="7113" y="342"/>
                              </a:lnTo>
                              <a:lnTo>
                                <a:pt x="7113" y="294"/>
                              </a:lnTo>
                              <a:lnTo>
                                <a:pt x="7113" y="293"/>
                              </a:lnTo>
                              <a:lnTo>
                                <a:pt x="7113" y="140"/>
                              </a:lnTo>
                              <a:close/>
                              <a:moveTo>
                                <a:pt x="7161" y="393"/>
                              </a:moveTo>
                              <a:lnTo>
                                <a:pt x="7158" y="380"/>
                              </a:lnTo>
                              <a:lnTo>
                                <a:pt x="7149" y="369"/>
                              </a:lnTo>
                              <a:lnTo>
                                <a:pt x="7138" y="360"/>
                              </a:lnTo>
                              <a:lnTo>
                                <a:pt x="7127" y="353"/>
                              </a:lnTo>
                              <a:lnTo>
                                <a:pt x="7127" y="864"/>
                              </a:lnTo>
                              <a:lnTo>
                                <a:pt x="7138" y="858"/>
                              </a:lnTo>
                              <a:lnTo>
                                <a:pt x="7149" y="848"/>
                              </a:lnTo>
                              <a:lnTo>
                                <a:pt x="7158" y="837"/>
                              </a:lnTo>
                              <a:lnTo>
                                <a:pt x="7161" y="824"/>
                              </a:lnTo>
                              <a:lnTo>
                                <a:pt x="7161" y="393"/>
                              </a:lnTo>
                              <a:close/>
                              <a:moveTo>
                                <a:pt x="7264" y="1095"/>
                              </a:moveTo>
                              <a:lnTo>
                                <a:pt x="7099" y="945"/>
                              </a:lnTo>
                              <a:lnTo>
                                <a:pt x="7091" y="950"/>
                              </a:lnTo>
                              <a:lnTo>
                                <a:pt x="7083" y="953"/>
                              </a:lnTo>
                              <a:lnTo>
                                <a:pt x="7021" y="953"/>
                              </a:lnTo>
                              <a:lnTo>
                                <a:pt x="7169" y="1095"/>
                              </a:lnTo>
                              <a:lnTo>
                                <a:pt x="7264" y="1095"/>
                              </a:lnTo>
                              <a:close/>
                              <a:moveTo>
                                <a:pt x="8938" y="391"/>
                              </a:moveTo>
                              <a:lnTo>
                                <a:pt x="8938" y="390"/>
                              </a:lnTo>
                              <a:lnTo>
                                <a:pt x="8932" y="375"/>
                              </a:lnTo>
                              <a:lnTo>
                                <a:pt x="8919" y="364"/>
                              </a:lnTo>
                              <a:lnTo>
                                <a:pt x="8902" y="361"/>
                              </a:lnTo>
                              <a:lnTo>
                                <a:pt x="8900" y="360"/>
                              </a:lnTo>
                              <a:lnTo>
                                <a:pt x="8877" y="361"/>
                              </a:lnTo>
                              <a:lnTo>
                                <a:pt x="8855" y="361"/>
                              </a:lnTo>
                              <a:lnTo>
                                <a:pt x="8809" y="361"/>
                              </a:lnTo>
                              <a:lnTo>
                                <a:pt x="8796" y="361"/>
                              </a:lnTo>
                              <a:lnTo>
                                <a:pt x="8786" y="367"/>
                              </a:lnTo>
                              <a:lnTo>
                                <a:pt x="8776" y="382"/>
                              </a:lnTo>
                              <a:lnTo>
                                <a:pt x="8775" y="387"/>
                              </a:lnTo>
                              <a:lnTo>
                                <a:pt x="8773" y="391"/>
                              </a:lnTo>
                              <a:lnTo>
                                <a:pt x="8772" y="391"/>
                              </a:lnTo>
                              <a:lnTo>
                                <a:pt x="8740" y="306"/>
                              </a:lnTo>
                              <a:lnTo>
                                <a:pt x="8740" y="460"/>
                              </a:lnTo>
                              <a:lnTo>
                                <a:pt x="8739" y="461"/>
                              </a:lnTo>
                              <a:lnTo>
                                <a:pt x="8735" y="461"/>
                              </a:lnTo>
                              <a:lnTo>
                                <a:pt x="8732" y="461"/>
                              </a:lnTo>
                              <a:lnTo>
                                <a:pt x="8727" y="461"/>
                              </a:lnTo>
                              <a:lnTo>
                                <a:pt x="8196" y="461"/>
                              </a:lnTo>
                              <a:lnTo>
                                <a:pt x="8054" y="461"/>
                              </a:lnTo>
                              <a:lnTo>
                                <a:pt x="8054" y="629"/>
                              </a:lnTo>
                              <a:lnTo>
                                <a:pt x="8049" y="652"/>
                              </a:lnTo>
                              <a:lnTo>
                                <a:pt x="8036" y="672"/>
                              </a:lnTo>
                              <a:lnTo>
                                <a:pt x="8016" y="684"/>
                              </a:lnTo>
                              <a:lnTo>
                                <a:pt x="7993" y="689"/>
                              </a:lnTo>
                              <a:lnTo>
                                <a:pt x="7969" y="684"/>
                              </a:lnTo>
                              <a:lnTo>
                                <a:pt x="7950" y="671"/>
                              </a:lnTo>
                              <a:lnTo>
                                <a:pt x="7937" y="651"/>
                              </a:lnTo>
                              <a:lnTo>
                                <a:pt x="7932" y="628"/>
                              </a:lnTo>
                              <a:lnTo>
                                <a:pt x="7937" y="603"/>
                              </a:lnTo>
                              <a:lnTo>
                                <a:pt x="7951" y="584"/>
                              </a:lnTo>
                              <a:lnTo>
                                <a:pt x="7971" y="571"/>
                              </a:lnTo>
                              <a:lnTo>
                                <a:pt x="7995" y="567"/>
                              </a:lnTo>
                              <a:lnTo>
                                <a:pt x="8018" y="572"/>
                              </a:lnTo>
                              <a:lnTo>
                                <a:pt x="8037" y="586"/>
                              </a:lnTo>
                              <a:lnTo>
                                <a:pt x="8050" y="605"/>
                              </a:lnTo>
                              <a:lnTo>
                                <a:pt x="8054" y="629"/>
                              </a:lnTo>
                              <a:lnTo>
                                <a:pt x="8054" y="461"/>
                              </a:lnTo>
                              <a:lnTo>
                                <a:pt x="8011" y="461"/>
                              </a:lnTo>
                              <a:lnTo>
                                <a:pt x="8011" y="460"/>
                              </a:lnTo>
                              <a:lnTo>
                                <a:pt x="8029" y="414"/>
                              </a:lnTo>
                              <a:lnTo>
                                <a:pt x="8037" y="393"/>
                              </a:lnTo>
                              <a:lnTo>
                                <a:pt x="8061" y="330"/>
                              </a:lnTo>
                              <a:lnTo>
                                <a:pt x="8077" y="288"/>
                              </a:lnTo>
                              <a:lnTo>
                                <a:pt x="8085" y="275"/>
                              </a:lnTo>
                              <a:lnTo>
                                <a:pt x="8096" y="265"/>
                              </a:lnTo>
                              <a:lnTo>
                                <a:pt x="8109" y="259"/>
                              </a:lnTo>
                              <a:lnTo>
                                <a:pt x="8124" y="257"/>
                              </a:lnTo>
                              <a:lnTo>
                                <a:pt x="8564" y="257"/>
                              </a:lnTo>
                              <a:lnTo>
                                <a:pt x="8626" y="257"/>
                              </a:lnTo>
                              <a:lnTo>
                                <a:pt x="8642" y="259"/>
                              </a:lnTo>
                              <a:lnTo>
                                <a:pt x="8657" y="266"/>
                              </a:lnTo>
                              <a:lnTo>
                                <a:pt x="8668" y="278"/>
                              </a:lnTo>
                              <a:lnTo>
                                <a:pt x="8676" y="294"/>
                              </a:lnTo>
                              <a:lnTo>
                                <a:pt x="8718" y="403"/>
                              </a:lnTo>
                              <a:lnTo>
                                <a:pt x="8728" y="430"/>
                              </a:lnTo>
                              <a:lnTo>
                                <a:pt x="8733" y="444"/>
                              </a:lnTo>
                              <a:lnTo>
                                <a:pt x="8740" y="460"/>
                              </a:lnTo>
                              <a:lnTo>
                                <a:pt x="8740" y="306"/>
                              </a:lnTo>
                              <a:lnTo>
                                <a:pt x="8738" y="301"/>
                              </a:lnTo>
                              <a:lnTo>
                                <a:pt x="8727" y="271"/>
                              </a:lnTo>
                              <a:lnTo>
                                <a:pt x="8719" y="257"/>
                              </a:lnTo>
                              <a:lnTo>
                                <a:pt x="8711" y="243"/>
                              </a:lnTo>
                              <a:lnTo>
                                <a:pt x="8688" y="221"/>
                              </a:lnTo>
                              <a:lnTo>
                                <a:pt x="8659" y="207"/>
                              </a:lnTo>
                              <a:lnTo>
                                <a:pt x="8628" y="201"/>
                              </a:lnTo>
                              <a:lnTo>
                                <a:pt x="8375" y="201"/>
                              </a:lnTo>
                              <a:lnTo>
                                <a:pt x="8123" y="202"/>
                              </a:lnTo>
                              <a:lnTo>
                                <a:pt x="8093" y="205"/>
                              </a:lnTo>
                              <a:lnTo>
                                <a:pt x="8068" y="217"/>
                              </a:lnTo>
                              <a:lnTo>
                                <a:pt x="8047" y="235"/>
                              </a:lnTo>
                              <a:lnTo>
                                <a:pt x="8030" y="259"/>
                              </a:lnTo>
                              <a:lnTo>
                                <a:pt x="8024" y="272"/>
                              </a:lnTo>
                              <a:lnTo>
                                <a:pt x="8018" y="285"/>
                              </a:lnTo>
                              <a:lnTo>
                                <a:pt x="8014" y="298"/>
                              </a:lnTo>
                              <a:lnTo>
                                <a:pt x="8009" y="312"/>
                              </a:lnTo>
                              <a:lnTo>
                                <a:pt x="8001" y="332"/>
                              </a:lnTo>
                              <a:lnTo>
                                <a:pt x="7989" y="364"/>
                              </a:lnTo>
                              <a:lnTo>
                                <a:pt x="7978" y="393"/>
                              </a:lnTo>
                              <a:lnTo>
                                <a:pt x="7977" y="390"/>
                              </a:lnTo>
                              <a:lnTo>
                                <a:pt x="7977" y="389"/>
                              </a:lnTo>
                              <a:lnTo>
                                <a:pt x="7972" y="377"/>
                              </a:lnTo>
                              <a:lnTo>
                                <a:pt x="7964" y="368"/>
                              </a:lnTo>
                              <a:lnTo>
                                <a:pt x="7953" y="362"/>
                              </a:lnTo>
                              <a:lnTo>
                                <a:pt x="7940" y="361"/>
                              </a:lnTo>
                              <a:lnTo>
                                <a:pt x="7871" y="361"/>
                              </a:lnTo>
                              <a:lnTo>
                                <a:pt x="7839" y="360"/>
                              </a:lnTo>
                              <a:lnTo>
                                <a:pt x="7830" y="364"/>
                              </a:lnTo>
                              <a:lnTo>
                                <a:pt x="7824" y="370"/>
                              </a:lnTo>
                              <a:lnTo>
                                <a:pt x="7816" y="381"/>
                              </a:lnTo>
                              <a:lnTo>
                                <a:pt x="7812" y="392"/>
                              </a:lnTo>
                              <a:lnTo>
                                <a:pt x="7812" y="404"/>
                              </a:lnTo>
                              <a:lnTo>
                                <a:pt x="7815" y="416"/>
                              </a:lnTo>
                              <a:lnTo>
                                <a:pt x="7824" y="435"/>
                              </a:lnTo>
                              <a:lnTo>
                                <a:pt x="7839" y="450"/>
                              </a:lnTo>
                              <a:lnTo>
                                <a:pt x="7857" y="459"/>
                              </a:lnTo>
                              <a:lnTo>
                                <a:pt x="7878" y="462"/>
                              </a:lnTo>
                              <a:lnTo>
                                <a:pt x="7943" y="462"/>
                              </a:lnTo>
                              <a:lnTo>
                                <a:pt x="7943" y="464"/>
                              </a:lnTo>
                              <a:lnTo>
                                <a:pt x="7942" y="465"/>
                              </a:lnTo>
                              <a:lnTo>
                                <a:pt x="7865" y="529"/>
                              </a:lnTo>
                              <a:lnTo>
                                <a:pt x="7854" y="540"/>
                              </a:lnTo>
                              <a:lnTo>
                                <a:pt x="7846" y="551"/>
                              </a:lnTo>
                              <a:lnTo>
                                <a:pt x="7839" y="564"/>
                              </a:lnTo>
                              <a:lnTo>
                                <a:pt x="7834" y="578"/>
                              </a:lnTo>
                              <a:lnTo>
                                <a:pt x="7831" y="589"/>
                              </a:lnTo>
                              <a:lnTo>
                                <a:pt x="7830" y="601"/>
                              </a:lnTo>
                              <a:lnTo>
                                <a:pt x="7830" y="605"/>
                              </a:lnTo>
                              <a:lnTo>
                                <a:pt x="7830" y="895"/>
                              </a:lnTo>
                              <a:lnTo>
                                <a:pt x="7833" y="913"/>
                              </a:lnTo>
                              <a:lnTo>
                                <a:pt x="7843" y="927"/>
                              </a:lnTo>
                              <a:lnTo>
                                <a:pt x="7857" y="937"/>
                              </a:lnTo>
                              <a:lnTo>
                                <a:pt x="7874" y="941"/>
                              </a:lnTo>
                              <a:lnTo>
                                <a:pt x="7923" y="941"/>
                              </a:lnTo>
                              <a:lnTo>
                                <a:pt x="7948" y="941"/>
                              </a:lnTo>
                              <a:lnTo>
                                <a:pt x="7972" y="941"/>
                              </a:lnTo>
                              <a:lnTo>
                                <a:pt x="7990" y="937"/>
                              </a:lnTo>
                              <a:lnTo>
                                <a:pt x="8004" y="927"/>
                              </a:lnTo>
                              <a:lnTo>
                                <a:pt x="8013" y="913"/>
                              </a:lnTo>
                              <a:lnTo>
                                <a:pt x="8013" y="912"/>
                              </a:lnTo>
                              <a:lnTo>
                                <a:pt x="8017" y="895"/>
                              </a:lnTo>
                              <a:lnTo>
                                <a:pt x="8017" y="840"/>
                              </a:lnTo>
                              <a:lnTo>
                                <a:pt x="8017" y="817"/>
                              </a:lnTo>
                              <a:lnTo>
                                <a:pt x="8018" y="816"/>
                              </a:lnTo>
                              <a:lnTo>
                                <a:pt x="8336" y="816"/>
                              </a:lnTo>
                              <a:lnTo>
                                <a:pt x="8728" y="816"/>
                              </a:lnTo>
                              <a:lnTo>
                                <a:pt x="8733" y="816"/>
                              </a:lnTo>
                              <a:lnTo>
                                <a:pt x="8734" y="817"/>
                              </a:lnTo>
                              <a:lnTo>
                                <a:pt x="8734" y="878"/>
                              </a:lnTo>
                              <a:lnTo>
                                <a:pt x="8734" y="895"/>
                              </a:lnTo>
                              <a:lnTo>
                                <a:pt x="8737" y="912"/>
                              </a:lnTo>
                              <a:lnTo>
                                <a:pt x="8738" y="913"/>
                              </a:lnTo>
                              <a:lnTo>
                                <a:pt x="8747" y="927"/>
                              </a:lnTo>
                              <a:lnTo>
                                <a:pt x="8762" y="937"/>
                              </a:lnTo>
                              <a:lnTo>
                                <a:pt x="8780" y="941"/>
                              </a:lnTo>
                              <a:lnTo>
                                <a:pt x="8827" y="941"/>
                              </a:lnTo>
                              <a:lnTo>
                                <a:pt x="8875" y="941"/>
                              </a:lnTo>
                              <a:lnTo>
                                <a:pt x="8893" y="937"/>
                              </a:lnTo>
                              <a:lnTo>
                                <a:pt x="8908" y="927"/>
                              </a:lnTo>
                              <a:lnTo>
                                <a:pt x="8918" y="912"/>
                              </a:lnTo>
                              <a:lnTo>
                                <a:pt x="8921" y="894"/>
                              </a:lnTo>
                              <a:lnTo>
                                <a:pt x="8921" y="816"/>
                              </a:lnTo>
                              <a:lnTo>
                                <a:pt x="8921" y="689"/>
                              </a:lnTo>
                              <a:lnTo>
                                <a:pt x="8921" y="598"/>
                              </a:lnTo>
                              <a:lnTo>
                                <a:pt x="8920" y="591"/>
                              </a:lnTo>
                              <a:lnTo>
                                <a:pt x="8919" y="584"/>
                              </a:lnTo>
                              <a:lnTo>
                                <a:pt x="8914" y="568"/>
                              </a:lnTo>
                              <a:lnTo>
                                <a:pt x="8914" y="567"/>
                              </a:lnTo>
                              <a:lnTo>
                                <a:pt x="8913" y="567"/>
                              </a:lnTo>
                              <a:lnTo>
                                <a:pt x="8906" y="553"/>
                              </a:lnTo>
                              <a:lnTo>
                                <a:pt x="8896" y="540"/>
                              </a:lnTo>
                              <a:lnTo>
                                <a:pt x="8884" y="528"/>
                              </a:lnTo>
                              <a:lnTo>
                                <a:pt x="8871" y="517"/>
                              </a:lnTo>
                              <a:lnTo>
                                <a:pt x="8858" y="506"/>
                              </a:lnTo>
                              <a:lnTo>
                                <a:pt x="8845" y="496"/>
                              </a:lnTo>
                              <a:lnTo>
                                <a:pt x="8832" y="485"/>
                              </a:lnTo>
                              <a:lnTo>
                                <a:pt x="8824" y="478"/>
                              </a:lnTo>
                              <a:lnTo>
                                <a:pt x="8819" y="474"/>
                              </a:lnTo>
                              <a:lnTo>
                                <a:pt x="8819" y="629"/>
                              </a:lnTo>
                              <a:lnTo>
                                <a:pt x="8814" y="652"/>
                              </a:lnTo>
                              <a:lnTo>
                                <a:pt x="8801" y="671"/>
                              </a:lnTo>
                              <a:lnTo>
                                <a:pt x="8781" y="684"/>
                              </a:lnTo>
                              <a:lnTo>
                                <a:pt x="8757" y="689"/>
                              </a:lnTo>
                              <a:lnTo>
                                <a:pt x="8734" y="684"/>
                              </a:lnTo>
                              <a:lnTo>
                                <a:pt x="8714" y="671"/>
                              </a:lnTo>
                              <a:lnTo>
                                <a:pt x="8701" y="652"/>
                              </a:lnTo>
                              <a:lnTo>
                                <a:pt x="8697" y="629"/>
                              </a:lnTo>
                              <a:lnTo>
                                <a:pt x="8697" y="628"/>
                              </a:lnTo>
                              <a:lnTo>
                                <a:pt x="8701" y="604"/>
                              </a:lnTo>
                              <a:lnTo>
                                <a:pt x="8715" y="585"/>
                              </a:lnTo>
                              <a:lnTo>
                                <a:pt x="8734" y="572"/>
                              </a:lnTo>
                              <a:lnTo>
                                <a:pt x="8758" y="567"/>
                              </a:lnTo>
                              <a:lnTo>
                                <a:pt x="8782" y="572"/>
                              </a:lnTo>
                              <a:lnTo>
                                <a:pt x="8801" y="585"/>
                              </a:lnTo>
                              <a:lnTo>
                                <a:pt x="8814" y="605"/>
                              </a:lnTo>
                              <a:lnTo>
                                <a:pt x="8818" y="628"/>
                              </a:lnTo>
                              <a:lnTo>
                                <a:pt x="8819" y="629"/>
                              </a:lnTo>
                              <a:lnTo>
                                <a:pt x="8819" y="474"/>
                              </a:lnTo>
                              <a:lnTo>
                                <a:pt x="8815" y="471"/>
                              </a:lnTo>
                              <a:lnTo>
                                <a:pt x="8807" y="462"/>
                              </a:lnTo>
                              <a:lnTo>
                                <a:pt x="8880" y="462"/>
                              </a:lnTo>
                              <a:lnTo>
                                <a:pt x="8886" y="461"/>
                              </a:lnTo>
                              <a:lnTo>
                                <a:pt x="8887" y="461"/>
                              </a:lnTo>
                              <a:lnTo>
                                <a:pt x="8892" y="460"/>
                              </a:lnTo>
                              <a:lnTo>
                                <a:pt x="8909" y="452"/>
                              </a:lnTo>
                              <a:lnTo>
                                <a:pt x="8923" y="441"/>
                              </a:lnTo>
                              <a:lnTo>
                                <a:pt x="8932" y="426"/>
                              </a:lnTo>
                              <a:lnTo>
                                <a:pt x="8938" y="408"/>
                              </a:lnTo>
                              <a:lnTo>
                                <a:pt x="8938" y="391"/>
                              </a:lnTo>
                              <a:close/>
                              <a:moveTo>
                                <a:pt x="10479" y="645"/>
                              </a:moveTo>
                              <a:lnTo>
                                <a:pt x="10469" y="607"/>
                              </a:lnTo>
                              <a:lnTo>
                                <a:pt x="10453" y="573"/>
                              </a:lnTo>
                              <a:lnTo>
                                <a:pt x="10447" y="564"/>
                              </a:lnTo>
                              <a:lnTo>
                                <a:pt x="10447" y="686"/>
                              </a:lnTo>
                              <a:lnTo>
                                <a:pt x="10431" y="754"/>
                              </a:lnTo>
                              <a:lnTo>
                                <a:pt x="10391" y="811"/>
                              </a:lnTo>
                              <a:lnTo>
                                <a:pt x="10329" y="849"/>
                              </a:lnTo>
                              <a:lnTo>
                                <a:pt x="10257" y="859"/>
                              </a:lnTo>
                              <a:lnTo>
                                <a:pt x="10190" y="841"/>
                              </a:lnTo>
                              <a:lnTo>
                                <a:pt x="10135" y="798"/>
                              </a:lnTo>
                              <a:lnTo>
                                <a:pt x="10101" y="736"/>
                              </a:lnTo>
                              <a:lnTo>
                                <a:pt x="10093" y="666"/>
                              </a:lnTo>
                              <a:lnTo>
                                <a:pt x="10111" y="603"/>
                              </a:lnTo>
                              <a:lnTo>
                                <a:pt x="10148" y="553"/>
                              </a:lnTo>
                              <a:lnTo>
                                <a:pt x="10200" y="520"/>
                              </a:lnTo>
                              <a:lnTo>
                                <a:pt x="10253" y="697"/>
                              </a:lnTo>
                              <a:lnTo>
                                <a:pt x="10262" y="702"/>
                              </a:lnTo>
                              <a:lnTo>
                                <a:pt x="10282" y="696"/>
                              </a:lnTo>
                              <a:lnTo>
                                <a:pt x="10287" y="687"/>
                              </a:lnTo>
                              <a:lnTo>
                                <a:pt x="10250" y="560"/>
                              </a:lnTo>
                              <a:lnTo>
                                <a:pt x="10238" y="520"/>
                              </a:lnTo>
                              <a:lnTo>
                                <a:pt x="10234" y="509"/>
                              </a:lnTo>
                              <a:lnTo>
                                <a:pt x="10286" y="506"/>
                              </a:lnTo>
                              <a:lnTo>
                                <a:pt x="10342" y="520"/>
                              </a:lnTo>
                              <a:lnTo>
                                <a:pt x="10394" y="556"/>
                              </a:lnTo>
                              <a:lnTo>
                                <a:pt x="10434" y="615"/>
                              </a:lnTo>
                              <a:lnTo>
                                <a:pt x="10447" y="686"/>
                              </a:lnTo>
                              <a:lnTo>
                                <a:pt x="10447" y="564"/>
                              </a:lnTo>
                              <a:lnTo>
                                <a:pt x="10431" y="542"/>
                              </a:lnTo>
                              <a:lnTo>
                                <a:pt x="10402" y="515"/>
                              </a:lnTo>
                              <a:lnTo>
                                <a:pt x="10387" y="506"/>
                              </a:lnTo>
                              <a:lnTo>
                                <a:pt x="10361" y="490"/>
                              </a:lnTo>
                              <a:lnTo>
                                <a:pt x="10318" y="474"/>
                              </a:lnTo>
                              <a:lnTo>
                                <a:pt x="10312" y="473"/>
                              </a:lnTo>
                              <a:lnTo>
                                <a:pt x="10272" y="469"/>
                              </a:lnTo>
                              <a:lnTo>
                                <a:pt x="10224" y="473"/>
                              </a:lnTo>
                              <a:lnTo>
                                <a:pt x="10218" y="453"/>
                              </a:lnTo>
                              <a:lnTo>
                                <a:pt x="10210" y="428"/>
                              </a:lnTo>
                              <a:lnTo>
                                <a:pt x="10196" y="379"/>
                              </a:lnTo>
                              <a:lnTo>
                                <a:pt x="10185" y="342"/>
                              </a:lnTo>
                              <a:lnTo>
                                <a:pt x="10179" y="323"/>
                              </a:lnTo>
                              <a:lnTo>
                                <a:pt x="10164" y="271"/>
                              </a:lnTo>
                              <a:lnTo>
                                <a:pt x="10160" y="261"/>
                              </a:lnTo>
                              <a:lnTo>
                                <a:pt x="10159" y="258"/>
                              </a:lnTo>
                              <a:lnTo>
                                <a:pt x="10156" y="253"/>
                              </a:lnTo>
                              <a:lnTo>
                                <a:pt x="10156" y="391"/>
                              </a:lnTo>
                              <a:lnTo>
                                <a:pt x="10156" y="393"/>
                              </a:lnTo>
                              <a:lnTo>
                                <a:pt x="10041" y="516"/>
                              </a:lnTo>
                              <a:lnTo>
                                <a:pt x="9884" y="682"/>
                              </a:lnTo>
                              <a:lnTo>
                                <a:pt x="9883" y="682"/>
                              </a:lnTo>
                              <a:lnTo>
                                <a:pt x="9882" y="684"/>
                              </a:lnTo>
                              <a:lnTo>
                                <a:pt x="9844" y="571"/>
                              </a:lnTo>
                              <a:lnTo>
                                <a:pt x="9844" y="684"/>
                              </a:lnTo>
                              <a:lnTo>
                                <a:pt x="9804" y="684"/>
                              </a:lnTo>
                              <a:lnTo>
                                <a:pt x="9796" y="627"/>
                              </a:lnTo>
                              <a:lnTo>
                                <a:pt x="9776" y="578"/>
                              </a:lnTo>
                              <a:lnTo>
                                <a:pt x="9767" y="566"/>
                              </a:lnTo>
                              <a:lnTo>
                                <a:pt x="9767" y="684"/>
                              </a:lnTo>
                              <a:lnTo>
                                <a:pt x="9767" y="685"/>
                              </a:lnTo>
                              <a:lnTo>
                                <a:pt x="9764" y="685"/>
                              </a:lnTo>
                              <a:lnTo>
                                <a:pt x="9763" y="685"/>
                              </a:lnTo>
                              <a:lnTo>
                                <a:pt x="9763" y="721"/>
                              </a:lnTo>
                              <a:lnTo>
                                <a:pt x="9747" y="764"/>
                              </a:lnTo>
                              <a:lnTo>
                                <a:pt x="9718" y="804"/>
                              </a:lnTo>
                              <a:lnTo>
                                <a:pt x="9677" y="836"/>
                              </a:lnTo>
                              <a:lnTo>
                                <a:pt x="9626" y="856"/>
                              </a:lnTo>
                              <a:lnTo>
                                <a:pt x="9567" y="858"/>
                              </a:lnTo>
                              <a:lnTo>
                                <a:pt x="9514" y="842"/>
                              </a:lnTo>
                              <a:lnTo>
                                <a:pt x="9468" y="811"/>
                              </a:lnTo>
                              <a:lnTo>
                                <a:pt x="9434" y="766"/>
                              </a:lnTo>
                              <a:lnTo>
                                <a:pt x="9415" y="713"/>
                              </a:lnTo>
                              <a:lnTo>
                                <a:pt x="9414" y="658"/>
                              </a:lnTo>
                              <a:lnTo>
                                <a:pt x="9430" y="606"/>
                              </a:lnTo>
                              <a:lnTo>
                                <a:pt x="9461" y="560"/>
                              </a:lnTo>
                              <a:lnTo>
                                <a:pt x="9507" y="526"/>
                              </a:lnTo>
                              <a:lnTo>
                                <a:pt x="9556" y="508"/>
                              </a:lnTo>
                              <a:lnTo>
                                <a:pt x="9605" y="506"/>
                              </a:lnTo>
                              <a:lnTo>
                                <a:pt x="9649" y="516"/>
                              </a:lnTo>
                              <a:lnTo>
                                <a:pt x="9648" y="518"/>
                              </a:lnTo>
                              <a:lnTo>
                                <a:pt x="9559" y="696"/>
                              </a:lnTo>
                              <a:lnTo>
                                <a:pt x="9557" y="700"/>
                              </a:lnTo>
                              <a:lnTo>
                                <a:pt x="9559" y="714"/>
                              </a:lnTo>
                              <a:lnTo>
                                <a:pt x="9567" y="721"/>
                              </a:lnTo>
                              <a:lnTo>
                                <a:pt x="9763" y="721"/>
                              </a:lnTo>
                              <a:lnTo>
                                <a:pt x="9763" y="685"/>
                              </a:lnTo>
                              <a:lnTo>
                                <a:pt x="9607" y="685"/>
                              </a:lnTo>
                              <a:lnTo>
                                <a:pt x="9606" y="684"/>
                              </a:lnTo>
                              <a:lnTo>
                                <a:pt x="9605" y="684"/>
                              </a:lnTo>
                              <a:lnTo>
                                <a:pt x="9682" y="531"/>
                              </a:lnTo>
                              <a:lnTo>
                                <a:pt x="9683" y="532"/>
                              </a:lnTo>
                              <a:lnTo>
                                <a:pt x="9684" y="532"/>
                              </a:lnTo>
                              <a:lnTo>
                                <a:pt x="9685" y="533"/>
                              </a:lnTo>
                              <a:lnTo>
                                <a:pt x="9714" y="556"/>
                              </a:lnTo>
                              <a:lnTo>
                                <a:pt x="9736" y="582"/>
                              </a:lnTo>
                              <a:lnTo>
                                <a:pt x="9753" y="613"/>
                              </a:lnTo>
                              <a:lnTo>
                                <a:pt x="9763" y="647"/>
                              </a:lnTo>
                              <a:lnTo>
                                <a:pt x="9766" y="658"/>
                              </a:lnTo>
                              <a:lnTo>
                                <a:pt x="9766" y="670"/>
                              </a:lnTo>
                              <a:lnTo>
                                <a:pt x="9767" y="681"/>
                              </a:lnTo>
                              <a:lnTo>
                                <a:pt x="9767" y="684"/>
                              </a:lnTo>
                              <a:lnTo>
                                <a:pt x="9767" y="566"/>
                              </a:lnTo>
                              <a:lnTo>
                                <a:pt x="9743" y="535"/>
                              </a:lnTo>
                              <a:lnTo>
                                <a:pt x="9739" y="531"/>
                              </a:lnTo>
                              <a:lnTo>
                                <a:pt x="9708" y="506"/>
                              </a:lnTo>
                              <a:lnTo>
                                <a:pt x="9699" y="498"/>
                              </a:lnTo>
                              <a:lnTo>
                                <a:pt x="9706" y="483"/>
                              </a:lnTo>
                              <a:lnTo>
                                <a:pt x="9748" y="399"/>
                              </a:lnTo>
                              <a:lnTo>
                                <a:pt x="9844" y="684"/>
                              </a:lnTo>
                              <a:lnTo>
                                <a:pt x="9844" y="571"/>
                              </a:lnTo>
                              <a:lnTo>
                                <a:pt x="9787" y="399"/>
                              </a:lnTo>
                              <a:lnTo>
                                <a:pt x="9780" y="379"/>
                              </a:lnTo>
                              <a:lnTo>
                                <a:pt x="10154" y="379"/>
                              </a:lnTo>
                              <a:lnTo>
                                <a:pt x="10155" y="383"/>
                              </a:lnTo>
                              <a:lnTo>
                                <a:pt x="10156" y="386"/>
                              </a:lnTo>
                              <a:lnTo>
                                <a:pt x="10156" y="390"/>
                              </a:lnTo>
                              <a:lnTo>
                                <a:pt x="10156" y="391"/>
                              </a:lnTo>
                              <a:lnTo>
                                <a:pt x="10156" y="253"/>
                              </a:lnTo>
                              <a:lnTo>
                                <a:pt x="10155" y="250"/>
                              </a:lnTo>
                              <a:lnTo>
                                <a:pt x="10148" y="238"/>
                              </a:lnTo>
                              <a:lnTo>
                                <a:pt x="10138" y="229"/>
                              </a:lnTo>
                              <a:lnTo>
                                <a:pt x="10126" y="224"/>
                              </a:lnTo>
                              <a:lnTo>
                                <a:pt x="10112" y="222"/>
                              </a:lnTo>
                              <a:lnTo>
                                <a:pt x="10091" y="221"/>
                              </a:lnTo>
                              <a:lnTo>
                                <a:pt x="10070" y="221"/>
                              </a:lnTo>
                              <a:lnTo>
                                <a:pt x="10017" y="222"/>
                              </a:lnTo>
                              <a:lnTo>
                                <a:pt x="10009" y="233"/>
                              </a:lnTo>
                              <a:lnTo>
                                <a:pt x="10014" y="253"/>
                              </a:lnTo>
                              <a:lnTo>
                                <a:pt x="10021" y="258"/>
                              </a:lnTo>
                              <a:lnTo>
                                <a:pt x="10070" y="258"/>
                              </a:lnTo>
                              <a:lnTo>
                                <a:pt x="10115" y="258"/>
                              </a:lnTo>
                              <a:lnTo>
                                <a:pt x="10119" y="259"/>
                              </a:lnTo>
                              <a:lnTo>
                                <a:pt x="10124" y="267"/>
                              </a:lnTo>
                              <a:lnTo>
                                <a:pt x="10126" y="271"/>
                              </a:lnTo>
                              <a:lnTo>
                                <a:pt x="10132" y="292"/>
                              </a:lnTo>
                              <a:lnTo>
                                <a:pt x="10135" y="301"/>
                              </a:lnTo>
                              <a:lnTo>
                                <a:pt x="10147" y="342"/>
                              </a:lnTo>
                              <a:lnTo>
                                <a:pt x="9768" y="342"/>
                              </a:lnTo>
                              <a:lnTo>
                                <a:pt x="9767" y="341"/>
                              </a:lnTo>
                              <a:lnTo>
                                <a:pt x="9762" y="327"/>
                              </a:lnTo>
                              <a:lnTo>
                                <a:pt x="9754" y="303"/>
                              </a:lnTo>
                              <a:lnTo>
                                <a:pt x="9751" y="292"/>
                              </a:lnTo>
                              <a:lnTo>
                                <a:pt x="9750" y="290"/>
                              </a:lnTo>
                              <a:lnTo>
                                <a:pt x="9849" y="287"/>
                              </a:lnTo>
                              <a:lnTo>
                                <a:pt x="9855" y="282"/>
                              </a:lnTo>
                              <a:lnTo>
                                <a:pt x="9857" y="268"/>
                              </a:lnTo>
                              <a:lnTo>
                                <a:pt x="9853" y="262"/>
                              </a:lnTo>
                              <a:lnTo>
                                <a:pt x="9843" y="259"/>
                              </a:lnTo>
                              <a:lnTo>
                                <a:pt x="9840" y="259"/>
                              </a:lnTo>
                              <a:lnTo>
                                <a:pt x="9683" y="249"/>
                              </a:lnTo>
                              <a:lnTo>
                                <a:pt x="9672" y="249"/>
                              </a:lnTo>
                              <a:lnTo>
                                <a:pt x="9663" y="257"/>
                              </a:lnTo>
                              <a:lnTo>
                                <a:pt x="9660" y="279"/>
                              </a:lnTo>
                              <a:lnTo>
                                <a:pt x="9666" y="289"/>
                              </a:lnTo>
                              <a:lnTo>
                                <a:pt x="9681" y="292"/>
                              </a:lnTo>
                              <a:lnTo>
                                <a:pt x="9685" y="292"/>
                              </a:lnTo>
                              <a:lnTo>
                                <a:pt x="9696" y="292"/>
                              </a:lnTo>
                              <a:lnTo>
                                <a:pt x="9712" y="292"/>
                              </a:lnTo>
                              <a:lnTo>
                                <a:pt x="9713" y="293"/>
                              </a:lnTo>
                              <a:lnTo>
                                <a:pt x="9722" y="321"/>
                              </a:lnTo>
                              <a:lnTo>
                                <a:pt x="9732" y="350"/>
                              </a:lnTo>
                              <a:lnTo>
                                <a:pt x="9732" y="352"/>
                              </a:lnTo>
                              <a:lnTo>
                                <a:pt x="9666" y="482"/>
                              </a:lnTo>
                              <a:lnTo>
                                <a:pt x="9665" y="483"/>
                              </a:lnTo>
                              <a:lnTo>
                                <a:pt x="9663" y="482"/>
                              </a:lnTo>
                              <a:lnTo>
                                <a:pt x="9635" y="474"/>
                              </a:lnTo>
                              <a:lnTo>
                                <a:pt x="9607" y="469"/>
                              </a:lnTo>
                              <a:lnTo>
                                <a:pt x="9578" y="469"/>
                              </a:lnTo>
                              <a:lnTo>
                                <a:pt x="9549" y="473"/>
                              </a:lnTo>
                              <a:lnTo>
                                <a:pt x="9514" y="483"/>
                              </a:lnTo>
                              <a:lnTo>
                                <a:pt x="9481" y="498"/>
                              </a:lnTo>
                              <a:lnTo>
                                <a:pt x="9452" y="519"/>
                              </a:lnTo>
                              <a:lnTo>
                                <a:pt x="9426" y="546"/>
                              </a:lnTo>
                              <a:lnTo>
                                <a:pt x="9399" y="586"/>
                              </a:lnTo>
                              <a:lnTo>
                                <a:pt x="9383" y="628"/>
                              </a:lnTo>
                              <a:lnTo>
                                <a:pt x="9377" y="674"/>
                              </a:lnTo>
                              <a:lnTo>
                                <a:pt x="9380" y="721"/>
                              </a:lnTo>
                              <a:lnTo>
                                <a:pt x="9389" y="755"/>
                              </a:lnTo>
                              <a:lnTo>
                                <a:pt x="9403" y="785"/>
                              </a:lnTo>
                              <a:lnTo>
                                <a:pt x="9421" y="813"/>
                              </a:lnTo>
                              <a:lnTo>
                                <a:pt x="9445" y="838"/>
                              </a:lnTo>
                              <a:lnTo>
                                <a:pt x="9487" y="869"/>
                              </a:lnTo>
                              <a:lnTo>
                                <a:pt x="9533" y="888"/>
                              </a:lnTo>
                              <a:lnTo>
                                <a:pt x="9583" y="895"/>
                              </a:lnTo>
                              <a:lnTo>
                                <a:pt x="9635" y="890"/>
                              </a:lnTo>
                              <a:lnTo>
                                <a:pt x="9692" y="870"/>
                              </a:lnTo>
                              <a:lnTo>
                                <a:pt x="9707" y="858"/>
                              </a:lnTo>
                              <a:lnTo>
                                <a:pt x="9739" y="834"/>
                              </a:lnTo>
                              <a:lnTo>
                                <a:pt x="9775" y="787"/>
                              </a:lnTo>
                              <a:lnTo>
                                <a:pt x="9797" y="731"/>
                              </a:lnTo>
                              <a:lnTo>
                                <a:pt x="9798" y="727"/>
                              </a:lnTo>
                              <a:lnTo>
                                <a:pt x="9799" y="724"/>
                              </a:lnTo>
                              <a:lnTo>
                                <a:pt x="9800" y="721"/>
                              </a:lnTo>
                              <a:lnTo>
                                <a:pt x="9894" y="721"/>
                              </a:lnTo>
                              <a:lnTo>
                                <a:pt x="9899" y="719"/>
                              </a:lnTo>
                              <a:lnTo>
                                <a:pt x="9931" y="685"/>
                              </a:lnTo>
                              <a:lnTo>
                                <a:pt x="9931" y="684"/>
                              </a:lnTo>
                              <a:lnTo>
                                <a:pt x="9932" y="684"/>
                              </a:lnTo>
                              <a:lnTo>
                                <a:pt x="10166" y="435"/>
                              </a:lnTo>
                              <a:lnTo>
                                <a:pt x="10173" y="428"/>
                              </a:lnTo>
                              <a:lnTo>
                                <a:pt x="10189" y="484"/>
                              </a:lnTo>
                              <a:lnTo>
                                <a:pt x="10152" y="504"/>
                              </a:lnTo>
                              <a:lnTo>
                                <a:pt x="10120" y="530"/>
                              </a:lnTo>
                              <a:lnTo>
                                <a:pt x="10094" y="561"/>
                              </a:lnTo>
                              <a:lnTo>
                                <a:pt x="10074" y="598"/>
                              </a:lnTo>
                              <a:lnTo>
                                <a:pt x="10061" y="638"/>
                              </a:lnTo>
                              <a:lnTo>
                                <a:pt x="10056" y="678"/>
                              </a:lnTo>
                              <a:lnTo>
                                <a:pt x="10059" y="719"/>
                              </a:lnTo>
                              <a:lnTo>
                                <a:pt x="10071" y="759"/>
                              </a:lnTo>
                              <a:lnTo>
                                <a:pt x="10112" y="826"/>
                              </a:lnTo>
                              <a:lnTo>
                                <a:pt x="10173" y="872"/>
                              </a:lnTo>
                              <a:lnTo>
                                <a:pt x="10246" y="894"/>
                              </a:lnTo>
                              <a:lnTo>
                                <a:pt x="10325" y="888"/>
                              </a:lnTo>
                              <a:lnTo>
                                <a:pt x="10386" y="859"/>
                              </a:lnTo>
                              <a:lnTo>
                                <a:pt x="10395" y="855"/>
                              </a:lnTo>
                              <a:lnTo>
                                <a:pt x="10448" y="799"/>
                              </a:lnTo>
                              <a:lnTo>
                                <a:pt x="10478" y="727"/>
                              </a:lnTo>
                              <a:lnTo>
                                <a:pt x="10478" y="721"/>
                              </a:lnTo>
                              <a:lnTo>
                                <a:pt x="10479" y="6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77F2950" id="AutoShape 163" o:spid="_x0000_s1026" style="position:absolute;margin-left:13.25pt;margin-top:139.8pt;width:524pt;height:55.5pt;z-index:-251660973;visibility:visible;mso-wrap-style:square;mso-wrap-distance-left:9pt;mso-wrap-distance-top:0;mso-wrap-distance-right:9pt;mso-wrap-distance-bottom:0;mso-position-horizontal:absolute;mso-position-horizontal-relative:text;mso-position-vertical:absolute;mso-position-vertical-relative:text;v-text-anchor:top" coordsize="10480,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" path="m1033,129r-5,-22l1015,90,997,77,975,72r-17,l941,75r-16,5l911,89r-17,12l877,114r-16,14l845,142r-46,44l662,319r-11,9l639,333r-13,2l611,334,541,324,83,255,61,254r-20,5l23,269,7,285,1,296,,306r4,8l15,322,408,539r14,9l427,557r-3,10l414,579r-25,27l307,692r-8,4l227,707r-33,4l161,714r-23,4l118,726r-17,13l85,756,74,769r2,8l102,786r68,20l189,812r19,7l222,827r6,10l227,849r-8,15l213,872r-5,9l204,890r-7,14l197,915r7,5l214,920r16,-8l240,906r11,-6l272,885r12,-2l298,902r3,11l312,948r16,49l338,1030r6,14l371,1023r14,-13l396,994r6,-20l405,937r9,-73l420,817r5,-10l432,799r20,-20l534,699r13,-11l557,686r9,5l576,704r222,389l806,1104r9,5l825,1107r12,-7l852,1084r9,-18l865,1046r-2,-22l776,497r-1,-14l777,469r6,-12l791,446r67,-71l971,254r29,-33l1015,200r11,-21l1033,155r,-26xm1978,1032r-59,l1896,1101r59,l1978,1032xm2298,80r-6,-31l2290,45r-1,-1l2277,24,2253,7,2223,1,2106,,1989,1r-30,6l1935,24r-15,26l1914,81r13,2l1939,83r10,-5l1957,65r4,-9l1974,48r15,-4l1998,58r10,16l2012,83r2,9l2022,109r12,10l2049,121r20,-4l2041,46r130,l2143,117r20,4l2178,119r12,-10l2198,92r2,-9l2204,74r10,-16l2221,46r1,-1l2237,46r13,8l2254,62r8,14l2272,83r12,1l2298,80xm2320,1101r-23,-69l2238,1032r23,69l2320,1101xm2436,912r-655,l1782,959r9,24l1813,992r44,2l2136,994r269,-1l2421,987r2,-7l2427,964r4,-17l2436,912xm2448,659r-2,-83l2440,495r-11,-81l2419,363r-6,-29l2410,322r-7,-26l2403,790r-4,16l2390,819r-14,8l2360,830r-15,-4l2333,817r-8,-13l2322,788r3,-15l2334,760r12,-8l2361,748r16,4l2391,761r9,13l2403,790r,-494l2391,254r-8,-20l2377,220r-21,-25l2332,181r,182l2323,449r-17,84l2276,611r-50,71l2169,725r-63,14l2044,725r-58,-43l1951,637r-26,-51l1907,533r-13,-56l1890,456r,331l1888,803r-9,14l1866,826r-16,4l1835,827r-13,-8l1813,806r-4,-15l1812,775r8,-13l1833,752r16,-4l1864,751r13,8l1886,772r4,15l1890,456r-1,-7l1885,421r-3,-29l1878,363r454,l2332,181r,141l1885,322r5,-35l1902,263r22,-14l1957,243r77,-7l2108,234r73,2l2258,242r38,14l2317,279r10,24l2332,322r,-141l2327,178r-36,-9l2205,162r-86,-3l2033,161r-86,4l1897,174r-39,20l1830,228r-16,47l1811,288r-5,13l1803,314r-17,82l1774,479r-8,83l1764,645r1,83l1770,812r1,14l1773,839r2,13l1777,866r662,l2441,830r4,-71l2445,748r,-9l2447,710r1,-51xm3866,771r-5,-5l3471,766r-5,5l3466,783r5,5l3861,788r5,-5l3866,771xm3866,727r-5,-5l3471,722r-5,5l3466,739r5,5l3861,744r5,-5l3866,727xm3867,682r-5,-5l3471,677r-5,5l3466,694r5,4l3862,698r5,-4l3867,682xm3867,638r-5,-4l3471,634r-4,4l3467,650r4,5l3862,655r5,-5l3867,638xm4074,926r,-14l4073,898r-1,-10l4069,876r-20,-12l4048,854r-1,-2l4046,838r,-26l4045,806r-2,-32l4035,744r-15,-26l4020,848r-7,6l3999,852r-46,l3948,844r,-22l3952,814r24,-2l4013,812r6,6l4020,848r,-130l4017,714r-8,-8l4003,696r-8,-8l3988,678r-5,-10l3981,656r-1,-12l3980,616r,-36l3980,528r3,-16l3984,502r12,-20l3999,480r16,-10l4040,466r17,l4062,460r,-18l4062,428r,-76l4062,340r-3,-4l4001,336r,92l4000,454r,8l3990,468r-9,12l3981,352r20,l4001,428r,-92l3980,336r,-26l3980,224r,-44l3980,144r-1,-12l3963,114r-2,-12l3961,100r1,-2l3962,80r,-26l3962,34r-8,-10l3941,24r,462l3939,498r-6,8l3923,510r-14,2l3905,512r,114l3901,678r-3,44l3891,814r-2,14l3883,838r-10,4l3856,844r-380,l3459,842r-10,-4l3444,828r-3,-16l3434,720r-3,-46l3428,630r,-16l3432,604r10,-6l3458,594r83,-10l3625,580r84,l3793,584r44,4l3881,596r13,2l3901,604r4,8l3905,626r,-114l3427,512r-17,-2l3399,504r-6,-10l3392,476r2,-36l3397,408r2,-34l3401,354r1,-14l3406,326r6,-8l3423,312r14,-2l3896,310r14,2l3920,316r7,10l3930,340r3,36l3936,412r3,42l3941,486r,-462l3926,24r-8,10l3918,46r,52l3826,94r,124l3816,224r-298,l3508,218r-4,-28l3515,182r219,l3816,180r10,6l3826,218r,-124l3721,90r-117,l3571,92r-65,2l3474,96r-14,l3446,98r-31,2l3415,80r,-20l3415,46r-1,-12l3406,24r-21,1l3385,848r-9,6l3363,854r-5,-2l3353,854r-5,l3348,852r-10,l3320,854r-7,-8l3314,820r5,-8l3377,812r7,6l3385,848r,-823l3378,26r-7,8l3371,96r-1,10l3366,118r-8,10l3353,132r,10l3353,150r,30l3352,336r,18l3352,476r-9,-8l3336,460r-4,-10l3331,442r,-8l3332,418r,-44l3331,354r21,l3352,336r-80,l3271,338r,102l3271,452r4,10l3284,466r18,l3320,470r16,12l3348,500r4,18l3352,542r,24l3352,586r,8l3353,612r,14l3353,640r-5,24l3337,688r-16,20l3306,728r-11,22l3289,774r-1,26l3288,806r,8l3288,826r-1,12l3285,856r-3,8l3278,866r-10,6l3262,882r-2,10l3259,898r,42l3260,952r,16l3264,972r8,10l3276,994r1,12l3277,1026r,50l3279,1092r6,10l3296,1108r14,2l3387,1110r15,-2l3412,1102r7,-10l3421,1076r,-50l3912,1026r,50l3914,1090r7,12l3931,1108r16,2l4021,1110r16,-2l4047,1102r7,-12l4057,1076r,-12l4057,1026r,-6l4056,1006r1,-10l4061,982r9,-12l4073,966r1,-26l4074,926xm5761,372r-2,-20l5755,344r-3,-8l5740,324r-16,-8l5707,310r-18,-4l5672,304r-33,l5639,270r,-6l5639,256r-3,-20l5629,218r-11,-14l5602,192r-6,-4l5593,186r-9,-4l5574,180r,646l5568,834r-10,6l5547,846r-12,4l5523,854r-12,2l5469,860r-21,l5426,858r-9,l5415,854r-1,-8l5414,832r3,-10l5423,812r9,-8l5457,786r27,-14l5512,760r31,-6l5547,752r5,2l5569,756r4,6l5573,804r,4l5574,826r,-646l5573,179r,469l5567,658r-12,8l5538,676r-18,8l5502,690r-19,4l5450,702r-102,12l5268,718r-40,l5188,716r-102,-8l5079,707r,115l5078,836r-2,20l5072,858r-17,l5033,860r-21,l4991,858r-20,-4l4951,848r-13,-4l4923,834r-5,-8l4919,814r,-6l4919,762r4,-6l4947,752r13,2l4972,758r22,8l5016,776r20,10l5055,800r5,4l5064,808r15,14l5079,707r-44,-7l4985,688r-12,-4l4949,672r-12,-6l4924,660r-6,-12l4919,556r,-212l4918,308r7,-8l4937,294r13,-6l4979,280r15,-2l5037,274r86,-4l5265,270r101,2l5416,272r61,4l5506,280r30,6l5540,288r4,l5548,290r12,6l5568,304r4,10l5573,326r,170l5573,610r,38l5573,179r-34,-9l5503,164r-72,-8l5403,156r,64l5403,230r-4,4l5390,236r-2,-2l5091,234r-3,-2l5089,192r3,-4l5401,188r2,4l5403,220r,-64l5397,156r-34,-2l5145,154r-75,2l4995,162r-44,8l4908,182r-18,10l4874,204r-11,16l4855,240r-1,6l4853,256r,8l4853,304r-30,l4792,308r-16,4l4762,318r-13,8l4740,336r-7,12l4731,364r,24l4732,412r3,24l4739,460r3,10l4745,480r4,12l4756,508r5,6l4812,514r4,-6l4816,496r,-146l4818,348r19,-4l4853,344r,524l4854,882r4,12l4866,906r10,8l4885,920r9,4l4903,930r14,6l4919,938r-1,72l4922,1018r34,4l5037,1022r11,-2l5063,1016r5,-6l5068,956r356,l5424,1012r4,6l5462,1022r73,l5570,1016r3,-6l5573,956r,-14l5573,938r2,-2l5590,930r10,-6l5609,920r14,-10l5632,896r5,-14l5639,866r,-6l5639,752r,-34l5639,344r13,l5672,346r4,4l5676,510r4,4l5727,514r6,-4l5742,494r4,-8l5748,478r6,-26l5758,424r2,-26l5761,372xm6466,350r-14,6l6440,366r-9,13l6428,393r,431l6431,839r9,12l6452,861r14,6l6466,350xm6574,953r-64,l6502,950r-7,-3l6330,1096r96,l6574,953xm7026,1012r-40,-40l6597,972r-39,40l7026,1012xm7104,1097r-43,-40l6540,1055r-44,42l7104,1097xm7113,140r-20,-14l7079,116r-10,-7l7069,138r,155l6974,238r,-8l6974,138r12,-12l7056,126r13,12l7069,109,6981,47r-42,l6939,148r,50l6937,211r-7,10l6920,227r-6,2l6914,778r-3,13l6904,802r-11,7l6880,812r-13,-3l6856,802r-7,-11l6847,778r2,-13l6856,754r11,-7l6880,745r13,2l6904,754r7,11l6914,778r,-549l6908,230r-69,l6830,228r,215l6830,453r-3,13l6820,477r-11,8l6795,487r-13,-2l6771,477r-7,-11l6761,453r,-8l6763,439r4,-6l6773,424r11,-6l6805,418r8,4l6819,428r7,6l6830,443r,-215l6829,228r,149l6829,379r,3l6828,384r-4,11l6817,403r-10,6l6795,411r-2,l6791,411r-3,l6777,406r-9,-7l6762,389r-2,-12l6763,363r7,-11l6781,345r14,-3l6808,345r11,7l6826,363r3,14l6829,228r-2,-1l6817,221r-7,-10l6808,198r,-50l6810,135r7,-10l6827,118r12,-2l6908,116r12,2l6930,125r7,10l6939,148r,-101l6780,47r,101l6780,198r-3,13l6770,221r-10,6l6748,230r-5,l6743,778r-2,13l6733,802r-10,7l6709,812r-13,-3l6686,802r-8,-11l6676,778r2,-13l6686,754r10,-7l6709,745r14,2l6733,754r8,11l6743,778r,-548l6680,230r-12,-3l6658,221r-7,-10l6648,198r,-50l6651,135r5,-8l6658,125r10,-7l6680,116r68,l6760,118r10,7l6777,135r3,13l6780,47r-165,l6615,139r,100l6520,294r,-155l6532,127r71,l6615,139r,-92l6604,47r-125,87l6479,904r3,15l6491,932r13,9l6519,944r554,l7089,941r13,-9l7110,919r3,-15l7113,812r,-67l7113,487r,-69l7113,411r,-69l7113,294r,-1l7113,140xm7161,393r-3,-13l7149,369r-11,-9l7127,353r,511l7138,858r11,-10l7158,837r3,-13l7161,393xm7264,1095l7099,945r-8,5l7083,953r-62,l7169,1095r95,xm8938,391r,-1l8932,375r-13,-11l8902,361r-2,-1l8877,361r-22,l8809,361r-13,l8786,367r-10,15l8775,387r-2,4l8772,391r-32,-85l8740,460r-1,1l8735,461r-3,l8727,461r-531,l8054,461r,168l8049,652r-13,20l8016,684r-23,5l7969,684r-19,-13l7937,651r-5,-23l7937,603r14,-19l7971,571r24,-4l8018,572r19,14l8050,605r4,24l8054,461r-43,l8011,460r18,-46l8037,393r24,-63l8077,288r8,-13l8096,265r13,-6l8124,257r440,l8626,257r16,2l8657,266r11,12l8676,294r42,109l8728,430r5,14l8740,460r,-154l8738,301r-11,-30l8719,257r-8,-14l8688,221r-29,-14l8628,201r-253,l8123,202r-30,3l8068,217r-21,18l8030,259r-6,13l8018,285r-4,13l8009,312r-8,20l7989,364r-11,29l7977,390r,-1l7972,377r-8,-9l7953,362r-13,-1l7871,361r-32,-1l7830,364r-6,6l7816,381r-4,11l7812,404r3,12l7824,435r15,15l7857,459r21,3l7943,462r,2l7942,465r-77,64l7854,540r-8,11l7839,564r-5,14l7831,589r-1,12l7830,605r,290l7833,913r10,14l7857,937r17,4l7923,941r25,l7972,941r18,-4l8004,927r9,-14l8013,912r4,-17l8017,840r,-23l8018,816r318,l8728,816r5,l8734,817r,61l8734,895r3,17l8738,913r9,14l8762,937r18,4l8827,941r48,l8893,937r15,-10l8918,912r3,-18l8921,816r,-127l8921,598r-1,-7l8919,584r-5,-16l8914,567r-1,l8906,553r-10,-13l8884,528r-13,-11l8858,506r-13,-10l8832,485r-8,-7l8819,474r,155l8814,652r-13,19l8781,684r-24,5l8734,684r-20,-13l8701,652r-4,-23l8697,628r4,-24l8715,585r19,-13l8758,567r24,5l8801,585r13,20l8818,628r1,1l8819,474r-4,-3l8807,462r73,l8886,461r1,l8892,460r17,-8l8923,441r9,-15l8938,408r,-17xm10479,645r-10,-38l10453,573r-6,-9l10447,686r-16,68l10391,811r-62,38l10257,859r-67,-18l10135,798r-34,-62l10093,666r18,-63l10148,553r52,-33l10253,697r9,5l10282,696r5,-9l10250,560r-12,-40l10234,509r52,-3l10342,520r52,36l10434,615r13,71l10447,564r-16,-22l10402,515r-15,-9l10361,490r-43,-16l10312,473r-40,-4l10224,473r-6,-20l10210,428r-14,-49l10185,342r-6,-19l10164,271r-4,-10l10159,258r-3,-5l10156,391r,2l10041,516,9884,682r-1,l9882,684,9844,571r,113l9804,684r-8,-57l9776,578r-9,-12l9767,684r,1l9764,685r-1,l9763,721r-16,43l9718,804r-41,32l9626,856r-59,2l9514,842r-46,-31l9434,766r-19,-53l9414,658r16,-52l9461,560r46,-34l9556,508r49,-2l9649,516r-1,2l9559,696r-2,4l9559,714r8,7l9763,721r,-36l9607,685r-1,-1l9605,684r77,-153l9683,532r1,l9685,533r29,23l9736,582r17,31l9763,647r3,11l9766,670r1,11l9767,684r,-118l9743,535r-4,-4l9708,506r-9,-8l9706,483r42,-84l9844,684r,-113l9787,399r-7,-20l10154,379r1,4l10156,386r,4l10156,391r,-138l10155,250r-7,-12l10138,229r-12,-5l10112,222r-21,-1l10070,221r-53,1l10009,233r5,20l10021,258r49,l10115,258r4,1l10124,267r2,4l10132,292r3,9l10147,342r-379,l9767,341r-5,-14l9754,303r-3,-11l9750,290r99,-3l9855,282r2,-14l9853,262r-10,-3l9840,259,9683,249r-11,l9663,257r-3,22l9666,289r15,3l9685,292r11,l9712,292r1,1l9722,321r10,29l9732,352r-66,130l9665,483r-2,-1l9635,474r-28,-5l9578,469r-29,4l9514,483r-33,15l9452,519r-26,27l9399,586r-16,42l9377,674r3,47l9389,755r14,30l9421,813r24,25l9487,869r46,19l9583,895r52,-5l9692,870r15,-12l9739,834r36,-47l9797,731r1,-4l9799,724r1,-3l9894,721r5,-2l9931,685r,-1l9932,684r234,-249l10173,428r16,56l10152,504r-32,26l10094,561r-20,37l10061,638r-5,40l10059,719r12,40l10112,826r61,46l10246,894r79,-6l10386,859r9,-4l10448,799r30,-72l10478,721r1,-76xe" stroked="f">
                <v:path arrowok="t" o:connecttype="custom" o:connectlocs="14605,2974340;107950,3315335;218440,3466465;548005,3453765;1411605,2804160;1360805,2877820;1131570,3412490;1489075,3328035;1337310,3272790;1200150,3303270;1477645,2916555;1550035,3330575;2454910,3265170;2571115,3352165;2536825,3240405;2540000,3096895;2497455,3124835;2248535,3174365;2182495,3000375;2429510,2921635;2119630,3344545;2118360,3095625;2129155,3192145;2072640,3420745;2569845,3503295;3580765,2971165;3437890,3331845;3460750,3249295;3141345,3281045;3161665,2981325;3430905,2902585;3082925,2955925;3058160,3118485;3444240,3446145;3604260,3127375;4128770,3406775;4436110,2883535;4368800,3276600;4321175,3068955;4305935,3022600;4305300,2929255;4241800,2949575;4200525,2891790;4545330,3044825;5622925,3032760;5048250,3229610;5487670,2967990;5088890,2992755;5043805,3096895;5090795,3336925;5663565,3174365;5522595,3202305;6637655,3167380;6625590,3194050;6275705,3236595;6007735,3159125;6201410,3228975;6421120,2944495;6259195,2973705;6041390,3110230;6282690,3261360;6653530,3261360" o:connectangles="0,0,0,0,0,0,0,0,0,0,0,0,0,0,0,0,0,0,0,0,0,0,0,0,0,0,0,0,0,0,0,0,0,0,0,0,0,0,0,0,0,0,0,0,0,0,0,0,0,0,0,0,0,0,0,0,0,0,0,0,0,0"/>
              </v:shape>
            </w:pict>
          </mc:Fallback>
        </mc:AlternateContent>
      </w:r>
      <w:r>
        <w:rPr>
          <w:rFonts w:ascii="Century Gothic" w:hAnsi="Century Gothic"/>
          <w:noProof/>
          <w:color w:val="FFFFFF"/>
        </w:rPr>
        <mc:AlternateContent>
          <mc:Choice Requires="wps">
            <w:drawing>
              <wp:anchor distT="0" distB="0" distL="114300" distR="114300" simplePos="0" relativeHeight="251656531" behindDoc="1" locked="0" layoutInCell="1" allowOverlap="1" wp14:anchorId="04A1D047" wp14:editId="59A1AAB3">
                <wp:simplePos x="0" y="0"/>
                <wp:positionH relativeFrom="column">
                  <wp:posOffset>99060</wp:posOffset>
                </wp:positionH>
                <wp:positionV relativeFrom="paragraph">
                  <wp:posOffset>8106200</wp:posOffset>
                </wp:positionV>
                <wp:extent cx="356870" cy="238760"/>
                <wp:effectExtent l="0" t="0" r="5080" b="8890"/>
                <wp:wrapNone/>
                <wp:docPr id="1690912570"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870" cy="238760"/>
                        </a:xfrm>
                        <a:custGeom>
                          <a:avLst/>
                          <a:gdLst>
                            <a:gd name="T0" fmla="+- 0 1224 787"/>
                            <a:gd name="T1" fmla="*/ T0 w 562"/>
                            <a:gd name="T2" fmla="+- 0 14385 14385"/>
                            <a:gd name="T3" fmla="*/ 14385 h 376"/>
                            <a:gd name="T4" fmla="+- 0 1054 787"/>
                            <a:gd name="T5" fmla="*/ T4 w 562"/>
                            <a:gd name="T6" fmla="+- 0 14385 14385"/>
                            <a:gd name="T7" fmla="*/ 14385 h 376"/>
                            <a:gd name="T8" fmla="+- 0 787 787"/>
                            <a:gd name="T9" fmla="*/ T8 w 562"/>
                            <a:gd name="T10" fmla="+- 0 14760 14385"/>
                            <a:gd name="T11" fmla="*/ 14760 h 376"/>
                            <a:gd name="T12" fmla="+- 0 920 787"/>
                            <a:gd name="T13" fmla="*/ T12 w 562"/>
                            <a:gd name="T14" fmla="+- 0 14760 14385"/>
                            <a:gd name="T15" fmla="*/ 14760 h 376"/>
                            <a:gd name="T16" fmla="+- 0 1118 787"/>
                            <a:gd name="T17" fmla="*/ T16 w 562"/>
                            <a:gd name="T18" fmla="+- 0 14479 14385"/>
                            <a:gd name="T19" fmla="*/ 14479 h 376"/>
                            <a:gd name="T20" fmla="+- 0 1136 787"/>
                            <a:gd name="T21" fmla="*/ T20 w 562"/>
                            <a:gd name="T22" fmla="+- 0 14479 14385"/>
                            <a:gd name="T23" fmla="*/ 14479 h 376"/>
                            <a:gd name="T24" fmla="+- 0 1223 787"/>
                            <a:gd name="T25" fmla="*/ T24 w 562"/>
                            <a:gd name="T26" fmla="+- 0 14760 14385"/>
                            <a:gd name="T27" fmla="*/ 14760 h 376"/>
                            <a:gd name="T28" fmla="+- 0 1348 787"/>
                            <a:gd name="T29" fmla="*/ T28 w 562"/>
                            <a:gd name="T30" fmla="+- 0 14760 14385"/>
                            <a:gd name="T31" fmla="*/ 14760 h 376"/>
                            <a:gd name="T32" fmla="+- 0 1224 787"/>
                            <a:gd name="T33" fmla="*/ T32 w 562"/>
                            <a:gd name="T34" fmla="+- 0 14385 14385"/>
                            <a:gd name="T35" fmla="*/ 14385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2" h="376">
                              <a:moveTo>
                                <a:pt x="437" y="0"/>
                              </a:moveTo>
                              <a:lnTo>
                                <a:pt x="267" y="0"/>
                              </a:lnTo>
                              <a:lnTo>
                                <a:pt x="0" y="375"/>
                              </a:lnTo>
                              <a:lnTo>
                                <a:pt x="133" y="375"/>
                              </a:lnTo>
                              <a:lnTo>
                                <a:pt x="331" y="94"/>
                              </a:lnTo>
                              <a:lnTo>
                                <a:pt x="349" y="94"/>
                              </a:lnTo>
                              <a:lnTo>
                                <a:pt x="436" y="375"/>
                              </a:lnTo>
                              <a:lnTo>
                                <a:pt x="561" y="375"/>
                              </a:lnTo>
                              <a:lnTo>
                                <a:pt x="4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CA49C87" id="Freeform 164" o:spid="_x0000_s1026" style="position:absolute;margin-left:7.8pt;margin-top:638.3pt;width:28.1pt;height:18.8pt;z-index:-251659949;visibility:visible;mso-wrap-style:square;mso-wrap-distance-left:9pt;mso-wrap-distance-top:0;mso-wrap-distance-right:9pt;mso-wrap-distance-bottom:0;mso-position-horizontal:absolute;mso-position-horizontal-relative:text;mso-position-vertical:absolute;mso-position-vertical-relative:text;v-text-anchor:top" coordsize="56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" path="m437,l267,,,375r133,l331,94r18,l436,375r125,l437,xe" stroked="f">
                <v:path arrowok="t" o:connecttype="custom" o:connectlocs="277495,9134475;169545,9134475;0,9372600;84455,9372600;210185,9194165;221615,9194165;276860,9372600;356235,9372600;277495,9134475" o:connectangles="0,0,0,0,0,0,0,0,0"/>
              </v:shape>
            </w:pict>
          </mc:Fallback>
        </mc:AlternateContent>
      </w:r>
      <w:r>
        <w:rPr>
          <w:rFonts w:ascii="Century Gothic" w:hAnsi="Century Gothic"/>
          <w:noProof/>
          <w:color w:val="FFFFFF"/>
        </w:rPr>
        <w:drawing>
          <wp:anchor distT="0" distB="0" distL="114300" distR="114300" simplePos="0" relativeHeight="251657555" behindDoc="1" locked="0" layoutInCell="1" allowOverlap="1" wp14:anchorId="1B302EA0" wp14:editId="410B8875">
            <wp:simplePos x="0" y="0"/>
            <wp:positionH relativeFrom="column">
              <wp:posOffset>255905</wp:posOffset>
            </wp:positionH>
            <wp:positionV relativeFrom="paragraph">
              <wp:posOffset>8250345</wp:posOffset>
            </wp:positionV>
            <wp:extent cx="82550" cy="81280"/>
            <wp:effectExtent l="0" t="0" r="0" b="0"/>
            <wp:wrapNone/>
            <wp:docPr id="169091257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12572" name="Picture 1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550" cy="8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Century Gothic" w:hAnsi="Century Gothic"/>
          <w:noProof/>
          <w:color w:val="FFFFFF"/>
        </w:rPr>
        <mc:AlternateContent>
          <mc:Choice Requires="wps">
            <w:drawing>
              <wp:anchor distT="0" distB="0" distL="114300" distR="114300" simplePos="0" relativeHeight="251658579" behindDoc="1" locked="0" layoutInCell="1" allowOverlap="1" wp14:anchorId="151D1311" wp14:editId="0381B687">
                <wp:simplePos x="0" y="0"/>
                <wp:positionH relativeFrom="column">
                  <wp:posOffset>-400050</wp:posOffset>
                </wp:positionH>
                <wp:positionV relativeFrom="paragraph">
                  <wp:posOffset>-1027640</wp:posOffset>
                </wp:positionV>
                <wp:extent cx="7772400" cy="10058400"/>
                <wp:effectExtent l="0" t="0" r="0" b="0"/>
                <wp:wrapNone/>
                <wp:docPr id="1690912595"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10058400"/>
                        </a:xfrm>
                        <a:custGeom>
                          <a:avLst/>
                          <a:gdLst>
                            <a:gd name="T0" fmla="*/ 1888 w 12240"/>
                            <a:gd name="T1" fmla="*/ 14429 h 15840"/>
                            <a:gd name="T2" fmla="*/ 1816 w 12240"/>
                            <a:gd name="T3" fmla="*/ 14388 h 15840"/>
                            <a:gd name="T4" fmla="*/ 1773 w 12240"/>
                            <a:gd name="T5" fmla="*/ 14521 h 15840"/>
                            <a:gd name="T6" fmla="*/ 1766 w 12240"/>
                            <a:gd name="T7" fmla="*/ 14574 h 15840"/>
                            <a:gd name="T8" fmla="*/ 1756 w 12240"/>
                            <a:gd name="T9" fmla="*/ 14618 h 15840"/>
                            <a:gd name="T10" fmla="*/ 1742 w 12240"/>
                            <a:gd name="T11" fmla="*/ 14649 h 15840"/>
                            <a:gd name="T12" fmla="*/ 1703 w 12240"/>
                            <a:gd name="T13" fmla="*/ 14663 h 15840"/>
                            <a:gd name="T14" fmla="*/ 1529 w 12240"/>
                            <a:gd name="T15" fmla="*/ 14480 h 15840"/>
                            <a:gd name="T16" fmla="*/ 1745 w 12240"/>
                            <a:gd name="T17" fmla="*/ 14482 h 15840"/>
                            <a:gd name="T18" fmla="*/ 1771 w 12240"/>
                            <a:gd name="T19" fmla="*/ 14501 h 15840"/>
                            <a:gd name="T20" fmla="*/ 1773 w 12240"/>
                            <a:gd name="T21" fmla="*/ 14385 h 15840"/>
                            <a:gd name="T22" fmla="*/ 1435 w 12240"/>
                            <a:gd name="T23" fmla="*/ 14385 h 15840"/>
                            <a:gd name="T24" fmla="*/ 1710 w 12240"/>
                            <a:gd name="T25" fmla="*/ 14760 h 15840"/>
                            <a:gd name="T26" fmla="*/ 1835 w 12240"/>
                            <a:gd name="T27" fmla="*/ 14715 h 15840"/>
                            <a:gd name="T28" fmla="*/ 1863 w 12240"/>
                            <a:gd name="T29" fmla="*/ 14663 h 15840"/>
                            <a:gd name="T30" fmla="*/ 1871 w 12240"/>
                            <a:gd name="T31" fmla="*/ 14632 h 15840"/>
                            <a:gd name="T32" fmla="*/ 1891 w 12240"/>
                            <a:gd name="T33" fmla="*/ 14530 h 15840"/>
                            <a:gd name="T34" fmla="*/ 1897 w 12240"/>
                            <a:gd name="T35" fmla="*/ 14473 h 15840"/>
                            <a:gd name="T36" fmla="*/ 2410 w 12240"/>
                            <a:gd name="T37" fmla="*/ 14397 h 15840"/>
                            <a:gd name="T38" fmla="*/ 2311 w 12240"/>
                            <a:gd name="T39" fmla="*/ 14385 h 15840"/>
                            <a:gd name="T40" fmla="*/ 2303 w 12240"/>
                            <a:gd name="T41" fmla="*/ 14515 h 15840"/>
                            <a:gd name="T42" fmla="*/ 2296 w 12240"/>
                            <a:gd name="T43" fmla="*/ 14555 h 15840"/>
                            <a:gd name="T44" fmla="*/ 2277 w 12240"/>
                            <a:gd name="T45" fmla="*/ 14626 h 15840"/>
                            <a:gd name="T46" fmla="*/ 2262 w 12240"/>
                            <a:gd name="T47" fmla="*/ 14653 h 15840"/>
                            <a:gd name="T48" fmla="*/ 2213 w 12240"/>
                            <a:gd name="T49" fmla="*/ 14667 h 15840"/>
                            <a:gd name="T50" fmla="*/ 2032 w 12240"/>
                            <a:gd name="T51" fmla="*/ 14666 h 15840"/>
                            <a:gd name="T52" fmla="*/ 2006 w 12240"/>
                            <a:gd name="T53" fmla="*/ 14649 h 15840"/>
                            <a:gd name="T54" fmla="*/ 2007 w 12240"/>
                            <a:gd name="T55" fmla="*/ 14596 h 15840"/>
                            <a:gd name="T56" fmla="*/ 2016 w 12240"/>
                            <a:gd name="T57" fmla="*/ 14549 h 15840"/>
                            <a:gd name="T58" fmla="*/ 2028 w 12240"/>
                            <a:gd name="T59" fmla="*/ 14503 h 15840"/>
                            <a:gd name="T60" fmla="*/ 2050 w 12240"/>
                            <a:gd name="T61" fmla="*/ 14481 h 15840"/>
                            <a:gd name="T62" fmla="*/ 2252 w 12240"/>
                            <a:gd name="T63" fmla="*/ 14476 h 15840"/>
                            <a:gd name="T64" fmla="*/ 2291 w 12240"/>
                            <a:gd name="T65" fmla="*/ 14484 h 15840"/>
                            <a:gd name="T66" fmla="*/ 2303 w 12240"/>
                            <a:gd name="T67" fmla="*/ 14515 h 15840"/>
                            <a:gd name="T68" fmla="*/ 2044 w 12240"/>
                            <a:gd name="T69" fmla="*/ 14385 h 15840"/>
                            <a:gd name="T70" fmla="*/ 1966 w 12240"/>
                            <a:gd name="T71" fmla="*/ 14407 h 15840"/>
                            <a:gd name="T72" fmla="*/ 1930 w 12240"/>
                            <a:gd name="T73" fmla="*/ 14444 h 15840"/>
                            <a:gd name="T74" fmla="*/ 1912 w 12240"/>
                            <a:gd name="T75" fmla="*/ 14490 h 15840"/>
                            <a:gd name="T76" fmla="*/ 1884 w 12240"/>
                            <a:gd name="T77" fmla="*/ 14662 h 15840"/>
                            <a:gd name="T78" fmla="*/ 1914 w 12240"/>
                            <a:gd name="T79" fmla="*/ 14744 h 15840"/>
                            <a:gd name="T80" fmla="*/ 1969 w 12240"/>
                            <a:gd name="T81" fmla="*/ 14760 h 15840"/>
                            <a:gd name="T82" fmla="*/ 2306 w 12240"/>
                            <a:gd name="T83" fmla="*/ 14759 h 15840"/>
                            <a:gd name="T84" fmla="*/ 2357 w 12240"/>
                            <a:gd name="T85" fmla="*/ 14734 h 15840"/>
                            <a:gd name="T86" fmla="*/ 2375 w 12240"/>
                            <a:gd name="T87" fmla="*/ 14683 h 15840"/>
                            <a:gd name="T88" fmla="*/ 2387 w 12240"/>
                            <a:gd name="T89" fmla="*/ 14641 h 15840"/>
                            <a:gd name="T90" fmla="*/ 2413 w 12240"/>
                            <a:gd name="T91" fmla="*/ 14497 h 15840"/>
                            <a:gd name="T92" fmla="*/ 2419 w 12240"/>
                            <a:gd name="T93" fmla="*/ 14431 h 15840"/>
                            <a:gd name="T94" fmla="*/ 2442 w 12240"/>
                            <a:gd name="T95" fmla="*/ 14385 h 15840"/>
                            <a:gd name="T96" fmla="*/ 2587 w 12240"/>
                            <a:gd name="T97" fmla="*/ 14480 h 15840"/>
                            <a:gd name="T98" fmla="*/ 2654 w 12240"/>
                            <a:gd name="T99" fmla="*/ 14757 h 15840"/>
                            <a:gd name="T100" fmla="*/ 2866 w 12240"/>
                            <a:gd name="T101" fmla="*/ 14480 h 15840"/>
                            <a:gd name="T102" fmla="*/ 12240 w 12240"/>
                            <a:gd name="T103" fmla="*/ 0 h 15840"/>
                            <a:gd name="T104" fmla="*/ 0 w 12240"/>
                            <a:gd name="T105" fmla="*/ 404 h 15840"/>
                            <a:gd name="T106" fmla="*/ 0 w 12240"/>
                            <a:gd name="T107" fmla="*/ 15840 h 15840"/>
                            <a:gd name="T108" fmla="*/ 12240 w 12240"/>
                            <a:gd name="T109" fmla="*/ 15435 h 15840"/>
                            <a:gd name="T110" fmla="*/ 12240 w 12240"/>
                            <a:gd name="T111" fmla="*/ 404 h 15840"/>
                            <a:gd name="T112" fmla="*/ 11851 w 12240"/>
                            <a:gd name="T113" fmla="*/ 15434 h 15840"/>
                            <a:gd name="T114" fmla="*/ 398 w 12240"/>
                            <a:gd name="T115" fmla="*/ 404 h 15840"/>
                            <a:gd name="T116" fmla="*/ 12240 w 12240"/>
                            <a:gd name="T117" fmla="*/ 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2240" h="15840">
                              <a:moveTo>
                                <a:pt x="1897" y="14473"/>
                              </a:moveTo>
                              <a:lnTo>
                                <a:pt x="1888" y="14429"/>
                              </a:lnTo>
                              <a:lnTo>
                                <a:pt x="1858" y="14402"/>
                              </a:lnTo>
                              <a:lnTo>
                                <a:pt x="1816" y="14388"/>
                              </a:lnTo>
                              <a:lnTo>
                                <a:pt x="1773" y="14385"/>
                              </a:lnTo>
                              <a:lnTo>
                                <a:pt x="1773" y="14521"/>
                              </a:lnTo>
                              <a:lnTo>
                                <a:pt x="1770" y="14547"/>
                              </a:lnTo>
                              <a:lnTo>
                                <a:pt x="1766" y="14574"/>
                              </a:lnTo>
                              <a:lnTo>
                                <a:pt x="1761" y="14598"/>
                              </a:lnTo>
                              <a:lnTo>
                                <a:pt x="1756" y="14618"/>
                              </a:lnTo>
                              <a:lnTo>
                                <a:pt x="1751" y="14635"/>
                              </a:lnTo>
                              <a:lnTo>
                                <a:pt x="1742" y="14649"/>
                              </a:lnTo>
                              <a:lnTo>
                                <a:pt x="1727" y="14659"/>
                              </a:lnTo>
                              <a:lnTo>
                                <a:pt x="1703" y="14663"/>
                              </a:lnTo>
                              <a:lnTo>
                                <a:pt x="1495" y="14663"/>
                              </a:lnTo>
                              <a:lnTo>
                                <a:pt x="1529" y="14480"/>
                              </a:lnTo>
                              <a:lnTo>
                                <a:pt x="1721" y="14480"/>
                              </a:lnTo>
                              <a:lnTo>
                                <a:pt x="1745" y="14482"/>
                              </a:lnTo>
                              <a:lnTo>
                                <a:pt x="1762" y="14488"/>
                              </a:lnTo>
                              <a:lnTo>
                                <a:pt x="1771" y="14501"/>
                              </a:lnTo>
                              <a:lnTo>
                                <a:pt x="1773" y="14521"/>
                              </a:lnTo>
                              <a:lnTo>
                                <a:pt x="1773" y="14385"/>
                              </a:lnTo>
                              <a:lnTo>
                                <a:pt x="1769" y="14385"/>
                              </a:lnTo>
                              <a:lnTo>
                                <a:pt x="1435" y="14385"/>
                              </a:lnTo>
                              <a:lnTo>
                                <a:pt x="1363" y="14760"/>
                              </a:lnTo>
                              <a:lnTo>
                                <a:pt x="1710" y="14760"/>
                              </a:lnTo>
                              <a:lnTo>
                                <a:pt x="1789" y="14746"/>
                              </a:lnTo>
                              <a:lnTo>
                                <a:pt x="1835" y="14715"/>
                              </a:lnTo>
                              <a:lnTo>
                                <a:pt x="1857" y="14680"/>
                              </a:lnTo>
                              <a:lnTo>
                                <a:pt x="1863" y="14663"/>
                              </a:lnTo>
                              <a:lnTo>
                                <a:pt x="1865" y="14658"/>
                              </a:lnTo>
                              <a:lnTo>
                                <a:pt x="1871" y="14632"/>
                              </a:lnTo>
                              <a:lnTo>
                                <a:pt x="1881" y="14586"/>
                              </a:lnTo>
                              <a:lnTo>
                                <a:pt x="1891" y="14530"/>
                              </a:lnTo>
                              <a:lnTo>
                                <a:pt x="1896" y="14480"/>
                              </a:lnTo>
                              <a:lnTo>
                                <a:pt x="1897" y="14473"/>
                              </a:lnTo>
                              <a:close/>
                              <a:moveTo>
                                <a:pt x="2419" y="14431"/>
                              </a:moveTo>
                              <a:lnTo>
                                <a:pt x="2410" y="14397"/>
                              </a:lnTo>
                              <a:lnTo>
                                <a:pt x="2377" y="14385"/>
                              </a:lnTo>
                              <a:lnTo>
                                <a:pt x="2311" y="14385"/>
                              </a:lnTo>
                              <a:lnTo>
                                <a:pt x="2303" y="14385"/>
                              </a:lnTo>
                              <a:lnTo>
                                <a:pt x="2303" y="14515"/>
                              </a:lnTo>
                              <a:lnTo>
                                <a:pt x="2299" y="14536"/>
                              </a:lnTo>
                              <a:lnTo>
                                <a:pt x="2296" y="14555"/>
                              </a:lnTo>
                              <a:lnTo>
                                <a:pt x="2289" y="14581"/>
                              </a:lnTo>
                              <a:lnTo>
                                <a:pt x="2277" y="14626"/>
                              </a:lnTo>
                              <a:lnTo>
                                <a:pt x="2272" y="14639"/>
                              </a:lnTo>
                              <a:lnTo>
                                <a:pt x="2262" y="14653"/>
                              </a:lnTo>
                              <a:lnTo>
                                <a:pt x="2244" y="14663"/>
                              </a:lnTo>
                              <a:lnTo>
                                <a:pt x="2213" y="14667"/>
                              </a:lnTo>
                              <a:lnTo>
                                <a:pt x="2038" y="14667"/>
                              </a:lnTo>
                              <a:lnTo>
                                <a:pt x="2032" y="14666"/>
                              </a:lnTo>
                              <a:lnTo>
                                <a:pt x="2019" y="14662"/>
                              </a:lnTo>
                              <a:lnTo>
                                <a:pt x="2006" y="14649"/>
                              </a:lnTo>
                              <a:lnTo>
                                <a:pt x="2003" y="14623"/>
                              </a:lnTo>
                              <a:lnTo>
                                <a:pt x="2007" y="14596"/>
                              </a:lnTo>
                              <a:lnTo>
                                <a:pt x="2010" y="14575"/>
                              </a:lnTo>
                              <a:lnTo>
                                <a:pt x="2016" y="14549"/>
                              </a:lnTo>
                              <a:lnTo>
                                <a:pt x="2026" y="14508"/>
                              </a:lnTo>
                              <a:lnTo>
                                <a:pt x="2028" y="14503"/>
                              </a:lnTo>
                              <a:lnTo>
                                <a:pt x="2035" y="14492"/>
                              </a:lnTo>
                              <a:lnTo>
                                <a:pt x="2050" y="14481"/>
                              </a:lnTo>
                              <a:lnTo>
                                <a:pt x="2073" y="14476"/>
                              </a:lnTo>
                              <a:lnTo>
                                <a:pt x="2252" y="14476"/>
                              </a:lnTo>
                              <a:lnTo>
                                <a:pt x="2274" y="14478"/>
                              </a:lnTo>
                              <a:lnTo>
                                <a:pt x="2291" y="14484"/>
                              </a:lnTo>
                              <a:lnTo>
                                <a:pt x="2301" y="14496"/>
                              </a:lnTo>
                              <a:lnTo>
                                <a:pt x="2303" y="14515"/>
                              </a:lnTo>
                              <a:lnTo>
                                <a:pt x="2303" y="14385"/>
                              </a:lnTo>
                              <a:lnTo>
                                <a:pt x="2044" y="14385"/>
                              </a:lnTo>
                              <a:lnTo>
                                <a:pt x="1999" y="14391"/>
                              </a:lnTo>
                              <a:lnTo>
                                <a:pt x="1966" y="14407"/>
                              </a:lnTo>
                              <a:lnTo>
                                <a:pt x="1944" y="14426"/>
                              </a:lnTo>
                              <a:lnTo>
                                <a:pt x="1930" y="14444"/>
                              </a:lnTo>
                              <a:lnTo>
                                <a:pt x="1920" y="14462"/>
                              </a:lnTo>
                              <a:lnTo>
                                <a:pt x="1912" y="14490"/>
                              </a:lnTo>
                              <a:lnTo>
                                <a:pt x="1902" y="14550"/>
                              </a:lnTo>
                              <a:lnTo>
                                <a:pt x="1884" y="14662"/>
                              </a:lnTo>
                              <a:lnTo>
                                <a:pt x="1889" y="14714"/>
                              </a:lnTo>
                              <a:lnTo>
                                <a:pt x="1914" y="14744"/>
                              </a:lnTo>
                              <a:lnTo>
                                <a:pt x="1945" y="14756"/>
                              </a:lnTo>
                              <a:lnTo>
                                <a:pt x="1969" y="14760"/>
                              </a:lnTo>
                              <a:lnTo>
                                <a:pt x="2245" y="14760"/>
                              </a:lnTo>
                              <a:lnTo>
                                <a:pt x="2306" y="14759"/>
                              </a:lnTo>
                              <a:lnTo>
                                <a:pt x="2339" y="14752"/>
                              </a:lnTo>
                              <a:lnTo>
                                <a:pt x="2357" y="14734"/>
                              </a:lnTo>
                              <a:lnTo>
                                <a:pt x="2370" y="14699"/>
                              </a:lnTo>
                              <a:lnTo>
                                <a:pt x="2375" y="14683"/>
                              </a:lnTo>
                              <a:lnTo>
                                <a:pt x="2380" y="14667"/>
                              </a:lnTo>
                              <a:lnTo>
                                <a:pt x="2387" y="14641"/>
                              </a:lnTo>
                              <a:lnTo>
                                <a:pt x="2402" y="14577"/>
                              </a:lnTo>
                              <a:lnTo>
                                <a:pt x="2413" y="14497"/>
                              </a:lnTo>
                              <a:lnTo>
                                <a:pt x="2415" y="14476"/>
                              </a:lnTo>
                              <a:lnTo>
                                <a:pt x="2419" y="14431"/>
                              </a:lnTo>
                              <a:close/>
                              <a:moveTo>
                                <a:pt x="2884" y="14385"/>
                              </a:moveTo>
                              <a:lnTo>
                                <a:pt x="2442" y="14385"/>
                              </a:lnTo>
                              <a:lnTo>
                                <a:pt x="2425" y="14480"/>
                              </a:lnTo>
                              <a:lnTo>
                                <a:pt x="2587" y="14480"/>
                              </a:lnTo>
                              <a:lnTo>
                                <a:pt x="2537" y="14757"/>
                              </a:lnTo>
                              <a:lnTo>
                                <a:pt x="2654" y="14757"/>
                              </a:lnTo>
                              <a:lnTo>
                                <a:pt x="2707" y="14480"/>
                              </a:lnTo>
                              <a:lnTo>
                                <a:pt x="2866" y="14480"/>
                              </a:lnTo>
                              <a:lnTo>
                                <a:pt x="2884" y="14385"/>
                              </a:lnTo>
                              <a:close/>
                              <a:moveTo>
                                <a:pt x="12240" y="0"/>
                              </a:moveTo>
                              <a:lnTo>
                                <a:pt x="0" y="0"/>
                              </a:lnTo>
                              <a:lnTo>
                                <a:pt x="0" y="404"/>
                              </a:lnTo>
                              <a:lnTo>
                                <a:pt x="0" y="15434"/>
                              </a:lnTo>
                              <a:lnTo>
                                <a:pt x="0" y="15840"/>
                              </a:lnTo>
                              <a:lnTo>
                                <a:pt x="12240" y="15840"/>
                              </a:lnTo>
                              <a:lnTo>
                                <a:pt x="12240" y="15435"/>
                              </a:lnTo>
                              <a:lnTo>
                                <a:pt x="12240" y="15434"/>
                              </a:lnTo>
                              <a:lnTo>
                                <a:pt x="12240" y="404"/>
                              </a:lnTo>
                              <a:lnTo>
                                <a:pt x="11851" y="404"/>
                              </a:lnTo>
                              <a:lnTo>
                                <a:pt x="11851" y="15434"/>
                              </a:lnTo>
                              <a:lnTo>
                                <a:pt x="398" y="15434"/>
                              </a:lnTo>
                              <a:lnTo>
                                <a:pt x="398" y="404"/>
                              </a:lnTo>
                              <a:lnTo>
                                <a:pt x="12240" y="404"/>
                              </a:lnTo>
                              <a:lnTo>
                                <a:pt x="122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C73FB17" id="AutoShape 166" o:spid="_x0000_s1026" style="position:absolute;margin-left:-31.5pt;margin-top:-80.9pt;width:612pt;height:11in;z-index:-251657901;visibility:visible;mso-wrap-style:square;mso-wrap-distance-left:9pt;mso-wrap-distance-top:0;mso-wrap-distance-right:9pt;mso-wrap-distance-bottom:0;mso-position-horizontal:absolute;mso-position-horizontal-relative:text;mso-position-vertical:absolute;mso-position-vertical-relative:text;v-text-anchor:top"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" path="m1897,14473r-9,-44l1858,14402r-42,-14l1773,14385r,136l1770,14547r-4,27l1761,14598r-5,20l1751,14635r-9,14l1727,14659r-24,4l1495,14663r34,-183l1721,14480r24,2l1762,14488r9,13l1773,14521r,-136l1769,14385r-334,l1363,14760r347,l1789,14746r46,-31l1857,14680r6,-17l1865,14658r6,-26l1881,14586r10,-56l1896,14480r1,-7xm2419,14431r-9,-34l2377,14385r-66,l2303,14385r,130l2299,14536r-3,19l2289,14581r-12,45l2272,14639r-10,14l2244,14663r-31,4l2038,14667r-6,-1l2019,14662r-13,-13l2003,14623r4,-27l2010,14575r6,-26l2026,14508r2,-5l2035,14492r15,-11l2073,14476r179,l2274,14478r17,6l2301,14496r2,19l2303,14385r-259,l1999,14391r-33,16l1944,14426r-14,18l1920,14462r-8,28l1902,14550r-18,112l1889,14714r25,30l1945,14756r24,4l2245,14760r61,-1l2339,14752r18,-18l2370,14699r5,-16l2380,14667r7,-26l2402,14577r11,-80l2415,14476r4,-45xm2884,14385r-442,l2425,14480r162,l2537,14757r117,l2707,14480r159,l2884,14385xm12240,l,,,404,,15434r,406l12240,15840r,-405l12240,15434r,-15030l11851,404r,15030l398,15434,398,404r11842,l12240,xe" stroked="f">
                <v:path arrowok="t" o:connecttype="custom" o:connectlocs="1198880,9162415;1153160,9136380;1125855,9220835;1121410,9254490;1115060,9282430;1106170,9302115;1081405,9311005;970915,9194800;1108075,9196070;1124585,9208135;1125855,9134475;911225,9134475;1085850,9372600;1165225,9344025;1183005,9311005;1188085,9291320;1200785,9226550;1204595,9190355;1530350,9142095;1467485,9134475;1462405,9217025;1457960,9242425;1445895,9287510;1436370,9304655;1405255,9313545;1290320,9312910;1273810,9302115;1274445,9268460;1280160,9238615;1287780,9209405;1301750,9195435;1430020,9192260;1454785,9197340;1462405,9217025;1297940,9134475;1248410,9148445;1225550,9171940;1214120,9201150;1196340,9310370;1215390,9362440;1250315,9372600;1464310,9371965;1496695,9356090;1508125,9323705;1515745,9297035;1532255,9205595;1536065,9163685;1550670,9134475;1642745,9194800;1685290,9370695;1819910,9194800;7772400,0;0,256540;0,10058400;7772400,9801225;7772400,256540;7525385,9800590;252730,256540;7772400,0" o:connectangles="0,0,0,0,0,0,0,0,0,0,0,0,0,0,0,0,0,0,0,0,0,0,0,0,0,0,0,0,0,0,0,0,0,0,0,0,0,0,0,0,0,0,0,0,0,0,0,0,0,0,0,0,0,0,0,0,0,0,0"/>
              </v:shape>
            </w:pict>
          </mc:Fallback>
        </mc:AlternateContent>
      </w:r>
      <w:r w:rsidR="00E26F38" w:rsidRPr="00E26F38">
        <w:rPr>
          <w:rFonts w:ascii="Century Gothic" w:hAnsi="Century Gothic"/>
          <w:noProof/>
          <w:color w:val="FFFFFF"/>
        </w:rPr>
        <mc:AlternateContent>
          <mc:Choice Requires="wps">
            <w:drawing>
              <wp:anchor distT="45720" distB="45720" distL="114300" distR="114300" simplePos="0" relativeHeight="251658580" behindDoc="0" locked="0" layoutInCell="1" allowOverlap="1" wp14:anchorId="6E91C115" wp14:editId="5D75E604">
                <wp:simplePos x="0" y="0"/>
                <wp:positionH relativeFrom="column">
                  <wp:posOffset>-57150</wp:posOffset>
                </wp:positionH>
                <wp:positionV relativeFrom="paragraph">
                  <wp:posOffset>-649605</wp:posOffset>
                </wp:positionV>
                <wp:extent cx="7053580" cy="1404620"/>
                <wp:effectExtent l="0" t="0" r="0" b="0"/>
                <wp:wrapNone/>
                <wp:docPr id="1690912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3580" cy="1404620"/>
                        </a:xfrm>
                        <a:prstGeom prst="rect">
                          <a:avLst/>
                        </a:prstGeom>
                        <a:noFill/>
                        <a:ln w="9525">
                          <a:noFill/>
                          <a:miter lim="800000"/>
                          <a:headEnd/>
                          <a:tailEnd/>
                        </a:ln>
                      </wps:spPr>
                      <wps:txbx>
                        <w:txbxContent>
                          <w:p w14:paraId="5B191959" w14:textId="69DE7F94" w:rsidR="00C6444C" w:rsidRPr="00020D20" w:rsidRDefault="00C6444C" w:rsidP="00020D20">
                            <w:pPr>
                              <w:spacing w:before="0" w:after="0" w:line="240" w:lineRule="auto"/>
                              <w:rPr>
                                <w:rFonts w:ascii="Century Gothic" w:hAnsi="Century Gothic"/>
                                <w:color w:val="FFFFFF" w:themeColor="background1"/>
                                <w:sz w:val="56"/>
                                <w:szCs w:val="56"/>
                              </w:rPr>
                            </w:pPr>
                            <w:r w:rsidRPr="00020D20">
                              <w:rPr>
                                <w:rFonts w:ascii="Century Gothic" w:hAnsi="Century Gothic"/>
                                <w:color w:val="FFFFFF" w:themeColor="background1"/>
                                <w:sz w:val="56"/>
                                <w:szCs w:val="56"/>
                              </w:rPr>
                              <w:t>MPO &amp; COG</w:t>
                            </w:r>
                          </w:p>
                          <w:p w14:paraId="17D13A1E" w14:textId="269AFC23" w:rsidR="00C6444C" w:rsidRPr="00020D20" w:rsidRDefault="00C6444C" w:rsidP="00020D20">
                            <w:pPr>
                              <w:spacing w:before="0" w:after="0" w:line="240" w:lineRule="auto"/>
                              <w:rPr>
                                <w:rFonts w:ascii="Century Gothic" w:hAnsi="Century Gothic"/>
                                <w:b/>
                                <w:color w:val="FFFFFF" w:themeColor="background1"/>
                                <w:sz w:val="82"/>
                                <w:szCs w:val="82"/>
                              </w:rPr>
                            </w:pPr>
                            <w:r w:rsidRPr="00020D20">
                              <w:rPr>
                                <w:rFonts w:ascii="Century Gothic" w:hAnsi="Century Gothic"/>
                                <w:b/>
                                <w:color w:val="FFFFFF" w:themeColor="background1"/>
                                <w:sz w:val="82"/>
                                <w:szCs w:val="82"/>
                              </w:rPr>
                              <w:t>Guidelines and Procedures</w:t>
                            </w:r>
                          </w:p>
                          <w:p w14:paraId="22C78B4E" w14:textId="0DE54D4C" w:rsidR="00C6444C" w:rsidRPr="00020D20" w:rsidRDefault="00C6444C" w:rsidP="00020D20">
                            <w:pPr>
                              <w:spacing w:before="0" w:after="0" w:line="240" w:lineRule="auto"/>
                              <w:jc w:val="right"/>
                              <w:rPr>
                                <w:rFonts w:ascii="Century Gothic" w:hAnsi="Century Gothic"/>
                                <w:color w:val="FFFFFF" w:themeColor="background1"/>
                                <w:sz w:val="60"/>
                                <w:szCs w:val="60"/>
                              </w:rPr>
                            </w:pPr>
                            <w:r w:rsidRPr="00020D20">
                              <w:rPr>
                                <w:rFonts w:ascii="Century Gothic" w:hAnsi="Century Gothic"/>
                                <w:color w:val="FFFFFF" w:themeColor="background1"/>
                                <w:sz w:val="60"/>
                                <w:szCs w:val="60"/>
                              </w:rPr>
                              <w:t>Manual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E91C115" id="_x0000_t202" coordsize="21600,21600" o:spt="202" path="m,l,21600r21600,l21600,xe">
                <v:stroke joinstyle="miter"/>
                <v:path gradientshapeok="t" o:connecttype="rect"/>
              </v:shapetype>
              <v:shape id="Text Box 2" o:spid="_x0000_s1026" type="#_x0000_t202" style="position:absolute;left:0;text-align:left;margin-left:-4.5pt;margin-top:-51.15pt;width:555.4pt;height:110.6pt;z-index:2516585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" filled="f" stroked="f">
                <v:textbox style="mso-fit-shape-to-text:t">
                  <w:txbxContent>
                    <w:p w14:paraId="5B191959" w14:textId="69DE7F94" w:rsidR="00C6444C" w:rsidRPr="00020D20" w:rsidRDefault="00C6444C" w:rsidP="00020D20">
                      <w:pPr>
                        <w:spacing w:before="0" w:after="0" w:line="240" w:lineRule="auto"/>
                        <w:rPr>
                          <w:rFonts w:ascii="Century Gothic" w:hAnsi="Century Gothic"/>
                          <w:color w:val="FFFFFF" w:themeColor="background1"/>
                          <w:sz w:val="56"/>
                          <w:szCs w:val="56"/>
                        </w:rPr>
                      </w:pPr>
                      <w:r w:rsidRPr="00020D20">
                        <w:rPr>
                          <w:rFonts w:ascii="Century Gothic" w:hAnsi="Century Gothic"/>
                          <w:color w:val="FFFFFF" w:themeColor="background1"/>
                          <w:sz w:val="56"/>
                          <w:szCs w:val="56"/>
                        </w:rPr>
                        <w:t>MPO &amp; COG</w:t>
                      </w:r>
                    </w:p>
                    <w:p w14:paraId="17D13A1E" w14:textId="269AFC23" w:rsidR="00C6444C" w:rsidRPr="00020D20" w:rsidRDefault="00C6444C" w:rsidP="00020D20">
                      <w:pPr>
                        <w:spacing w:before="0" w:after="0" w:line="240" w:lineRule="auto"/>
                        <w:rPr>
                          <w:rFonts w:ascii="Century Gothic" w:hAnsi="Century Gothic"/>
                          <w:b/>
                          <w:color w:val="FFFFFF" w:themeColor="background1"/>
                          <w:sz w:val="82"/>
                          <w:szCs w:val="82"/>
                        </w:rPr>
                      </w:pPr>
                      <w:r w:rsidRPr="00020D20">
                        <w:rPr>
                          <w:rFonts w:ascii="Century Gothic" w:hAnsi="Century Gothic"/>
                          <w:b/>
                          <w:color w:val="FFFFFF" w:themeColor="background1"/>
                          <w:sz w:val="82"/>
                          <w:szCs w:val="82"/>
                        </w:rPr>
                        <w:t>Guidelines and Procedures</w:t>
                      </w:r>
                    </w:p>
                    <w:p w14:paraId="22C78B4E" w14:textId="0DE54D4C" w:rsidR="00C6444C" w:rsidRPr="00020D20" w:rsidRDefault="00C6444C" w:rsidP="00020D20">
                      <w:pPr>
                        <w:spacing w:before="0" w:after="0" w:line="240" w:lineRule="auto"/>
                        <w:jc w:val="right"/>
                        <w:rPr>
                          <w:rFonts w:ascii="Century Gothic" w:hAnsi="Century Gothic"/>
                          <w:color w:val="FFFFFF" w:themeColor="background1"/>
                          <w:sz w:val="60"/>
                          <w:szCs w:val="60"/>
                        </w:rPr>
                      </w:pPr>
                      <w:r w:rsidRPr="00020D20">
                        <w:rPr>
                          <w:rFonts w:ascii="Century Gothic" w:hAnsi="Century Gothic"/>
                          <w:color w:val="FFFFFF" w:themeColor="background1"/>
                          <w:sz w:val="60"/>
                          <w:szCs w:val="60"/>
                        </w:rPr>
                        <w:t>Manual</w:t>
                      </w:r>
                    </w:p>
                  </w:txbxContent>
                </v:textbox>
              </v:shape>
            </w:pict>
          </mc:Fallback>
        </mc:AlternateContent>
      </w:r>
      <w:r w:rsidR="008400A6">
        <w:br w:type="page"/>
      </w:r>
    </w:p>
    <w:p w14:paraId="68F7E002" w14:textId="77777777" w:rsidR="0013747A" w:rsidRDefault="0013747A" w:rsidP="0013747A">
      <w:pPr>
        <w:sectPr w:rsidR="0013747A" w:rsidSect="00020D20">
          <w:headerReference w:type="default" r:id="rId18"/>
          <w:footerReference w:type="default" r:id="rId19"/>
          <w:pgSz w:w="12240" w:h="15840"/>
          <w:pgMar w:top="1080" w:right="630" w:bottom="1080" w:left="630" w:header="1152" w:footer="720" w:gutter="0"/>
          <w:pgNumType w:fmt="lowerRoman" w:start="1"/>
          <w:cols w:space="288"/>
          <w:docGrid w:linePitch="360"/>
        </w:sectPr>
      </w:pPr>
    </w:p>
    <w:p w14:paraId="65E2BC32" w14:textId="5281B637" w:rsidR="00DE6DC6" w:rsidRPr="00472679" w:rsidRDefault="00C95B0B" w:rsidP="00020D20">
      <w:pPr>
        <w:pStyle w:val="BodyTextTitle"/>
      </w:pPr>
      <w:r w:rsidRPr="00C95B0B">
        <w:lastRenderedPageBreak/>
        <w:t>ACKNOWLEDGEMENTS</w:t>
      </w:r>
    </w:p>
    <w:p w14:paraId="2069108B" w14:textId="64CE1EF6" w:rsidR="00C95B0B" w:rsidRDefault="00C95B0B" w:rsidP="00020D20"/>
    <w:p w14:paraId="7E8F01EF" w14:textId="77777777" w:rsidR="00C95B0B" w:rsidRDefault="00C95B0B"/>
    <w:p w14:paraId="390A8409" w14:textId="3F346E4E" w:rsidR="00DE6DC6" w:rsidRDefault="00DE6DC6"/>
    <w:p w14:paraId="1959D75B" w14:textId="77777777" w:rsidR="00C95B0B" w:rsidRDefault="00C95B0B"/>
    <w:p w14:paraId="26A78E89" w14:textId="77777777" w:rsidR="00C95B0B" w:rsidRDefault="00C95B0B"/>
    <w:p w14:paraId="0513D465" w14:textId="77777777" w:rsidR="00C95B0B" w:rsidRPr="00101FFC" w:rsidRDefault="00C95B0B" w:rsidP="00C95B0B">
      <w:pPr>
        <w:rPr>
          <w:b/>
          <w:sz w:val="24"/>
        </w:rPr>
      </w:pPr>
      <w:r>
        <w:rPr>
          <w:rFonts w:asciiTheme="majorHAnsi" w:hAnsiTheme="majorHAnsi" w:cstheme="majorHAnsi"/>
          <w:b/>
          <w:color w:val="012768"/>
          <w:sz w:val="24"/>
        </w:rPr>
        <w:t>PREPARED FOR:</w:t>
      </w:r>
    </w:p>
    <w:p w14:paraId="64C7EA20" w14:textId="77777777" w:rsidR="00636F46" w:rsidRDefault="00636F46" w:rsidP="00636F46">
      <w:r>
        <w:rPr>
          <w:noProof/>
        </w:rPr>
        <w:drawing>
          <wp:inline distT="0" distB="0" distL="0" distR="0" wp14:anchorId="04B4C735" wp14:editId="0F060ABD">
            <wp:extent cx="3153454" cy="333375"/>
            <wp:effectExtent l="0" t="0" r="0" b="0"/>
            <wp:docPr id="1690911566" name="Picture 1690911566" descr="https://azdot.gov/sites/default/files/media/2020/03/Logo_ADOT_blue_full_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zdot.gov/sites/default/files/media/2020/03/Logo_ADOT_blue_full_nam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8117" cy="334925"/>
                    </a:xfrm>
                    <a:prstGeom prst="rect">
                      <a:avLst/>
                    </a:prstGeom>
                    <a:noFill/>
                    <a:ln>
                      <a:noFill/>
                    </a:ln>
                  </pic:spPr>
                </pic:pic>
              </a:graphicData>
            </a:graphic>
          </wp:inline>
        </w:drawing>
      </w:r>
    </w:p>
    <w:p w14:paraId="646DB9BF" w14:textId="77777777" w:rsidR="00636F46" w:rsidRDefault="00636F46" w:rsidP="00636F46"/>
    <w:p w14:paraId="6A4BC846" w14:textId="77777777" w:rsidR="00DE6DC6" w:rsidRDefault="00DE6DC6" w:rsidP="00636F46"/>
    <w:p w14:paraId="607BB258" w14:textId="77777777" w:rsidR="00636F46" w:rsidRDefault="00636F46" w:rsidP="00636F46"/>
    <w:p w14:paraId="0475D1A2" w14:textId="77777777" w:rsidR="00C95B0B" w:rsidRPr="00101FFC" w:rsidRDefault="00C95B0B" w:rsidP="00C95B0B">
      <w:pPr>
        <w:rPr>
          <w:b/>
          <w:sz w:val="24"/>
        </w:rPr>
      </w:pPr>
      <w:r>
        <w:rPr>
          <w:rFonts w:asciiTheme="majorHAnsi" w:hAnsiTheme="majorHAnsi" w:cstheme="majorHAnsi"/>
          <w:b/>
          <w:color w:val="012768"/>
          <w:sz w:val="24"/>
        </w:rPr>
        <w:t>IN COLLABORATION WITH:</w:t>
      </w:r>
    </w:p>
    <w:p w14:paraId="36F7EA66" w14:textId="4230274D" w:rsidR="00636F46" w:rsidRDefault="00C95B0B" w:rsidP="00C95B0B">
      <w:r>
        <w:rPr>
          <w:noProof/>
        </w:rPr>
        <w:t xml:space="preserve"> </w:t>
      </w:r>
      <w:r w:rsidR="00636F46">
        <w:rPr>
          <w:noProof/>
        </w:rPr>
        <w:drawing>
          <wp:inline distT="0" distB="0" distL="0" distR="0" wp14:anchorId="21074B33" wp14:editId="75D69B9F">
            <wp:extent cx="2152650" cy="620957"/>
            <wp:effectExtent l="0" t="0" r="0" b="8255"/>
            <wp:docPr id="816286061" name="Picture 816286061" descr="C:\Users\siffermanst\AppData\Local\Microsoft\Windows\INetCacheContent.Word\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iffermanst\AppData\Local\Microsoft\Windows\INetCacheContent.Word\Captur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6744" cy="636561"/>
                    </a:xfrm>
                    <a:prstGeom prst="rect">
                      <a:avLst/>
                    </a:prstGeom>
                    <a:noFill/>
                    <a:ln>
                      <a:noFill/>
                    </a:ln>
                  </pic:spPr>
                </pic:pic>
              </a:graphicData>
            </a:graphic>
          </wp:inline>
        </w:drawing>
      </w:r>
    </w:p>
    <w:p w14:paraId="5FE82DE2" w14:textId="77777777" w:rsidR="00636F46" w:rsidRDefault="00636F46" w:rsidP="00636F46"/>
    <w:p w14:paraId="35F39DCD" w14:textId="77777777" w:rsidR="00DE6DC6" w:rsidRDefault="00DE6DC6" w:rsidP="00636F46"/>
    <w:p w14:paraId="69352758" w14:textId="77777777" w:rsidR="00636F46" w:rsidRDefault="00636F46" w:rsidP="00636F46"/>
    <w:p w14:paraId="430D7468" w14:textId="77777777" w:rsidR="00636F46" w:rsidRPr="002F17FB" w:rsidRDefault="00C95B0B">
      <w:r w:rsidRPr="00020D20">
        <w:rPr>
          <w:rFonts w:asciiTheme="majorHAnsi" w:hAnsiTheme="majorHAnsi" w:cstheme="majorHAnsi"/>
          <w:b/>
          <w:color w:val="012768"/>
          <w:sz w:val="24"/>
        </w:rPr>
        <w:t>PREPARED BY</w:t>
      </w:r>
      <w:r>
        <w:rPr>
          <w:rFonts w:asciiTheme="majorHAnsi" w:hAnsiTheme="majorHAnsi" w:cstheme="majorHAnsi"/>
          <w:b/>
          <w:color w:val="012768"/>
          <w:sz w:val="24"/>
        </w:rPr>
        <w:t>:</w:t>
      </w:r>
    </w:p>
    <w:p w14:paraId="763784EE" w14:textId="77777777" w:rsidR="00636F46" w:rsidRDefault="00636F46" w:rsidP="00636F46">
      <w:r>
        <w:rPr>
          <w:noProof/>
        </w:rPr>
        <w:drawing>
          <wp:inline distT="0" distB="0" distL="0" distR="0" wp14:anchorId="3CF00F28" wp14:editId="451D0DFC">
            <wp:extent cx="1266825" cy="602298"/>
            <wp:effectExtent l="0" t="0" r="0" b="7620"/>
            <wp:docPr id="816286068" name="Picture 816286068" descr="C:\Users\siffermanst\AppData\Local\Microsoft\Windows\INetCacheContent.Word\wsp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iffermanst\AppData\Local\Microsoft\Windows\INetCacheContent.Word\wsp_RGB.PNG"/>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1281468" cy="609260"/>
                    </a:xfrm>
                    <a:prstGeom prst="rect">
                      <a:avLst/>
                    </a:prstGeom>
                    <a:noFill/>
                    <a:ln>
                      <a:noFill/>
                    </a:ln>
                  </pic:spPr>
                </pic:pic>
              </a:graphicData>
            </a:graphic>
          </wp:inline>
        </w:drawing>
      </w:r>
    </w:p>
    <w:p w14:paraId="4AF3A5C8" w14:textId="3BDA8678" w:rsidR="00636F46" w:rsidRPr="00020D20" w:rsidRDefault="00636F46" w:rsidP="00636F46">
      <w:pPr>
        <w:spacing w:before="0" w:after="0" w:line="240" w:lineRule="auto"/>
        <w:rPr>
          <w:sz w:val="22"/>
        </w:rPr>
      </w:pPr>
      <w:r w:rsidRPr="00020D20">
        <w:rPr>
          <w:sz w:val="22"/>
        </w:rPr>
        <w:t>1230 W. Washington St</w:t>
      </w:r>
      <w:r w:rsidR="00E13AA3">
        <w:rPr>
          <w:sz w:val="22"/>
        </w:rPr>
        <w:t>reet</w:t>
      </w:r>
      <w:r w:rsidRPr="00020D20">
        <w:rPr>
          <w:sz w:val="22"/>
        </w:rPr>
        <w:t>, S</w:t>
      </w:r>
      <w:r w:rsidR="00E13AA3">
        <w:rPr>
          <w:sz w:val="22"/>
        </w:rPr>
        <w:t>ui</w:t>
      </w:r>
      <w:r w:rsidRPr="00020D20">
        <w:rPr>
          <w:sz w:val="22"/>
        </w:rPr>
        <w:t>te 405</w:t>
      </w:r>
    </w:p>
    <w:p w14:paraId="002BC54C" w14:textId="77777777" w:rsidR="00636F46" w:rsidRDefault="00636F46" w:rsidP="00636F46">
      <w:pPr>
        <w:spacing w:before="0" w:after="0" w:line="240" w:lineRule="auto"/>
        <w:rPr>
          <w:sz w:val="22"/>
        </w:rPr>
      </w:pPr>
      <w:r w:rsidRPr="00020D20">
        <w:rPr>
          <w:sz w:val="22"/>
        </w:rPr>
        <w:t>Tempe, AZ 85281</w:t>
      </w:r>
    </w:p>
    <w:p w14:paraId="7982E4D4" w14:textId="77777777" w:rsidR="000B17B6" w:rsidRPr="00020D20" w:rsidRDefault="000B17B6" w:rsidP="00636F46">
      <w:pPr>
        <w:spacing w:before="0" w:after="0" w:line="240" w:lineRule="auto"/>
        <w:rPr>
          <w:sz w:val="14"/>
        </w:rPr>
      </w:pPr>
    </w:p>
    <w:p w14:paraId="7602ACC2" w14:textId="77777777" w:rsidR="000B17B6" w:rsidRDefault="00636F46" w:rsidP="00636F46">
      <w:r>
        <w:rPr>
          <w:noProof/>
        </w:rPr>
        <w:drawing>
          <wp:inline distT="0" distB="0" distL="0" distR="0" wp14:anchorId="00395CB5" wp14:editId="06AE53B1">
            <wp:extent cx="757873" cy="447040"/>
            <wp:effectExtent l="0" t="0" r="4445" b="0"/>
            <wp:docPr id="816286069" name="Picture 81628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71830" cy="455273"/>
                    </a:xfrm>
                    <a:prstGeom prst="rect">
                      <a:avLst/>
                    </a:prstGeom>
                  </pic:spPr>
                </pic:pic>
              </a:graphicData>
            </a:graphic>
          </wp:inline>
        </w:drawing>
      </w:r>
    </w:p>
    <w:p w14:paraId="5057D801" w14:textId="77777777" w:rsidR="000B17B6" w:rsidRPr="00020D20" w:rsidRDefault="000B17B6" w:rsidP="00020D20">
      <w:pPr>
        <w:spacing w:before="0" w:after="0" w:line="240" w:lineRule="auto"/>
        <w:rPr>
          <w:rFonts w:cstheme="minorHAnsi"/>
          <w:color w:val="222222"/>
          <w:szCs w:val="21"/>
          <w:shd w:val="clear" w:color="auto" w:fill="FFFFFF"/>
        </w:rPr>
      </w:pPr>
      <w:r w:rsidRPr="00020D20">
        <w:rPr>
          <w:rFonts w:cstheme="minorHAnsi"/>
          <w:color w:val="222222"/>
          <w:szCs w:val="21"/>
          <w:shd w:val="clear" w:color="auto" w:fill="FFFFFF"/>
        </w:rPr>
        <w:t>3440 N 16th St Suite 102B,</w:t>
      </w:r>
    </w:p>
    <w:p w14:paraId="2CE885E8" w14:textId="1341B5EA" w:rsidR="007F2807" w:rsidRDefault="000B17B6">
      <w:pPr>
        <w:spacing w:before="0" w:after="0" w:line="240" w:lineRule="auto"/>
        <w:rPr>
          <w:rFonts w:cstheme="minorHAnsi"/>
          <w:color w:val="222222"/>
          <w:szCs w:val="21"/>
          <w:shd w:val="clear" w:color="auto" w:fill="FFFFFF"/>
        </w:rPr>
      </w:pPr>
      <w:r w:rsidRPr="00020D20">
        <w:rPr>
          <w:rFonts w:cstheme="minorHAnsi"/>
          <w:color w:val="222222"/>
          <w:szCs w:val="21"/>
          <w:shd w:val="clear" w:color="auto" w:fill="FFFFFF"/>
        </w:rPr>
        <w:t>Phoenix, AZ 85016</w:t>
      </w:r>
      <w:r w:rsidR="007F2807">
        <w:rPr>
          <w:rFonts w:cstheme="minorHAnsi"/>
          <w:color w:val="222222"/>
          <w:szCs w:val="21"/>
          <w:shd w:val="clear" w:color="auto" w:fill="FFFFFF"/>
        </w:rPr>
        <w:br w:type="page"/>
      </w:r>
    </w:p>
    <w:p w14:paraId="18531A69" w14:textId="77777777" w:rsidR="00C95B0B" w:rsidRPr="00020D20" w:rsidRDefault="00C95B0B" w:rsidP="00636F46">
      <w:pPr>
        <w:tabs>
          <w:tab w:val="clear" w:pos="180"/>
          <w:tab w:val="clear" w:pos="360"/>
          <w:tab w:val="clear" w:pos="540"/>
        </w:tabs>
        <w:rPr>
          <w:rFonts w:cstheme="minorHAnsi"/>
          <w:color w:val="012768"/>
          <w:sz w:val="40"/>
        </w:rPr>
      </w:pPr>
      <w:r w:rsidRPr="00020D20">
        <w:rPr>
          <w:rFonts w:cstheme="minorHAnsi"/>
          <w:color w:val="012768"/>
          <w:sz w:val="40"/>
        </w:rPr>
        <w:t>Manual Content Update</w:t>
      </w:r>
    </w:p>
    <w:p w14:paraId="4728E66A" w14:textId="2B3435D3" w:rsidR="00636F46" w:rsidRDefault="00636F46" w:rsidP="00636F46">
      <w:pPr>
        <w:tabs>
          <w:tab w:val="clear" w:pos="180"/>
          <w:tab w:val="clear" w:pos="360"/>
          <w:tab w:val="clear" w:pos="540"/>
        </w:tabs>
      </w:pPr>
      <w:r>
        <w:tab/>
        <w:t xml:space="preserve">Date . . . . . . . . . . . . . . . . </w:t>
      </w:r>
      <w:r w:rsidR="00F55017">
        <w:t>December</w:t>
      </w:r>
      <w:r>
        <w:t xml:space="preserve"> 2020</w:t>
      </w:r>
    </w:p>
    <w:p w14:paraId="7C6073AB" w14:textId="6A89BFF7" w:rsidR="007F2807" w:rsidRDefault="00636F46" w:rsidP="00020D20">
      <w:pPr>
        <w:tabs>
          <w:tab w:val="clear" w:pos="180"/>
          <w:tab w:val="clear" w:pos="360"/>
          <w:tab w:val="clear" w:pos="540"/>
        </w:tabs>
        <w:spacing w:line="240" w:lineRule="auto"/>
      </w:pPr>
      <w:r>
        <w:tab/>
        <w:t xml:space="preserve">Content Updated . . . . . Ch. 1, Ch. 2, </w:t>
      </w:r>
      <w:r w:rsidR="00BB09EC">
        <w:t xml:space="preserve">Ch. 3, Ch. 4, </w:t>
      </w:r>
      <w:r>
        <w:t>Ch.</w:t>
      </w:r>
      <w:r w:rsidR="00582026">
        <w:t xml:space="preserve"> </w:t>
      </w:r>
      <w:r>
        <w:t>5, Ch.</w:t>
      </w:r>
      <w:r w:rsidR="00582026">
        <w:t xml:space="preserve"> </w:t>
      </w:r>
      <w:r>
        <w:t>6,</w:t>
      </w:r>
      <w:r w:rsidR="00BB09EC">
        <w:t xml:space="preserve"> Ch. 7,</w:t>
      </w:r>
      <w:r>
        <w:t xml:space="preserve"> Ch.</w:t>
      </w:r>
      <w:r w:rsidR="00582026">
        <w:t xml:space="preserve"> </w:t>
      </w:r>
      <w:r>
        <w:t xml:space="preserve">8, Ch. 10, </w:t>
      </w:r>
      <w:r w:rsidR="007F2807">
        <w:t xml:space="preserve">Ch. 11, </w:t>
      </w:r>
      <w:r>
        <w:t>Ch. 12, Ch. 13, Ch. 14,</w:t>
      </w:r>
      <w:r w:rsidR="007F2807">
        <w:t xml:space="preserve"> </w:t>
      </w:r>
    </w:p>
    <w:p w14:paraId="44196B8C" w14:textId="534F3811" w:rsidR="007F2807" w:rsidRDefault="007F2807" w:rsidP="00020D20">
      <w:pPr>
        <w:tabs>
          <w:tab w:val="clear" w:pos="180"/>
          <w:tab w:val="clear" w:pos="360"/>
          <w:tab w:val="clear" w:pos="540"/>
        </w:tabs>
        <w:spacing w:line="240" w:lineRule="auto"/>
      </w:pPr>
      <w:r>
        <w:tab/>
      </w:r>
      <w:r>
        <w:tab/>
      </w:r>
      <w:r>
        <w:tab/>
        <w:t xml:space="preserve">            Ch. 15, Ch. 16, Ch. 17</w:t>
      </w:r>
    </w:p>
    <w:p w14:paraId="071C5A29" w14:textId="41C9B291" w:rsidR="00636F46" w:rsidRDefault="00636F46" w:rsidP="00020D20">
      <w:pPr>
        <w:tabs>
          <w:tab w:val="clear" w:pos="180"/>
          <w:tab w:val="clear" w:pos="360"/>
          <w:tab w:val="clear" w:pos="540"/>
        </w:tabs>
        <w:spacing w:line="240" w:lineRule="auto"/>
      </w:pPr>
    </w:p>
    <w:p w14:paraId="1E8CDC85" w14:textId="0BC61C65" w:rsidR="005A6734" w:rsidRDefault="005A6734" w:rsidP="00636F46">
      <w:pPr>
        <w:tabs>
          <w:tab w:val="clear" w:pos="180"/>
          <w:tab w:val="clear" w:pos="360"/>
          <w:tab w:val="clear" w:pos="540"/>
        </w:tabs>
      </w:pPr>
    </w:p>
    <w:p w14:paraId="4A3BF7AD" w14:textId="7A166178" w:rsidR="005A6734" w:rsidRDefault="005A6734" w:rsidP="00636F46">
      <w:pPr>
        <w:tabs>
          <w:tab w:val="clear" w:pos="180"/>
          <w:tab w:val="clear" w:pos="360"/>
          <w:tab w:val="clear" w:pos="540"/>
        </w:tabs>
      </w:pPr>
    </w:p>
    <w:p w14:paraId="47A625EA" w14:textId="16ACBEB7" w:rsidR="005A6734" w:rsidRDefault="005A6734" w:rsidP="00636F46">
      <w:pPr>
        <w:tabs>
          <w:tab w:val="clear" w:pos="180"/>
          <w:tab w:val="clear" w:pos="360"/>
          <w:tab w:val="clear" w:pos="540"/>
        </w:tabs>
      </w:pPr>
    </w:p>
    <w:p w14:paraId="7C1D213B" w14:textId="118C650F" w:rsidR="005A6734" w:rsidRDefault="005A6734" w:rsidP="00636F46">
      <w:pPr>
        <w:tabs>
          <w:tab w:val="clear" w:pos="180"/>
          <w:tab w:val="clear" w:pos="360"/>
          <w:tab w:val="clear" w:pos="540"/>
        </w:tabs>
      </w:pPr>
    </w:p>
    <w:p w14:paraId="520D9F21" w14:textId="02EEAD89" w:rsidR="005A6734" w:rsidRDefault="005A6734" w:rsidP="00636F46">
      <w:pPr>
        <w:tabs>
          <w:tab w:val="clear" w:pos="180"/>
          <w:tab w:val="clear" w:pos="360"/>
          <w:tab w:val="clear" w:pos="540"/>
        </w:tabs>
      </w:pPr>
    </w:p>
    <w:p w14:paraId="19840C15" w14:textId="7669EFAD" w:rsidR="005A6734" w:rsidRDefault="005A6734" w:rsidP="00636F46">
      <w:pPr>
        <w:tabs>
          <w:tab w:val="clear" w:pos="180"/>
          <w:tab w:val="clear" w:pos="360"/>
          <w:tab w:val="clear" w:pos="540"/>
        </w:tabs>
      </w:pPr>
    </w:p>
    <w:p w14:paraId="591CC345" w14:textId="4852C67E" w:rsidR="005A6734" w:rsidRDefault="005A6734" w:rsidP="00636F46">
      <w:pPr>
        <w:tabs>
          <w:tab w:val="clear" w:pos="180"/>
          <w:tab w:val="clear" w:pos="360"/>
          <w:tab w:val="clear" w:pos="540"/>
        </w:tabs>
      </w:pPr>
    </w:p>
    <w:p w14:paraId="2A95B860" w14:textId="010F57C8" w:rsidR="005A6734" w:rsidRDefault="005A6734" w:rsidP="00636F46">
      <w:pPr>
        <w:tabs>
          <w:tab w:val="clear" w:pos="180"/>
          <w:tab w:val="clear" w:pos="360"/>
          <w:tab w:val="clear" w:pos="540"/>
        </w:tabs>
      </w:pPr>
    </w:p>
    <w:p w14:paraId="44A7555E" w14:textId="021C0766" w:rsidR="005A6734" w:rsidRDefault="005A6734" w:rsidP="00636F46">
      <w:pPr>
        <w:tabs>
          <w:tab w:val="clear" w:pos="180"/>
          <w:tab w:val="clear" w:pos="360"/>
          <w:tab w:val="clear" w:pos="540"/>
        </w:tabs>
      </w:pPr>
    </w:p>
    <w:p w14:paraId="085477D7" w14:textId="22A787E7" w:rsidR="005A6734" w:rsidRDefault="005A6734" w:rsidP="00636F46">
      <w:pPr>
        <w:tabs>
          <w:tab w:val="clear" w:pos="180"/>
          <w:tab w:val="clear" w:pos="360"/>
          <w:tab w:val="clear" w:pos="540"/>
        </w:tabs>
      </w:pPr>
    </w:p>
    <w:p w14:paraId="101579C5" w14:textId="6AB5D6A3" w:rsidR="005A6734" w:rsidRDefault="005A6734" w:rsidP="00636F46">
      <w:pPr>
        <w:tabs>
          <w:tab w:val="clear" w:pos="180"/>
          <w:tab w:val="clear" w:pos="360"/>
          <w:tab w:val="clear" w:pos="540"/>
        </w:tabs>
      </w:pPr>
    </w:p>
    <w:p w14:paraId="5CF82A5E" w14:textId="48101372" w:rsidR="005A6734" w:rsidRDefault="005A6734" w:rsidP="00636F46">
      <w:pPr>
        <w:tabs>
          <w:tab w:val="clear" w:pos="180"/>
          <w:tab w:val="clear" w:pos="360"/>
          <w:tab w:val="clear" w:pos="540"/>
        </w:tabs>
      </w:pPr>
    </w:p>
    <w:p w14:paraId="2BC6D6A1" w14:textId="57407C4D" w:rsidR="005A6734" w:rsidRDefault="005A6734" w:rsidP="00636F46">
      <w:pPr>
        <w:tabs>
          <w:tab w:val="clear" w:pos="180"/>
          <w:tab w:val="clear" w:pos="360"/>
          <w:tab w:val="clear" w:pos="540"/>
        </w:tabs>
      </w:pPr>
    </w:p>
    <w:p w14:paraId="5FED834B" w14:textId="44F5BF53" w:rsidR="005A6734" w:rsidRDefault="005A6734" w:rsidP="00636F46">
      <w:pPr>
        <w:tabs>
          <w:tab w:val="clear" w:pos="180"/>
          <w:tab w:val="clear" w:pos="360"/>
          <w:tab w:val="clear" w:pos="540"/>
        </w:tabs>
      </w:pPr>
    </w:p>
    <w:p w14:paraId="22B9A161" w14:textId="16B4E324" w:rsidR="005A6734" w:rsidRDefault="005A6734" w:rsidP="00636F46">
      <w:pPr>
        <w:tabs>
          <w:tab w:val="clear" w:pos="180"/>
          <w:tab w:val="clear" w:pos="360"/>
          <w:tab w:val="clear" w:pos="540"/>
        </w:tabs>
      </w:pPr>
    </w:p>
    <w:p w14:paraId="347A9C98" w14:textId="73C13E33" w:rsidR="005A6734" w:rsidRDefault="005A6734" w:rsidP="00636F46">
      <w:pPr>
        <w:tabs>
          <w:tab w:val="clear" w:pos="180"/>
          <w:tab w:val="clear" w:pos="360"/>
          <w:tab w:val="clear" w:pos="540"/>
        </w:tabs>
      </w:pPr>
    </w:p>
    <w:p w14:paraId="1CFB8D82" w14:textId="035B7954" w:rsidR="005A6734" w:rsidRDefault="005A6734" w:rsidP="00636F46">
      <w:pPr>
        <w:tabs>
          <w:tab w:val="clear" w:pos="180"/>
          <w:tab w:val="clear" w:pos="360"/>
          <w:tab w:val="clear" w:pos="540"/>
        </w:tabs>
      </w:pPr>
    </w:p>
    <w:p w14:paraId="674A4B6D" w14:textId="2EE2E54C" w:rsidR="005A6734" w:rsidRDefault="005A6734" w:rsidP="00636F46">
      <w:pPr>
        <w:tabs>
          <w:tab w:val="clear" w:pos="180"/>
          <w:tab w:val="clear" w:pos="360"/>
          <w:tab w:val="clear" w:pos="540"/>
        </w:tabs>
      </w:pPr>
    </w:p>
    <w:p w14:paraId="5183544C" w14:textId="77777777" w:rsidR="005A6734" w:rsidRDefault="005A6734" w:rsidP="00636F46">
      <w:pPr>
        <w:tabs>
          <w:tab w:val="clear" w:pos="180"/>
          <w:tab w:val="clear" w:pos="360"/>
          <w:tab w:val="clear" w:pos="540"/>
        </w:tabs>
      </w:pPr>
    </w:p>
    <w:p w14:paraId="65BB8EB7" w14:textId="13F7D87A" w:rsidR="00636F46" w:rsidRDefault="005A6734" w:rsidP="00020D20">
      <w:pPr>
        <w:jc w:val="both"/>
      </w:pPr>
      <w:r w:rsidRPr="00020D20">
        <w:rPr>
          <w:i/>
        </w:rPr>
        <w:t>This report was funded in part through grants from the Federal Highway or Federal Transit Administration, U.S. Department of Transportation. The contents of this report reflect the views of the authors, who are responsible for the facts and the accuracy of the data, and for the use or adaptation of previously published material, presented herein. The contents do not necessarily reflect the official views or policies of the Arizona Department of Transportation or the Federal Highway or Federal Transit</w:t>
      </w:r>
      <w:r w:rsidRPr="00020D20">
        <w:rPr>
          <w:i/>
          <w:color w:val="FF0000"/>
        </w:rPr>
        <w:t xml:space="preserve"> </w:t>
      </w:r>
      <w:r w:rsidRPr="00020D20">
        <w:rPr>
          <w:i/>
        </w:rPr>
        <w:t>Administration, U.S. Department of Transportation. This report does not constitute a standard, specification, or regulation. Trade or manufacturers’ names that may appear herein are cited only because they are considered essential to the objectives of the report. The U.S. government and the State of Arizona do not endorse products or manufacturers.</w:t>
      </w:r>
      <w:r w:rsidR="00636F46">
        <w:br w:type="page"/>
      </w:r>
    </w:p>
    <w:p w14:paraId="6CF2C873" w14:textId="4392B11D" w:rsidR="002F17FB" w:rsidRPr="00472679" w:rsidRDefault="00BF4366" w:rsidP="00020D20">
      <w:pPr>
        <w:pStyle w:val="BodyTextTitle"/>
      </w:pPr>
      <w:r>
        <w:t xml:space="preserve">MANUAL </w:t>
      </w:r>
      <w:r w:rsidR="002F17FB">
        <w:t>TABLE OF CONT</w:t>
      </w:r>
      <w:r w:rsidR="002F17FB" w:rsidRPr="00E12DBA">
        <w:t>ENTS</w:t>
      </w:r>
    </w:p>
    <w:p w14:paraId="3303FC1D" w14:textId="7D5CF722" w:rsidR="007564A0" w:rsidRDefault="007564A0">
      <w:pPr>
        <w:pStyle w:val="TOC1"/>
        <w:rPr>
          <w:rFonts w:eastAsiaTheme="minorEastAsia" w:cstheme="minorBidi"/>
          <w:noProof/>
          <w:sz w:val="22"/>
          <w:szCs w:val="22"/>
        </w:rPr>
      </w:pPr>
      <w:r>
        <w:fldChar w:fldCharType="begin"/>
      </w:r>
      <w:r>
        <w:instrText xml:space="preserve"> TOC \o "1-1" \t "Chapter 17 Heading,2" </w:instrText>
      </w:r>
      <w:r>
        <w:fldChar w:fldCharType="separate"/>
      </w:r>
      <w:hyperlink w:anchor="_|_Introduction" w:history="1">
        <w:r w:rsidRPr="000C1862">
          <w:rPr>
            <w:rStyle w:val="Hyperlink"/>
            <w:rFonts w:ascii="Calibri" w:hAnsi="Calibri" w:cstheme="minorHAnsi"/>
            <w:noProof/>
            <w:sz w:val="20"/>
            <w:szCs w:val="20"/>
            <w14:scene3d>
              <w14:camera w14:prst="orthographicFront"/>
              <w14:lightRig w14:rig="threePt" w14:dir="t">
                <w14:rot w14:lat="0" w14:lon="0" w14:rev="0"/>
              </w14:lightRig>
            </w14:scene3d>
          </w:rPr>
          <w:t>1</w:t>
        </w:r>
        <w:r w:rsidRPr="000C1862">
          <w:rPr>
            <w:rStyle w:val="Hyperlink"/>
            <w:rFonts w:asciiTheme="minorHAnsi" w:eastAsiaTheme="minorEastAsia" w:hAnsiTheme="minorHAnsi" w:cstheme="minorBidi"/>
            <w:noProof/>
            <w:sz w:val="22"/>
            <w:szCs w:val="22"/>
          </w:rPr>
          <w:tab/>
        </w:r>
        <w:r w:rsidRPr="000C1862">
          <w:rPr>
            <w:rStyle w:val="Hyperlink"/>
            <w:rFonts w:asciiTheme="minorHAnsi" w:hAnsiTheme="minorHAnsi" w:cstheme="minorHAnsi"/>
            <w:noProof/>
            <w:sz w:val="20"/>
            <w:szCs w:val="20"/>
          </w:rPr>
          <w:t>| Introduction</w:t>
        </w:r>
      </w:hyperlink>
      <w:r>
        <w:rPr>
          <w:noProof/>
        </w:rPr>
        <w:tab/>
      </w:r>
      <w:r>
        <w:rPr>
          <w:noProof/>
        </w:rPr>
        <w:fldChar w:fldCharType="begin"/>
      </w:r>
      <w:r>
        <w:rPr>
          <w:noProof/>
        </w:rPr>
        <w:instrText xml:space="preserve"> PAGEREF _Toc50540215 \h </w:instrText>
      </w:r>
      <w:r>
        <w:rPr>
          <w:noProof/>
        </w:rPr>
      </w:r>
      <w:r>
        <w:rPr>
          <w:noProof/>
        </w:rPr>
        <w:fldChar w:fldCharType="separate"/>
      </w:r>
      <w:r w:rsidR="004C7EA6">
        <w:rPr>
          <w:noProof/>
        </w:rPr>
        <w:t>1-1</w:t>
      </w:r>
      <w:r>
        <w:rPr>
          <w:noProof/>
        </w:rPr>
        <w:fldChar w:fldCharType="end"/>
      </w:r>
    </w:p>
    <w:p w14:paraId="3AEBB815" w14:textId="6B1B20CF" w:rsidR="007564A0" w:rsidRDefault="00202C92">
      <w:pPr>
        <w:pStyle w:val="TOC1"/>
        <w:rPr>
          <w:rFonts w:eastAsiaTheme="minorEastAsia" w:cstheme="minorBidi"/>
          <w:noProof/>
          <w:sz w:val="22"/>
          <w:szCs w:val="22"/>
        </w:rPr>
      </w:pPr>
      <w:hyperlink w:anchor="_|_Federal_&amp;"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2</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Federal &amp; State Planning Partners</w:t>
        </w:r>
      </w:hyperlink>
      <w:r w:rsidR="007564A0">
        <w:rPr>
          <w:noProof/>
        </w:rPr>
        <w:tab/>
      </w:r>
      <w:r w:rsidR="007564A0">
        <w:rPr>
          <w:noProof/>
        </w:rPr>
        <w:fldChar w:fldCharType="begin"/>
      </w:r>
      <w:r w:rsidR="007564A0">
        <w:rPr>
          <w:noProof/>
        </w:rPr>
        <w:instrText xml:space="preserve"> PAGEREF _Toc50540216 \h </w:instrText>
      </w:r>
      <w:r w:rsidR="007564A0">
        <w:rPr>
          <w:noProof/>
        </w:rPr>
      </w:r>
      <w:r w:rsidR="007564A0">
        <w:rPr>
          <w:noProof/>
        </w:rPr>
        <w:fldChar w:fldCharType="separate"/>
      </w:r>
      <w:r w:rsidR="004C7EA6">
        <w:rPr>
          <w:noProof/>
        </w:rPr>
        <w:t>2-1</w:t>
      </w:r>
      <w:r w:rsidR="007564A0">
        <w:rPr>
          <w:noProof/>
        </w:rPr>
        <w:fldChar w:fldCharType="end"/>
      </w:r>
    </w:p>
    <w:p w14:paraId="0001C56A" w14:textId="7ADB2BCA" w:rsidR="007564A0" w:rsidRDefault="00202C92">
      <w:pPr>
        <w:pStyle w:val="TOC1"/>
        <w:rPr>
          <w:rFonts w:eastAsiaTheme="minorEastAsia" w:cstheme="minorBidi"/>
          <w:noProof/>
          <w:sz w:val="22"/>
          <w:szCs w:val="22"/>
        </w:rPr>
      </w:pPr>
      <w:hyperlink w:anchor="_|_Formation"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3</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xml:space="preserve">| </w:t>
        </w:r>
        <w:r w:rsidR="004D572A">
          <w:rPr>
            <w:rStyle w:val="Hyperlink"/>
            <w:rFonts w:asciiTheme="minorHAnsi" w:hAnsiTheme="minorHAnsi" w:cstheme="minorHAnsi"/>
            <w:noProof/>
            <w:sz w:val="20"/>
            <w:szCs w:val="20"/>
          </w:rPr>
          <w:t xml:space="preserve">MPO </w:t>
        </w:r>
        <w:r w:rsidR="007564A0" w:rsidRPr="007564A0">
          <w:rPr>
            <w:rStyle w:val="Hyperlink"/>
            <w:rFonts w:asciiTheme="minorHAnsi" w:hAnsiTheme="minorHAnsi" w:cstheme="minorHAnsi"/>
            <w:noProof/>
            <w:sz w:val="20"/>
            <w:szCs w:val="20"/>
          </w:rPr>
          <w:t>Formation</w:t>
        </w:r>
      </w:hyperlink>
      <w:r w:rsidR="007564A0">
        <w:rPr>
          <w:noProof/>
        </w:rPr>
        <w:tab/>
      </w:r>
      <w:r w:rsidR="007564A0">
        <w:rPr>
          <w:noProof/>
        </w:rPr>
        <w:fldChar w:fldCharType="begin"/>
      </w:r>
      <w:r w:rsidR="007564A0">
        <w:rPr>
          <w:noProof/>
        </w:rPr>
        <w:instrText xml:space="preserve"> PAGEREF _Toc50540218 \h </w:instrText>
      </w:r>
      <w:r w:rsidR="007564A0">
        <w:rPr>
          <w:noProof/>
        </w:rPr>
      </w:r>
      <w:r w:rsidR="007564A0">
        <w:rPr>
          <w:noProof/>
        </w:rPr>
        <w:fldChar w:fldCharType="separate"/>
      </w:r>
      <w:r w:rsidR="004C7EA6">
        <w:rPr>
          <w:noProof/>
        </w:rPr>
        <w:t>3-1</w:t>
      </w:r>
      <w:r w:rsidR="007564A0">
        <w:rPr>
          <w:noProof/>
        </w:rPr>
        <w:fldChar w:fldCharType="end"/>
      </w:r>
    </w:p>
    <w:p w14:paraId="5EFF276E" w14:textId="20AD2235" w:rsidR="007564A0" w:rsidRDefault="00202C92">
      <w:pPr>
        <w:pStyle w:val="TOC1"/>
        <w:rPr>
          <w:rFonts w:eastAsiaTheme="minorEastAsia" w:cstheme="minorBidi"/>
          <w:noProof/>
          <w:sz w:val="22"/>
          <w:szCs w:val="22"/>
        </w:rPr>
      </w:pPr>
      <w:hyperlink w:anchor="_|_MPO_Unified"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4</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xml:space="preserve">| MPO Unified Planning Work Program </w:t>
        </w:r>
        <w:r w:rsidR="004D572A">
          <w:rPr>
            <w:rStyle w:val="Hyperlink"/>
            <w:rFonts w:asciiTheme="minorHAnsi" w:hAnsiTheme="minorHAnsi" w:cstheme="minorHAnsi"/>
            <w:noProof/>
            <w:sz w:val="20"/>
            <w:szCs w:val="20"/>
          </w:rPr>
          <w:t>AND</w:t>
        </w:r>
        <w:r w:rsidR="007564A0" w:rsidRPr="007564A0">
          <w:rPr>
            <w:rStyle w:val="Hyperlink"/>
            <w:rFonts w:asciiTheme="minorHAnsi" w:hAnsiTheme="minorHAnsi" w:cstheme="minorHAnsi"/>
            <w:noProof/>
            <w:sz w:val="20"/>
            <w:szCs w:val="20"/>
          </w:rPr>
          <w:t xml:space="preserve"> Contract Activities</w:t>
        </w:r>
      </w:hyperlink>
      <w:r w:rsidR="007564A0">
        <w:rPr>
          <w:noProof/>
        </w:rPr>
        <w:tab/>
      </w:r>
      <w:r w:rsidR="007564A0">
        <w:rPr>
          <w:noProof/>
        </w:rPr>
        <w:fldChar w:fldCharType="begin"/>
      </w:r>
      <w:r w:rsidR="007564A0">
        <w:rPr>
          <w:noProof/>
        </w:rPr>
        <w:instrText xml:space="preserve"> PAGEREF _Toc50540220 \h </w:instrText>
      </w:r>
      <w:r w:rsidR="007564A0">
        <w:rPr>
          <w:noProof/>
        </w:rPr>
      </w:r>
      <w:r w:rsidR="007564A0">
        <w:rPr>
          <w:noProof/>
        </w:rPr>
        <w:fldChar w:fldCharType="separate"/>
      </w:r>
      <w:r w:rsidR="004C7EA6">
        <w:rPr>
          <w:noProof/>
        </w:rPr>
        <w:t>4-1</w:t>
      </w:r>
      <w:r w:rsidR="007564A0">
        <w:rPr>
          <w:noProof/>
        </w:rPr>
        <w:fldChar w:fldCharType="end"/>
      </w:r>
    </w:p>
    <w:p w14:paraId="7D98A271" w14:textId="68ABFC1B" w:rsidR="007564A0" w:rsidRDefault="00202C92">
      <w:pPr>
        <w:pStyle w:val="TOC1"/>
        <w:rPr>
          <w:rFonts w:eastAsiaTheme="minorEastAsia" w:cstheme="minorBidi"/>
          <w:noProof/>
          <w:sz w:val="22"/>
          <w:szCs w:val="22"/>
        </w:rPr>
      </w:pPr>
      <w:hyperlink w:anchor="_|_COG_Work"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5</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COG Work Program</w:t>
        </w:r>
      </w:hyperlink>
      <w:r w:rsidR="007564A0">
        <w:rPr>
          <w:noProof/>
        </w:rPr>
        <w:tab/>
      </w:r>
      <w:r w:rsidR="007564A0">
        <w:rPr>
          <w:noProof/>
        </w:rPr>
        <w:fldChar w:fldCharType="begin"/>
      </w:r>
      <w:r w:rsidR="007564A0">
        <w:rPr>
          <w:noProof/>
        </w:rPr>
        <w:instrText xml:space="preserve"> PAGEREF _Toc50540221 \h </w:instrText>
      </w:r>
      <w:r w:rsidR="007564A0">
        <w:rPr>
          <w:noProof/>
        </w:rPr>
      </w:r>
      <w:r w:rsidR="007564A0">
        <w:rPr>
          <w:noProof/>
        </w:rPr>
        <w:fldChar w:fldCharType="separate"/>
      </w:r>
      <w:r w:rsidR="004C7EA6">
        <w:rPr>
          <w:noProof/>
        </w:rPr>
        <w:t>5-1</w:t>
      </w:r>
      <w:r w:rsidR="007564A0">
        <w:rPr>
          <w:noProof/>
        </w:rPr>
        <w:fldChar w:fldCharType="end"/>
      </w:r>
    </w:p>
    <w:p w14:paraId="639CBDF0" w14:textId="71DB1632" w:rsidR="007564A0" w:rsidRDefault="00202C92">
      <w:pPr>
        <w:pStyle w:val="TOC1"/>
        <w:rPr>
          <w:rFonts w:eastAsiaTheme="minorEastAsia" w:cstheme="minorBidi"/>
          <w:noProof/>
          <w:sz w:val="22"/>
          <w:szCs w:val="22"/>
        </w:rPr>
      </w:pPr>
      <w:hyperlink w:anchor="_|_Performance_Measures"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6</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Performance Measures</w:t>
        </w:r>
      </w:hyperlink>
      <w:r w:rsidR="007564A0">
        <w:rPr>
          <w:noProof/>
        </w:rPr>
        <w:tab/>
      </w:r>
      <w:r w:rsidR="007564A0">
        <w:rPr>
          <w:noProof/>
        </w:rPr>
        <w:fldChar w:fldCharType="begin"/>
      </w:r>
      <w:r w:rsidR="007564A0">
        <w:rPr>
          <w:noProof/>
        </w:rPr>
        <w:instrText xml:space="preserve"> PAGEREF _Toc50540222 \h </w:instrText>
      </w:r>
      <w:r w:rsidR="007564A0">
        <w:rPr>
          <w:noProof/>
        </w:rPr>
      </w:r>
      <w:r w:rsidR="007564A0">
        <w:rPr>
          <w:noProof/>
        </w:rPr>
        <w:fldChar w:fldCharType="separate"/>
      </w:r>
      <w:r w:rsidR="004C7EA6">
        <w:rPr>
          <w:noProof/>
        </w:rPr>
        <w:t>6-1</w:t>
      </w:r>
      <w:r w:rsidR="007564A0">
        <w:rPr>
          <w:noProof/>
        </w:rPr>
        <w:fldChar w:fldCharType="end"/>
      </w:r>
    </w:p>
    <w:p w14:paraId="0F2F87D1" w14:textId="0101537D" w:rsidR="007564A0" w:rsidRDefault="00202C92">
      <w:pPr>
        <w:pStyle w:val="TOC1"/>
        <w:rPr>
          <w:rFonts w:eastAsiaTheme="minorEastAsia" w:cstheme="minorBidi"/>
          <w:noProof/>
          <w:sz w:val="22"/>
          <w:szCs w:val="22"/>
        </w:rPr>
      </w:pPr>
      <w:hyperlink w:anchor="_|_Regional_Transportation"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7</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w w:val="96"/>
            <w:sz w:val="20"/>
            <w:szCs w:val="20"/>
          </w:rPr>
          <w:t>| Regional Transportation Plan</w:t>
        </w:r>
      </w:hyperlink>
      <w:r w:rsidR="007564A0">
        <w:rPr>
          <w:noProof/>
        </w:rPr>
        <w:tab/>
      </w:r>
      <w:r w:rsidR="007564A0">
        <w:rPr>
          <w:noProof/>
        </w:rPr>
        <w:fldChar w:fldCharType="begin"/>
      </w:r>
      <w:r w:rsidR="007564A0">
        <w:rPr>
          <w:noProof/>
        </w:rPr>
        <w:instrText xml:space="preserve"> PAGEREF _Toc50540223 \h </w:instrText>
      </w:r>
      <w:r w:rsidR="007564A0">
        <w:rPr>
          <w:noProof/>
        </w:rPr>
      </w:r>
      <w:r w:rsidR="007564A0">
        <w:rPr>
          <w:noProof/>
        </w:rPr>
        <w:fldChar w:fldCharType="separate"/>
      </w:r>
      <w:r w:rsidR="004C7EA6">
        <w:rPr>
          <w:noProof/>
        </w:rPr>
        <w:t>7-1</w:t>
      </w:r>
      <w:r w:rsidR="007564A0">
        <w:rPr>
          <w:noProof/>
        </w:rPr>
        <w:fldChar w:fldCharType="end"/>
      </w:r>
    </w:p>
    <w:p w14:paraId="2D7A186C" w14:textId="79A1DFC6" w:rsidR="007564A0" w:rsidRDefault="00202C92">
      <w:pPr>
        <w:pStyle w:val="TOC1"/>
        <w:rPr>
          <w:rFonts w:eastAsiaTheme="minorEastAsia" w:cstheme="minorBidi"/>
          <w:noProof/>
          <w:sz w:val="22"/>
          <w:szCs w:val="22"/>
        </w:rPr>
      </w:pPr>
      <w:hyperlink w:anchor="_|_Transportation_Improvement"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8</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Transportation Improvement Program</w:t>
        </w:r>
      </w:hyperlink>
      <w:r w:rsidR="007564A0">
        <w:rPr>
          <w:noProof/>
        </w:rPr>
        <w:tab/>
      </w:r>
      <w:r w:rsidR="007564A0">
        <w:rPr>
          <w:noProof/>
        </w:rPr>
        <w:fldChar w:fldCharType="begin"/>
      </w:r>
      <w:r w:rsidR="007564A0">
        <w:rPr>
          <w:noProof/>
        </w:rPr>
        <w:instrText xml:space="preserve"> PAGEREF _Toc50540224 \h </w:instrText>
      </w:r>
      <w:r w:rsidR="007564A0">
        <w:rPr>
          <w:noProof/>
        </w:rPr>
      </w:r>
      <w:r w:rsidR="007564A0">
        <w:rPr>
          <w:noProof/>
        </w:rPr>
        <w:fldChar w:fldCharType="separate"/>
      </w:r>
      <w:r w:rsidR="004C7EA6">
        <w:rPr>
          <w:noProof/>
        </w:rPr>
        <w:t>8-1</w:t>
      </w:r>
      <w:r w:rsidR="007564A0">
        <w:rPr>
          <w:noProof/>
        </w:rPr>
        <w:fldChar w:fldCharType="end"/>
      </w:r>
    </w:p>
    <w:p w14:paraId="4007A341" w14:textId="2B4E79CB" w:rsidR="007564A0" w:rsidRDefault="00202C92">
      <w:pPr>
        <w:pStyle w:val="TOC1"/>
        <w:rPr>
          <w:rFonts w:eastAsiaTheme="minorEastAsia" w:cstheme="minorBidi"/>
          <w:noProof/>
          <w:sz w:val="22"/>
          <w:szCs w:val="22"/>
        </w:rPr>
      </w:pPr>
      <w:hyperlink w:anchor="_|_Audit"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9</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Audit</w:t>
        </w:r>
      </w:hyperlink>
      <w:r w:rsidR="007564A0">
        <w:rPr>
          <w:noProof/>
        </w:rPr>
        <w:tab/>
      </w:r>
      <w:r w:rsidR="007564A0">
        <w:rPr>
          <w:noProof/>
        </w:rPr>
        <w:fldChar w:fldCharType="begin"/>
      </w:r>
      <w:r w:rsidR="007564A0">
        <w:rPr>
          <w:noProof/>
        </w:rPr>
        <w:instrText xml:space="preserve"> PAGEREF _Toc50540236 \h </w:instrText>
      </w:r>
      <w:r w:rsidR="007564A0">
        <w:rPr>
          <w:noProof/>
        </w:rPr>
      </w:r>
      <w:r w:rsidR="007564A0">
        <w:rPr>
          <w:noProof/>
        </w:rPr>
        <w:fldChar w:fldCharType="separate"/>
      </w:r>
      <w:r w:rsidR="004C7EA6">
        <w:rPr>
          <w:noProof/>
        </w:rPr>
        <w:t>9-1</w:t>
      </w:r>
      <w:r w:rsidR="007564A0">
        <w:rPr>
          <w:noProof/>
        </w:rPr>
        <w:fldChar w:fldCharType="end"/>
      </w:r>
    </w:p>
    <w:p w14:paraId="000EBB0D" w14:textId="17B14D0C" w:rsidR="007564A0" w:rsidRDefault="00202C92" w:rsidP="00020D20">
      <w:pPr>
        <w:pStyle w:val="TOC1"/>
        <w:rPr>
          <w:rFonts w:eastAsiaTheme="minorEastAsia" w:cstheme="minorBidi"/>
          <w:noProof/>
          <w:sz w:val="22"/>
          <w:szCs w:val="22"/>
        </w:rPr>
      </w:pPr>
      <w:hyperlink w:anchor="_|_Financial_Planning" w:history="1">
        <w:r w:rsidR="007564A0" w:rsidRPr="007564A0">
          <w:rPr>
            <w:rStyle w:val="Hyperlink"/>
            <w:rFonts w:ascii="Calibri" w:hAnsi="Calibri" w:cs="Myriad Pro Condensed"/>
            <w:noProof/>
            <w:sz w:val="20"/>
            <w:szCs w:val="20"/>
            <w14:scene3d>
              <w14:camera w14:prst="orthographicFront"/>
              <w14:lightRig w14:rig="threePt" w14:dir="t">
                <w14:rot w14:lat="0" w14:lon="0" w14:rev="0"/>
              </w14:lightRig>
            </w14:scene3d>
          </w:rPr>
          <w:t>10</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xml:space="preserve">| Financial Planning </w:t>
        </w:r>
        <w:r w:rsidR="004D572A">
          <w:rPr>
            <w:rStyle w:val="Hyperlink"/>
            <w:rFonts w:asciiTheme="minorHAnsi" w:hAnsiTheme="minorHAnsi" w:cstheme="minorHAnsi"/>
            <w:noProof/>
            <w:sz w:val="20"/>
            <w:szCs w:val="20"/>
          </w:rPr>
          <w:t>AND</w:t>
        </w:r>
        <w:r w:rsidR="007564A0" w:rsidRPr="007564A0">
          <w:rPr>
            <w:rStyle w:val="Hyperlink"/>
            <w:rFonts w:asciiTheme="minorHAnsi" w:hAnsiTheme="minorHAnsi" w:cstheme="minorHAnsi"/>
            <w:noProof/>
            <w:sz w:val="20"/>
            <w:szCs w:val="20"/>
          </w:rPr>
          <w:t xml:space="preserve"> Programming</w:t>
        </w:r>
      </w:hyperlink>
      <w:r w:rsidR="007564A0">
        <w:rPr>
          <w:noProof/>
        </w:rPr>
        <w:tab/>
      </w:r>
      <w:r w:rsidR="007564A0">
        <w:rPr>
          <w:noProof/>
        </w:rPr>
        <w:fldChar w:fldCharType="begin"/>
      </w:r>
      <w:r w:rsidR="007564A0">
        <w:rPr>
          <w:noProof/>
        </w:rPr>
        <w:instrText xml:space="preserve"> PAGEREF _Toc50540237 \h </w:instrText>
      </w:r>
      <w:r w:rsidR="007564A0">
        <w:rPr>
          <w:noProof/>
        </w:rPr>
      </w:r>
      <w:r w:rsidR="007564A0">
        <w:rPr>
          <w:noProof/>
        </w:rPr>
        <w:fldChar w:fldCharType="separate"/>
      </w:r>
      <w:r w:rsidR="004C7EA6">
        <w:rPr>
          <w:noProof/>
        </w:rPr>
        <w:t>10-1</w:t>
      </w:r>
      <w:r w:rsidR="007564A0">
        <w:rPr>
          <w:noProof/>
        </w:rPr>
        <w:fldChar w:fldCharType="end"/>
      </w:r>
    </w:p>
    <w:p w14:paraId="502A8B4F" w14:textId="6866B1E1" w:rsidR="007564A0" w:rsidRDefault="00202C92" w:rsidP="00020D20">
      <w:pPr>
        <w:pStyle w:val="TOC1"/>
        <w:rPr>
          <w:rFonts w:eastAsiaTheme="minorEastAsia" w:cstheme="minorBidi"/>
          <w:noProof/>
          <w:sz w:val="22"/>
          <w:szCs w:val="22"/>
        </w:rPr>
      </w:pPr>
      <w:hyperlink w:anchor="_|_Certification_of"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11</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Certification of the Metropolitan Transportation Planning Program</w:t>
        </w:r>
      </w:hyperlink>
      <w:r w:rsidR="007564A0">
        <w:rPr>
          <w:noProof/>
        </w:rPr>
        <w:tab/>
      </w:r>
      <w:r w:rsidR="007564A0">
        <w:rPr>
          <w:noProof/>
        </w:rPr>
        <w:fldChar w:fldCharType="begin"/>
      </w:r>
      <w:r w:rsidR="007564A0">
        <w:rPr>
          <w:noProof/>
        </w:rPr>
        <w:instrText xml:space="preserve"> PAGEREF _Toc50540238 \h </w:instrText>
      </w:r>
      <w:r w:rsidR="007564A0">
        <w:rPr>
          <w:noProof/>
        </w:rPr>
      </w:r>
      <w:r w:rsidR="007564A0">
        <w:rPr>
          <w:noProof/>
        </w:rPr>
        <w:fldChar w:fldCharType="separate"/>
      </w:r>
      <w:r w:rsidR="004C7EA6">
        <w:rPr>
          <w:noProof/>
        </w:rPr>
        <w:t>11-1</w:t>
      </w:r>
      <w:r w:rsidR="007564A0">
        <w:rPr>
          <w:noProof/>
        </w:rPr>
        <w:fldChar w:fldCharType="end"/>
      </w:r>
    </w:p>
    <w:p w14:paraId="0B2F2846" w14:textId="1D65A0F7" w:rsidR="007564A0" w:rsidRDefault="00202C92" w:rsidP="00020D20">
      <w:pPr>
        <w:pStyle w:val="TOC1"/>
        <w:rPr>
          <w:rFonts w:eastAsiaTheme="minorEastAsia" w:cstheme="minorBidi"/>
          <w:noProof/>
          <w:sz w:val="22"/>
          <w:szCs w:val="22"/>
        </w:rPr>
      </w:pPr>
      <w:hyperlink w:anchor="_|_Civil_Rights"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12</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Civil Rights</w:t>
        </w:r>
      </w:hyperlink>
      <w:r w:rsidR="007564A0">
        <w:rPr>
          <w:noProof/>
        </w:rPr>
        <w:tab/>
      </w:r>
      <w:r w:rsidR="007564A0">
        <w:rPr>
          <w:noProof/>
        </w:rPr>
        <w:fldChar w:fldCharType="begin"/>
      </w:r>
      <w:r w:rsidR="007564A0">
        <w:rPr>
          <w:noProof/>
        </w:rPr>
        <w:instrText xml:space="preserve"> PAGEREF _Toc50540239 \h </w:instrText>
      </w:r>
      <w:r w:rsidR="007564A0">
        <w:rPr>
          <w:noProof/>
        </w:rPr>
      </w:r>
      <w:r w:rsidR="007564A0">
        <w:rPr>
          <w:noProof/>
        </w:rPr>
        <w:fldChar w:fldCharType="separate"/>
      </w:r>
      <w:r w:rsidR="004C7EA6">
        <w:rPr>
          <w:noProof/>
        </w:rPr>
        <w:t>12-1</w:t>
      </w:r>
      <w:r w:rsidR="007564A0">
        <w:rPr>
          <w:noProof/>
        </w:rPr>
        <w:fldChar w:fldCharType="end"/>
      </w:r>
    </w:p>
    <w:p w14:paraId="2B28CCFD" w14:textId="14723ED5" w:rsidR="007564A0" w:rsidRDefault="00202C92" w:rsidP="00020D20">
      <w:pPr>
        <w:pStyle w:val="TOC1"/>
        <w:rPr>
          <w:rFonts w:eastAsiaTheme="minorEastAsia" w:cstheme="minorBidi"/>
          <w:noProof/>
          <w:sz w:val="22"/>
          <w:szCs w:val="22"/>
        </w:rPr>
      </w:pPr>
      <w:hyperlink w:anchor="_|_Public_Involvement"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13</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Public Involvement</w:t>
        </w:r>
      </w:hyperlink>
      <w:r w:rsidR="007564A0">
        <w:rPr>
          <w:noProof/>
        </w:rPr>
        <w:tab/>
      </w:r>
      <w:r w:rsidR="007564A0">
        <w:rPr>
          <w:noProof/>
        </w:rPr>
        <w:fldChar w:fldCharType="begin"/>
      </w:r>
      <w:r w:rsidR="007564A0">
        <w:rPr>
          <w:noProof/>
        </w:rPr>
        <w:instrText xml:space="preserve"> PAGEREF _Toc50540240 \h </w:instrText>
      </w:r>
      <w:r w:rsidR="007564A0">
        <w:rPr>
          <w:noProof/>
        </w:rPr>
      </w:r>
      <w:r w:rsidR="007564A0">
        <w:rPr>
          <w:noProof/>
        </w:rPr>
        <w:fldChar w:fldCharType="separate"/>
      </w:r>
      <w:r w:rsidR="004C7EA6">
        <w:rPr>
          <w:noProof/>
        </w:rPr>
        <w:t>13-1</w:t>
      </w:r>
      <w:r w:rsidR="007564A0">
        <w:rPr>
          <w:noProof/>
        </w:rPr>
        <w:fldChar w:fldCharType="end"/>
      </w:r>
    </w:p>
    <w:p w14:paraId="574CCB4B" w14:textId="5911B06C" w:rsidR="007564A0" w:rsidRDefault="00202C92" w:rsidP="00020D20">
      <w:pPr>
        <w:pStyle w:val="TOC1"/>
        <w:rPr>
          <w:rFonts w:eastAsiaTheme="minorEastAsia" w:cstheme="minorBidi"/>
          <w:noProof/>
          <w:sz w:val="22"/>
          <w:szCs w:val="22"/>
        </w:rPr>
      </w:pPr>
      <w:hyperlink w:anchor="_|_Transit"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14</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Transit</w:t>
        </w:r>
      </w:hyperlink>
      <w:r w:rsidR="007564A0">
        <w:rPr>
          <w:noProof/>
        </w:rPr>
        <w:tab/>
      </w:r>
      <w:r w:rsidR="007564A0">
        <w:rPr>
          <w:noProof/>
        </w:rPr>
        <w:fldChar w:fldCharType="begin"/>
      </w:r>
      <w:r w:rsidR="007564A0">
        <w:rPr>
          <w:noProof/>
        </w:rPr>
        <w:instrText xml:space="preserve"> PAGEREF _Toc50540241 \h </w:instrText>
      </w:r>
      <w:r w:rsidR="007564A0">
        <w:rPr>
          <w:noProof/>
        </w:rPr>
      </w:r>
      <w:r w:rsidR="007564A0">
        <w:rPr>
          <w:noProof/>
        </w:rPr>
        <w:fldChar w:fldCharType="separate"/>
      </w:r>
      <w:r w:rsidR="004C7EA6">
        <w:rPr>
          <w:noProof/>
        </w:rPr>
        <w:t>14-1</w:t>
      </w:r>
      <w:r w:rsidR="007564A0">
        <w:rPr>
          <w:noProof/>
        </w:rPr>
        <w:fldChar w:fldCharType="end"/>
      </w:r>
    </w:p>
    <w:p w14:paraId="381FDDBB" w14:textId="6B31D5BA" w:rsidR="007564A0" w:rsidRDefault="00202C92" w:rsidP="00020D20">
      <w:pPr>
        <w:pStyle w:val="TOC1"/>
        <w:rPr>
          <w:rFonts w:eastAsiaTheme="minorEastAsia" w:cstheme="minorBidi"/>
          <w:noProof/>
          <w:sz w:val="22"/>
          <w:szCs w:val="22"/>
        </w:rPr>
      </w:pPr>
      <w:hyperlink w:anchor="_|_Freight"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15</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Freight</w:t>
        </w:r>
      </w:hyperlink>
      <w:r w:rsidR="007564A0">
        <w:rPr>
          <w:noProof/>
        </w:rPr>
        <w:tab/>
      </w:r>
      <w:r w:rsidR="007564A0">
        <w:rPr>
          <w:noProof/>
        </w:rPr>
        <w:fldChar w:fldCharType="begin"/>
      </w:r>
      <w:r w:rsidR="007564A0">
        <w:rPr>
          <w:noProof/>
        </w:rPr>
        <w:instrText xml:space="preserve"> PAGEREF _Toc50540242 \h </w:instrText>
      </w:r>
      <w:r w:rsidR="007564A0">
        <w:rPr>
          <w:noProof/>
        </w:rPr>
      </w:r>
      <w:r w:rsidR="007564A0">
        <w:rPr>
          <w:noProof/>
        </w:rPr>
        <w:fldChar w:fldCharType="separate"/>
      </w:r>
      <w:r w:rsidR="004C7EA6">
        <w:rPr>
          <w:noProof/>
        </w:rPr>
        <w:t>15-1</w:t>
      </w:r>
      <w:r w:rsidR="007564A0">
        <w:rPr>
          <w:noProof/>
        </w:rPr>
        <w:fldChar w:fldCharType="end"/>
      </w:r>
    </w:p>
    <w:p w14:paraId="398A0E79" w14:textId="4289B2D6" w:rsidR="007564A0" w:rsidRDefault="00202C92" w:rsidP="00020D20">
      <w:pPr>
        <w:pStyle w:val="TOC1"/>
        <w:rPr>
          <w:rFonts w:eastAsiaTheme="minorEastAsia" w:cstheme="minorBidi"/>
          <w:noProof/>
          <w:sz w:val="22"/>
          <w:szCs w:val="22"/>
        </w:rPr>
      </w:pPr>
      <w:hyperlink w:anchor="_|_Aeronautics"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16</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Aeronautics</w:t>
        </w:r>
      </w:hyperlink>
      <w:r w:rsidR="007564A0">
        <w:rPr>
          <w:noProof/>
        </w:rPr>
        <w:tab/>
      </w:r>
      <w:r w:rsidR="007564A0">
        <w:rPr>
          <w:noProof/>
        </w:rPr>
        <w:fldChar w:fldCharType="begin"/>
      </w:r>
      <w:r w:rsidR="007564A0">
        <w:rPr>
          <w:noProof/>
        </w:rPr>
        <w:instrText xml:space="preserve"> PAGEREF _Toc50540243 \h </w:instrText>
      </w:r>
      <w:r w:rsidR="007564A0">
        <w:rPr>
          <w:noProof/>
        </w:rPr>
      </w:r>
      <w:r w:rsidR="007564A0">
        <w:rPr>
          <w:noProof/>
        </w:rPr>
        <w:fldChar w:fldCharType="separate"/>
      </w:r>
      <w:r w:rsidR="004C7EA6">
        <w:rPr>
          <w:noProof/>
        </w:rPr>
        <w:t>16-1</w:t>
      </w:r>
      <w:r w:rsidR="007564A0">
        <w:rPr>
          <w:noProof/>
        </w:rPr>
        <w:fldChar w:fldCharType="end"/>
      </w:r>
    </w:p>
    <w:p w14:paraId="005A1300" w14:textId="61DE5978" w:rsidR="007564A0" w:rsidRDefault="00202C92" w:rsidP="00020D20">
      <w:pPr>
        <w:pStyle w:val="TOC1"/>
        <w:rPr>
          <w:rFonts w:eastAsiaTheme="minorEastAsia" w:cstheme="minorBidi"/>
          <w:noProof/>
          <w:sz w:val="22"/>
          <w:szCs w:val="22"/>
        </w:rPr>
      </w:pPr>
      <w:hyperlink w:anchor="_|_Supporting_Programs" w:history="1">
        <w:r w:rsidR="007564A0" w:rsidRPr="007564A0">
          <w:rPr>
            <w:rStyle w:val="Hyperlink"/>
            <w:rFonts w:ascii="Calibri" w:hAnsi="Calibri" w:cstheme="minorHAnsi"/>
            <w:noProof/>
            <w:sz w:val="20"/>
            <w:szCs w:val="20"/>
            <w14:scene3d>
              <w14:camera w14:prst="orthographicFront"/>
              <w14:lightRig w14:rig="threePt" w14:dir="t">
                <w14:rot w14:lat="0" w14:lon="0" w14:rev="0"/>
              </w14:lightRig>
            </w14:scene3d>
          </w:rPr>
          <w:t>17</w:t>
        </w:r>
        <w:r w:rsidR="007564A0" w:rsidRPr="007564A0">
          <w:rPr>
            <w:rStyle w:val="Hyperlink"/>
            <w:rFonts w:asciiTheme="minorHAnsi" w:eastAsiaTheme="minorEastAsia" w:hAnsiTheme="minorHAnsi" w:cstheme="minorBidi"/>
            <w:noProof/>
            <w:sz w:val="22"/>
            <w:szCs w:val="22"/>
          </w:rPr>
          <w:tab/>
        </w:r>
        <w:r w:rsidR="007564A0" w:rsidRPr="007564A0">
          <w:rPr>
            <w:rStyle w:val="Hyperlink"/>
            <w:rFonts w:asciiTheme="minorHAnsi" w:hAnsiTheme="minorHAnsi" w:cstheme="minorHAnsi"/>
            <w:noProof/>
            <w:sz w:val="20"/>
            <w:szCs w:val="20"/>
          </w:rPr>
          <w:t>| Supporting Programs</w:t>
        </w:r>
      </w:hyperlink>
      <w:r w:rsidR="007564A0">
        <w:rPr>
          <w:noProof/>
        </w:rPr>
        <w:tab/>
      </w:r>
      <w:r w:rsidR="007564A0">
        <w:rPr>
          <w:noProof/>
        </w:rPr>
        <w:fldChar w:fldCharType="begin"/>
      </w:r>
      <w:r w:rsidR="007564A0">
        <w:rPr>
          <w:noProof/>
        </w:rPr>
        <w:instrText xml:space="preserve"> PAGEREF _Toc50540244 \h </w:instrText>
      </w:r>
      <w:r w:rsidR="007564A0">
        <w:rPr>
          <w:noProof/>
        </w:rPr>
      </w:r>
      <w:r w:rsidR="007564A0">
        <w:rPr>
          <w:noProof/>
        </w:rPr>
        <w:fldChar w:fldCharType="separate"/>
      </w:r>
      <w:r w:rsidR="004C7EA6">
        <w:rPr>
          <w:noProof/>
        </w:rPr>
        <w:t>17-1</w:t>
      </w:r>
      <w:r w:rsidR="007564A0">
        <w:rPr>
          <w:noProof/>
        </w:rPr>
        <w:fldChar w:fldCharType="end"/>
      </w:r>
    </w:p>
    <w:p w14:paraId="1A978EB7" w14:textId="715F9D2A"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17.1 | Air Quality</w:t>
      </w:r>
      <w:r>
        <w:rPr>
          <w:noProof/>
        </w:rPr>
        <w:tab/>
      </w:r>
      <w:r>
        <w:rPr>
          <w:noProof/>
        </w:rPr>
        <w:fldChar w:fldCharType="begin"/>
      </w:r>
      <w:r>
        <w:rPr>
          <w:noProof/>
        </w:rPr>
        <w:instrText xml:space="preserve"> PAGEREF _Toc50540245 \h </w:instrText>
      </w:r>
      <w:r>
        <w:rPr>
          <w:noProof/>
        </w:rPr>
      </w:r>
      <w:r>
        <w:rPr>
          <w:noProof/>
        </w:rPr>
        <w:fldChar w:fldCharType="separate"/>
      </w:r>
      <w:r w:rsidR="004C7EA6">
        <w:rPr>
          <w:noProof/>
        </w:rPr>
        <w:t>17-3</w:t>
      </w:r>
      <w:r>
        <w:rPr>
          <w:noProof/>
        </w:rPr>
        <w:fldChar w:fldCharType="end"/>
      </w:r>
    </w:p>
    <w:p w14:paraId="434AC04C" w14:textId="0894EEC7"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17.2 | Congestion Management Process</w:t>
      </w:r>
      <w:r>
        <w:rPr>
          <w:noProof/>
        </w:rPr>
        <w:tab/>
      </w:r>
      <w:r>
        <w:rPr>
          <w:noProof/>
        </w:rPr>
        <w:fldChar w:fldCharType="begin"/>
      </w:r>
      <w:r>
        <w:rPr>
          <w:noProof/>
        </w:rPr>
        <w:instrText xml:space="preserve"> PAGEREF _Toc50540246 \h </w:instrText>
      </w:r>
      <w:r>
        <w:rPr>
          <w:noProof/>
        </w:rPr>
      </w:r>
      <w:r>
        <w:rPr>
          <w:noProof/>
        </w:rPr>
        <w:fldChar w:fldCharType="separate"/>
      </w:r>
      <w:r w:rsidR="004C7EA6">
        <w:rPr>
          <w:noProof/>
        </w:rPr>
        <w:t>17-11</w:t>
      </w:r>
      <w:r>
        <w:rPr>
          <w:noProof/>
        </w:rPr>
        <w:fldChar w:fldCharType="end"/>
      </w:r>
    </w:p>
    <w:p w14:paraId="25C00633" w14:textId="0D193991" w:rsidR="007564A0" w:rsidRDefault="004D572A" w:rsidP="00B9191B">
      <w:pPr>
        <w:pStyle w:val="TOC2"/>
        <w:tabs>
          <w:tab w:val="left" w:pos="360"/>
          <w:tab w:val="right" w:leader="dot" w:pos="10070"/>
        </w:tabs>
        <w:rPr>
          <w:rFonts w:eastAsiaTheme="minorEastAsia" w:cstheme="minorBidi"/>
          <w:smallCaps w:val="0"/>
          <w:noProof/>
          <w:sz w:val="22"/>
          <w:szCs w:val="22"/>
        </w:rPr>
      </w:pPr>
      <w:r>
        <w:rPr>
          <w:noProof/>
        </w:rPr>
        <w:t>17.3 | Transportation Data and</w:t>
      </w:r>
      <w:r w:rsidR="007564A0">
        <w:rPr>
          <w:noProof/>
        </w:rPr>
        <w:t xml:space="preserve"> Functional Class</w:t>
      </w:r>
      <w:r w:rsidR="007564A0">
        <w:rPr>
          <w:noProof/>
        </w:rPr>
        <w:tab/>
      </w:r>
      <w:r w:rsidR="007564A0">
        <w:rPr>
          <w:noProof/>
        </w:rPr>
        <w:fldChar w:fldCharType="begin"/>
      </w:r>
      <w:r w:rsidR="007564A0">
        <w:rPr>
          <w:noProof/>
        </w:rPr>
        <w:instrText xml:space="preserve"> PAGEREF _Toc50540247 \h </w:instrText>
      </w:r>
      <w:r w:rsidR="007564A0">
        <w:rPr>
          <w:noProof/>
        </w:rPr>
      </w:r>
      <w:r w:rsidR="007564A0">
        <w:rPr>
          <w:noProof/>
        </w:rPr>
        <w:fldChar w:fldCharType="separate"/>
      </w:r>
      <w:r w:rsidR="004C7EA6">
        <w:rPr>
          <w:noProof/>
        </w:rPr>
        <w:t>17-17</w:t>
      </w:r>
      <w:r w:rsidR="007564A0">
        <w:rPr>
          <w:noProof/>
        </w:rPr>
        <w:fldChar w:fldCharType="end"/>
      </w:r>
    </w:p>
    <w:p w14:paraId="52BA8F5E" w14:textId="0471C253"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17.4 | Technology Applications for Planning: Modeling &amp; GIS</w:t>
      </w:r>
      <w:r>
        <w:rPr>
          <w:noProof/>
        </w:rPr>
        <w:tab/>
      </w:r>
      <w:r>
        <w:rPr>
          <w:noProof/>
        </w:rPr>
        <w:fldChar w:fldCharType="begin"/>
      </w:r>
      <w:r>
        <w:rPr>
          <w:noProof/>
        </w:rPr>
        <w:instrText xml:space="preserve"> PAGEREF _Toc50540248 \h </w:instrText>
      </w:r>
      <w:r>
        <w:rPr>
          <w:noProof/>
        </w:rPr>
      </w:r>
      <w:r>
        <w:rPr>
          <w:noProof/>
        </w:rPr>
        <w:fldChar w:fldCharType="separate"/>
      </w:r>
      <w:r w:rsidR="004C7EA6">
        <w:rPr>
          <w:noProof/>
        </w:rPr>
        <w:t>17-26</w:t>
      </w:r>
      <w:r>
        <w:rPr>
          <w:noProof/>
        </w:rPr>
        <w:fldChar w:fldCharType="end"/>
      </w:r>
    </w:p>
    <w:p w14:paraId="5A1AF5DE" w14:textId="63ED5336"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17.5 | Safety</w:t>
      </w:r>
      <w:r>
        <w:rPr>
          <w:noProof/>
        </w:rPr>
        <w:tab/>
      </w:r>
      <w:r>
        <w:rPr>
          <w:noProof/>
        </w:rPr>
        <w:fldChar w:fldCharType="begin"/>
      </w:r>
      <w:r>
        <w:rPr>
          <w:noProof/>
        </w:rPr>
        <w:instrText xml:space="preserve"> PAGEREF _Toc50540249 \h </w:instrText>
      </w:r>
      <w:r>
        <w:rPr>
          <w:noProof/>
        </w:rPr>
      </w:r>
      <w:r>
        <w:rPr>
          <w:noProof/>
        </w:rPr>
        <w:fldChar w:fldCharType="separate"/>
      </w:r>
      <w:r w:rsidR="004C7EA6">
        <w:rPr>
          <w:noProof/>
        </w:rPr>
        <w:t>17-31</w:t>
      </w:r>
      <w:r>
        <w:rPr>
          <w:noProof/>
        </w:rPr>
        <w:fldChar w:fldCharType="end"/>
      </w:r>
    </w:p>
    <w:p w14:paraId="575734FE" w14:textId="2BAED208"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17.6 | Tribal Planning</w:t>
      </w:r>
      <w:r>
        <w:rPr>
          <w:noProof/>
        </w:rPr>
        <w:tab/>
      </w:r>
      <w:r>
        <w:rPr>
          <w:noProof/>
        </w:rPr>
        <w:fldChar w:fldCharType="begin"/>
      </w:r>
      <w:r>
        <w:rPr>
          <w:noProof/>
        </w:rPr>
        <w:instrText xml:space="preserve"> PAGEREF _Toc50540250 \h </w:instrText>
      </w:r>
      <w:r>
        <w:rPr>
          <w:noProof/>
        </w:rPr>
      </w:r>
      <w:r>
        <w:rPr>
          <w:noProof/>
        </w:rPr>
        <w:fldChar w:fldCharType="separate"/>
      </w:r>
      <w:r w:rsidR="004C7EA6">
        <w:rPr>
          <w:noProof/>
        </w:rPr>
        <w:t>17-36</w:t>
      </w:r>
      <w:r>
        <w:rPr>
          <w:noProof/>
        </w:rPr>
        <w:fldChar w:fldCharType="end"/>
      </w:r>
    </w:p>
    <w:p w14:paraId="4798CAF7" w14:textId="0EA98276"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17.7| Border Planning</w:t>
      </w:r>
      <w:r>
        <w:rPr>
          <w:noProof/>
        </w:rPr>
        <w:tab/>
      </w:r>
      <w:r>
        <w:rPr>
          <w:noProof/>
        </w:rPr>
        <w:fldChar w:fldCharType="begin"/>
      </w:r>
      <w:r>
        <w:rPr>
          <w:noProof/>
        </w:rPr>
        <w:instrText xml:space="preserve"> PAGEREF _Toc50540251 \h </w:instrText>
      </w:r>
      <w:r>
        <w:rPr>
          <w:noProof/>
        </w:rPr>
      </w:r>
      <w:r>
        <w:rPr>
          <w:noProof/>
        </w:rPr>
        <w:fldChar w:fldCharType="separate"/>
      </w:r>
      <w:r w:rsidR="004C7EA6">
        <w:rPr>
          <w:noProof/>
        </w:rPr>
        <w:t>17-45</w:t>
      </w:r>
      <w:r>
        <w:rPr>
          <w:noProof/>
        </w:rPr>
        <w:fldChar w:fldCharType="end"/>
      </w:r>
    </w:p>
    <w:p w14:paraId="4BAF45A3" w14:textId="1E5626EB"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17.8 | Public Private Partnerships</w:t>
      </w:r>
      <w:r>
        <w:rPr>
          <w:noProof/>
        </w:rPr>
        <w:tab/>
      </w:r>
      <w:r>
        <w:rPr>
          <w:noProof/>
        </w:rPr>
        <w:fldChar w:fldCharType="begin"/>
      </w:r>
      <w:r>
        <w:rPr>
          <w:noProof/>
        </w:rPr>
        <w:instrText xml:space="preserve"> PAGEREF _Toc50540252 \h </w:instrText>
      </w:r>
      <w:r>
        <w:rPr>
          <w:noProof/>
        </w:rPr>
      </w:r>
      <w:r>
        <w:rPr>
          <w:noProof/>
        </w:rPr>
        <w:fldChar w:fldCharType="separate"/>
      </w:r>
      <w:r w:rsidR="004C7EA6">
        <w:rPr>
          <w:noProof/>
        </w:rPr>
        <w:t>17-48</w:t>
      </w:r>
      <w:r>
        <w:rPr>
          <w:noProof/>
        </w:rPr>
        <w:fldChar w:fldCharType="end"/>
      </w:r>
    </w:p>
    <w:p w14:paraId="1E0F6B3D" w14:textId="605353DC"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 xml:space="preserve">17.9 </w:t>
      </w:r>
      <w:r w:rsidR="004D572A">
        <w:rPr>
          <w:noProof/>
        </w:rPr>
        <w:t>| Planning and</w:t>
      </w:r>
      <w:r>
        <w:rPr>
          <w:noProof/>
        </w:rPr>
        <w:t xml:space="preserve"> Environmental Linkages</w:t>
      </w:r>
      <w:r>
        <w:rPr>
          <w:noProof/>
        </w:rPr>
        <w:tab/>
      </w:r>
      <w:r>
        <w:rPr>
          <w:noProof/>
        </w:rPr>
        <w:fldChar w:fldCharType="begin"/>
      </w:r>
      <w:r>
        <w:rPr>
          <w:noProof/>
        </w:rPr>
        <w:instrText xml:space="preserve"> PAGEREF _Toc50540253 \h </w:instrText>
      </w:r>
      <w:r>
        <w:rPr>
          <w:noProof/>
        </w:rPr>
      </w:r>
      <w:r>
        <w:rPr>
          <w:noProof/>
        </w:rPr>
        <w:fldChar w:fldCharType="separate"/>
      </w:r>
      <w:r w:rsidR="004C7EA6">
        <w:rPr>
          <w:noProof/>
        </w:rPr>
        <w:t>17-53</w:t>
      </w:r>
      <w:r>
        <w:rPr>
          <w:noProof/>
        </w:rPr>
        <w:fldChar w:fldCharType="end"/>
      </w:r>
    </w:p>
    <w:p w14:paraId="5091C1A6" w14:textId="5F78E99B"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17.10 | State Land Department Planning</w:t>
      </w:r>
      <w:r>
        <w:rPr>
          <w:noProof/>
        </w:rPr>
        <w:tab/>
      </w:r>
      <w:r>
        <w:rPr>
          <w:noProof/>
        </w:rPr>
        <w:fldChar w:fldCharType="begin"/>
      </w:r>
      <w:r>
        <w:rPr>
          <w:noProof/>
        </w:rPr>
        <w:instrText xml:space="preserve"> PAGEREF _Toc50540254 \h </w:instrText>
      </w:r>
      <w:r>
        <w:rPr>
          <w:noProof/>
        </w:rPr>
      </w:r>
      <w:r>
        <w:rPr>
          <w:noProof/>
        </w:rPr>
        <w:fldChar w:fldCharType="separate"/>
      </w:r>
      <w:r w:rsidR="004C7EA6">
        <w:rPr>
          <w:noProof/>
        </w:rPr>
        <w:t>17-57</w:t>
      </w:r>
      <w:r>
        <w:rPr>
          <w:noProof/>
        </w:rPr>
        <w:fldChar w:fldCharType="end"/>
      </w:r>
    </w:p>
    <w:p w14:paraId="02BEE9E1" w14:textId="6747085D"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17.11 | Sustainability</w:t>
      </w:r>
      <w:r>
        <w:rPr>
          <w:noProof/>
        </w:rPr>
        <w:tab/>
      </w:r>
      <w:r>
        <w:rPr>
          <w:noProof/>
        </w:rPr>
        <w:fldChar w:fldCharType="begin"/>
      </w:r>
      <w:r>
        <w:rPr>
          <w:noProof/>
        </w:rPr>
        <w:instrText xml:space="preserve"> PAGEREF _Toc50540255 \h </w:instrText>
      </w:r>
      <w:r>
        <w:rPr>
          <w:noProof/>
        </w:rPr>
      </w:r>
      <w:r>
        <w:rPr>
          <w:noProof/>
        </w:rPr>
        <w:fldChar w:fldCharType="separate"/>
      </w:r>
      <w:r w:rsidR="004C7EA6">
        <w:rPr>
          <w:noProof/>
        </w:rPr>
        <w:t>17-61</w:t>
      </w:r>
      <w:r>
        <w:rPr>
          <w:noProof/>
        </w:rPr>
        <w:fldChar w:fldCharType="end"/>
      </w:r>
    </w:p>
    <w:p w14:paraId="711F17C7" w14:textId="734B14C5" w:rsidR="007564A0" w:rsidRDefault="007564A0" w:rsidP="00B9191B">
      <w:pPr>
        <w:pStyle w:val="TOC2"/>
        <w:tabs>
          <w:tab w:val="left" w:pos="360"/>
          <w:tab w:val="right" w:leader="dot" w:pos="10070"/>
        </w:tabs>
        <w:rPr>
          <w:rFonts w:eastAsiaTheme="minorEastAsia" w:cstheme="minorBidi"/>
          <w:smallCaps w:val="0"/>
          <w:noProof/>
          <w:sz w:val="22"/>
          <w:szCs w:val="22"/>
        </w:rPr>
      </w:pPr>
      <w:r>
        <w:rPr>
          <w:noProof/>
        </w:rPr>
        <w:t xml:space="preserve">17.12 | Bicycle </w:t>
      </w:r>
      <w:r w:rsidR="004D572A">
        <w:rPr>
          <w:noProof/>
        </w:rPr>
        <w:t>and</w:t>
      </w:r>
      <w:r>
        <w:rPr>
          <w:noProof/>
        </w:rPr>
        <w:t xml:space="preserve"> Pedestrian Planning</w:t>
      </w:r>
      <w:r>
        <w:rPr>
          <w:noProof/>
        </w:rPr>
        <w:tab/>
      </w:r>
      <w:r>
        <w:rPr>
          <w:noProof/>
        </w:rPr>
        <w:fldChar w:fldCharType="begin"/>
      </w:r>
      <w:r>
        <w:rPr>
          <w:noProof/>
        </w:rPr>
        <w:instrText xml:space="preserve"> PAGEREF _Toc50540256 \h </w:instrText>
      </w:r>
      <w:r>
        <w:rPr>
          <w:noProof/>
        </w:rPr>
      </w:r>
      <w:r>
        <w:rPr>
          <w:noProof/>
        </w:rPr>
        <w:fldChar w:fldCharType="separate"/>
      </w:r>
      <w:r w:rsidR="004C7EA6">
        <w:rPr>
          <w:noProof/>
        </w:rPr>
        <w:t>17-70</w:t>
      </w:r>
      <w:r>
        <w:rPr>
          <w:noProof/>
        </w:rPr>
        <w:fldChar w:fldCharType="end"/>
      </w:r>
    </w:p>
    <w:p w14:paraId="7D0743D3" w14:textId="2268B5FD" w:rsidR="00636F46" w:rsidRDefault="00202C92" w:rsidP="00020D20">
      <w:pPr>
        <w:pStyle w:val="TOC1"/>
      </w:pPr>
      <w:hyperlink w:anchor="_Appendix_A_|" w:history="1">
        <w:r w:rsidR="007564A0" w:rsidRPr="007564A0">
          <w:rPr>
            <w:rStyle w:val="Hyperlink"/>
            <w:rFonts w:asciiTheme="minorHAnsi" w:hAnsiTheme="minorHAnsi" w:cstheme="minorHAnsi"/>
            <w:noProof/>
            <w:sz w:val="20"/>
            <w:szCs w:val="20"/>
          </w:rPr>
          <w:t>Appendix A | Common Acronyms</w:t>
        </w:r>
      </w:hyperlink>
      <w:r w:rsidR="007564A0">
        <w:rPr>
          <w:noProof/>
        </w:rPr>
        <w:tab/>
      </w:r>
      <w:r w:rsidR="007564A0">
        <w:fldChar w:fldCharType="end"/>
      </w:r>
    </w:p>
    <w:p w14:paraId="129E6D71" w14:textId="12A0B04B" w:rsidR="00D85AA8" w:rsidRPr="00101FFC" w:rsidRDefault="00D85AA8" w:rsidP="00020D20">
      <w:pPr>
        <w:tabs>
          <w:tab w:val="clear" w:pos="180"/>
          <w:tab w:val="clear" w:pos="540"/>
          <w:tab w:val="clear" w:pos="720"/>
        </w:tabs>
        <w:suppressAutoHyphens w:val="0"/>
        <w:autoSpaceDE/>
        <w:autoSpaceDN/>
        <w:adjustRightInd/>
        <w:spacing w:before="0" w:after="160" w:line="259" w:lineRule="auto"/>
        <w:textAlignment w:val="auto"/>
        <w:sectPr w:rsidR="00D85AA8" w:rsidRPr="00101FFC" w:rsidSect="00020D20">
          <w:type w:val="continuous"/>
          <w:pgSz w:w="12240" w:h="15840"/>
          <w:pgMar w:top="1080" w:right="1080" w:bottom="1080" w:left="1080" w:header="1152" w:footer="720" w:gutter="0"/>
          <w:pgNumType w:fmt="lowerRoman" w:start="0"/>
          <w:cols w:space="288"/>
          <w:docGrid w:linePitch="360"/>
        </w:sectPr>
      </w:pPr>
    </w:p>
    <w:p w14:paraId="27E4386C" w14:textId="1CE864EE" w:rsidR="00541862" w:rsidRDefault="00F91E19" w:rsidP="00020D20">
      <w:pPr>
        <w:pStyle w:val="BodyTextTitle"/>
        <w:spacing w:before="0" w:after="0" w:line="240" w:lineRule="auto"/>
        <w:jc w:val="both"/>
      </w:pPr>
      <w:bookmarkStart w:id="0" w:name="_Toc49862228"/>
      <w:r>
        <w:t>1</w:t>
      </w:r>
      <w:r w:rsidR="00904690">
        <w:t xml:space="preserve"> </w:t>
      </w:r>
      <w:r>
        <w:t xml:space="preserve">| </w:t>
      </w:r>
      <w:r w:rsidR="00977A9B">
        <w:t>INTRODUCTION</w:t>
      </w:r>
    </w:p>
    <w:p w14:paraId="38EFDDA0" w14:textId="1E5116CB" w:rsidR="00F91E19" w:rsidRDefault="00F91E19" w:rsidP="00020D20">
      <w:pPr>
        <w:pStyle w:val="BodyTextTitle"/>
        <w:spacing w:before="0" w:line="240" w:lineRule="auto"/>
        <w:jc w:val="both"/>
      </w:pPr>
      <w:r w:rsidRPr="00020D20">
        <w:rPr>
          <w:sz w:val="36"/>
        </w:rPr>
        <w:t>TABLE OF CONTENTS</w:t>
      </w:r>
    </w:p>
    <w:p w14:paraId="00B865CE" w14:textId="030301EB" w:rsidR="00F26C46" w:rsidRDefault="00F26C4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_Ref50018127 \h </w:instrText>
      </w:r>
      <w:r w:rsidR="002D38FC">
        <w:instrText xml:space="preserve"> \* MERGEFORMAT </w:instrText>
      </w:r>
      <w:r>
        <w:fldChar w:fldCharType="separate"/>
      </w:r>
      <w:r w:rsidR="009E31E4">
        <w:t>1.1</w:t>
      </w:r>
      <w:r w:rsidR="00D06ED9">
        <w:t xml:space="preserve">| </w:t>
      </w:r>
      <w:r w:rsidRPr="006514B5">
        <w:t>PURPOSE</w:t>
      </w:r>
      <w:r>
        <w:fldChar w:fldCharType="end"/>
      </w:r>
    </w:p>
    <w:p w14:paraId="3CB66DDF" w14:textId="256D3E42" w:rsidR="00B72813" w:rsidRDefault="00B7281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_Ref50018264 \h </w:instrText>
      </w:r>
      <w:r w:rsidR="002D38FC">
        <w:instrText xml:space="preserve"> \* MERGEFORMAT </w:instrText>
      </w:r>
      <w:r>
        <w:fldChar w:fldCharType="separate"/>
      </w:r>
      <w:r w:rsidR="00D06ED9">
        <w:t xml:space="preserve">1.2| </w:t>
      </w:r>
      <w:r w:rsidRPr="006514B5">
        <w:t>MANUAL</w:t>
      </w:r>
      <w:r w:rsidRPr="008E3BDF">
        <w:t xml:space="preserve"> STRUCTURE &amp; ORGANIZATION</w:t>
      </w:r>
      <w:r>
        <w:fldChar w:fldCharType="end"/>
      </w:r>
    </w:p>
    <w:p w14:paraId="4F818873" w14:textId="6AFA320F" w:rsidR="00B72813" w:rsidRDefault="00B7281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_Ref50018315 \h </w:instrText>
      </w:r>
      <w:r w:rsidR="002D38FC">
        <w:instrText xml:space="preserve"> \* MERGEFORMAT </w:instrText>
      </w:r>
      <w:r>
        <w:fldChar w:fldCharType="separate"/>
      </w:r>
      <w:r w:rsidR="00D06ED9">
        <w:t xml:space="preserve">1.3| </w:t>
      </w:r>
      <w:r w:rsidRPr="008E3BDF">
        <w:t>TRANSPORTATION PLANNING REQUIREMENTS</w:t>
      </w:r>
      <w:r>
        <w:fldChar w:fldCharType="end"/>
      </w:r>
    </w:p>
    <w:p w14:paraId="05456FD4" w14:textId="1B5F5041" w:rsidR="00B72813" w:rsidRDefault="00AA2B9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_Ref50018357 \h </w:instrText>
      </w:r>
      <w:r w:rsidR="002D38FC">
        <w:instrText xml:space="preserve"> \* MERGEFORMAT </w:instrText>
      </w:r>
      <w:r>
        <w:fldChar w:fldCharType="separate"/>
      </w:r>
      <w:r w:rsidR="009E31E4">
        <w:t>1.3.1</w:t>
      </w:r>
      <w:r w:rsidRPr="008E3BDF">
        <w:t>| Federal Laws</w:t>
      </w:r>
      <w:r>
        <w:fldChar w:fldCharType="end"/>
      </w:r>
    </w:p>
    <w:p w14:paraId="56EDAFAA" w14:textId="3296892F" w:rsidR="00B72813" w:rsidRDefault="00AA2B9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_Ref50018364 \h </w:instrText>
      </w:r>
      <w:r w:rsidR="002D38FC">
        <w:instrText xml:space="preserve"> \* MERGEFORMAT </w:instrText>
      </w:r>
      <w:r>
        <w:fldChar w:fldCharType="separate"/>
      </w:r>
      <w:r w:rsidR="009E31E4">
        <w:t>1.3.2</w:t>
      </w:r>
      <w:r w:rsidRPr="00BB7056">
        <w:t>| Federal Regulations</w:t>
      </w:r>
      <w:r>
        <w:fldChar w:fldCharType="end"/>
      </w:r>
    </w:p>
    <w:p w14:paraId="1AE0D013" w14:textId="5419930F" w:rsidR="00B72813" w:rsidRDefault="00AA2B9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_Ref50018372 \h </w:instrText>
      </w:r>
      <w:r w:rsidR="002D38FC">
        <w:instrText xml:space="preserve"> \* MERGEFORMAT </w:instrText>
      </w:r>
      <w:r>
        <w:fldChar w:fldCharType="separate"/>
      </w:r>
      <w:r w:rsidR="009E31E4">
        <w:t>1.3.3</w:t>
      </w:r>
      <w:r w:rsidRPr="00BB7056">
        <w:t>| Required Federal Products</w:t>
      </w:r>
      <w:r>
        <w:fldChar w:fldCharType="end"/>
      </w:r>
    </w:p>
    <w:p w14:paraId="5481A5C1" w14:textId="742B8F1F" w:rsidR="00B72813" w:rsidRDefault="00AA2B9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_Ref50018376 \h </w:instrText>
      </w:r>
      <w:r w:rsidR="002D38FC">
        <w:instrText xml:space="preserve"> \* MERGEFORMAT </w:instrText>
      </w:r>
      <w:r>
        <w:fldChar w:fldCharType="separate"/>
      </w:r>
      <w:r w:rsidR="009E31E4">
        <w:t>1.3.4</w:t>
      </w:r>
      <w:r w:rsidRPr="00BB7056">
        <w:t>| Arizona Statutes</w:t>
      </w:r>
      <w:r>
        <w:fldChar w:fldCharType="end"/>
      </w:r>
    </w:p>
    <w:p w14:paraId="1760E610" w14:textId="74BFF305" w:rsidR="00B72813" w:rsidRDefault="00AA2B9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_Ref50018394 \h </w:instrText>
      </w:r>
      <w:r w:rsidR="002D38FC">
        <w:instrText xml:space="preserve"> \* MERGEFORMAT </w:instrText>
      </w:r>
      <w:r>
        <w:fldChar w:fldCharType="separate"/>
      </w:r>
      <w:r w:rsidR="00D06ED9">
        <w:t>1.</w:t>
      </w:r>
      <w:r w:rsidR="007801A3">
        <w:t>4</w:t>
      </w:r>
      <w:r w:rsidR="00D06ED9">
        <w:t xml:space="preserve">| </w:t>
      </w:r>
      <w:r w:rsidRPr="005601F5">
        <w:t>REGIONAL GOVERNANCE IN ARIZONA</w:t>
      </w:r>
      <w:r>
        <w:fldChar w:fldCharType="end"/>
      </w:r>
    </w:p>
    <w:p w14:paraId="03787C57" w14:textId="283E95D7" w:rsidR="00B72813" w:rsidRDefault="00AA2B9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_Ref50018401 \h </w:instrText>
      </w:r>
      <w:r w:rsidR="002D38FC">
        <w:instrText xml:space="preserve"> \* MERGEFORMAT </w:instrText>
      </w:r>
      <w:r>
        <w:fldChar w:fldCharType="separate"/>
      </w:r>
      <w:r w:rsidR="00D06ED9">
        <w:t>1.</w:t>
      </w:r>
      <w:r w:rsidR="007801A3">
        <w:t>5</w:t>
      </w:r>
      <w:r w:rsidR="00D06ED9">
        <w:t xml:space="preserve">| </w:t>
      </w:r>
      <w:r w:rsidRPr="005601F5">
        <w:t>TRANSPORTATION MANAGEMENT ARE</w:t>
      </w:r>
      <w:r w:rsidR="00762C34">
        <w:t>AS</w:t>
      </w:r>
      <w:r>
        <w:fldChar w:fldCharType="end"/>
      </w:r>
    </w:p>
    <w:p w14:paraId="7113A50C" w14:textId="040722FE" w:rsidR="00FD5249" w:rsidRDefault="00FD5249"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_Ref50018473 \h </w:instrText>
      </w:r>
      <w:r w:rsidR="002D38FC">
        <w:instrText xml:space="preserve"> \* MERGEFORMAT </w:instrText>
      </w:r>
      <w:r>
        <w:fldChar w:fldCharType="separate"/>
      </w:r>
      <w:r w:rsidR="00360217">
        <w:t>1.</w:t>
      </w:r>
      <w:r w:rsidR="007801A3">
        <w:t>5</w:t>
      </w:r>
      <w:r w:rsidR="00360217">
        <w:t>.1</w:t>
      </w:r>
      <w:r w:rsidRPr="005601F5">
        <w:t>| Structure</w:t>
      </w:r>
      <w:r>
        <w:fldChar w:fldCharType="end"/>
      </w:r>
    </w:p>
    <w:p w14:paraId="5AA26D48" w14:textId="20D61223" w:rsidR="00FD5249" w:rsidRPr="003334EA" w:rsidRDefault="00FD5249"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cstheme="minorHAnsi"/>
        </w:rPr>
      </w:pPr>
      <w:r w:rsidRPr="00394A74">
        <w:rPr>
          <w:rFonts w:cstheme="minorHAnsi"/>
        </w:rPr>
        <w:fldChar w:fldCharType="begin"/>
      </w:r>
      <w:r w:rsidRPr="00020D20">
        <w:rPr>
          <w:rFonts w:cstheme="minorHAnsi"/>
        </w:rPr>
        <w:instrText xml:space="preserve"> REF _Ref50018493 \h </w:instrText>
      </w:r>
      <w:r w:rsidR="003334EA">
        <w:rPr>
          <w:rFonts w:cstheme="minorHAnsi"/>
        </w:rPr>
        <w:instrText xml:space="preserve"> \* MERGEFORMAT </w:instrText>
      </w:r>
      <w:r w:rsidRPr="00394A74">
        <w:rPr>
          <w:rFonts w:cstheme="minorHAnsi"/>
        </w:rPr>
      </w:r>
      <w:r w:rsidRPr="00394A74">
        <w:rPr>
          <w:rFonts w:cstheme="minorHAnsi"/>
        </w:rPr>
        <w:fldChar w:fldCharType="separate"/>
      </w:r>
      <w:r w:rsidR="00360217">
        <w:rPr>
          <w:rStyle w:val="Heading3Char"/>
          <w:rFonts w:asciiTheme="minorHAnsi" w:hAnsiTheme="minorHAnsi" w:cstheme="minorHAnsi"/>
          <w:b w:val="0"/>
          <w:color w:val="auto"/>
        </w:rPr>
        <w:t>1.</w:t>
      </w:r>
      <w:r w:rsidR="007801A3">
        <w:rPr>
          <w:rStyle w:val="Heading3Char"/>
          <w:rFonts w:asciiTheme="minorHAnsi" w:hAnsiTheme="minorHAnsi" w:cstheme="minorHAnsi"/>
          <w:b w:val="0"/>
          <w:color w:val="auto"/>
        </w:rPr>
        <w:t>5</w:t>
      </w:r>
      <w:r w:rsidR="00360217">
        <w:rPr>
          <w:rStyle w:val="Heading3Char"/>
          <w:rFonts w:asciiTheme="minorHAnsi" w:hAnsiTheme="minorHAnsi" w:cstheme="minorHAnsi"/>
          <w:b w:val="0"/>
          <w:color w:val="auto"/>
        </w:rPr>
        <w:t>.2</w:t>
      </w:r>
      <w:r w:rsidRPr="00020D20">
        <w:rPr>
          <w:rStyle w:val="Heading3Char"/>
          <w:rFonts w:asciiTheme="minorHAnsi" w:hAnsiTheme="minorHAnsi" w:cstheme="minorHAnsi"/>
          <w:b w:val="0"/>
          <w:color w:val="auto"/>
        </w:rPr>
        <w:t>| Funding</w:t>
      </w:r>
      <w:r w:rsidRPr="00394A74">
        <w:rPr>
          <w:rFonts w:cstheme="minorHAnsi"/>
        </w:rPr>
        <w:fldChar w:fldCharType="end"/>
      </w:r>
    </w:p>
    <w:p w14:paraId="4E85C03D" w14:textId="4F829477" w:rsidR="00B72813" w:rsidRDefault="00FD5249"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_Ref50018502 \h </w:instrText>
      </w:r>
      <w:r w:rsidR="002D38FC">
        <w:instrText xml:space="preserve"> \* MERGEFORMAT </w:instrText>
      </w:r>
      <w:r>
        <w:fldChar w:fldCharType="separate"/>
      </w:r>
      <w:r w:rsidR="00360217">
        <w:t>1.</w:t>
      </w:r>
      <w:r w:rsidR="007801A3">
        <w:t>5</w:t>
      </w:r>
      <w:r w:rsidR="00360217">
        <w:t>.3</w:t>
      </w:r>
      <w:r w:rsidRPr="005601F5">
        <w:t>| Products</w:t>
      </w:r>
      <w:r>
        <w:fldChar w:fldCharType="end"/>
      </w:r>
    </w:p>
    <w:p w14:paraId="460473CB" w14:textId="5F868B92" w:rsidR="00FD5249" w:rsidRDefault="00FD5249"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_Ref50018511 \h </w:instrText>
      </w:r>
      <w:r w:rsidR="002D38FC">
        <w:instrText xml:space="preserve"> \* MERGEFORMAT </w:instrText>
      </w:r>
      <w:r>
        <w:fldChar w:fldCharType="separate"/>
      </w:r>
      <w:r w:rsidR="00360217">
        <w:t>1.</w:t>
      </w:r>
      <w:r w:rsidR="007801A3">
        <w:t>5</w:t>
      </w:r>
      <w:r w:rsidR="00360217">
        <w:t>.4</w:t>
      </w:r>
      <w:r w:rsidRPr="005601F5">
        <w:t>| TMAs in Arizona</w:t>
      </w:r>
      <w:r>
        <w:fldChar w:fldCharType="end"/>
      </w:r>
    </w:p>
    <w:p w14:paraId="33C536DA" w14:textId="5B384840" w:rsidR="00FB78B1" w:rsidRDefault="00FB78B1" w:rsidP="00020D20">
      <w:pPr>
        <w:pStyle w:val="ListParagraph"/>
        <w:tabs>
          <w:tab w:val="clear" w:pos="180"/>
          <w:tab w:val="clear" w:pos="360"/>
          <w:tab w:val="clear" w:pos="540"/>
          <w:tab w:val="clear" w:pos="720"/>
        </w:tabs>
        <w:suppressAutoHyphens w:val="0"/>
        <w:autoSpaceDE/>
        <w:autoSpaceDN/>
        <w:adjustRightInd/>
        <w:spacing w:before="0" w:after="40" w:line="259" w:lineRule="auto"/>
        <w:ind w:left="1008"/>
        <w:jc w:val="both"/>
        <w:textAlignment w:val="auto"/>
      </w:pPr>
      <w:r>
        <w:fldChar w:fldCharType="begin"/>
      </w:r>
      <w:r>
        <w:instrText xml:space="preserve"> REF _Ref50019068 \h </w:instrText>
      </w:r>
      <w:r w:rsidR="002D38FC">
        <w:instrText xml:space="preserve"> \* MERGEFORMAT </w:instrText>
      </w:r>
      <w:r>
        <w:fldChar w:fldCharType="separate"/>
      </w:r>
      <w:r w:rsidRPr="003707B0">
        <w:t>Maricopa Association of Governments (MAG)</w:t>
      </w:r>
      <w:r>
        <w:fldChar w:fldCharType="end"/>
      </w:r>
    </w:p>
    <w:p w14:paraId="6DA3AA30" w14:textId="7F206F6F" w:rsidR="00280752" w:rsidRDefault="00280752" w:rsidP="00020D20">
      <w:pPr>
        <w:pStyle w:val="ListParagraph"/>
        <w:tabs>
          <w:tab w:val="clear" w:pos="180"/>
          <w:tab w:val="clear" w:pos="360"/>
          <w:tab w:val="clear" w:pos="540"/>
          <w:tab w:val="clear" w:pos="720"/>
        </w:tabs>
        <w:suppressAutoHyphens w:val="0"/>
        <w:autoSpaceDE/>
        <w:autoSpaceDN/>
        <w:adjustRightInd/>
        <w:spacing w:before="0" w:after="40" w:line="259" w:lineRule="auto"/>
        <w:ind w:left="1008"/>
        <w:jc w:val="both"/>
        <w:textAlignment w:val="auto"/>
      </w:pPr>
      <w:r>
        <w:fldChar w:fldCharType="begin"/>
      </w:r>
      <w:r>
        <w:instrText xml:space="preserve"> REF _Ref57985327 \h </w:instrText>
      </w:r>
      <w:r>
        <w:fldChar w:fldCharType="separate"/>
      </w:r>
      <w:r w:rsidRPr="003707B0">
        <w:t>Pima Association of Governments (PAG)</w:t>
      </w:r>
      <w:r>
        <w:fldChar w:fldCharType="end"/>
      </w:r>
    </w:p>
    <w:p w14:paraId="526A2464" w14:textId="47A540EC" w:rsidR="00FB78B1" w:rsidRDefault="00FB78B1"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_Ref50019114 \h </w:instrText>
      </w:r>
      <w:r w:rsidR="002D38FC">
        <w:instrText xml:space="preserve"> \* MERGEFORMAT </w:instrText>
      </w:r>
      <w:r>
        <w:fldChar w:fldCharType="separate"/>
      </w:r>
      <w:r w:rsidR="00D06ED9">
        <w:t>1.</w:t>
      </w:r>
      <w:r w:rsidR="007801A3">
        <w:t>6</w:t>
      </w:r>
      <w:r w:rsidR="00D06ED9">
        <w:t xml:space="preserve"> | </w:t>
      </w:r>
      <w:r w:rsidRPr="000F5649">
        <w:t>METROPOLITAN PLANNING ORGANIZATIONS</w:t>
      </w:r>
      <w:r>
        <w:fldChar w:fldCharType="end"/>
      </w:r>
    </w:p>
    <w:p w14:paraId="349484B2" w14:textId="29B87241" w:rsidR="008F0B90" w:rsidRDefault="008F0B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_Ref50019174 \h </w:instrText>
      </w:r>
      <w:r w:rsidR="002D38FC">
        <w:instrText xml:space="preserve"> \* MERGEFORMAT </w:instrText>
      </w:r>
      <w:r>
        <w:fldChar w:fldCharType="separate"/>
      </w:r>
      <w:r w:rsidRPr="000F5649">
        <w:t>1.</w:t>
      </w:r>
      <w:r w:rsidR="007801A3">
        <w:t>6</w:t>
      </w:r>
      <w:r w:rsidRPr="000F5649">
        <w:t>.1 | Structure</w:t>
      </w:r>
      <w:r>
        <w:fldChar w:fldCharType="end"/>
      </w:r>
    </w:p>
    <w:p w14:paraId="69B6BF8B" w14:textId="2403FD42" w:rsidR="00FD5249" w:rsidRDefault="008F0B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_Ref50019180 \h </w:instrText>
      </w:r>
      <w:r w:rsidR="002D38FC">
        <w:instrText xml:space="preserve"> \* MERGEFORMAT </w:instrText>
      </w:r>
      <w:r>
        <w:fldChar w:fldCharType="separate"/>
      </w:r>
      <w:r w:rsidRPr="000F5649">
        <w:t>1.</w:t>
      </w:r>
      <w:r w:rsidR="007801A3">
        <w:t>6</w:t>
      </w:r>
      <w:r w:rsidRPr="000F5649">
        <w:t>.2 | Funding</w:t>
      </w:r>
      <w:r>
        <w:fldChar w:fldCharType="end"/>
      </w:r>
    </w:p>
    <w:p w14:paraId="59CF15C4" w14:textId="4817980E" w:rsidR="00FD5249" w:rsidRDefault="008F0B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_Ref50019185 \h </w:instrText>
      </w:r>
      <w:r w:rsidR="002D38FC">
        <w:instrText xml:space="preserve"> \* MERGEFORMAT </w:instrText>
      </w:r>
      <w:r>
        <w:fldChar w:fldCharType="separate"/>
      </w:r>
      <w:r w:rsidRPr="000F5649">
        <w:t>1.</w:t>
      </w:r>
      <w:r w:rsidR="007801A3">
        <w:t>6</w:t>
      </w:r>
      <w:r w:rsidRPr="000F5649">
        <w:t>.3 | Products</w:t>
      </w:r>
      <w:r>
        <w:fldChar w:fldCharType="end"/>
      </w:r>
    </w:p>
    <w:p w14:paraId="29AE2BE9" w14:textId="4C312B13" w:rsidR="00FD5249" w:rsidRDefault="008F0B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_Ref50019190 \h </w:instrText>
      </w:r>
      <w:r w:rsidR="002D38FC">
        <w:instrText xml:space="preserve"> \* MERGEFORMAT </w:instrText>
      </w:r>
      <w:r>
        <w:fldChar w:fldCharType="separate"/>
      </w:r>
      <w:r w:rsidRPr="05839DC1">
        <w:t>1.</w:t>
      </w:r>
      <w:r w:rsidR="007801A3">
        <w:t>6</w:t>
      </w:r>
      <w:r w:rsidRPr="05839DC1">
        <w:t>.4 | MPOs in Arizona (Non-TMA)</w:t>
      </w:r>
      <w:r>
        <w:fldChar w:fldCharType="end"/>
      </w:r>
    </w:p>
    <w:p w14:paraId="40C0526D" w14:textId="7C023789" w:rsidR="00A60CF7" w:rsidRDefault="00655F1E"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_Ref50023194 \h </w:instrText>
      </w:r>
      <w:r w:rsidR="002D38FC">
        <w:instrText xml:space="preserve"> \* MERGEFORMAT </w:instrText>
      </w:r>
      <w:r>
        <w:fldChar w:fldCharType="separate"/>
      </w:r>
      <w:r w:rsidRPr="003707B0">
        <w:t>Central Yavapai Metropolitan Planning Organization</w:t>
      </w:r>
      <w:r>
        <w:t xml:space="preserve"> </w:t>
      </w:r>
      <w:r w:rsidRPr="003707B0">
        <w:t>(CYMPO)</w:t>
      </w:r>
      <w:r>
        <w:fldChar w:fldCharType="end"/>
      </w:r>
    </w:p>
    <w:p w14:paraId="41610A13" w14:textId="409BDAA3" w:rsidR="00655F1E" w:rsidRDefault="00655F1E"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rsidRPr="00394A74">
        <w:fldChar w:fldCharType="begin"/>
      </w:r>
      <w:r w:rsidRPr="00655F1E">
        <w:instrText xml:space="preserve"> REF _Ref50023217 \h </w:instrText>
      </w:r>
      <w:r w:rsidRPr="00020D20">
        <w:instrText xml:space="preserve"> \* MERGEFORMAT </w:instrText>
      </w:r>
      <w:r w:rsidRPr="00394A74">
        <w:fldChar w:fldCharType="separate"/>
      </w:r>
      <w:r w:rsidR="000441B5">
        <w:t xml:space="preserve">Flagstaff Metropolitan </w:t>
      </w:r>
      <w:r w:rsidRPr="00020D20">
        <w:t>P</w:t>
      </w:r>
      <w:r w:rsidR="000441B5">
        <w:t>lanning Organization (FMPO)</w:t>
      </w:r>
      <w:r w:rsidRPr="00394A74">
        <w:fldChar w:fldCharType="end"/>
      </w:r>
    </w:p>
    <w:p w14:paraId="4B09E20E" w14:textId="6EA5F9E9" w:rsidR="002A5D62" w:rsidRDefault="002A5D62" w:rsidP="002A5D62">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_Ref57985530 \h </w:instrText>
      </w:r>
      <w:r>
        <w:fldChar w:fldCharType="separate"/>
      </w:r>
      <w:r w:rsidRPr="00E6302D">
        <w:t>Lake Havasu Metropolitan Planning Organization (LHMPO)</w:t>
      </w:r>
      <w:r>
        <w:fldChar w:fldCharType="end"/>
      </w:r>
    </w:p>
    <w:p w14:paraId="7071441F" w14:textId="51210AF0" w:rsidR="00BF4087" w:rsidRDefault="00BF4087" w:rsidP="002A5D62">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_Ref57985683 \h </w:instrText>
      </w:r>
      <w:r>
        <w:fldChar w:fldCharType="separate"/>
      </w:r>
      <w:r w:rsidRPr="00E6302D">
        <w:t>Sun Corridor Metropolitan Planning Organization (SCMPO)</w:t>
      </w:r>
      <w:r>
        <w:fldChar w:fldCharType="end"/>
      </w:r>
    </w:p>
    <w:p w14:paraId="7BAD82FC" w14:textId="7B9A090F" w:rsidR="00CB0EA1" w:rsidRDefault="00CB0EA1" w:rsidP="002A5D62">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_Ref57985758 \h </w:instrText>
      </w:r>
      <w:r>
        <w:fldChar w:fldCharType="separate"/>
      </w:r>
      <w:r w:rsidRPr="00E6302D">
        <w:t>Sierra Vista Metropolitan Planning Organization (SVMPO)</w:t>
      </w:r>
      <w:r>
        <w:fldChar w:fldCharType="end"/>
      </w:r>
    </w:p>
    <w:p w14:paraId="24598091" w14:textId="1307BC7B" w:rsidR="00655F1E" w:rsidRDefault="00655F1E"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_Ref50023233 \h </w:instrText>
      </w:r>
      <w:r w:rsidR="002D38FC">
        <w:instrText xml:space="preserve"> \* MERGEFORMAT </w:instrText>
      </w:r>
      <w:r>
        <w:fldChar w:fldCharType="separate"/>
      </w:r>
      <w:r w:rsidRPr="003707B0">
        <w:t>Yuma Metropolitan Planning Organization (YMPO)</w:t>
      </w:r>
      <w:r>
        <w:fldChar w:fldCharType="end"/>
      </w:r>
    </w:p>
    <w:p w14:paraId="1923DE1C" w14:textId="361F6413" w:rsidR="00FD5249" w:rsidRDefault="009129B8"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_Ref50019227 \h </w:instrText>
      </w:r>
      <w:r w:rsidR="002D38FC">
        <w:instrText xml:space="preserve"> \* MERGEFORMAT </w:instrText>
      </w:r>
      <w:r>
        <w:fldChar w:fldCharType="separate"/>
      </w:r>
      <w:r>
        <w:t>1</w:t>
      </w:r>
      <w:r w:rsidR="00D06ED9">
        <w:t>.</w:t>
      </w:r>
      <w:r w:rsidR="007801A3">
        <w:t>7</w:t>
      </w:r>
      <w:r w:rsidR="00D06ED9">
        <w:t xml:space="preserve"> | </w:t>
      </w:r>
      <w:r w:rsidRPr="004D0795">
        <w:t>COUNCILS OF GOVERNMENTS</w:t>
      </w:r>
      <w:r>
        <w:fldChar w:fldCharType="end"/>
      </w:r>
    </w:p>
    <w:p w14:paraId="654FE0AC" w14:textId="6D4F03F7" w:rsidR="00FD5249" w:rsidRDefault="009129B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_Ref50019244 \h </w:instrText>
      </w:r>
      <w:r w:rsidR="002D38FC">
        <w:instrText xml:space="preserve"> \* MERGEFORMAT </w:instrText>
      </w:r>
      <w:r>
        <w:fldChar w:fldCharType="separate"/>
      </w:r>
      <w:r w:rsidRPr="004D0795">
        <w:t>1.</w:t>
      </w:r>
      <w:r w:rsidR="007801A3">
        <w:t>7</w:t>
      </w:r>
      <w:r w:rsidRPr="004D0795">
        <w:t>.1 | Structure</w:t>
      </w:r>
      <w:r>
        <w:fldChar w:fldCharType="end"/>
      </w:r>
    </w:p>
    <w:p w14:paraId="13B5D8A6" w14:textId="0B581D7C" w:rsidR="00FD5249" w:rsidRDefault="009129B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_Ref50019250 \h </w:instrText>
      </w:r>
      <w:r w:rsidR="002D38FC">
        <w:instrText xml:space="preserve"> \* MERGEFORMAT </w:instrText>
      </w:r>
      <w:r>
        <w:fldChar w:fldCharType="separate"/>
      </w:r>
      <w:r w:rsidRPr="004D0795">
        <w:t>1.</w:t>
      </w:r>
      <w:r w:rsidR="007801A3">
        <w:t>7</w:t>
      </w:r>
      <w:r w:rsidRPr="004D0795">
        <w:t>.2 | Funding</w:t>
      </w:r>
      <w:r>
        <w:fldChar w:fldCharType="end"/>
      </w:r>
    </w:p>
    <w:p w14:paraId="18D1DDE5" w14:textId="4E6FD02C" w:rsidR="009129B8" w:rsidRDefault="009129B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_Ref50019275 \h </w:instrText>
      </w:r>
      <w:r w:rsidR="002D38FC">
        <w:instrText xml:space="preserve"> \* MERGEFORMAT </w:instrText>
      </w:r>
      <w:r>
        <w:fldChar w:fldCharType="separate"/>
      </w:r>
      <w:r w:rsidRPr="004D0795">
        <w:t>1.</w:t>
      </w:r>
      <w:r w:rsidR="007801A3">
        <w:t>7</w:t>
      </w:r>
      <w:r w:rsidRPr="004D0795">
        <w:t>.3 | Products</w:t>
      </w:r>
      <w:r>
        <w:fldChar w:fldCharType="end"/>
      </w:r>
    </w:p>
    <w:p w14:paraId="3E96B1CE" w14:textId="329215AE" w:rsidR="009129B8" w:rsidRDefault="009129B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_Ref50019280 \h </w:instrText>
      </w:r>
      <w:r w:rsidR="002D38FC">
        <w:instrText xml:space="preserve"> \* MERGEFORMAT </w:instrText>
      </w:r>
      <w:r>
        <w:fldChar w:fldCharType="separate"/>
      </w:r>
      <w:r w:rsidRPr="004D0795">
        <w:t>1.</w:t>
      </w:r>
      <w:r w:rsidR="007801A3">
        <w:t>7</w:t>
      </w:r>
      <w:r w:rsidRPr="004D0795">
        <w:t>.4 | COGs in Arizona</w:t>
      </w:r>
      <w:r>
        <w:fldChar w:fldCharType="end"/>
      </w:r>
    </w:p>
    <w:p w14:paraId="46327B32" w14:textId="0748FB8B" w:rsidR="009129B8" w:rsidRDefault="00C01EB4"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_Ref50023323 \h </w:instrText>
      </w:r>
      <w:r w:rsidR="002D38FC">
        <w:instrText xml:space="preserve"> \* MERGEFORMAT </w:instrText>
      </w:r>
      <w:r>
        <w:fldChar w:fldCharType="separate"/>
      </w:r>
      <w:r w:rsidRPr="00E6302D">
        <w:t>Central Arizona Governments (CAG</w:t>
      </w:r>
      <w:r>
        <w:t>)</w:t>
      </w:r>
      <w:r>
        <w:fldChar w:fldCharType="end"/>
      </w:r>
    </w:p>
    <w:p w14:paraId="2CB77086" w14:textId="1461C73B" w:rsidR="00C01EB4" w:rsidRDefault="00C01EB4"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_Ref50023327 \h </w:instrText>
      </w:r>
      <w:r w:rsidR="002D38FC">
        <w:instrText xml:space="preserve"> \* MERGEFORMAT </w:instrText>
      </w:r>
      <w:r>
        <w:fldChar w:fldCharType="separate"/>
      </w:r>
      <w:r w:rsidRPr="00E6302D">
        <w:t>Northern Arizona Council of Governments (NACOG)</w:t>
      </w:r>
      <w:r>
        <w:fldChar w:fldCharType="end"/>
      </w:r>
    </w:p>
    <w:p w14:paraId="0624CEF2" w14:textId="4A2FD5D2" w:rsidR="00A61F39" w:rsidRDefault="00A61F39"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_Ref57985867 \h </w:instrText>
      </w:r>
      <w:r>
        <w:fldChar w:fldCharType="separate"/>
      </w:r>
      <w:r w:rsidRPr="00E6302D">
        <w:t xml:space="preserve">Southeastern Arizona </w:t>
      </w:r>
      <w:r w:rsidRPr="004D5079">
        <w:t>Governments Organization (SEAGO)</w:t>
      </w:r>
      <w:r>
        <w:fldChar w:fldCharType="end"/>
      </w:r>
    </w:p>
    <w:p w14:paraId="282AC3D7" w14:textId="059EC07C" w:rsidR="00AF0405" w:rsidRDefault="00AF040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_Ref57985922 \h </w:instrText>
      </w:r>
      <w:r>
        <w:fldChar w:fldCharType="separate"/>
      </w:r>
      <w:r w:rsidRPr="003707B0">
        <w:t>Western Arizona Council of Governments (WACOG)</w:t>
      </w:r>
      <w:r>
        <w:fldChar w:fldCharType="end"/>
      </w:r>
    </w:p>
    <w:p w14:paraId="45BDCC46" w14:textId="2E661DAD" w:rsidR="007A478E" w:rsidRDefault="007A478E"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_Ref57986078 \h </w:instrText>
      </w:r>
      <w:r>
        <w:fldChar w:fldCharType="separate"/>
      </w:r>
      <w:r>
        <w:t>1.8</w:t>
      </w:r>
      <w:r w:rsidRPr="001F69C4">
        <w:t xml:space="preserve"> | REGIONAL TRANSPORTATION PLANNING ORGANIZATIONS</w:t>
      </w:r>
      <w:r>
        <w:fldChar w:fldCharType="end"/>
      </w:r>
    </w:p>
    <w:p w14:paraId="6F8DAB37" w14:textId="78215F90" w:rsidR="004D1D76" w:rsidRDefault="009129B8"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sectPr w:rsidR="004D1D76" w:rsidSect="00020D20">
          <w:footerReference w:type="default" r:id="rId24"/>
          <w:pgSz w:w="12240" w:h="15840"/>
          <w:pgMar w:top="1080" w:right="1080" w:bottom="1080" w:left="1080" w:header="1152" w:footer="720" w:gutter="0"/>
          <w:pgNumType w:start="1" w:chapStyle="1"/>
          <w:cols w:space="288"/>
          <w:docGrid w:linePitch="360"/>
        </w:sectPr>
      </w:pPr>
      <w:r>
        <w:fldChar w:fldCharType="begin"/>
      </w:r>
      <w:r>
        <w:instrText xml:space="preserve"> REF _Ref50019314 \h </w:instrText>
      </w:r>
      <w:r w:rsidR="002D38FC">
        <w:instrText xml:space="preserve"> \* MERGEFORMAT </w:instrText>
      </w:r>
      <w:r>
        <w:fldChar w:fldCharType="separate"/>
      </w:r>
      <w:r w:rsidR="00D06ED9">
        <w:t>1.</w:t>
      </w:r>
      <w:r w:rsidR="007801A3">
        <w:t>9</w:t>
      </w:r>
      <w:r w:rsidR="00D06ED9">
        <w:t xml:space="preserve"> | </w:t>
      </w:r>
      <w:r w:rsidRPr="001F69C4">
        <w:t>CONTACT INFORMATION</w:t>
      </w:r>
      <w:r>
        <w:fldChar w:fldCharType="end"/>
      </w:r>
      <w:r w:rsidR="00F91E19">
        <w:br w:type="page"/>
      </w:r>
    </w:p>
    <w:p w14:paraId="06ED4AA9" w14:textId="2F42273B" w:rsidR="00636F46" w:rsidRDefault="00636F46" w:rsidP="00020D20">
      <w:pPr>
        <w:pStyle w:val="Heading1"/>
        <w:tabs>
          <w:tab w:val="left" w:pos="360"/>
        </w:tabs>
        <w:jc w:val="both"/>
      </w:pPr>
      <w:bookmarkStart w:id="1" w:name="_|_Introduction"/>
      <w:bookmarkStart w:id="2" w:name="_Toc49870619"/>
      <w:bookmarkStart w:id="3" w:name="_Toc50540215"/>
      <w:bookmarkEnd w:id="1"/>
      <w:r>
        <w:t>|</w:t>
      </w:r>
      <w:r w:rsidR="000E518A">
        <w:t xml:space="preserve"> </w:t>
      </w:r>
      <w:r>
        <w:t>Introduction</w:t>
      </w:r>
      <w:bookmarkEnd w:id="0"/>
      <w:bookmarkEnd w:id="2"/>
      <w:bookmarkEnd w:id="3"/>
      <w:r>
        <w:t xml:space="preserve"> </w:t>
      </w:r>
    </w:p>
    <w:p w14:paraId="5855FB87" w14:textId="77777777" w:rsidR="00636F46" w:rsidRPr="00E13AA3" w:rsidRDefault="00636F46" w:rsidP="00020D20">
      <w:pPr>
        <w:pStyle w:val="Heading2"/>
      </w:pPr>
      <w:bookmarkStart w:id="4" w:name="_Ref50018127"/>
      <w:r w:rsidRPr="009F02BA">
        <w:t>1.1 | PURPOSE</w:t>
      </w:r>
      <w:bookmarkEnd w:id="4"/>
    </w:p>
    <w:p w14:paraId="759F447A" w14:textId="570BFBB4" w:rsidR="00636F46" w:rsidRDefault="00636F46" w:rsidP="00020D20">
      <w:pPr>
        <w:jc w:val="both"/>
      </w:pPr>
      <w:r w:rsidRPr="008E3BDF">
        <w:t xml:space="preserve">This guidelines and procedures manual is intended to be used by the staff of the </w:t>
      </w:r>
      <w:hyperlink r:id="rId25" w:history="1">
        <w:r w:rsidRPr="00A975B0">
          <w:rPr>
            <w:rStyle w:val="TitleChar"/>
          </w:rPr>
          <w:t>Arizona Department of Transportation</w:t>
        </w:r>
        <w:r w:rsidRPr="00A975B0">
          <w:rPr>
            <w:rStyle w:val="Hyperlink"/>
            <w:rFonts w:asciiTheme="minorHAnsi" w:hAnsiTheme="minorHAnsi" w:cstheme="minorBidi"/>
            <w:sz w:val="20"/>
            <w:szCs w:val="22"/>
          </w:rPr>
          <w:t xml:space="preserve"> </w:t>
        </w:r>
      </w:hyperlink>
      <w:r w:rsidRPr="008E3BDF">
        <w:t xml:space="preserve">(ADOT) and Arizona’s regional transportation planning agencies, which include </w:t>
      </w:r>
      <w:r w:rsidRPr="00020D20">
        <w:rPr>
          <w:b/>
        </w:rPr>
        <w:t>Councils of Governments</w:t>
      </w:r>
      <w:r w:rsidRPr="008E3BDF">
        <w:t xml:space="preserve"> (COGs), </w:t>
      </w:r>
      <w:r w:rsidRPr="00020D20">
        <w:rPr>
          <w:b/>
        </w:rPr>
        <w:t>Metropolitan Planning Organizations</w:t>
      </w:r>
      <w:r w:rsidRPr="008E3BDF">
        <w:t xml:space="preserve"> (MPOs), and </w:t>
      </w:r>
      <w:r w:rsidRPr="00020D20">
        <w:rPr>
          <w:b/>
        </w:rPr>
        <w:t>Transportation Management Areas</w:t>
      </w:r>
      <w:r w:rsidRPr="008E3BDF">
        <w:t xml:space="preserve"> (TMAs). In addition to outlining the guidelines and procedures for regional transportation planning functions, this manual provides an overview of the programs administered by the ADOT Multimodal Planning Division (MPD). In every part of Arizona, the regional planning agencies, in cooperation with ADOT, have an important role in planning and coordinating transportation projects. ADOT’s planning partners often are responsible for facilitating the project process between local communities, public transit providers, and ADOT. Although they typically address</w:t>
      </w:r>
      <w:r>
        <w:t xml:space="preserve"> multiple aspects of planning</w:t>
      </w:r>
      <w:r w:rsidRPr="008E3BDF">
        <w:t xml:space="preserve">, </w:t>
      </w:r>
      <w:r>
        <w:t>this ADOT manual</w:t>
      </w:r>
      <w:r w:rsidR="00D94C41">
        <w:t xml:space="preserve"> (Manual)</w:t>
      </w:r>
      <w:r>
        <w:t xml:space="preserve"> will focus on planning activities and guidance for </w:t>
      </w:r>
      <w:r w:rsidRPr="008E3BDF">
        <w:t>transportation</w:t>
      </w:r>
      <w:r>
        <w:t>.</w:t>
      </w:r>
    </w:p>
    <w:p w14:paraId="23622B99" w14:textId="77777777" w:rsidR="002B3C61" w:rsidRDefault="005A6734">
      <w:pPr>
        <w:jc w:val="both"/>
      </w:pPr>
      <w:r>
        <w:t>ADOT prepared the ADOT MPO &amp; COG Guidelines and</w:t>
      </w:r>
      <w:r w:rsidR="00636F46" w:rsidRPr="008E3BDF">
        <w:t xml:space="preserve"> Procedures Manual in cooperation with TMAs, MPOs, and COGs within Arizona. This manual describes the metropolitan transportation planning processes and administrative requirements that ADOT, TMAs, MPOs, and COGs must implement when working on transportation planning projects. Familiarity with the contents of this manual is vitally important because many transportation planning activities and transportation proje</w:t>
      </w:r>
      <w:r w:rsidR="00FA7F5B">
        <w:t>ct/construction funding utilize</w:t>
      </w:r>
      <w:r w:rsidR="00636F46" w:rsidRPr="008E3BDF">
        <w:t xml:space="preserve"> federal resources. Federal and state processes and procedures must be followed accurately to ensure that funds continue to flow to Arizona and are maximized throughout the state. The goal of this manual is to clarify roles and responsibilities, improve efficiency among organizations, and reduce questions and potential conflicts.</w:t>
      </w:r>
    </w:p>
    <w:p w14:paraId="46D00298" w14:textId="4516E1E9" w:rsidR="00636F46" w:rsidRPr="0090691B" w:rsidRDefault="002E2882">
      <w:pPr>
        <w:pStyle w:val="Heading2"/>
      </w:pPr>
      <w:r>
        <w:br w:type="column"/>
      </w:r>
      <w:bookmarkStart w:id="5" w:name="_Ref50018264"/>
      <w:r w:rsidR="00636F46" w:rsidRPr="00020D20">
        <w:rPr>
          <w:rStyle w:val="Heading2Char"/>
          <w:b/>
        </w:rPr>
        <w:t>1.2 | MANUAL STRUCTURE &amp; ORGANIZATION</w:t>
      </w:r>
      <w:bookmarkEnd w:id="5"/>
    </w:p>
    <w:p w14:paraId="35006074" w14:textId="77777777" w:rsidR="00636F46" w:rsidRDefault="00636F46" w:rsidP="00020D20">
      <w:pPr>
        <w:jc w:val="both"/>
      </w:pPr>
      <w:r w:rsidRPr="008E3BDF">
        <w:t>This manual includes numerous subjects organized into the following chapters:</w:t>
      </w:r>
    </w:p>
    <w:tbl>
      <w:tblPr>
        <w:tblW w:w="0" w:type="auto"/>
        <w:tblLook w:val="04A0" w:firstRow="1" w:lastRow="0" w:firstColumn="1" w:lastColumn="0" w:noHBand="0" w:noVBand="1"/>
      </w:tblPr>
      <w:tblGrid>
        <w:gridCol w:w="805"/>
        <w:gridCol w:w="4081"/>
      </w:tblGrid>
      <w:tr w:rsidR="00636F46" w14:paraId="5526497E" w14:textId="77777777" w:rsidTr="00020D20">
        <w:trPr>
          <w:trHeight w:val="350"/>
        </w:trPr>
        <w:tc>
          <w:tcPr>
            <w:tcW w:w="805" w:type="dxa"/>
            <w:tcBorders>
              <w:top w:val="single" w:sz="4" w:space="0" w:color="auto"/>
              <w:left w:val="single" w:sz="4" w:space="0" w:color="auto"/>
              <w:bottom w:val="single" w:sz="8" w:space="0" w:color="FFFFFF" w:themeColor="background1"/>
              <w:right w:val="single" w:sz="4" w:space="0" w:color="FFFFFF" w:themeColor="background1"/>
            </w:tcBorders>
            <w:shd w:val="clear" w:color="auto" w:fill="012768"/>
            <w:vAlign w:val="center"/>
          </w:tcPr>
          <w:p w14:paraId="6A8116CF" w14:textId="77777777" w:rsidR="00636F46" w:rsidRPr="00020D20" w:rsidRDefault="00636F46" w:rsidP="00020D20">
            <w:pPr>
              <w:tabs>
                <w:tab w:val="clear" w:pos="720"/>
              </w:tabs>
              <w:spacing w:before="0" w:after="0"/>
              <w:jc w:val="center"/>
              <w:rPr>
                <w:sz w:val="22"/>
              </w:rPr>
            </w:pPr>
            <w:r w:rsidRPr="00020D20">
              <w:rPr>
                <w:sz w:val="22"/>
              </w:rPr>
              <w:t>CH</w:t>
            </w:r>
          </w:p>
        </w:tc>
        <w:tc>
          <w:tcPr>
            <w:tcW w:w="4081" w:type="dxa"/>
            <w:tcBorders>
              <w:top w:val="single" w:sz="4" w:space="0" w:color="auto"/>
              <w:left w:val="single" w:sz="4" w:space="0" w:color="FFFFFF" w:themeColor="background1"/>
              <w:bottom w:val="single" w:sz="4" w:space="0" w:color="auto"/>
              <w:right w:val="single" w:sz="4" w:space="0" w:color="auto"/>
            </w:tcBorders>
            <w:shd w:val="clear" w:color="auto" w:fill="012768"/>
            <w:vAlign w:val="center"/>
          </w:tcPr>
          <w:p w14:paraId="7554E6C7" w14:textId="77777777" w:rsidR="00636F46" w:rsidRPr="00020D20" w:rsidRDefault="00636F46" w:rsidP="00020D20">
            <w:pPr>
              <w:tabs>
                <w:tab w:val="clear" w:pos="720"/>
              </w:tabs>
              <w:spacing w:before="0" w:after="0"/>
              <w:jc w:val="both"/>
              <w:rPr>
                <w:sz w:val="22"/>
              </w:rPr>
            </w:pPr>
            <w:r w:rsidRPr="00020D20">
              <w:rPr>
                <w:sz w:val="22"/>
              </w:rPr>
              <w:t>Title</w:t>
            </w:r>
          </w:p>
        </w:tc>
      </w:tr>
      <w:tr w:rsidR="00636F46" w14:paraId="037927D6"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38DE4183" w14:textId="77777777" w:rsidR="00636F46" w:rsidRPr="00020D20" w:rsidRDefault="00636F46" w:rsidP="00020D20">
            <w:pPr>
              <w:spacing w:before="0" w:after="0"/>
              <w:jc w:val="center"/>
              <w:rPr>
                <w:sz w:val="22"/>
              </w:rPr>
            </w:pPr>
            <w:r w:rsidRPr="00020D20">
              <w:rPr>
                <w:sz w:val="22"/>
              </w:rPr>
              <w:t>1</w:t>
            </w:r>
          </w:p>
        </w:tc>
        <w:tc>
          <w:tcPr>
            <w:tcW w:w="4081" w:type="dxa"/>
            <w:tcBorders>
              <w:top w:val="single" w:sz="4" w:space="0" w:color="auto"/>
              <w:left w:val="single" w:sz="4" w:space="0" w:color="auto"/>
              <w:bottom w:val="single" w:sz="4" w:space="0" w:color="auto"/>
              <w:right w:val="single" w:sz="4" w:space="0" w:color="auto"/>
            </w:tcBorders>
            <w:vAlign w:val="center"/>
          </w:tcPr>
          <w:p w14:paraId="41841728" w14:textId="77777777" w:rsidR="00636F46" w:rsidRPr="00A91053" w:rsidRDefault="00636F46" w:rsidP="00020D20">
            <w:pPr>
              <w:tabs>
                <w:tab w:val="clear" w:pos="720"/>
              </w:tabs>
              <w:spacing w:before="0" w:after="0"/>
              <w:jc w:val="both"/>
            </w:pPr>
            <w:r w:rsidRPr="00A91053">
              <w:t>Introduction</w:t>
            </w:r>
          </w:p>
        </w:tc>
      </w:tr>
      <w:tr w:rsidR="00636F46" w14:paraId="6712353A"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59F9E919" w14:textId="77777777" w:rsidR="00636F46" w:rsidRPr="00020D20" w:rsidRDefault="00636F46" w:rsidP="00020D20">
            <w:pPr>
              <w:spacing w:before="0" w:after="0"/>
              <w:jc w:val="center"/>
              <w:rPr>
                <w:sz w:val="22"/>
              </w:rPr>
            </w:pPr>
            <w:r w:rsidRPr="00020D20">
              <w:rPr>
                <w:sz w:val="22"/>
              </w:rPr>
              <w:t>2</w:t>
            </w:r>
          </w:p>
        </w:tc>
        <w:tc>
          <w:tcPr>
            <w:tcW w:w="4081" w:type="dxa"/>
            <w:tcBorders>
              <w:top w:val="single" w:sz="4" w:space="0" w:color="auto"/>
              <w:left w:val="single" w:sz="4" w:space="0" w:color="auto"/>
              <w:bottom w:val="single" w:sz="4" w:space="0" w:color="auto"/>
              <w:right w:val="single" w:sz="4" w:space="0" w:color="auto"/>
            </w:tcBorders>
            <w:vAlign w:val="center"/>
          </w:tcPr>
          <w:p w14:paraId="6370524D" w14:textId="77777777" w:rsidR="00636F46" w:rsidRPr="00A91053" w:rsidRDefault="00636F46" w:rsidP="00020D20">
            <w:pPr>
              <w:tabs>
                <w:tab w:val="clear" w:pos="720"/>
              </w:tabs>
              <w:spacing w:before="0" w:after="0"/>
              <w:jc w:val="both"/>
            </w:pPr>
            <w:r w:rsidRPr="00A91053">
              <w:t>State &amp; Federal Planning Partners</w:t>
            </w:r>
          </w:p>
        </w:tc>
      </w:tr>
      <w:tr w:rsidR="00636F46" w14:paraId="5645A4BC"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4090E96E" w14:textId="77777777" w:rsidR="00636F46" w:rsidRPr="00020D20" w:rsidRDefault="00636F46" w:rsidP="00020D20">
            <w:pPr>
              <w:spacing w:before="0" w:after="0"/>
              <w:jc w:val="center"/>
              <w:rPr>
                <w:sz w:val="22"/>
              </w:rPr>
            </w:pPr>
            <w:r w:rsidRPr="00020D20">
              <w:rPr>
                <w:sz w:val="22"/>
              </w:rPr>
              <w:t>3</w:t>
            </w:r>
          </w:p>
        </w:tc>
        <w:tc>
          <w:tcPr>
            <w:tcW w:w="4081" w:type="dxa"/>
            <w:tcBorders>
              <w:top w:val="single" w:sz="4" w:space="0" w:color="auto"/>
              <w:left w:val="single" w:sz="4" w:space="0" w:color="auto"/>
              <w:bottom w:val="single" w:sz="4" w:space="0" w:color="auto"/>
              <w:right w:val="single" w:sz="4" w:space="0" w:color="auto"/>
            </w:tcBorders>
            <w:vAlign w:val="center"/>
          </w:tcPr>
          <w:p w14:paraId="1258085D" w14:textId="77777777" w:rsidR="00636F46" w:rsidRPr="00A91053" w:rsidRDefault="00636F46" w:rsidP="00020D20">
            <w:pPr>
              <w:tabs>
                <w:tab w:val="clear" w:pos="720"/>
              </w:tabs>
              <w:spacing w:before="0" w:after="0"/>
              <w:jc w:val="both"/>
            </w:pPr>
            <w:r w:rsidRPr="00A91053">
              <w:t>MPO Formation &amp; Modification</w:t>
            </w:r>
          </w:p>
        </w:tc>
      </w:tr>
      <w:tr w:rsidR="00636F46" w14:paraId="27E8D0DA"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48CDAF0A" w14:textId="77777777" w:rsidR="00636F46" w:rsidRPr="00020D20" w:rsidRDefault="00636F46" w:rsidP="00020D20">
            <w:pPr>
              <w:spacing w:before="0" w:after="0"/>
              <w:jc w:val="center"/>
              <w:rPr>
                <w:sz w:val="22"/>
              </w:rPr>
            </w:pPr>
            <w:r w:rsidRPr="00020D20">
              <w:rPr>
                <w:sz w:val="22"/>
              </w:rPr>
              <w:t>4</w:t>
            </w:r>
          </w:p>
        </w:tc>
        <w:tc>
          <w:tcPr>
            <w:tcW w:w="4081" w:type="dxa"/>
            <w:tcBorders>
              <w:top w:val="single" w:sz="4" w:space="0" w:color="auto"/>
              <w:left w:val="single" w:sz="4" w:space="0" w:color="auto"/>
              <w:bottom w:val="single" w:sz="4" w:space="0" w:color="auto"/>
              <w:right w:val="single" w:sz="4" w:space="0" w:color="auto"/>
            </w:tcBorders>
            <w:vAlign w:val="center"/>
          </w:tcPr>
          <w:p w14:paraId="15C0FE4F" w14:textId="77777777" w:rsidR="00636F46" w:rsidRPr="00A91053" w:rsidRDefault="00636F46" w:rsidP="00020D20">
            <w:pPr>
              <w:tabs>
                <w:tab w:val="clear" w:pos="720"/>
              </w:tabs>
              <w:spacing w:before="0" w:after="0"/>
            </w:pPr>
            <w:r w:rsidRPr="00A91053">
              <w:t>MPO Unified Planning Work Program &amp; Contract Activities</w:t>
            </w:r>
          </w:p>
        </w:tc>
      </w:tr>
      <w:tr w:rsidR="00636F46" w14:paraId="4F22464E"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29A0FEDB" w14:textId="77777777" w:rsidR="00636F46" w:rsidRPr="00020D20" w:rsidRDefault="00636F46" w:rsidP="00020D20">
            <w:pPr>
              <w:spacing w:before="0" w:after="0"/>
              <w:jc w:val="center"/>
              <w:rPr>
                <w:sz w:val="22"/>
              </w:rPr>
            </w:pPr>
            <w:r w:rsidRPr="00020D20">
              <w:rPr>
                <w:sz w:val="22"/>
              </w:rPr>
              <w:t>5</w:t>
            </w:r>
          </w:p>
        </w:tc>
        <w:tc>
          <w:tcPr>
            <w:tcW w:w="4081" w:type="dxa"/>
            <w:tcBorders>
              <w:top w:val="single" w:sz="4" w:space="0" w:color="auto"/>
              <w:left w:val="single" w:sz="4" w:space="0" w:color="auto"/>
              <w:bottom w:val="single" w:sz="4" w:space="0" w:color="auto"/>
              <w:right w:val="single" w:sz="4" w:space="0" w:color="auto"/>
            </w:tcBorders>
            <w:vAlign w:val="center"/>
          </w:tcPr>
          <w:p w14:paraId="205DF239" w14:textId="77777777" w:rsidR="00636F46" w:rsidRPr="00A91053" w:rsidRDefault="00636F46" w:rsidP="00020D20">
            <w:pPr>
              <w:tabs>
                <w:tab w:val="clear" w:pos="720"/>
              </w:tabs>
              <w:spacing w:before="0" w:after="0"/>
              <w:jc w:val="both"/>
            </w:pPr>
            <w:r w:rsidRPr="00A91053">
              <w:t>COG Work Program</w:t>
            </w:r>
          </w:p>
        </w:tc>
      </w:tr>
      <w:tr w:rsidR="00636F46" w14:paraId="11CFAE1C"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70EFF0C1" w14:textId="77777777" w:rsidR="00636F46" w:rsidRPr="00020D20" w:rsidRDefault="00636F46" w:rsidP="00020D20">
            <w:pPr>
              <w:spacing w:before="0" w:after="0"/>
              <w:jc w:val="center"/>
              <w:rPr>
                <w:sz w:val="22"/>
              </w:rPr>
            </w:pPr>
            <w:r w:rsidRPr="00020D20">
              <w:rPr>
                <w:sz w:val="22"/>
              </w:rPr>
              <w:t>6</w:t>
            </w:r>
          </w:p>
        </w:tc>
        <w:tc>
          <w:tcPr>
            <w:tcW w:w="4081" w:type="dxa"/>
            <w:tcBorders>
              <w:top w:val="single" w:sz="4" w:space="0" w:color="auto"/>
              <w:left w:val="single" w:sz="4" w:space="0" w:color="auto"/>
              <w:bottom w:val="single" w:sz="4" w:space="0" w:color="auto"/>
              <w:right w:val="single" w:sz="4" w:space="0" w:color="auto"/>
            </w:tcBorders>
            <w:vAlign w:val="center"/>
          </w:tcPr>
          <w:p w14:paraId="3FF414D3" w14:textId="77777777" w:rsidR="00636F46" w:rsidRPr="00A91053" w:rsidRDefault="00636F46" w:rsidP="00020D20">
            <w:pPr>
              <w:tabs>
                <w:tab w:val="clear" w:pos="720"/>
              </w:tabs>
              <w:spacing w:before="0" w:after="0"/>
              <w:jc w:val="both"/>
            </w:pPr>
            <w:r w:rsidRPr="00A91053">
              <w:t>Performance Measures</w:t>
            </w:r>
          </w:p>
        </w:tc>
      </w:tr>
      <w:tr w:rsidR="00636F46" w14:paraId="451C3321"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67571846" w14:textId="77777777" w:rsidR="00636F46" w:rsidRPr="00020D20" w:rsidRDefault="00636F46" w:rsidP="00020D20">
            <w:pPr>
              <w:spacing w:before="0" w:after="0"/>
              <w:jc w:val="center"/>
              <w:rPr>
                <w:sz w:val="22"/>
              </w:rPr>
            </w:pPr>
            <w:r w:rsidRPr="00020D20">
              <w:rPr>
                <w:sz w:val="22"/>
              </w:rPr>
              <w:t>7</w:t>
            </w:r>
          </w:p>
        </w:tc>
        <w:tc>
          <w:tcPr>
            <w:tcW w:w="4081" w:type="dxa"/>
            <w:tcBorders>
              <w:top w:val="single" w:sz="4" w:space="0" w:color="auto"/>
              <w:left w:val="single" w:sz="4" w:space="0" w:color="auto"/>
              <w:bottom w:val="single" w:sz="4" w:space="0" w:color="auto"/>
              <w:right w:val="single" w:sz="4" w:space="0" w:color="auto"/>
            </w:tcBorders>
            <w:vAlign w:val="center"/>
          </w:tcPr>
          <w:p w14:paraId="134B26CD" w14:textId="69E20CF0" w:rsidR="00636F46" w:rsidRPr="00A91053" w:rsidRDefault="00636F46" w:rsidP="00020D20">
            <w:pPr>
              <w:tabs>
                <w:tab w:val="clear" w:pos="720"/>
              </w:tabs>
              <w:spacing w:before="0" w:after="0"/>
              <w:jc w:val="both"/>
            </w:pPr>
            <w:r w:rsidRPr="00A91053">
              <w:t>Regional Transportation Plan</w:t>
            </w:r>
            <w:r w:rsidR="001D354F" w:rsidRPr="00020D20">
              <w:t xml:space="preserve"> (RTP)</w:t>
            </w:r>
          </w:p>
        </w:tc>
      </w:tr>
      <w:tr w:rsidR="00636F46" w14:paraId="3828B2E5"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65E25CB7" w14:textId="77777777" w:rsidR="00636F46" w:rsidRPr="00020D20" w:rsidRDefault="00636F46" w:rsidP="00020D20">
            <w:pPr>
              <w:spacing w:before="0" w:after="0"/>
              <w:jc w:val="center"/>
              <w:rPr>
                <w:sz w:val="22"/>
              </w:rPr>
            </w:pPr>
            <w:r w:rsidRPr="00020D20">
              <w:rPr>
                <w:sz w:val="22"/>
              </w:rPr>
              <w:t>8</w:t>
            </w:r>
          </w:p>
        </w:tc>
        <w:tc>
          <w:tcPr>
            <w:tcW w:w="4081" w:type="dxa"/>
            <w:tcBorders>
              <w:top w:val="single" w:sz="4" w:space="0" w:color="auto"/>
              <w:left w:val="single" w:sz="4" w:space="0" w:color="auto"/>
              <w:bottom w:val="single" w:sz="4" w:space="0" w:color="auto"/>
              <w:right w:val="single" w:sz="4" w:space="0" w:color="auto"/>
            </w:tcBorders>
            <w:vAlign w:val="center"/>
          </w:tcPr>
          <w:p w14:paraId="380BCF9E" w14:textId="73686BB5" w:rsidR="00636F46" w:rsidRPr="00A91053" w:rsidRDefault="00636F46" w:rsidP="00020D20">
            <w:pPr>
              <w:tabs>
                <w:tab w:val="clear" w:pos="720"/>
              </w:tabs>
              <w:spacing w:before="0" w:after="0"/>
              <w:jc w:val="both"/>
            </w:pPr>
            <w:r w:rsidRPr="00A91053">
              <w:t>Transportation Improvement Program</w:t>
            </w:r>
            <w:r w:rsidR="00B12C96" w:rsidRPr="00020D20">
              <w:t xml:space="preserve"> (TIP)</w:t>
            </w:r>
          </w:p>
        </w:tc>
      </w:tr>
      <w:tr w:rsidR="00636F46" w14:paraId="5988D2EB"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0C63D482" w14:textId="77777777" w:rsidR="00636F46" w:rsidRPr="00020D20" w:rsidRDefault="00636F46" w:rsidP="00020D20">
            <w:pPr>
              <w:spacing w:before="0" w:after="0"/>
              <w:jc w:val="center"/>
              <w:rPr>
                <w:sz w:val="22"/>
              </w:rPr>
            </w:pPr>
            <w:r w:rsidRPr="00020D20">
              <w:rPr>
                <w:sz w:val="22"/>
              </w:rPr>
              <w:t>9</w:t>
            </w:r>
          </w:p>
        </w:tc>
        <w:tc>
          <w:tcPr>
            <w:tcW w:w="4081" w:type="dxa"/>
            <w:tcBorders>
              <w:top w:val="single" w:sz="4" w:space="0" w:color="auto"/>
              <w:left w:val="single" w:sz="4" w:space="0" w:color="auto"/>
              <w:bottom w:val="single" w:sz="4" w:space="0" w:color="auto"/>
              <w:right w:val="single" w:sz="4" w:space="0" w:color="auto"/>
            </w:tcBorders>
            <w:vAlign w:val="center"/>
          </w:tcPr>
          <w:p w14:paraId="6CDC467B" w14:textId="77777777" w:rsidR="00636F46" w:rsidRPr="00A91053" w:rsidRDefault="00636F46" w:rsidP="00020D20">
            <w:pPr>
              <w:tabs>
                <w:tab w:val="clear" w:pos="720"/>
              </w:tabs>
              <w:spacing w:before="0" w:after="0"/>
              <w:jc w:val="both"/>
            </w:pPr>
            <w:r w:rsidRPr="00A91053">
              <w:t>Audit</w:t>
            </w:r>
          </w:p>
        </w:tc>
      </w:tr>
      <w:tr w:rsidR="00636F46" w14:paraId="5B6B0CFF"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7110737C" w14:textId="77777777" w:rsidR="00636F46" w:rsidRPr="00020D20" w:rsidRDefault="00636F46" w:rsidP="00020D20">
            <w:pPr>
              <w:spacing w:before="0" w:after="0"/>
              <w:jc w:val="center"/>
              <w:rPr>
                <w:sz w:val="22"/>
              </w:rPr>
            </w:pPr>
            <w:r w:rsidRPr="00020D20">
              <w:rPr>
                <w:sz w:val="22"/>
              </w:rPr>
              <w:t>10</w:t>
            </w:r>
          </w:p>
        </w:tc>
        <w:tc>
          <w:tcPr>
            <w:tcW w:w="4081" w:type="dxa"/>
            <w:tcBorders>
              <w:top w:val="single" w:sz="4" w:space="0" w:color="auto"/>
              <w:left w:val="single" w:sz="4" w:space="0" w:color="auto"/>
              <w:bottom w:val="single" w:sz="4" w:space="0" w:color="auto"/>
              <w:right w:val="single" w:sz="4" w:space="0" w:color="auto"/>
            </w:tcBorders>
            <w:vAlign w:val="center"/>
          </w:tcPr>
          <w:p w14:paraId="1F2B4E64" w14:textId="77777777" w:rsidR="00636F46" w:rsidRPr="00A91053" w:rsidRDefault="00636F46" w:rsidP="00020D20">
            <w:pPr>
              <w:tabs>
                <w:tab w:val="clear" w:pos="720"/>
              </w:tabs>
              <w:spacing w:before="0" w:after="0"/>
              <w:jc w:val="both"/>
            </w:pPr>
            <w:r w:rsidRPr="00A91053">
              <w:t>Financial Planning &amp; Programming</w:t>
            </w:r>
          </w:p>
        </w:tc>
      </w:tr>
      <w:tr w:rsidR="00636F46" w14:paraId="69355C16"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34DE7518" w14:textId="77777777" w:rsidR="00636F46" w:rsidRPr="00020D20" w:rsidRDefault="00636F46" w:rsidP="00020D20">
            <w:pPr>
              <w:spacing w:before="0" w:after="0"/>
              <w:jc w:val="center"/>
              <w:rPr>
                <w:sz w:val="22"/>
              </w:rPr>
            </w:pPr>
            <w:r w:rsidRPr="00020D20">
              <w:rPr>
                <w:sz w:val="22"/>
              </w:rPr>
              <w:t>11</w:t>
            </w:r>
          </w:p>
        </w:tc>
        <w:tc>
          <w:tcPr>
            <w:tcW w:w="4081" w:type="dxa"/>
            <w:tcBorders>
              <w:top w:val="single" w:sz="4" w:space="0" w:color="auto"/>
              <w:left w:val="single" w:sz="4" w:space="0" w:color="auto"/>
              <w:bottom w:val="single" w:sz="4" w:space="0" w:color="auto"/>
              <w:right w:val="single" w:sz="4" w:space="0" w:color="auto"/>
            </w:tcBorders>
            <w:vAlign w:val="center"/>
          </w:tcPr>
          <w:p w14:paraId="553EE71E" w14:textId="77777777" w:rsidR="00636F46" w:rsidRPr="00A91053" w:rsidRDefault="00636F46" w:rsidP="00020D20">
            <w:pPr>
              <w:tabs>
                <w:tab w:val="clear" w:pos="720"/>
              </w:tabs>
              <w:spacing w:before="0" w:after="0"/>
            </w:pPr>
            <w:r w:rsidRPr="00A91053">
              <w:t>Certification of the Metropolitan Transportation Planning Program</w:t>
            </w:r>
          </w:p>
        </w:tc>
      </w:tr>
      <w:tr w:rsidR="00636F46" w14:paraId="61CC0830"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3F1AB14D" w14:textId="77777777" w:rsidR="00636F46" w:rsidRPr="00020D20" w:rsidRDefault="00636F46" w:rsidP="00020D20">
            <w:pPr>
              <w:spacing w:before="0" w:after="0"/>
              <w:jc w:val="center"/>
              <w:rPr>
                <w:sz w:val="22"/>
              </w:rPr>
            </w:pPr>
            <w:r w:rsidRPr="00020D20">
              <w:rPr>
                <w:sz w:val="22"/>
              </w:rPr>
              <w:t>12</w:t>
            </w:r>
          </w:p>
        </w:tc>
        <w:tc>
          <w:tcPr>
            <w:tcW w:w="4081" w:type="dxa"/>
            <w:tcBorders>
              <w:top w:val="single" w:sz="4" w:space="0" w:color="auto"/>
              <w:left w:val="single" w:sz="4" w:space="0" w:color="auto"/>
              <w:bottom w:val="single" w:sz="4" w:space="0" w:color="auto"/>
              <w:right w:val="single" w:sz="4" w:space="0" w:color="auto"/>
            </w:tcBorders>
            <w:vAlign w:val="center"/>
          </w:tcPr>
          <w:p w14:paraId="7E10B3BB" w14:textId="77777777" w:rsidR="00636F46" w:rsidRPr="00A91053" w:rsidRDefault="00636F46" w:rsidP="00020D20">
            <w:pPr>
              <w:tabs>
                <w:tab w:val="clear" w:pos="720"/>
              </w:tabs>
              <w:spacing w:before="0" w:after="0"/>
              <w:jc w:val="both"/>
            </w:pPr>
            <w:r w:rsidRPr="00A91053">
              <w:t>Civil Rights</w:t>
            </w:r>
          </w:p>
        </w:tc>
      </w:tr>
      <w:tr w:rsidR="00636F46" w14:paraId="35DF91CB"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6B6311FF" w14:textId="77777777" w:rsidR="00636F46" w:rsidRPr="00020D20" w:rsidRDefault="00636F46" w:rsidP="00020D20">
            <w:pPr>
              <w:spacing w:before="0" w:after="0"/>
              <w:jc w:val="center"/>
              <w:rPr>
                <w:sz w:val="22"/>
              </w:rPr>
            </w:pPr>
            <w:r w:rsidRPr="00020D20">
              <w:rPr>
                <w:sz w:val="22"/>
              </w:rPr>
              <w:t>13</w:t>
            </w:r>
          </w:p>
        </w:tc>
        <w:tc>
          <w:tcPr>
            <w:tcW w:w="4081" w:type="dxa"/>
            <w:tcBorders>
              <w:top w:val="single" w:sz="4" w:space="0" w:color="auto"/>
              <w:left w:val="single" w:sz="4" w:space="0" w:color="auto"/>
              <w:bottom w:val="single" w:sz="4" w:space="0" w:color="auto"/>
              <w:right w:val="single" w:sz="4" w:space="0" w:color="auto"/>
            </w:tcBorders>
            <w:vAlign w:val="center"/>
          </w:tcPr>
          <w:p w14:paraId="52B64771" w14:textId="77777777" w:rsidR="00636F46" w:rsidRPr="00A91053" w:rsidRDefault="00636F46" w:rsidP="00020D20">
            <w:pPr>
              <w:tabs>
                <w:tab w:val="clear" w:pos="720"/>
              </w:tabs>
              <w:spacing w:before="0" w:after="0"/>
              <w:jc w:val="both"/>
            </w:pPr>
            <w:r w:rsidRPr="00A91053">
              <w:t>Public Involvement</w:t>
            </w:r>
          </w:p>
        </w:tc>
      </w:tr>
      <w:tr w:rsidR="00636F46" w14:paraId="47A87960"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5CE8E71F" w14:textId="77777777" w:rsidR="00636F46" w:rsidRPr="00020D20" w:rsidRDefault="00636F46" w:rsidP="00020D20">
            <w:pPr>
              <w:spacing w:before="0" w:after="0"/>
              <w:jc w:val="center"/>
              <w:rPr>
                <w:sz w:val="22"/>
              </w:rPr>
            </w:pPr>
            <w:r w:rsidRPr="00020D20">
              <w:rPr>
                <w:sz w:val="22"/>
              </w:rPr>
              <w:t>14</w:t>
            </w:r>
          </w:p>
        </w:tc>
        <w:tc>
          <w:tcPr>
            <w:tcW w:w="4081" w:type="dxa"/>
            <w:tcBorders>
              <w:top w:val="single" w:sz="4" w:space="0" w:color="auto"/>
              <w:left w:val="single" w:sz="4" w:space="0" w:color="auto"/>
              <w:bottom w:val="single" w:sz="4" w:space="0" w:color="auto"/>
              <w:right w:val="single" w:sz="4" w:space="0" w:color="auto"/>
            </w:tcBorders>
            <w:vAlign w:val="center"/>
          </w:tcPr>
          <w:p w14:paraId="6DF769F3" w14:textId="77777777" w:rsidR="00636F46" w:rsidRPr="00A91053" w:rsidRDefault="00636F46" w:rsidP="00020D20">
            <w:pPr>
              <w:tabs>
                <w:tab w:val="clear" w:pos="720"/>
              </w:tabs>
              <w:spacing w:before="0" w:after="0"/>
              <w:jc w:val="both"/>
            </w:pPr>
            <w:r w:rsidRPr="00A91053">
              <w:t>Transit</w:t>
            </w:r>
          </w:p>
        </w:tc>
      </w:tr>
      <w:tr w:rsidR="00636F46" w14:paraId="2600B530"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25453982" w14:textId="77777777" w:rsidR="00636F46" w:rsidRPr="00020D20" w:rsidRDefault="00636F46" w:rsidP="00020D20">
            <w:pPr>
              <w:spacing w:before="0" w:after="0"/>
              <w:jc w:val="center"/>
              <w:rPr>
                <w:sz w:val="22"/>
              </w:rPr>
            </w:pPr>
            <w:r w:rsidRPr="00020D20">
              <w:rPr>
                <w:sz w:val="22"/>
              </w:rPr>
              <w:t>15</w:t>
            </w:r>
          </w:p>
        </w:tc>
        <w:tc>
          <w:tcPr>
            <w:tcW w:w="4081" w:type="dxa"/>
            <w:tcBorders>
              <w:top w:val="single" w:sz="4" w:space="0" w:color="auto"/>
              <w:left w:val="single" w:sz="4" w:space="0" w:color="auto"/>
              <w:bottom w:val="single" w:sz="4" w:space="0" w:color="auto"/>
              <w:right w:val="single" w:sz="4" w:space="0" w:color="auto"/>
            </w:tcBorders>
            <w:vAlign w:val="center"/>
          </w:tcPr>
          <w:p w14:paraId="6BBBFDB3" w14:textId="77777777" w:rsidR="00636F46" w:rsidRPr="00A91053" w:rsidRDefault="00636F46" w:rsidP="00020D20">
            <w:pPr>
              <w:tabs>
                <w:tab w:val="clear" w:pos="720"/>
              </w:tabs>
              <w:spacing w:before="0" w:after="0"/>
              <w:jc w:val="both"/>
            </w:pPr>
            <w:r w:rsidRPr="00A91053">
              <w:t>Freight &amp; Rail</w:t>
            </w:r>
          </w:p>
        </w:tc>
      </w:tr>
      <w:tr w:rsidR="00636F46" w14:paraId="4820F795" w14:textId="77777777" w:rsidTr="00020D20">
        <w:trPr>
          <w:trHeight w:val="576"/>
        </w:trPr>
        <w:tc>
          <w:tcPr>
            <w:tcW w:w="80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012768"/>
            <w:vAlign w:val="center"/>
          </w:tcPr>
          <w:p w14:paraId="0433C157" w14:textId="77777777" w:rsidR="00636F46" w:rsidRPr="00020D20" w:rsidRDefault="00636F46" w:rsidP="00020D20">
            <w:pPr>
              <w:spacing w:before="0" w:after="0"/>
              <w:jc w:val="center"/>
              <w:rPr>
                <w:sz w:val="22"/>
              </w:rPr>
            </w:pPr>
            <w:r w:rsidRPr="00020D20">
              <w:rPr>
                <w:sz w:val="22"/>
              </w:rPr>
              <w:t>16</w:t>
            </w:r>
          </w:p>
        </w:tc>
        <w:tc>
          <w:tcPr>
            <w:tcW w:w="4081" w:type="dxa"/>
            <w:tcBorders>
              <w:top w:val="single" w:sz="4" w:space="0" w:color="auto"/>
              <w:left w:val="single" w:sz="4" w:space="0" w:color="auto"/>
              <w:bottom w:val="single" w:sz="4" w:space="0" w:color="auto"/>
              <w:right w:val="single" w:sz="4" w:space="0" w:color="auto"/>
            </w:tcBorders>
            <w:vAlign w:val="center"/>
          </w:tcPr>
          <w:p w14:paraId="508CE458" w14:textId="77777777" w:rsidR="00636F46" w:rsidRPr="00A91053" w:rsidRDefault="00636F46" w:rsidP="00020D20">
            <w:pPr>
              <w:tabs>
                <w:tab w:val="clear" w:pos="720"/>
              </w:tabs>
              <w:spacing w:before="0" w:after="0"/>
              <w:jc w:val="both"/>
            </w:pPr>
            <w:r w:rsidRPr="00A91053">
              <w:t>Aeronautics</w:t>
            </w:r>
          </w:p>
        </w:tc>
      </w:tr>
      <w:tr w:rsidR="00636F46" w14:paraId="60440E65" w14:textId="77777777" w:rsidTr="00020D20">
        <w:trPr>
          <w:trHeight w:val="576"/>
        </w:trPr>
        <w:tc>
          <w:tcPr>
            <w:tcW w:w="805" w:type="dxa"/>
            <w:tcBorders>
              <w:top w:val="single" w:sz="8" w:space="0" w:color="FFFFFF" w:themeColor="background1"/>
              <w:left w:val="single" w:sz="4" w:space="0" w:color="auto"/>
              <w:bottom w:val="single" w:sz="4" w:space="0" w:color="auto"/>
              <w:right w:val="single" w:sz="4" w:space="0" w:color="auto"/>
            </w:tcBorders>
            <w:shd w:val="clear" w:color="auto" w:fill="012768"/>
            <w:vAlign w:val="center"/>
          </w:tcPr>
          <w:p w14:paraId="33C6F362" w14:textId="77777777" w:rsidR="00636F46" w:rsidRPr="00020D20" w:rsidRDefault="00636F46" w:rsidP="00020D20">
            <w:pPr>
              <w:spacing w:before="0" w:after="0"/>
              <w:jc w:val="center"/>
              <w:rPr>
                <w:sz w:val="22"/>
              </w:rPr>
            </w:pPr>
            <w:r w:rsidRPr="00020D20">
              <w:rPr>
                <w:sz w:val="22"/>
              </w:rPr>
              <w:t>17</w:t>
            </w:r>
          </w:p>
        </w:tc>
        <w:tc>
          <w:tcPr>
            <w:tcW w:w="4081" w:type="dxa"/>
            <w:tcBorders>
              <w:top w:val="single" w:sz="4" w:space="0" w:color="auto"/>
              <w:left w:val="single" w:sz="4" w:space="0" w:color="auto"/>
              <w:bottom w:val="single" w:sz="4" w:space="0" w:color="auto"/>
              <w:right w:val="single" w:sz="4" w:space="0" w:color="auto"/>
            </w:tcBorders>
            <w:vAlign w:val="center"/>
          </w:tcPr>
          <w:p w14:paraId="7273D1C9" w14:textId="77777777" w:rsidR="00636F46" w:rsidRPr="00A91053" w:rsidRDefault="00636F46" w:rsidP="00020D20">
            <w:pPr>
              <w:tabs>
                <w:tab w:val="clear" w:pos="720"/>
              </w:tabs>
              <w:spacing w:before="0" w:after="0"/>
              <w:jc w:val="both"/>
            </w:pPr>
            <w:r w:rsidRPr="00A91053">
              <w:t>Supporting Programs</w:t>
            </w:r>
          </w:p>
        </w:tc>
      </w:tr>
    </w:tbl>
    <w:p w14:paraId="7E7BF26B" w14:textId="77777777" w:rsidR="00003E69" w:rsidRDefault="00003E69">
      <w:pPr>
        <w:jc w:val="both"/>
      </w:pPr>
      <w:r>
        <w:br w:type="page"/>
      </w:r>
    </w:p>
    <w:p w14:paraId="2DE914A1" w14:textId="5F7AA0E9" w:rsidR="00636F46" w:rsidRDefault="00636F46" w:rsidP="00020D20">
      <w:pPr>
        <w:jc w:val="both"/>
      </w:pPr>
      <w:r w:rsidRPr="008E3BDF">
        <w:t>Strategically located throughout each chapter are colored text boxes that display the following symbols to indicate the type of information the boxes provide.</w:t>
      </w:r>
    </w:p>
    <w:p w14:paraId="61C93975" w14:textId="77777777" w:rsidR="00636F46" w:rsidRDefault="00636F46" w:rsidP="00020D20">
      <w:pPr>
        <w:jc w:val="both"/>
        <w:rPr>
          <w:noProof/>
        </w:rPr>
      </w:pPr>
      <w:r>
        <w:rPr>
          <w:noProof/>
        </w:rPr>
        <w:t xml:space="preserve">     </w:t>
      </w:r>
      <w:r>
        <w:rPr>
          <w:noProof/>
        </w:rPr>
        <w:drawing>
          <wp:inline distT="0" distB="0" distL="0" distR="0" wp14:anchorId="0B225421" wp14:editId="68CD6A4A">
            <wp:extent cx="457200" cy="457200"/>
            <wp:effectExtent l="0" t="0" r="0" b="0"/>
            <wp:docPr id="816286070" name="Picture 81628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rPr>
          <w:noProof/>
        </w:rPr>
        <w:t xml:space="preserve">             </w:t>
      </w:r>
      <w:r>
        <w:rPr>
          <w:noProof/>
        </w:rPr>
        <w:drawing>
          <wp:inline distT="0" distB="0" distL="0" distR="0" wp14:anchorId="51200A5A" wp14:editId="2B73938B">
            <wp:extent cx="457200" cy="457200"/>
            <wp:effectExtent l="0" t="0" r="0" b="0"/>
            <wp:docPr id="816286071" name="Picture 81628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rPr>
          <w:noProof/>
        </w:rPr>
        <w:t xml:space="preserve">             </w:t>
      </w:r>
      <w:r>
        <w:rPr>
          <w:noProof/>
        </w:rPr>
        <w:drawing>
          <wp:inline distT="0" distB="0" distL="0" distR="0" wp14:anchorId="2A45C55C" wp14:editId="0BEFFC3D">
            <wp:extent cx="457200" cy="457200"/>
            <wp:effectExtent l="0" t="0" r="0" b="0"/>
            <wp:docPr id="816286083" name="Picture 816286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rPr>
          <w:noProof/>
        </w:rPr>
        <w:t xml:space="preserve">           </w:t>
      </w:r>
      <w:r>
        <w:rPr>
          <w:noProof/>
        </w:rPr>
        <w:drawing>
          <wp:inline distT="0" distB="0" distL="0" distR="0" wp14:anchorId="137CDF0E" wp14:editId="10AC613E">
            <wp:extent cx="457200" cy="457200"/>
            <wp:effectExtent l="0" t="0" r="0" b="0"/>
            <wp:docPr id="816286087" name="Picture 816286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FAE1697" w14:textId="2FEF8A5A" w:rsidR="00636F46" w:rsidRDefault="00636F46" w:rsidP="00020D20">
      <w:pPr>
        <w:pStyle w:val="Calloutboxes"/>
        <w:jc w:val="both"/>
        <w:rPr>
          <w:noProof/>
        </w:rPr>
      </w:pPr>
      <w:r>
        <w:rPr>
          <w:noProof/>
        </w:rPr>
        <w:t xml:space="preserve">  </w:t>
      </w:r>
      <w:r w:rsidRPr="00885508">
        <w:t>S</w:t>
      </w:r>
      <w:r w:rsidRPr="00F04814">
        <w:t>chedule/Calendar</w:t>
      </w:r>
      <w:r>
        <w:rPr>
          <w:noProof/>
        </w:rPr>
        <w:t xml:space="preserve">        Checklist                     Contact               Tips &amp; Tricks</w:t>
      </w:r>
    </w:p>
    <w:p w14:paraId="54A59DEF" w14:textId="758172F4" w:rsidR="00636F46" w:rsidRPr="00885508" w:rsidRDefault="00F55017" w:rsidP="00020D20">
      <w:pPr>
        <w:pStyle w:val="Calloutboxes"/>
        <w:jc w:val="both"/>
      </w:pPr>
      <w:r>
        <w:rPr>
          <w:noProof/>
        </w:rPr>
        <w:tab/>
      </w:r>
      <w:r>
        <w:rPr>
          <w:noProof/>
        </w:rPr>
        <w:tab/>
        <w:t xml:space="preserve">  </w:t>
      </w:r>
      <w:r w:rsidR="00636F46">
        <w:rPr>
          <w:noProof/>
        </w:rPr>
        <w:t>Information</w:t>
      </w:r>
    </w:p>
    <w:p w14:paraId="70A8B60F" w14:textId="77777777" w:rsidR="00636F46" w:rsidRDefault="00636F46" w:rsidP="00020D20">
      <w:pPr>
        <w:jc w:val="both"/>
      </w:pPr>
      <w:r>
        <w:t xml:space="preserve">     </w:t>
      </w:r>
      <w:r>
        <w:rPr>
          <w:noProof/>
        </w:rPr>
        <w:drawing>
          <wp:inline distT="0" distB="0" distL="0" distR="0" wp14:anchorId="7F25683E" wp14:editId="401B3A07">
            <wp:extent cx="457200" cy="457200"/>
            <wp:effectExtent l="0" t="0" r="0" b="0"/>
            <wp:docPr id="816286088" name="Picture 81628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r>
        <w:rPr>
          <w:noProof/>
        </w:rPr>
        <w:drawing>
          <wp:inline distT="0" distB="0" distL="0" distR="0" wp14:anchorId="4975D190" wp14:editId="6F8DE25A">
            <wp:extent cx="457200" cy="457200"/>
            <wp:effectExtent l="0" t="0" r="0" b="0"/>
            <wp:docPr id="816286089" name="Picture 81628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r>
        <w:rPr>
          <w:noProof/>
        </w:rPr>
        <w:drawing>
          <wp:inline distT="0" distB="0" distL="0" distR="0" wp14:anchorId="28AE7040" wp14:editId="31317F4C">
            <wp:extent cx="457200" cy="457200"/>
            <wp:effectExtent l="0" t="0" r="0" b="0"/>
            <wp:docPr id="816286095" name="Picture 81628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r>
        <w:rPr>
          <w:noProof/>
        </w:rPr>
        <w:drawing>
          <wp:inline distT="0" distB="0" distL="0" distR="0" wp14:anchorId="0D5EC6AA" wp14:editId="52ED4FF7">
            <wp:extent cx="457200" cy="457200"/>
            <wp:effectExtent l="0" t="0" r="0" b="0"/>
            <wp:docPr id="816286096" name="Picture 816286096"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35D4E4B" w14:textId="22E32DC8" w:rsidR="00636F46" w:rsidRPr="00885508" w:rsidRDefault="00636F46" w:rsidP="00020D20">
      <w:pPr>
        <w:pStyle w:val="Calloutboxes"/>
        <w:jc w:val="both"/>
      </w:pPr>
      <w:r>
        <w:t xml:space="preserve">        </w:t>
      </w:r>
      <w:r w:rsidR="00F55017">
        <w:t>A</w:t>
      </w:r>
      <w:r w:rsidRPr="00F04814">
        <w:t>dditional</w:t>
      </w:r>
      <w:r>
        <w:t xml:space="preserve">                   Trainin</w:t>
      </w:r>
      <w:r w:rsidR="00F55017">
        <w:t>g</w:t>
      </w:r>
      <w:r w:rsidR="00F55017">
        <w:tab/>
        <w:t xml:space="preserve">   State</w:t>
      </w:r>
      <w:r w:rsidR="00F55017">
        <w:tab/>
        <w:t xml:space="preserve">                </w:t>
      </w:r>
      <w:r>
        <w:t>Federal</w:t>
      </w:r>
    </w:p>
    <w:p w14:paraId="7D915BFF" w14:textId="14E839FF" w:rsidR="00636F46" w:rsidRPr="00885508" w:rsidRDefault="00636F46" w:rsidP="00020D20">
      <w:pPr>
        <w:pStyle w:val="Calloutboxes"/>
        <w:jc w:val="both"/>
      </w:pPr>
      <w:r>
        <w:t xml:space="preserve">      </w:t>
      </w:r>
      <w:r w:rsidR="00F55017">
        <w:t xml:space="preserve">  </w:t>
      </w:r>
      <w:r w:rsidRPr="00885508">
        <w:t>R</w:t>
      </w:r>
      <w:r w:rsidRPr="00F04814">
        <w:t>esources</w:t>
      </w:r>
      <w:r>
        <w:tab/>
      </w:r>
      <w:r>
        <w:tab/>
      </w:r>
      <w:r>
        <w:tab/>
        <w:t>Resource</w:t>
      </w:r>
      <w:r>
        <w:tab/>
        <w:t xml:space="preserve">              Resource</w:t>
      </w:r>
    </w:p>
    <w:p w14:paraId="4C835426" w14:textId="77777777" w:rsidR="00636F46" w:rsidRPr="008E3BDF" w:rsidRDefault="00636F46" w:rsidP="00020D20">
      <w:pPr>
        <w:pStyle w:val="Heading2"/>
      </w:pPr>
      <w:bookmarkStart w:id="6" w:name="_Ref50018315"/>
      <w:r w:rsidRPr="008E3BDF">
        <w:t>1.3 | TRANSPORTATION PLANNING REQUIREMENTS</w:t>
      </w:r>
      <w:bookmarkEnd w:id="6"/>
    </w:p>
    <w:p w14:paraId="65402239" w14:textId="68A7ED81" w:rsidR="00636F46" w:rsidRPr="008E3BDF" w:rsidRDefault="00636F46" w:rsidP="00020D20">
      <w:pPr>
        <w:jc w:val="both"/>
      </w:pPr>
      <w:r w:rsidRPr="008E3BDF">
        <w:t>Federal laws, federal regulations, and Arizona statutes govern transportation planning in Arizona. It is important to be familiar with the policies that are di</w:t>
      </w:r>
      <w:r w:rsidR="00FA7F5B">
        <w:t>scussed briefly in this section</w:t>
      </w:r>
      <w:r w:rsidRPr="008E3BDF">
        <w:t xml:space="preserve"> and expanded upon throughout this Manual.</w:t>
      </w:r>
    </w:p>
    <w:p w14:paraId="686DDE8A" w14:textId="77777777" w:rsidR="00636F46" w:rsidRPr="008E3BDF" w:rsidRDefault="00636F46" w:rsidP="00020D20">
      <w:pPr>
        <w:pStyle w:val="Heading3"/>
        <w:jc w:val="both"/>
      </w:pPr>
      <w:bookmarkStart w:id="7" w:name="_Ref50018357"/>
      <w:r w:rsidRPr="008E3BDF">
        <w:t>1.3.1 | Federal Laws</w:t>
      </w:r>
      <w:bookmarkEnd w:id="7"/>
    </w:p>
    <w:p w14:paraId="59FF3B4F" w14:textId="54C45754" w:rsidR="00636F46" w:rsidRPr="008E3BDF" w:rsidRDefault="00636F46" w:rsidP="00020D20">
      <w:pPr>
        <w:jc w:val="both"/>
      </w:pPr>
      <w:r w:rsidRPr="008E3BDF">
        <w:t xml:space="preserve">National transportation policy is set by the U.S. Congress in the form of laws, which establish specific planning requirements and/or delegate that responsibility to the U.S. Secretary of Transportation. Table 1-1 lists the major U.S. transportation laws since 1990, including the most recent law, </w:t>
      </w:r>
      <w:hyperlink r:id="rId34" w:history="1">
        <w:r w:rsidRPr="0007734A">
          <w:rPr>
            <w:rStyle w:val="TitleChar"/>
          </w:rPr>
          <w:t>Fixing America’s Surface Transportation Act</w:t>
        </w:r>
      </w:hyperlink>
      <w:r w:rsidRPr="007B6EEE">
        <w:rPr>
          <w:rStyle w:val="TitleChar"/>
        </w:rPr>
        <w:t xml:space="preserve"> </w:t>
      </w:r>
      <w:r>
        <w:t>(FAST Act)</w:t>
      </w:r>
      <w:r w:rsidRPr="008E3BDF">
        <w:t xml:space="preserve">, enacted on </w:t>
      </w:r>
      <w:r>
        <w:t>December 4</w:t>
      </w:r>
      <w:r w:rsidRPr="008E3BDF">
        <w:t>, 201</w:t>
      </w:r>
      <w:r>
        <w:t>5</w:t>
      </w:r>
      <w:r w:rsidRPr="008E3BDF">
        <w:t xml:space="preserve">. </w:t>
      </w:r>
    </w:p>
    <w:p w14:paraId="2F93241C" w14:textId="2F97EF76" w:rsidR="00636F46" w:rsidRPr="008E3BDF" w:rsidRDefault="00636F46" w:rsidP="00020D20">
      <w:pPr>
        <w:jc w:val="both"/>
      </w:pPr>
      <w:r w:rsidRPr="008E3BDF">
        <w:t xml:space="preserve">Each new law can add, delete, or modify provisions in previous laws. A compilation of currently applicable laws, as amended, is found in the </w:t>
      </w:r>
      <w:r w:rsidRPr="00CD2DCD">
        <w:rPr>
          <w:rStyle w:val="Heading5Char"/>
        </w:rPr>
        <w:t>Code of Laws of the United States of America</w:t>
      </w:r>
      <w:r w:rsidRPr="008E3BDF">
        <w:t xml:space="preserve">, often referred to as the </w:t>
      </w:r>
      <w:r w:rsidRPr="00CD2DCD">
        <w:rPr>
          <w:rStyle w:val="Heading5Char"/>
        </w:rPr>
        <w:t>U.S. Code</w:t>
      </w:r>
      <w:r w:rsidRPr="008E3BDF">
        <w:t xml:space="preserve">. Transportation planning requirements are found in </w:t>
      </w:r>
      <w:hyperlink r:id="rId35" w:history="1">
        <w:r w:rsidRPr="00A975B0">
          <w:rPr>
            <w:rStyle w:val="TitleChar"/>
          </w:rPr>
          <w:t>Title 23 (Highways)</w:t>
        </w:r>
      </w:hyperlink>
      <w:r w:rsidRPr="008E3BDF">
        <w:t xml:space="preserve"> of the </w:t>
      </w:r>
      <w:r w:rsidRPr="00CD2DCD">
        <w:rPr>
          <w:rStyle w:val="Heading5Char"/>
        </w:rPr>
        <w:t>U.S. Code</w:t>
      </w:r>
      <w:r w:rsidRPr="008E3BDF">
        <w:t>. Key sections with regard to transportation planning include the following, modified</w:t>
      </w:r>
      <w:r>
        <w:t xml:space="preserve"> to address resiliency</w:t>
      </w:r>
      <w:r w:rsidRPr="008E3BDF">
        <w:t xml:space="preserve"> by </w:t>
      </w:r>
      <w:r>
        <w:t>the FAST Act</w:t>
      </w:r>
      <w:r w:rsidRPr="008E3BDF">
        <w:t>:</w:t>
      </w:r>
    </w:p>
    <w:p w14:paraId="3ADD1AEB" w14:textId="77777777" w:rsidR="00636F46" w:rsidRPr="008E3BDF" w:rsidRDefault="00636F46" w:rsidP="00020D20">
      <w:pPr>
        <w:jc w:val="both"/>
      </w:pPr>
      <w:r w:rsidRPr="00CD2DCD">
        <w:rPr>
          <w:b/>
        </w:rPr>
        <w:t>Title 23</w:t>
      </w:r>
      <w:r w:rsidRPr="008E3BDF">
        <w:t xml:space="preserve"> | Highways</w:t>
      </w:r>
    </w:p>
    <w:p w14:paraId="4F5E6D8E" w14:textId="77777777" w:rsidR="00636F46" w:rsidRPr="008E3BDF" w:rsidRDefault="00636F46" w:rsidP="00020D20">
      <w:pPr>
        <w:jc w:val="both"/>
      </w:pPr>
      <w:r>
        <w:tab/>
      </w:r>
      <w:r w:rsidRPr="00CD2DCD">
        <w:rPr>
          <w:b/>
        </w:rPr>
        <w:t>Chapter 1</w:t>
      </w:r>
      <w:r w:rsidRPr="008E3BDF">
        <w:t xml:space="preserve"> | Federal-Aid Highways</w:t>
      </w:r>
    </w:p>
    <w:p w14:paraId="749DC5A9" w14:textId="77777777" w:rsidR="00636F46" w:rsidRPr="00101FFC" w:rsidRDefault="00636F46" w:rsidP="00020D20">
      <w:pPr>
        <w:jc w:val="both"/>
        <w:rPr>
          <w:b/>
          <w:u w:val="single"/>
        </w:rPr>
      </w:pPr>
      <w:r w:rsidRPr="00101FFC">
        <w:rPr>
          <w:b/>
          <w:u w:val="single"/>
        </w:rPr>
        <w:t>Sections 134 &amp; 135:</w:t>
      </w:r>
    </w:p>
    <w:p w14:paraId="63B4E5DE" w14:textId="77777777" w:rsidR="00636F46" w:rsidRPr="00496815" w:rsidRDefault="00202C92" w:rsidP="00020D20">
      <w:pPr>
        <w:pStyle w:val="Body-Bullets"/>
        <w:jc w:val="both"/>
      </w:pPr>
      <w:hyperlink r:id="rId36" w:history="1">
        <w:r w:rsidR="00636F46" w:rsidRPr="00A975B0">
          <w:rPr>
            <w:rStyle w:val="TitleChar"/>
          </w:rPr>
          <w:t xml:space="preserve">23 U.S.C. § 134 </w:t>
        </w:r>
      </w:hyperlink>
      <w:r w:rsidR="00636F46" w:rsidRPr="00496815">
        <w:t>| Metropolitan Transportation Planning</w:t>
      </w:r>
    </w:p>
    <w:p w14:paraId="2DE3710F" w14:textId="77777777" w:rsidR="00636F46" w:rsidRPr="00496815" w:rsidRDefault="00202C92" w:rsidP="00020D20">
      <w:pPr>
        <w:pStyle w:val="Body-Bullets"/>
        <w:jc w:val="both"/>
      </w:pPr>
      <w:hyperlink r:id="rId37" w:history="1">
        <w:r w:rsidR="00636F46" w:rsidRPr="00A975B0">
          <w:rPr>
            <w:rStyle w:val="TitleChar"/>
          </w:rPr>
          <w:t>23 U.S.C. § 135</w:t>
        </w:r>
      </w:hyperlink>
      <w:r w:rsidR="00636F46" w:rsidRPr="003707B0">
        <w:rPr>
          <w:rStyle w:val="TitleChar"/>
          <w:rFonts w:asciiTheme="minorHAnsi" w:eastAsiaTheme="minorHAnsi" w:hAnsiTheme="minorHAnsi" w:cstheme="minorBidi"/>
          <w:i w:val="0"/>
          <w:color w:val="auto"/>
          <w:spacing w:val="0"/>
          <w:kern w:val="0"/>
          <w:szCs w:val="20"/>
        </w:rPr>
        <w:t xml:space="preserve"> </w:t>
      </w:r>
      <w:r w:rsidR="00636F46" w:rsidRPr="00496815">
        <w:t>| Statewide and Non-metropolitan Transportation Planning</w:t>
      </w:r>
    </w:p>
    <w:p w14:paraId="09750626" w14:textId="62C8C45E" w:rsidR="00636F46" w:rsidRDefault="00636F46" w:rsidP="00020D20">
      <w:pPr>
        <w:jc w:val="both"/>
        <w:sectPr w:rsidR="00636F46" w:rsidSect="00020D20">
          <w:footerReference w:type="default" r:id="rId38"/>
          <w:type w:val="continuous"/>
          <w:pgSz w:w="12240" w:h="15840"/>
          <w:pgMar w:top="1080" w:right="1080" w:bottom="1080" w:left="1080" w:header="1152" w:footer="720" w:gutter="0"/>
          <w:pgNumType w:start="1" w:chapStyle="1"/>
          <w:cols w:num="2" w:space="288"/>
          <w:docGrid w:linePitch="360"/>
        </w:sectPr>
      </w:pPr>
      <w:r>
        <w:t>The FAST Act</w:t>
      </w:r>
      <w:r w:rsidRPr="008E3BDF">
        <w:t xml:space="preserve"> </w:t>
      </w:r>
      <w:r>
        <w:t>continued</w:t>
      </w:r>
      <w:r w:rsidRPr="007B6EEE">
        <w:rPr>
          <w:rStyle w:val="TitleChar"/>
        </w:rPr>
        <w:t xml:space="preserve"> </w:t>
      </w:r>
      <w:hyperlink r:id="rId39" w:history="1">
        <w:r w:rsidRPr="00A975B0">
          <w:rPr>
            <w:rStyle w:val="TitleChar"/>
          </w:rPr>
          <w:t>23 U.S.C. § 201</w:t>
        </w:r>
      </w:hyperlink>
      <w:r w:rsidRPr="008E3BDF">
        <w:t>,</w:t>
      </w:r>
      <w:r w:rsidRPr="00020D20">
        <w:rPr>
          <w:b/>
        </w:rPr>
        <w:t xml:space="preserve"> Federal Lands and Tribal Transportation Programs</w:t>
      </w:r>
      <w:r w:rsidR="00B12C96">
        <w:rPr>
          <w:b/>
        </w:rPr>
        <w:t xml:space="preserve"> </w:t>
      </w:r>
      <w:r w:rsidR="00B12C96">
        <w:t>(TTP)</w:t>
      </w:r>
      <w:r w:rsidRPr="008E3BDF">
        <w:t>, which mandates, “In consultation with the Secretary of each appropriate Federal land management agency, the Secretary shall implement transportation planning procedures for Federal lands and tribal transportation facilities that are consistent with the planning processes required under sections 134 and 135.” An approved tribal transportation program, federal lands transportation program, and federal lands access program, as well as transportation improvement programs (TIPs) are required to be included in appropriate state and MPO plan</w:t>
      </w:r>
      <w:r w:rsidR="00FA30E4">
        <w:t>s and programs (</w:t>
      </w:r>
      <w:hyperlink r:id="rId40" w:history="1">
        <w:r w:rsidR="00FA30E4" w:rsidRPr="00020D20">
          <w:rPr>
            <w:rStyle w:val="TitleChar"/>
          </w:rPr>
          <w:t>23 U.S.C. § 201</w:t>
        </w:r>
        <w:r w:rsidRPr="00020D20">
          <w:rPr>
            <w:rStyle w:val="TitleChar"/>
          </w:rPr>
          <w:t>(c)(4)</w:t>
        </w:r>
      </w:hyperlink>
      <w:r w:rsidRPr="008E3BDF">
        <w:t>).</w:t>
      </w:r>
    </w:p>
    <w:p w14:paraId="69798E09" w14:textId="77777777" w:rsidR="00636F46" w:rsidRDefault="00636F46" w:rsidP="00020D20">
      <w:pPr>
        <w:jc w:val="both"/>
      </w:pPr>
    </w:p>
    <w:p w14:paraId="774ACBE1" w14:textId="77777777" w:rsidR="00636F46" w:rsidRDefault="00636F46" w:rsidP="00020D20">
      <w:pPr>
        <w:pStyle w:val="Heading4"/>
        <w:jc w:val="both"/>
        <w:rPr>
          <w:iCs w:val="0"/>
        </w:rPr>
        <w:sectPr w:rsidR="00636F46" w:rsidSect="007A7310">
          <w:type w:val="continuous"/>
          <w:pgSz w:w="12240" w:h="15840"/>
          <w:pgMar w:top="1080" w:right="1080" w:bottom="1080" w:left="1080" w:header="1152" w:footer="720" w:gutter="0"/>
          <w:cols w:num="2" w:space="288"/>
          <w:docGrid w:linePitch="360"/>
        </w:sectPr>
      </w:pPr>
    </w:p>
    <w:p w14:paraId="0B7C6410" w14:textId="5597CAB8" w:rsidR="00636F46" w:rsidRDefault="00636F46" w:rsidP="00020D20">
      <w:pPr>
        <w:pStyle w:val="Heading4"/>
        <w:jc w:val="both"/>
      </w:pPr>
      <w:r w:rsidRPr="008E3BDF">
        <w:t>Table 1-1 | Major U.S. Transportation Laws: 199</w:t>
      </w:r>
      <w:r w:rsidR="002F17FB">
        <w:t>8</w:t>
      </w:r>
      <w:r w:rsidRPr="008E3BDF">
        <w:t>-Present</w:t>
      </w:r>
    </w:p>
    <w:tbl>
      <w:tblPr>
        <w:tblpPr w:leftFromText="180" w:rightFromText="180" w:vertAnchor="text" w:horzAnchor="margin" w:tblpY="19"/>
        <w:tblW w:w="10095" w:type="dxa"/>
        <w:tblLayout w:type="fixed"/>
        <w:tblCellMar>
          <w:left w:w="0" w:type="dxa"/>
          <w:right w:w="0" w:type="dxa"/>
        </w:tblCellMar>
        <w:tblLook w:val="0000" w:firstRow="0" w:lastRow="0" w:firstColumn="0" w:lastColumn="0" w:noHBand="0" w:noVBand="0"/>
      </w:tblPr>
      <w:tblGrid>
        <w:gridCol w:w="810"/>
        <w:gridCol w:w="1325"/>
        <w:gridCol w:w="1260"/>
        <w:gridCol w:w="6700"/>
      </w:tblGrid>
      <w:tr w:rsidR="00636F46" w:rsidRPr="00BB7056" w14:paraId="31B40911" w14:textId="77777777" w:rsidTr="00020D20">
        <w:trPr>
          <w:trHeight w:val="20"/>
        </w:trPr>
        <w:tc>
          <w:tcPr>
            <w:tcW w:w="810" w:type="dxa"/>
            <w:tcBorders>
              <w:top w:val="single" w:sz="8" w:space="0" w:color="auto"/>
              <w:left w:val="single" w:sz="8" w:space="0" w:color="auto"/>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3E176DE3" w14:textId="77777777" w:rsidR="00636F46" w:rsidRPr="002F17FB" w:rsidRDefault="00636F46" w:rsidP="001470A6">
            <w:pPr>
              <w:pStyle w:val="TableSub-HeaderADOTTable"/>
              <w:spacing w:before="0" w:after="0" w:line="240" w:lineRule="auto"/>
              <w:rPr>
                <w:rFonts w:asciiTheme="minorHAnsi" w:hAnsiTheme="minorHAnsi" w:cstheme="minorHAnsi"/>
                <w:sz w:val="22"/>
                <w:szCs w:val="18"/>
              </w:rPr>
            </w:pPr>
            <w:r w:rsidRPr="002F17FB">
              <w:rPr>
                <w:rFonts w:asciiTheme="minorHAnsi" w:hAnsiTheme="minorHAnsi" w:cstheme="minorHAnsi"/>
                <w:color w:val="FFFFFF" w:themeColor="background1"/>
                <w:sz w:val="22"/>
                <w:szCs w:val="18"/>
              </w:rPr>
              <w:t>Year</w:t>
            </w:r>
          </w:p>
        </w:tc>
        <w:tc>
          <w:tcPr>
            <w:tcW w:w="1325" w:type="dxa"/>
            <w:tcBorders>
              <w:top w:val="single" w:sz="8" w:space="0" w:color="auto"/>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23DF8086" w14:textId="77777777" w:rsidR="00636F46" w:rsidRPr="006E65C7" w:rsidRDefault="00636F46" w:rsidP="00625D23">
            <w:pPr>
              <w:spacing w:before="0" w:after="0" w:line="240" w:lineRule="auto"/>
              <w:jc w:val="center"/>
              <w:rPr>
                <w:rFonts w:cstheme="minorHAnsi"/>
                <w:sz w:val="22"/>
                <w:szCs w:val="18"/>
              </w:rPr>
            </w:pPr>
            <w:r w:rsidRPr="00472679">
              <w:rPr>
                <w:rFonts w:cstheme="minorHAnsi"/>
                <w:sz w:val="22"/>
                <w:szCs w:val="18"/>
              </w:rPr>
              <w:t>Public Law #</w:t>
            </w:r>
          </w:p>
        </w:tc>
        <w:tc>
          <w:tcPr>
            <w:tcW w:w="1260" w:type="dxa"/>
            <w:tcBorders>
              <w:top w:val="single" w:sz="8" w:space="0" w:color="auto"/>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50524D1A" w14:textId="77777777" w:rsidR="00636F46" w:rsidRPr="00495A39" w:rsidRDefault="00636F46" w:rsidP="001E4049">
            <w:pPr>
              <w:spacing w:before="0" w:after="0" w:line="240" w:lineRule="auto"/>
              <w:jc w:val="center"/>
              <w:rPr>
                <w:rFonts w:cstheme="minorHAnsi"/>
                <w:sz w:val="22"/>
                <w:szCs w:val="18"/>
              </w:rPr>
            </w:pPr>
            <w:r w:rsidRPr="00495A39">
              <w:rPr>
                <w:rFonts w:cstheme="minorHAnsi"/>
                <w:sz w:val="22"/>
                <w:szCs w:val="18"/>
              </w:rPr>
              <w:t>Acronym</w:t>
            </w:r>
          </w:p>
        </w:tc>
        <w:tc>
          <w:tcPr>
            <w:tcW w:w="6700" w:type="dxa"/>
            <w:tcBorders>
              <w:top w:val="single" w:sz="8" w:space="0" w:color="auto"/>
              <w:left w:val="single" w:sz="8" w:space="0" w:color="FFFFFF" w:themeColor="background1"/>
              <w:bottom w:val="single" w:sz="4" w:space="0" w:color="auto"/>
              <w:right w:val="single" w:sz="8" w:space="0" w:color="auto"/>
            </w:tcBorders>
            <w:shd w:val="clear" w:color="auto" w:fill="012768"/>
            <w:tcMar>
              <w:top w:w="80" w:type="dxa"/>
              <w:left w:w="80" w:type="dxa"/>
              <w:bottom w:w="80" w:type="dxa"/>
              <w:right w:w="80" w:type="dxa"/>
            </w:tcMar>
            <w:vAlign w:val="center"/>
          </w:tcPr>
          <w:p w14:paraId="0064AFAC" w14:textId="77777777" w:rsidR="00636F46" w:rsidRPr="00495A39" w:rsidRDefault="00636F46" w:rsidP="00020D20">
            <w:pPr>
              <w:spacing w:before="0" w:after="0" w:line="240" w:lineRule="auto"/>
              <w:jc w:val="both"/>
              <w:rPr>
                <w:rFonts w:cstheme="minorHAnsi"/>
                <w:sz w:val="22"/>
                <w:szCs w:val="18"/>
              </w:rPr>
            </w:pPr>
            <w:r w:rsidRPr="00495A39">
              <w:rPr>
                <w:rFonts w:cstheme="minorHAnsi"/>
                <w:sz w:val="22"/>
                <w:szCs w:val="18"/>
              </w:rPr>
              <w:t>Full Name</w:t>
            </w:r>
          </w:p>
        </w:tc>
      </w:tr>
      <w:tr w:rsidR="00636F46" w:rsidRPr="00BB7056" w14:paraId="031B4279" w14:textId="77777777" w:rsidTr="00020D20">
        <w:trPr>
          <w:trHeight w:val="20"/>
        </w:trPr>
        <w:tc>
          <w:tcPr>
            <w:tcW w:w="810" w:type="dxa"/>
            <w:tcBorders>
              <w:top w:val="single" w:sz="4" w:space="0" w:color="auto"/>
              <w:left w:val="single" w:sz="8" w:space="0" w:color="auto"/>
              <w:bottom w:val="single" w:sz="8" w:space="0" w:color="323232"/>
              <w:right w:val="single" w:sz="8" w:space="0" w:color="323232"/>
            </w:tcBorders>
            <w:tcMar>
              <w:top w:w="80" w:type="dxa"/>
              <w:left w:w="80" w:type="dxa"/>
              <w:bottom w:w="80" w:type="dxa"/>
              <w:right w:w="80" w:type="dxa"/>
            </w:tcMar>
            <w:vAlign w:val="center"/>
          </w:tcPr>
          <w:p w14:paraId="0D28AB16" w14:textId="77777777" w:rsidR="00636F46" w:rsidRPr="002F17FB" w:rsidRDefault="00636F46" w:rsidP="001470A6">
            <w:pPr>
              <w:spacing w:before="0" w:after="0" w:line="240" w:lineRule="auto"/>
              <w:jc w:val="center"/>
              <w:rPr>
                <w:sz w:val="18"/>
                <w:szCs w:val="18"/>
              </w:rPr>
            </w:pPr>
            <w:r w:rsidRPr="002F17FB">
              <w:rPr>
                <w:sz w:val="18"/>
                <w:szCs w:val="18"/>
              </w:rPr>
              <w:t>1998</w:t>
            </w:r>
          </w:p>
        </w:tc>
        <w:tc>
          <w:tcPr>
            <w:tcW w:w="1325"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6C38359E" w14:textId="77777777" w:rsidR="00636F46" w:rsidRPr="006E65C7" w:rsidRDefault="00636F46" w:rsidP="00625D23">
            <w:pPr>
              <w:spacing w:before="0" w:after="0" w:line="240" w:lineRule="auto"/>
              <w:jc w:val="center"/>
              <w:rPr>
                <w:sz w:val="18"/>
                <w:szCs w:val="18"/>
              </w:rPr>
            </w:pPr>
            <w:r w:rsidRPr="00472679">
              <w:rPr>
                <w:sz w:val="18"/>
                <w:szCs w:val="18"/>
              </w:rPr>
              <w:t>105-178</w:t>
            </w:r>
          </w:p>
        </w:tc>
        <w:tc>
          <w:tcPr>
            <w:tcW w:w="1260"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436DEB4E" w14:textId="77777777" w:rsidR="00636F46" w:rsidRPr="00495A39" w:rsidRDefault="00636F46" w:rsidP="001E4049">
            <w:pPr>
              <w:spacing w:before="0" w:after="0" w:line="240" w:lineRule="auto"/>
              <w:jc w:val="center"/>
              <w:rPr>
                <w:sz w:val="18"/>
                <w:szCs w:val="18"/>
              </w:rPr>
            </w:pPr>
            <w:r w:rsidRPr="00495A39">
              <w:rPr>
                <w:sz w:val="18"/>
                <w:szCs w:val="18"/>
              </w:rPr>
              <w:t>TEA-21</w:t>
            </w:r>
          </w:p>
        </w:tc>
        <w:tc>
          <w:tcPr>
            <w:tcW w:w="6700" w:type="dxa"/>
            <w:tcBorders>
              <w:top w:val="single" w:sz="4" w:space="0" w:color="auto"/>
              <w:left w:val="single" w:sz="8" w:space="0" w:color="323232"/>
              <w:bottom w:val="single" w:sz="8" w:space="0" w:color="323232"/>
              <w:right w:val="single" w:sz="8" w:space="0" w:color="auto"/>
            </w:tcBorders>
            <w:tcMar>
              <w:top w:w="80" w:type="dxa"/>
              <w:left w:w="80" w:type="dxa"/>
              <w:bottom w:w="80" w:type="dxa"/>
              <w:right w:w="80" w:type="dxa"/>
            </w:tcMar>
            <w:vAlign w:val="center"/>
          </w:tcPr>
          <w:p w14:paraId="6AE8E161" w14:textId="77777777" w:rsidR="00636F46" w:rsidRPr="00495A39" w:rsidRDefault="00636F46" w:rsidP="00020D20">
            <w:pPr>
              <w:spacing w:before="0" w:after="0" w:line="240" w:lineRule="auto"/>
              <w:jc w:val="both"/>
              <w:rPr>
                <w:sz w:val="18"/>
                <w:szCs w:val="18"/>
              </w:rPr>
            </w:pPr>
            <w:r w:rsidRPr="00495A39">
              <w:rPr>
                <w:sz w:val="18"/>
                <w:szCs w:val="18"/>
              </w:rPr>
              <w:t>Transportation Equity Act for the 21st Century</w:t>
            </w:r>
          </w:p>
        </w:tc>
      </w:tr>
      <w:tr w:rsidR="00636F46" w:rsidRPr="00BB7056" w14:paraId="25ABF8C0" w14:textId="77777777" w:rsidTr="00020D20">
        <w:trPr>
          <w:trHeight w:val="20"/>
        </w:trPr>
        <w:tc>
          <w:tcPr>
            <w:tcW w:w="810" w:type="dxa"/>
            <w:tcBorders>
              <w:top w:val="single" w:sz="8" w:space="0" w:color="323232"/>
              <w:left w:val="single" w:sz="8" w:space="0" w:color="auto"/>
              <w:bottom w:val="single" w:sz="8" w:space="0" w:color="323232"/>
              <w:right w:val="single" w:sz="8" w:space="0" w:color="323232"/>
            </w:tcBorders>
            <w:tcMar>
              <w:top w:w="80" w:type="dxa"/>
              <w:left w:w="80" w:type="dxa"/>
              <w:bottom w:w="80" w:type="dxa"/>
              <w:right w:w="80" w:type="dxa"/>
            </w:tcMar>
            <w:vAlign w:val="center"/>
          </w:tcPr>
          <w:p w14:paraId="47D1D5BA" w14:textId="77777777" w:rsidR="00636F46" w:rsidRPr="002F17FB" w:rsidRDefault="00636F46" w:rsidP="001470A6">
            <w:pPr>
              <w:spacing w:before="0" w:after="0" w:line="240" w:lineRule="auto"/>
              <w:jc w:val="center"/>
              <w:rPr>
                <w:sz w:val="18"/>
                <w:szCs w:val="18"/>
              </w:rPr>
            </w:pPr>
            <w:r w:rsidRPr="002F17FB">
              <w:rPr>
                <w:sz w:val="18"/>
                <w:szCs w:val="18"/>
              </w:rPr>
              <w:t>2005</w:t>
            </w:r>
          </w:p>
        </w:tc>
        <w:tc>
          <w:tcPr>
            <w:tcW w:w="132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8011C22" w14:textId="77777777" w:rsidR="00636F46" w:rsidRPr="006E65C7" w:rsidRDefault="00636F46" w:rsidP="00625D23">
            <w:pPr>
              <w:spacing w:before="0" w:after="0" w:line="240" w:lineRule="auto"/>
              <w:jc w:val="center"/>
              <w:rPr>
                <w:sz w:val="18"/>
                <w:szCs w:val="18"/>
              </w:rPr>
            </w:pPr>
            <w:r w:rsidRPr="00472679">
              <w:rPr>
                <w:sz w:val="18"/>
                <w:szCs w:val="18"/>
              </w:rPr>
              <w:t>109-59</w:t>
            </w:r>
          </w:p>
        </w:tc>
        <w:tc>
          <w:tcPr>
            <w:tcW w:w="12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DA133D8" w14:textId="77777777" w:rsidR="00636F46" w:rsidRPr="00495A39" w:rsidRDefault="00636F46" w:rsidP="001E4049">
            <w:pPr>
              <w:spacing w:before="0" w:after="0" w:line="240" w:lineRule="auto"/>
              <w:jc w:val="center"/>
              <w:rPr>
                <w:sz w:val="18"/>
                <w:szCs w:val="18"/>
              </w:rPr>
            </w:pPr>
            <w:r w:rsidRPr="00495A39">
              <w:rPr>
                <w:sz w:val="18"/>
                <w:szCs w:val="18"/>
              </w:rPr>
              <w:t>SAFETEA-LU</w:t>
            </w:r>
          </w:p>
        </w:tc>
        <w:tc>
          <w:tcPr>
            <w:tcW w:w="6700" w:type="dxa"/>
            <w:tcBorders>
              <w:top w:val="single" w:sz="8" w:space="0" w:color="323232"/>
              <w:left w:val="single" w:sz="8" w:space="0" w:color="323232"/>
              <w:bottom w:val="single" w:sz="8" w:space="0" w:color="323232"/>
              <w:right w:val="single" w:sz="8" w:space="0" w:color="auto"/>
            </w:tcBorders>
            <w:tcMar>
              <w:top w:w="80" w:type="dxa"/>
              <w:left w:w="80" w:type="dxa"/>
              <w:bottom w:w="80" w:type="dxa"/>
              <w:right w:w="80" w:type="dxa"/>
            </w:tcMar>
            <w:vAlign w:val="center"/>
          </w:tcPr>
          <w:p w14:paraId="6C4ECA18" w14:textId="77777777" w:rsidR="00636F46" w:rsidRPr="00495A39" w:rsidRDefault="00636F46" w:rsidP="00020D20">
            <w:pPr>
              <w:spacing w:before="0" w:after="0" w:line="240" w:lineRule="auto"/>
              <w:jc w:val="both"/>
              <w:rPr>
                <w:sz w:val="18"/>
                <w:szCs w:val="18"/>
              </w:rPr>
            </w:pPr>
            <w:r w:rsidRPr="00495A39">
              <w:rPr>
                <w:sz w:val="18"/>
                <w:szCs w:val="18"/>
              </w:rPr>
              <w:t>Safe, Accountable, Flexible, Efficient Transportation Equity Act: A Legacy for Users</w:t>
            </w:r>
          </w:p>
        </w:tc>
      </w:tr>
      <w:tr w:rsidR="00636F46" w:rsidRPr="00BB7056" w14:paraId="5BECABF0" w14:textId="77777777" w:rsidTr="00020D20">
        <w:trPr>
          <w:trHeight w:val="20"/>
        </w:trPr>
        <w:tc>
          <w:tcPr>
            <w:tcW w:w="810" w:type="dxa"/>
            <w:tcBorders>
              <w:top w:val="single" w:sz="8" w:space="0" w:color="323232"/>
              <w:left w:val="single" w:sz="8" w:space="0" w:color="auto"/>
              <w:bottom w:val="single" w:sz="8" w:space="0" w:color="323232"/>
              <w:right w:val="single" w:sz="8" w:space="0" w:color="323232"/>
            </w:tcBorders>
            <w:tcMar>
              <w:top w:w="80" w:type="dxa"/>
              <w:left w:w="80" w:type="dxa"/>
              <w:bottom w:w="80" w:type="dxa"/>
              <w:right w:w="80" w:type="dxa"/>
            </w:tcMar>
            <w:vAlign w:val="center"/>
          </w:tcPr>
          <w:p w14:paraId="5172A54E" w14:textId="77777777" w:rsidR="00636F46" w:rsidRPr="002F17FB" w:rsidRDefault="00636F46" w:rsidP="001470A6">
            <w:pPr>
              <w:spacing w:before="0" w:after="0" w:line="240" w:lineRule="auto"/>
              <w:jc w:val="center"/>
              <w:rPr>
                <w:sz w:val="18"/>
                <w:szCs w:val="18"/>
              </w:rPr>
            </w:pPr>
            <w:r w:rsidRPr="002F17FB">
              <w:rPr>
                <w:sz w:val="18"/>
                <w:szCs w:val="18"/>
              </w:rPr>
              <w:t>2012</w:t>
            </w:r>
          </w:p>
        </w:tc>
        <w:tc>
          <w:tcPr>
            <w:tcW w:w="132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63C8D15" w14:textId="77777777" w:rsidR="00636F46" w:rsidRPr="006E65C7" w:rsidRDefault="00636F46" w:rsidP="00625D23">
            <w:pPr>
              <w:spacing w:before="0" w:after="0" w:line="240" w:lineRule="auto"/>
              <w:jc w:val="center"/>
              <w:rPr>
                <w:sz w:val="18"/>
                <w:szCs w:val="18"/>
              </w:rPr>
            </w:pPr>
            <w:r w:rsidRPr="00472679">
              <w:rPr>
                <w:sz w:val="18"/>
                <w:szCs w:val="18"/>
              </w:rPr>
              <w:t>112-141</w:t>
            </w:r>
          </w:p>
        </w:tc>
        <w:tc>
          <w:tcPr>
            <w:tcW w:w="12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BFD401C" w14:textId="77777777" w:rsidR="00636F46" w:rsidRPr="00495A39" w:rsidRDefault="00636F46" w:rsidP="001E4049">
            <w:pPr>
              <w:spacing w:before="0" w:after="0" w:line="240" w:lineRule="auto"/>
              <w:jc w:val="center"/>
              <w:rPr>
                <w:sz w:val="18"/>
                <w:szCs w:val="18"/>
              </w:rPr>
            </w:pPr>
            <w:r w:rsidRPr="00495A39">
              <w:rPr>
                <w:sz w:val="18"/>
                <w:szCs w:val="18"/>
              </w:rPr>
              <w:t>MAP-21</w:t>
            </w:r>
          </w:p>
        </w:tc>
        <w:tc>
          <w:tcPr>
            <w:tcW w:w="6700" w:type="dxa"/>
            <w:tcBorders>
              <w:top w:val="single" w:sz="8" w:space="0" w:color="323232"/>
              <w:left w:val="single" w:sz="8" w:space="0" w:color="323232"/>
              <w:bottom w:val="single" w:sz="8" w:space="0" w:color="323232"/>
              <w:right w:val="single" w:sz="8" w:space="0" w:color="auto"/>
            </w:tcBorders>
            <w:tcMar>
              <w:top w:w="80" w:type="dxa"/>
              <w:left w:w="80" w:type="dxa"/>
              <w:bottom w:w="80" w:type="dxa"/>
              <w:right w:w="80" w:type="dxa"/>
            </w:tcMar>
            <w:vAlign w:val="center"/>
          </w:tcPr>
          <w:p w14:paraId="4D915813" w14:textId="77777777" w:rsidR="00636F46" w:rsidRPr="00495A39" w:rsidRDefault="00636F46" w:rsidP="00020D20">
            <w:pPr>
              <w:spacing w:before="0" w:after="0" w:line="240" w:lineRule="auto"/>
              <w:jc w:val="both"/>
              <w:rPr>
                <w:sz w:val="18"/>
                <w:szCs w:val="18"/>
              </w:rPr>
            </w:pPr>
            <w:r w:rsidRPr="00495A39">
              <w:rPr>
                <w:sz w:val="18"/>
                <w:szCs w:val="18"/>
              </w:rPr>
              <w:t>Moving Ahead for Progress in the 21st Century Act</w:t>
            </w:r>
          </w:p>
        </w:tc>
      </w:tr>
      <w:tr w:rsidR="00636F46" w:rsidRPr="00BB7056" w14:paraId="1661BD69" w14:textId="77777777" w:rsidTr="00020D20">
        <w:trPr>
          <w:trHeight w:val="20"/>
        </w:trPr>
        <w:tc>
          <w:tcPr>
            <w:tcW w:w="810" w:type="dxa"/>
            <w:tcBorders>
              <w:top w:val="single" w:sz="8" w:space="0" w:color="323232"/>
              <w:left w:val="single" w:sz="8" w:space="0" w:color="auto"/>
              <w:bottom w:val="single" w:sz="4" w:space="0" w:color="auto"/>
              <w:right w:val="single" w:sz="8" w:space="0" w:color="323232"/>
            </w:tcBorders>
            <w:tcMar>
              <w:top w:w="80" w:type="dxa"/>
              <w:left w:w="80" w:type="dxa"/>
              <w:bottom w:w="80" w:type="dxa"/>
              <w:right w:w="80" w:type="dxa"/>
            </w:tcMar>
            <w:vAlign w:val="center"/>
          </w:tcPr>
          <w:p w14:paraId="218D0AA1" w14:textId="77777777" w:rsidR="00636F46" w:rsidRPr="002F17FB" w:rsidRDefault="00636F46" w:rsidP="001470A6">
            <w:pPr>
              <w:spacing w:before="0" w:after="0" w:line="240" w:lineRule="auto"/>
              <w:jc w:val="center"/>
              <w:rPr>
                <w:sz w:val="18"/>
                <w:szCs w:val="18"/>
              </w:rPr>
            </w:pPr>
            <w:r w:rsidRPr="002F17FB">
              <w:rPr>
                <w:sz w:val="18"/>
                <w:szCs w:val="18"/>
              </w:rPr>
              <w:t>2016</w:t>
            </w:r>
          </w:p>
        </w:tc>
        <w:tc>
          <w:tcPr>
            <w:tcW w:w="1325" w:type="dxa"/>
            <w:tcBorders>
              <w:top w:val="single" w:sz="8" w:space="0" w:color="323232"/>
              <w:left w:val="single" w:sz="8" w:space="0" w:color="323232"/>
              <w:bottom w:val="single" w:sz="4" w:space="0" w:color="auto"/>
              <w:right w:val="single" w:sz="8" w:space="0" w:color="323232"/>
            </w:tcBorders>
            <w:tcMar>
              <w:top w:w="80" w:type="dxa"/>
              <w:left w:w="80" w:type="dxa"/>
              <w:bottom w:w="80" w:type="dxa"/>
              <w:right w:w="80" w:type="dxa"/>
            </w:tcMar>
            <w:vAlign w:val="center"/>
          </w:tcPr>
          <w:p w14:paraId="3ADD804E" w14:textId="77777777" w:rsidR="00636F46" w:rsidRPr="006E65C7" w:rsidRDefault="00636F46" w:rsidP="00625D23">
            <w:pPr>
              <w:spacing w:before="0" w:after="0" w:line="240" w:lineRule="auto"/>
              <w:jc w:val="center"/>
              <w:rPr>
                <w:sz w:val="18"/>
                <w:szCs w:val="18"/>
              </w:rPr>
            </w:pPr>
            <w:r w:rsidRPr="00472679">
              <w:rPr>
                <w:sz w:val="18"/>
                <w:szCs w:val="18"/>
              </w:rPr>
              <w:t>114-94</w:t>
            </w:r>
          </w:p>
        </w:tc>
        <w:tc>
          <w:tcPr>
            <w:tcW w:w="1260" w:type="dxa"/>
            <w:tcBorders>
              <w:top w:val="single" w:sz="8" w:space="0" w:color="323232"/>
              <w:left w:val="single" w:sz="8" w:space="0" w:color="323232"/>
              <w:bottom w:val="single" w:sz="4" w:space="0" w:color="auto"/>
              <w:right w:val="single" w:sz="8" w:space="0" w:color="323232"/>
            </w:tcBorders>
            <w:tcMar>
              <w:top w:w="80" w:type="dxa"/>
              <w:left w:w="80" w:type="dxa"/>
              <w:bottom w:w="80" w:type="dxa"/>
              <w:right w:w="80" w:type="dxa"/>
            </w:tcMar>
            <w:vAlign w:val="center"/>
          </w:tcPr>
          <w:p w14:paraId="5E90048E" w14:textId="77777777" w:rsidR="00636F46" w:rsidRPr="00495A39" w:rsidRDefault="00636F46" w:rsidP="001E4049">
            <w:pPr>
              <w:spacing w:before="0" w:after="0" w:line="240" w:lineRule="auto"/>
              <w:jc w:val="center"/>
              <w:rPr>
                <w:sz w:val="18"/>
                <w:szCs w:val="18"/>
              </w:rPr>
            </w:pPr>
            <w:r w:rsidRPr="00495A39">
              <w:rPr>
                <w:sz w:val="18"/>
                <w:szCs w:val="18"/>
              </w:rPr>
              <w:t>FAST Act</w:t>
            </w:r>
          </w:p>
        </w:tc>
        <w:tc>
          <w:tcPr>
            <w:tcW w:w="6700" w:type="dxa"/>
            <w:tcBorders>
              <w:top w:val="single" w:sz="8" w:space="0" w:color="323232"/>
              <w:left w:val="single" w:sz="8" w:space="0" w:color="323232"/>
              <w:bottom w:val="single" w:sz="4" w:space="0" w:color="auto"/>
              <w:right w:val="single" w:sz="8" w:space="0" w:color="auto"/>
            </w:tcBorders>
            <w:tcMar>
              <w:top w:w="80" w:type="dxa"/>
              <w:left w:w="80" w:type="dxa"/>
              <w:bottom w:w="80" w:type="dxa"/>
              <w:right w:w="80" w:type="dxa"/>
            </w:tcMar>
            <w:vAlign w:val="center"/>
          </w:tcPr>
          <w:p w14:paraId="560B9BB8" w14:textId="77777777" w:rsidR="00636F46" w:rsidRPr="00495A39" w:rsidRDefault="00636F46" w:rsidP="00020D20">
            <w:pPr>
              <w:spacing w:before="0" w:after="0" w:line="240" w:lineRule="auto"/>
              <w:jc w:val="both"/>
              <w:rPr>
                <w:sz w:val="18"/>
                <w:szCs w:val="18"/>
              </w:rPr>
            </w:pPr>
            <w:r w:rsidRPr="00495A39">
              <w:rPr>
                <w:sz w:val="18"/>
                <w:szCs w:val="18"/>
              </w:rPr>
              <w:t>Fixing America’s Surface Transportation Act</w:t>
            </w:r>
          </w:p>
        </w:tc>
      </w:tr>
    </w:tbl>
    <w:p w14:paraId="3EAC1746" w14:textId="77777777" w:rsidR="00636F46" w:rsidRDefault="00636F46" w:rsidP="00020D20">
      <w:pPr>
        <w:pStyle w:val="Heading3"/>
        <w:jc w:val="both"/>
        <w:sectPr w:rsidR="00636F46" w:rsidSect="00A15E13">
          <w:type w:val="continuous"/>
          <w:pgSz w:w="12240" w:h="15840"/>
          <w:pgMar w:top="1080" w:right="1080" w:bottom="1080" w:left="1080" w:header="1152" w:footer="720" w:gutter="0"/>
          <w:cols w:space="288"/>
          <w:docGrid w:linePitch="360"/>
        </w:sectPr>
      </w:pPr>
    </w:p>
    <w:p w14:paraId="6B059FC2" w14:textId="77777777" w:rsidR="00636F46" w:rsidRDefault="00636F46" w:rsidP="00020D20">
      <w:pPr>
        <w:pStyle w:val="Heading3"/>
        <w:jc w:val="both"/>
        <w:sectPr w:rsidR="00636F46" w:rsidSect="007A7310">
          <w:type w:val="continuous"/>
          <w:pgSz w:w="12240" w:h="15840"/>
          <w:pgMar w:top="1080" w:right="1080" w:bottom="1080" w:left="1080" w:header="1152" w:footer="720" w:gutter="0"/>
          <w:cols w:num="2" w:space="288"/>
          <w:docGrid w:linePitch="360"/>
        </w:sectPr>
      </w:pPr>
    </w:p>
    <w:p w14:paraId="51CED2AE" w14:textId="77777777" w:rsidR="00636F46" w:rsidRPr="00BB7056" w:rsidRDefault="00636F46" w:rsidP="00020D20">
      <w:pPr>
        <w:pStyle w:val="Heading3"/>
        <w:jc w:val="both"/>
      </w:pPr>
      <w:bookmarkStart w:id="8" w:name="_Ref50018364"/>
      <w:r w:rsidRPr="00BB7056">
        <w:t>1.3.2 | Federal Regulations</w:t>
      </w:r>
      <w:bookmarkEnd w:id="8"/>
    </w:p>
    <w:p w14:paraId="06754B22" w14:textId="7ADCA1EB" w:rsidR="00636F46" w:rsidRPr="00BB7056" w:rsidRDefault="00636F46" w:rsidP="00020D20">
      <w:pPr>
        <w:jc w:val="both"/>
      </w:pPr>
      <w:r w:rsidRPr="00BB7056">
        <w:t>As noted above, Congress delegates to the U.S. Secretary of Transportation</w:t>
      </w:r>
      <w:r w:rsidR="00FE3DA2">
        <w:t xml:space="preserve">, in accord with the Administrative Procedure Act and pursuant to the surface transportation acts, </w:t>
      </w:r>
      <w:r w:rsidR="00FE3DA2" w:rsidRPr="00BB7056">
        <w:t>the responsibility</w:t>
      </w:r>
      <w:r w:rsidRPr="00BB7056">
        <w:t xml:space="preserve"> to issue regulations detailing how transportation laws are to be implemented. New regulations from all federal agencies are published on each non-holiday weekday in the Federal Register (FR). Each new regulation can add, delete, or modify provisions in previous regulations. A compilation of currently applicable regulations, as amended, is found in the Code of Federal Regulations (CFR). Transportation planning requirements are found in</w:t>
      </w:r>
      <w:r w:rsidRPr="007B6EEE">
        <w:rPr>
          <w:rStyle w:val="TitleChar"/>
        </w:rPr>
        <w:t xml:space="preserve"> </w:t>
      </w:r>
      <w:hyperlink r:id="rId41" w:history="1">
        <w:r w:rsidRPr="00A975B0">
          <w:rPr>
            <w:rStyle w:val="TitleChar"/>
          </w:rPr>
          <w:t>Title 23 (Highways)</w:t>
        </w:r>
      </w:hyperlink>
      <w:r w:rsidRPr="00BB7056">
        <w:t>.</w:t>
      </w:r>
    </w:p>
    <w:p w14:paraId="5CD01CBC" w14:textId="77777777" w:rsidR="00636F46" w:rsidRPr="00BB7056" w:rsidRDefault="00636F46" w:rsidP="00020D20">
      <w:pPr>
        <w:jc w:val="both"/>
      </w:pPr>
      <w:r w:rsidRPr="00CC270D">
        <w:rPr>
          <w:b/>
        </w:rPr>
        <w:t>Title 23</w:t>
      </w:r>
      <w:r w:rsidRPr="00BB7056">
        <w:t xml:space="preserve"> | Highways</w:t>
      </w:r>
    </w:p>
    <w:p w14:paraId="36EB39C8" w14:textId="77777777" w:rsidR="00636F46" w:rsidRPr="00BB7056" w:rsidRDefault="00636F46" w:rsidP="00020D20">
      <w:pPr>
        <w:jc w:val="both"/>
      </w:pPr>
      <w:r>
        <w:tab/>
      </w:r>
      <w:r w:rsidRPr="00CC270D">
        <w:rPr>
          <w:b/>
        </w:rPr>
        <w:t>Chapter 1</w:t>
      </w:r>
      <w:r w:rsidRPr="00BB7056">
        <w:t xml:space="preserve"> | Federal Highway Administration, </w:t>
      </w:r>
      <w:r w:rsidRPr="00BB7056">
        <w:tab/>
      </w:r>
      <w:r>
        <w:tab/>
      </w:r>
      <w:r w:rsidRPr="00BB7056">
        <w:t xml:space="preserve">Department of Transportation </w:t>
      </w:r>
    </w:p>
    <w:p w14:paraId="79146D31" w14:textId="77777777" w:rsidR="00636F46" w:rsidRPr="00BB7056" w:rsidRDefault="00636F46" w:rsidP="00020D20">
      <w:pPr>
        <w:jc w:val="both"/>
      </w:pPr>
      <w:r>
        <w:tab/>
      </w:r>
      <w:r>
        <w:tab/>
      </w:r>
      <w:r w:rsidRPr="00CC270D">
        <w:rPr>
          <w:b/>
        </w:rPr>
        <w:t>Subchapter E</w:t>
      </w:r>
      <w:r w:rsidRPr="00BB7056">
        <w:t xml:space="preserve"> | Planning and Research</w:t>
      </w:r>
    </w:p>
    <w:p w14:paraId="1FADF234" w14:textId="77777777" w:rsidR="00636F46" w:rsidRPr="00BB7056" w:rsidRDefault="00636F46" w:rsidP="00020D20">
      <w:pPr>
        <w:jc w:val="both"/>
      </w:pPr>
      <w:r>
        <w:tab/>
      </w:r>
      <w:r>
        <w:tab/>
      </w:r>
      <w:r>
        <w:tab/>
      </w:r>
      <w:r w:rsidRPr="00CC270D">
        <w:rPr>
          <w:b/>
        </w:rPr>
        <w:t>Part 450</w:t>
      </w:r>
      <w:r w:rsidRPr="00BB7056">
        <w:t xml:space="preserve"> | Planning Assistance and Standards</w:t>
      </w:r>
    </w:p>
    <w:p w14:paraId="6F31830A" w14:textId="77777777" w:rsidR="00636F46" w:rsidRPr="00101FFC" w:rsidRDefault="00636F46" w:rsidP="00020D20">
      <w:pPr>
        <w:jc w:val="both"/>
        <w:rPr>
          <w:b/>
          <w:u w:val="single"/>
        </w:rPr>
      </w:pPr>
      <w:r>
        <w:tab/>
      </w:r>
      <w:r>
        <w:tab/>
      </w:r>
      <w:r>
        <w:tab/>
      </w:r>
      <w:r>
        <w:tab/>
      </w:r>
      <w:r w:rsidRPr="00101FFC">
        <w:rPr>
          <w:b/>
          <w:u w:val="single"/>
        </w:rPr>
        <w:t>Subpart A, B &amp; C:</w:t>
      </w:r>
    </w:p>
    <w:p w14:paraId="597D01C7" w14:textId="408B6EB6" w:rsidR="00636F46" w:rsidRPr="00BB7056" w:rsidRDefault="00636F46" w:rsidP="00020D20">
      <w:pPr>
        <w:pStyle w:val="Body-Bullets"/>
        <w:jc w:val="both"/>
      </w:pPr>
      <w:r w:rsidRPr="00BB7056">
        <w:t xml:space="preserve">A | </w:t>
      </w:r>
      <w:hyperlink r:id="rId42" w:history="1">
        <w:r w:rsidRPr="00A975B0">
          <w:rPr>
            <w:rStyle w:val="TitleChar"/>
          </w:rPr>
          <w:t xml:space="preserve">23 </w:t>
        </w:r>
        <w:r w:rsidR="009628C0">
          <w:rPr>
            <w:rStyle w:val="TitleChar"/>
          </w:rPr>
          <w:t xml:space="preserve">C.F.R. </w:t>
        </w:r>
        <w:r w:rsidRPr="00A975B0">
          <w:rPr>
            <w:rStyle w:val="TitleChar"/>
          </w:rPr>
          <w:t>§ 450.100 et seq.</w:t>
        </w:r>
      </w:hyperlink>
      <w:r w:rsidRPr="00BB7056">
        <w:t xml:space="preserve"> | Planning Definitions </w:t>
      </w:r>
    </w:p>
    <w:p w14:paraId="2BBA25E8" w14:textId="1B4ADDFC" w:rsidR="00636F46" w:rsidRPr="00BB7056" w:rsidRDefault="00636F46" w:rsidP="00020D20">
      <w:pPr>
        <w:pStyle w:val="Body-Bullets"/>
        <w:jc w:val="both"/>
      </w:pPr>
      <w:r w:rsidRPr="00BB7056">
        <w:t xml:space="preserve">B | </w:t>
      </w:r>
      <w:hyperlink r:id="rId43" w:history="1">
        <w:r w:rsidRPr="00A975B0">
          <w:rPr>
            <w:rStyle w:val="TitleChar"/>
          </w:rPr>
          <w:t xml:space="preserve">23 </w:t>
        </w:r>
        <w:r w:rsidR="009628C0">
          <w:rPr>
            <w:rStyle w:val="TitleChar"/>
          </w:rPr>
          <w:t xml:space="preserve">C.F.R. </w:t>
        </w:r>
        <w:r w:rsidRPr="00A975B0">
          <w:rPr>
            <w:rStyle w:val="TitleChar"/>
          </w:rPr>
          <w:t>§ 450.200 et seq.</w:t>
        </w:r>
      </w:hyperlink>
      <w:r w:rsidRPr="00BB7056">
        <w:t xml:space="preserve"> | Statewide Transportation Planning</w:t>
      </w:r>
    </w:p>
    <w:p w14:paraId="1F4CFD5D" w14:textId="0F25E18E" w:rsidR="00636F46" w:rsidRPr="00BB7056" w:rsidRDefault="00636F46" w:rsidP="00020D20">
      <w:pPr>
        <w:pStyle w:val="Body-Bullets"/>
        <w:jc w:val="both"/>
      </w:pPr>
      <w:r w:rsidRPr="00BB7056">
        <w:t xml:space="preserve">C | </w:t>
      </w:r>
      <w:hyperlink r:id="rId44" w:history="1">
        <w:r w:rsidRPr="00A975B0">
          <w:rPr>
            <w:rStyle w:val="TitleChar"/>
          </w:rPr>
          <w:t xml:space="preserve">23 </w:t>
        </w:r>
        <w:r w:rsidR="009628C0">
          <w:rPr>
            <w:rStyle w:val="TitleChar"/>
          </w:rPr>
          <w:t xml:space="preserve">C.F.R. </w:t>
        </w:r>
        <w:r w:rsidRPr="00A975B0">
          <w:rPr>
            <w:rStyle w:val="TitleChar"/>
          </w:rPr>
          <w:t>§ 450.300 et seq.</w:t>
        </w:r>
      </w:hyperlink>
      <w:r w:rsidRPr="00BB7056">
        <w:t xml:space="preserve"> | Metropolitan Transportation Planning and Programming </w:t>
      </w:r>
    </w:p>
    <w:p w14:paraId="67A0A895" w14:textId="77777777" w:rsidR="00636F46" w:rsidRPr="00BB7056" w:rsidRDefault="00636F46" w:rsidP="00020D20">
      <w:pPr>
        <w:pStyle w:val="Note"/>
        <w:jc w:val="both"/>
      </w:pPr>
      <w:r w:rsidRPr="00CC270D">
        <w:t>* “Et seq.” is an abbreviation for the Latin et sequences, which means “and the following.” It indicates that relevant information continues in the sections that follow the section cited</w:t>
      </w:r>
      <w:r w:rsidRPr="00BB7056">
        <w:t>.</w:t>
      </w:r>
    </w:p>
    <w:p w14:paraId="19704721" w14:textId="77777777" w:rsidR="00636F46" w:rsidRPr="00BB7056" w:rsidRDefault="00636F46" w:rsidP="00020D20">
      <w:pPr>
        <w:jc w:val="both"/>
      </w:pPr>
      <w:r w:rsidRPr="00BB7056">
        <w:t xml:space="preserve">Corresponding, nearly identical requirements are found in </w:t>
      </w:r>
      <w:hyperlink r:id="rId45" w:history="1">
        <w:r w:rsidRPr="00A975B0">
          <w:rPr>
            <w:rStyle w:val="TitleChar"/>
          </w:rPr>
          <w:t>Title 49 (Transportation)</w:t>
        </w:r>
      </w:hyperlink>
      <w:r w:rsidRPr="00BB7056">
        <w:t>, addressing planning for federal transit projects, which are under the jurisdiction of the Federal Transit Administration (FTA).</w:t>
      </w:r>
    </w:p>
    <w:p w14:paraId="03657F27" w14:textId="77777777" w:rsidR="00636F46" w:rsidRPr="00BB7056" w:rsidRDefault="00636F46" w:rsidP="00020D20">
      <w:pPr>
        <w:jc w:val="both"/>
      </w:pPr>
      <w:r>
        <w:rPr>
          <w:b/>
        </w:rPr>
        <w:br w:type="column"/>
      </w:r>
      <w:r w:rsidRPr="009B54DF">
        <w:rPr>
          <w:b/>
        </w:rPr>
        <w:t>Title 49</w:t>
      </w:r>
      <w:r w:rsidRPr="00BB7056">
        <w:t xml:space="preserve"> | Transportation</w:t>
      </w:r>
    </w:p>
    <w:p w14:paraId="67CBBD8D" w14:textId="77777777" w:rsidR="00636F46" w:rsidRPr="00BB7056" w:rsidRDefault="00636F46" w:rsidP="00020D20">
      <w:pPr>
        <w:jc w:val="both"/>
      </w:pPr>
      <w:r>
        <w:tab/>
      </w:r>
      <w:r w:rsidRPr="009B54DF">
        <w:rPr>
          <w:b/>
        </w:rPr>
        <w:t>Subtitle III</w:t>
      </w:r>
      <w:r w:rsidRPr="00BB7056">
        <w:t xml:space="preserve"> | General and Intermodal Programs</w:t>
      </w:r>
    </w:p>
    <w:p w14:paraId="0E33C7E1" w14:textId="77777777" w:rsidR="00636F46" w:rsidRPr="00BB7056" w:rsidRDefault="00636F46" w:rsidP="00020D20">
      <w:pPr>
        <w:jc w:val="both"/>
      </w:pPr>
      <w:r>
        <w:tab/>
      </w:r>
      <w:r>
        <w:tab/>
      </w:r>
      <w:r w:rsidRPr="009B54DF">
        <w:rPr>
          <w:b/>
        </w:rPr>
        <w:t>Chapter 53</w:t>
      </w:r>
      <w:r w:rsidRPr="00BB7056">
        <w:t xml:space="preserve"> | Public Transportation</w:t>
      </w:r>
    </w:p>
    <w:p w14:paraId="7387CDAA" w14:textId="77777777" w:rsidR="00636F46" w:rsidRPr="00101FFC" w:rsidRDefault="00636F46" w:rsidP="00020D20">
      <w:pPr>
        <w:jc w:val="both"/>
        <w:rPr>
          <w:b/>
          <w:u w:val="single"/>
        </w:rPr>
      </w:pPr>
      <w:r>
        <w:tab/>
      </w:r>
      <w:r>
        <w:tab/>
      </w:r>
      <w:r>
        <w:tab/>
      </w:r>
      <w:r w:rsidRPr="00101FFC">
        <w:rPr>
          <w:b/>
          <w:u w:val="single"/>
        </w:rPr>
        <w:t>Sections 5303 &amp; 5304:</w:t>
      </w:r>
    </w:p>
    <w:p w14:paraId="3BE9E52D" w14:textId="25704FD5" w:rsidR="00636F46" w:rsidRPr="00BB7056" w:rsidRDefault="00202C92" w:rsidP="00020D20">
      <w:pPr>
        <w:pStyle w:val="Body-Bullets"/>
        <w:jc w:val="both"/>
      </w:pPr>
      <w:hyperlink r:id="rId46" w:history="1">
        <w:r w:rsidR="00636F46" w:rsidRPr="00A975B0">
          <w:rPr>
            <w:rStyle w:val="TitleChar"/>
          </w:rPr>
          <w:t>49 U.S.C. §</w:t>
        </w:r>
        <w:r w:rsidR="008216A0">
          <w:rPr>
            <w:rStyle w:val="TitleChar"/>
          </w:rPr>
          <w:t xml:space="preserve"> </w:t>
        </w:r>
        <w:r w:rsidR="00636F46" w:rsidRPr="00A975B0">
          <w:rPr>
            <w:rStyle w:val="TitleChar"/>
          </w:rPr>
          <w:t>5303</w:t>
        </w:r>
      </w:hyperlink>
      <w:r w:rsidR="00636F46" w:rsidRPr="00BB7056">
        <w:t xml:space="preserve"> | Metropolitan Transportation Planning</w:t>
      </w:r>
    </w:p>
    <w:p w14:paraId="1709B0EA" w14:textId="146DFF08" w:rsidR="00636F46" w:rsidRPr="00BB7056" w:rsidRDefault="00202C92" w:rsidP="00020D20">
      <w:pPr>
        <w:pStyle w:val="Body-Bullets"/>
        <w:jc w:val="both"/>
      </w:pPr>
      <w:hyperlink r:id="rId47" w:history="1">
        <w:r w:rsidR="00636F46" w:rsidRPr="00A975B0">
          <w:rPr>
            <w:rStyle w:val="TitleChar"/>
          </w:rPr>
          <w:t>49 U.S.C. §</w:t>
        </w:r>
        <w:r w:rsidR="008216A0">
          <w:rPr>
            <w:rStyle w:val="TitleChar"/>
          </w:rPr>
          <w:t xml:space="preserve"> </w:t>
        </w:r>
        <w:r w:rsidR="00636F46" w:rsidRPr="00A975B0">
          <w:rPr>
            <w:rStyle w:val="TitleChar"/>
          </w:rPr>
          <w:t>5304</w:t>
        </w:r>
      </w:hyperlink>
      <w:r w:rsidR="00636F46" w:rsidRPr="00BB7056">
        <w:t xml:space="preserve"> | Statewide and Non-</w:t>
      </w:r>
      <w:r w:rsidR="00636F46">
        <w:t>m</w:t>
      </w:r>
      <w:r w:rsidR="00636F46" w:rsidRPr="00BB7056">
        <w:t>etropolitan Transportation Planning</w:t>
      </w:r>
    </w:p>
    <w:p w14:paraId="69D4B202" w14:textId="3CC62C83" w:rsidR="00636F46" w:rsidRPr="00BB7056" w:rsidRDefault="00636F46" w:rsidP="00020D20">
      <w:pPr>
        <w:jc w:val="both"/>
      </w:pPr>
      <w:r w:rsidRPr="009B54DF">
        <w:rPr>
          <w:b/>
        </w:rPr>
        <w:t xml:space="preserve">The regulations in 23 </w:t>
      </w:r>
      <w:r w:rsidR="009628C0">
        <w:rPr>
          <w:b/>
        </w:rPr>
        <w:t xml:space="preserve">C.F.R. </w:t>
      </w:r>
      <w:r w:rsidRPr="009B54DF">
        <w:rPr>
          <w:b/>
        </w:rPr>
        <w:t>§ 450 specify the federal transportation planning requirements that are addressed in this manual.</w:t>
      </w:r>
      <w:r w:rsidRPr="00BB7056">
        <w:t xml:space="preserve"> Regulations implementing the </w:t>
      </w:r>
      <w:r>
        <w:t>December 2015</w:t>
      </w:r>
      <w:r w:rsidRPr="00BB7056">
        <w:t xml:space="preserve"> Performance Management requirements (</w:t>
      </w:r>
      <w:hyperlink r:id="rId48" w:history="1">
        <w:r w:rsidRPr="00020D20">
          <w:rPr>
            <w:rStyle w:val="TitleChar"/>
          </w:rPr>
          <w:t>23 U.S.C. §</w:t>
        </w:r>
        <w:r w:rsidR="008216A0" w:rsidRPr="00020D20">
          <w:rPr>
            <w:rStyle w:val="TitleChar"/>
          </w:rPr>
          <w:t xml:space="preserve"> </w:t>
        </w:r>
        <w:r w:rsidRPr="00020D20">
          <w:rPr>
            <w:rStyle w:val="TitleChar"/>
          </w:rPr>
          <w:t>150</w:t>
        </w:r>
      </w:hyperlink>
      <w:r w:rsidRPr="00BB7056">
        <w:t xml:space="preserve">) </w:t>
      </w:r>
      <w:r>
        <w:t>were</w:t>
      </w:r>
      <w:r w:rsidRPr="00BB7056">
        <w:t xml:space="preserve"> issued by the U.S. Department of Tra</w:t>
      </w:r>
      <w:r>
        <w:t>nsportation (USDOT) in</w:t>
      </w:r>
      <w:r w:rsidRPr="00BB7056">
        <w:t xml:space="preserve"> </w:t>
      </w:r>
      <w:r>
        <w:t xml:space="preserve">April </w:t>
      </w:r>
      <w:r w:rsidRPr="00BB7056">
        <w:t>201</w:t>
      </w:r>
      <w:r>
        <w:t>6</w:t>
      </w:r>
      <w:r w:rsidRPr="00BB7056">
        <w:t xml:space="preserve"> and communicated through ADOT MPD to the COGs and MPOs throughout the state.</w:t>
      </w:r>
    </w:p>
    <w:p w14:paraId="1FBDEEFD" w14:textId="77777777" w:rsidR="00636F46" w:rsidRPr="00BB7056" w:rsidRDefault="00636F46" w:rsidP="00020D20">
      <w:pPr>
        <w:jc w:val="both"/>
      </w:pPr>
      <w:r w:rsidRPr="00BB7056">
        <w:t>Transportation planners should be aware that it takes time to incorporate provisions of a new law into the U.S. Code, time for the U.S. secretary of transportation to promulgate new regulations in response to a new law, and additional time to incorporate new regulations into the Code of Federal Regulations. Therefore, check with the ADOT MPD for clarification regarding the current applicable requirements, especially if a new federal transportation law has recently been enacted and state action is required.</w:t>
      </w:r>
    </w:p>
    <w:p w14:paraId="548627D7" w14:textId="77777777" w:rsidR="00636F46" w:rsidRPr="00BB7056" w:rsidRDefault="00636F46" w:rsidP="00020D20">
      <w:pPr>
        <w:pStyle w:val="Heading3"/>
        <w:jc w:val="both"/>
      </w:pPr>
      <w:bookmarkStart w:id="9" w:name="_Ref50018372"/>
      <w:r w:rsidRPr="00BB7056">
        <w:t>1.3.3 | Required Federal Products</w:t>
      </w:r>
      <w:bookmarkEnd w:id="9"/>
    </w:p>
    <w:p w14:paraId="458CBB99" w14:textId="46A30706" w:rsidR="00A91053" w:rsidRDefault="00636F46" w:rsidP="00020D20">
      <w:pPr>
        <w:jc w:val="both"/>
        <w:sectPr w:rsidR="00A91053" w:rsidSect="0053793A">
          <w:pgSz w:w="12240" w:h="15840"/>
          <w:pgMar w:top="1080" w:right="1080" w:bottom="1080" w:left="1080" w:header="1152" w:footer="720" w:gutter="0"/>
          <w:pgNumType w:chapStyle="1"/>
          <w:cols w:num="2" w:space="1152"/>
          <w:docGrid w:linePitch="360"/>
        </w:sectPr>
      </w:pPr>
      <w:r w:rsidRPr="00BB7056">
        <w:t>There are various required federal documents that must be developed by MPOs (including MPOs that have TMA status) and COGs. Table 1-2 summarizes the required federal documents, the time period that each product covers, general contents and how often the document needs to be updated. More specific detail on each of the products is contained in this manual in the following chapters.</w:t>
      </w:r>
      <w:r w:rsidR="00A91053">
        <w:br w:type="page"/>
      </w:r>
    </w:p>
    <w:p w14:paraId="0AFCA343" w14:textId="77777777" w:rsidR="00636F46" w:rsidRDefault="00636F46" w:rsidP="00020D20">
      <w:pPr>
        <w:pStyle w:val="Heading4"/>
        <w:jc w:val="both"/>
      </w:pPr>
      <w:r w:rsidRPr="00BB7056">
        <w:t>Table 1-2 | Schedule of Required Federal Products</w:t>
      </w:r>
    </w:p>
    <w:tbl>
      <w:tblPr>
        <w:tblW w:w="10098" w:type="dxa"/>
        <w:tblInd w:w="-10" w:type="dxa"/>
        <w:tblLayout w:type="fixed"/>
        <w:tblCellMar>
          <w:left w:w="0" w:type="dxa"/>
          <w:right w:w="0" w:type="dxa"/>
        </w:tblCellMar>
        <w:tblLook w:val="0000" w:firstRow="0" w:lastRow="0" w:firstColumn="0" w:lastColumn="0" w:noHBand="0" w:noVBand="0"/>
      </w:tblPr>
      <w:tblGrid>
        <w:gridCol w:w="1980"/>
        <w:gridCol w:w="990"/>
        <w:gridCol w:w="2790"/>
        <w:gridCol w:w="2430"/>
        <w:gridCol w:w="630"/>
        <w:gridCol w:w="630"/>
        <w:gridCol w:w="648"/>
      </w:tblGrid>
      <w:tr w:rsidR="00636F46" w:rsidRPr="00BB7056" w14:paraId="61922231" w14:textId="77777777" w:rsidTr="00020D20">
        <w:trPr>
          <w:trHeight w:val="576"/>
        </w:trPr>
        <w:tc>
          <w:tcPr>
            <w:tcW w:w="1980" w:type="dxa"/>
            <w:vMerge w:val="restart"/>
            <w:tcBorders>
              <w:top w:val="single" w:sz="8" w:space="0" w:color="auto"/>
              <w:left w:val="single" w:sz="8" w:space="0" w:color="auto"/>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190FF51E" w14:textId="77777777" w:rsidR="00636F46" w:rsidRPr="00101FFC" w:rsidRDefault="00636F46">
            <w:pPr>
              <w:spacing w:before="0" w:after="0" w:line="240" w:lineRule="auto"/>
              <w:jc w:val="center"/>
              <w:rPr>
                <w:sz w:val="22"/>
              </w:rPr>
            </w:pPr>
            <w:r w:rsidRPr="00101FFC">
              <w:rPr>
                <w:sz w:val="22"/>
              </w:rPr>
              <w:t>Product/ Document</w:t>
            </w:r>
          </w:p>
        </w:tc>
        <w:tc>
          <w:tcPr>
            <w:tcW w:w="990" w:type="dxa"/>
            <w:vMerge w:val="restart"/>
            <w:tcBorders>
              <w:top w:val="single" w:sz="8" w:space="0" w:color="auto"/>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143B4715" w14:textId="77777777" w:rsidR="00636F46" w:rsidRPr="00101FFC" w:rsidRDefault="00636F46">
            <w:pPr>
              <w:spacing w:before="0" w:after="0" w:line="240" w:lineRule="auto"/>
              <w:jc w:val="center"/>
              <w:rPr>
                <w:sz w:val="22"/>
              </w:rPr>
            </w:pPr>
            <w:r w:rsidRPr="00101FFC">
              <w:rPr>
                <w:sz w:val="22"/>
              </w:rPr>
              <w:t>Horizon</w:t>
            </w:r>
          </w:p>
        </w:tc>
        <w:tc>
          <w:tcPr>
            <w:tcW w:w="2790" w:type="dxa"/>
            <w:vMerge w:val="restart"/>
            <w:tcBorders>
              <w:top w:val="single" w:sz="8" w:space="0" w:color="auto"/>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4122B989" w14:textId="77777777" w:rsidR="00636F46" w:rsidRPr="00101FFC" w:rsidRDefault="00636F46">
            <w:pPr>
              <w:spacing w:before="0" w:after="0" w:line="240" w:lineRule="auto"/>
              <w:jc w:val="center"/>
              <w:rPr>
                <w:sz w:val="22"/>
              </w:rPr>
            </w:pPr>
            <w:r w:rsidRPr="00101FFC">
              <w:rPr>
                <w:sz w:val="22"/>
              </w:rPr>
              <w:t>Contents</w:t>
            </w:r>
          </w:p>
        </w:tc>
        <w:tc>
          <w:tcPr>
            <w:tcW w:w="2430" w:type="dxa"/>
            <w:vMerge w:val="restart"/>
            <w:tcBorders>
              <w:top w:val="single" w:sz="8" w:space="0" w:color="auto"/>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6C348C7E" w14:textId="77777777" w:rsidR="00636F46" w:rsidRPr="00101FFC" w:rsidRDefault="00636F46">
            <w:pPr>
              <w:spacing w:before="0" w:after="0" w:line="240" w:lineRule="auto"/>
              <w:jc w:val="center"/>
              <w:rPr>
                <w:sz w:val="22"/>
              </w:rPr>
            </w:pPr>
            <w:r w:rsidRPr="00101FFC">
              <w:rPr>
                <w:sz w:val="22"/>
              </w:rPr>
              <w:t>Updates</w:t>
            </w:r>
          </w:p>
        </w:tc>
        <w:tc>
          <w:tcPr>
            <w:tcW w:w="1908" w:type="dxa"/>
            <w:gridSpan w:val="3"/>
            <w:tcBorders>
              <w:top w:val="single" w:sz="8" w:space="0" w:color="auto"/>
              <w:left w:val="single" w:sz="8" w:space="0" w:color="FFFFFF" w:themeColor="background1"/>
              <w:bottom w:val="single" w:sz="4" w:space="0" w:color="FFFFFF" w:themeColor="background1"/>
              <w:right w:val="single" w:sz="8" w:space="0" w:color="auto"/>
            </w:tcBorders>
            <w:shd w:val="clear" w:color="auto" w:fill="012768"/>
            <w:tcMar>
              <w:top w:w="80" w:type="dxa"/>
              <w:left w:w="80" w:type="dxa"/>
              <w:bottom w:w="80" w:type="dxa"/>
              <w:right w:w="80" w:type="dxa"/>
            </w:tcMar>
            <w:vAlign w:val="center"/>
          </w:tcPr>
          <w:p w14:paraId="36FEA1CE" w14:textId="77777777" w:rsidR="00636F46" w:rsidRPr="00101FFC" w:rsidRDefault="00636F46">
            <w:pPr>
              <w:spacing w:before="0" w:after="0" w:line="240" w:lineRule="auto"/>
              <w:jc w:val="center"/>
              <w:rPr>
                <w:sz w:val="22"/>
              </w:rPr>
            </w:pPr>
            <w:r w:rsidRPr="00101FFC">
              <w:rPr>
                <w:sz w:val="22"/>
              </w:rPr>
              <w:t>Agency</w:t>
            </w:r>
          </w:p>
        </w:tc>
      </w:tr>
      <w:tr w:rsidR="00636F46" w:rsidRPr="00BB7056" w14:paraId="09662ABD" w14:textId="77777777" w:rsidTr="00020D20">
        <w:trPr>
          <w:trHeight w:val="576"/>
        </w:trPr>
        <w:tc>
          <w:tcPr>
            <w:tcW w:w="1980" w:type="dxa"/>
            <w:vMerge/>
            <w:tcBorders>
              <w:top w:val="single" w:sz="8" w:space="0" w:color="FFFFFF" w:themeColor="background1"/>
              <w:left w:val="single" w:sz="8" w:space="0" w:color="auto"/>
              <w:bottom w:val="single" w:sz="4" w:space="0" w:color="auto"/>
              <w:right w:val="single" w:sz="8" w:space="0" w:color="FFFFFF" w:themeColor="background1"/>
            </w:tcBorders>
            <w:shd w:val="clear" w:color="auto" w:fill="012768"/>
          </w:tcPr>
          <w:p w14:paraId="3E36A125" w14:textId="77777777" w:rsidR="00636F46" w:rsidRPr="00101FFC" w:rsidRDefault="00636F46" w:rsidP="00020D20">
            <w:pPr>
              <w:spacing w:before="0" w:after="0" w:line="240" w:lineRule="auto"/>
              <w:jc w:val="center"/>
              <w:rPr>
                <w:sz w:val="22"/>
              </w:rPr>
            </w:pPr>
          </w:p>
        </w:tc>
        <w:tc>
          <w:tcPr>
            <w:tcW w:w="990" w:type="dxa"/>
            <w:vMerge/>
            <w:tcBorders>
              <w:top w:val="single" w:sz="8" w:space="0" w:color="FFFFFF" w:themeColor="background1"/>
              <w:left w:val="single" w:sz="8" w:space="0" w:color="FFFFFF" w:themeColor="background1"/>
              <w:bottom w:val="single" w:sz="4" w:space="0" w:color="auto"/>
              <w:right w:val="single" w:sz="8" w:space="0" w:color="FFFFFF" w:themeColor="background1"/>
            </w:tcBorders>
            <w:shd w:val="clear" w:color="auto" w:fill="012768"/>
          </w:tcPr>
          <w:p w14:paraId="50D0DF22" w14:textId="77777777" w:rsidR="00636F46" w:rsidRPr="00101FFC" w:rsidRDefault="00636F46" w:rsidP="00020D20">
            <w:pPr>
              <w:spacing w:before="0" w:after="0" w:line="240" w:lineRule="auto"/>
              <w:jc w:val="center"/>
              <w:rPr>
                <w:sz w:val="22"/>
              </w:rPr>
            </w:pPr>
          </w:p>
        </w:tc>
        <w:tc>
          <w:tcPr>
            <w:tcW w:w="2790" w:type="dxa"/>
            <w:vMerge/>
            <w:tcBorders>
              <w:top w:val="single" w:sz="8" w:space="0" w:color="FFFFFF" w:themeColor="background1"/>
              <w:left w:val="single" w:sz="8" w:space="0" w:color="FFFFFF" w:themeColor="background1"/>
              <w:bottom w:val="single" w:sz="4" w:space="0" w:color="auto"/>
              <w:right w:val="single" w:sz="8" w:space="0" w:color="FFFFFF" w:themeColor="background1"/>
            </w:tcBorders>
            <w:shd w:val="clear" w:color="auto" w:fill="012768"/>
          </w:tcPr>
          <w:p w14:paraId="780CFB42" w14:textId="77777777" w:rsidR="00636F46" w:rsidRPr="00101FFC" w:rsidRDefault="00636F46" w:rsidP="00020D20">
            <w:pPr>
              <w:spacing w:before="0" w:after="0" w:line="240" w:lineRule="auto"/>
              <w:jc w:val="center"/>
              <w:rPr>
                <w:sz w:val="22"/>
              </w:rPr>
            </w:pPr>
          </w:p>
        </w:tc>
        <w:tc>
          <w:tcPr>
            <w:tcW w:w="2430" w:type="dxa"/>
            <w:vMerge/>
            <w:tcBorders>
              <w:top w:val="single" w:sz="8" w:space="0" w:color="FFFFFF" w:themeColor="background1"/>
              <w:left w:val="single" w:sz="8" w:space="0" w:color="FFFFFF" w:themeColor="background1"/>
              <w:bottom w:val="single" w:sz="4" w:space="0" w:color="auto"/>
              <w:right w:val="single" w:sz="8" w:space="0" w:color="FFFFFF" w:themeColor="background1"/>
            </w:tcBorders>
            <w:shd w:val="clear" w:color="auto" w:fill="012768"/>
          </w:tcPr>
          <w:p w14:paraId="25100000" w14:textId="77777777" w:rsidR="00636F46" w:rsidRPr="00101FFC" w:rsidRDefault="00636F46" w:rsidP="00020D20">
            <w:pPr>
              <w:spacing w:before="0" w:after="0" w:line="240" w:lineRule="auto"/>
              <w:jc w:val="center"/>
              <w:rPr>
                <w:sz w:val="22"/>
              </w:rPr>
            </w:pPr>
          </w:p>
        </w:tc>
        <w:tc>
          <w:tcPr>
            <w:tcW w:w="630" w:type="dxa"/>
            <w:tcBorders>
              <w:top w:val="single" w:sz="4" w:space="0" w:color="FFFFFF" w:themeColor="background1"/>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71DCBE90" w14:textId="77777777" w:rsidR="00636F46" w:rsidRPr="00101FFC" w:rsidRDefault="00636F46" w:rsidP="00020D20">
            <w:pPr>
              <w:spacing w:before="0" w:after="0" w:line="240" w:lineRule="auto"/>
              <w:jc w:val="center"/>
              <w:rPr>
                <w:sz w:val="22"/>
              </w:rPr>
            </w:pPr>
            <w:r w:rsidRPr="00101FFC">
              <w:rPr>
                <w:sz w:val="22"/>
              </w:rPr>
              <w:t>TMA</w:t>
            </w:r>
          </w:p>
        </w:tc>
        <w:tc>
          <w:tcPr>
            <w:tcW w:w="630" w:type="dxa"/>
            <w:tcBorders>
              <w:top w:val="single" w:sz="4" w:space="0" w:color="FFFFFF" w:themeColor="background1"/>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3C878DDA" w14:textId="77777777" w:rsidR="00636F46" w:rsidRPr="00101FFC" w:rsidRDefault="00636F46" w:rsidP="00020D20">
            <w:pPr>
              <w:spacing w:before="0" w:after="0" w:line="240" w:lineRule="auto"/>
              <w:jc w:val="center"/>
              <w:rPr>
                <w:sz w:val="22"/>
              </w:rPr>
            </w:pPr>
            <w:r w:rsidRPr="00101FFC">
              <w:rPr>
                <w:sz w:val="22"/>
              </w:rPr>
              <w:t>MPO</w:t>
            </w:r>
          </w:p>
        </w:tc>
        <w:tc>
          <w:tcPr>
            <w:tcW w:w="648" w:type="dxa"/>
            <w:tcBorders>
              <w:top w:val="single" w:sz="4" w:space="0" w:color="FFFFFF" w:themeColor="background1"/>
              <w:left w:val="single" w:sz="8" w:space="0" w:color="FFFFFF" w:themeColor="background1"/>
              <w:bottom w:val="single" w:sz="4" w:space="0" w:color="auto"/>
              <w:right w:val="single" w:sz="8" w:space="0" w:color="auto"/>
            </w:tcBorders>
            <w:shd w:val="clear" w:color="auto" w:fill="012768"/>
            <w:tcMar>
              <w:top w:w="80" w:type="dxa"/>
              <w:left w:w="80" w:type="dxa"/>
              <w:bottom w:w="80" w:type="dxa"/>
              <w:right w:w="80" w:type="dxa"/>
            </w:tcMar>
            <w:vAlign w:val="center"/>
          </w:tcPr>
          <w:p w14:paraId="3759C1A2" w14:textId="77777777" w:rsidR="00636F46" w:rsidRPr="00101FFC" w:rsidRDefault="00636F46" w:rsidP="00020D20">
            <w:pPr>
              <w:spacing w:before="0" w:after="0" w:line="240" w:lineRule="auto"/>
              <w:jc w:val="center"/>
              <w:rPr>
                <w:rFonts w:ascii="MinionPro-Regular" w:hAnsi="MinionPro-Regular" w:cs="MinionPro-Regular"/>
                <w:sz w:val="22"/>
                <w:szCs w:val="24"/>
              </w:rPr>
            </w:pPr>
            <w:r w:rsidRPr="00101FFC">
              <w:rPr>
                <w:sz w:val="22"/>
              </w:rPr>
              <w:t>COG</w:t>
            </w:r>
          </w:p>
        </w:tc>
      </w:tr>
      <w:tr w:rsidR="00636F46" w:rsidRPr="00BB7056" w14:paraId="321433AA" w14:textId="77777777" w:rsidTr="00020D20">
        <w:trPr>
          <w:trHeight w:val="576"/>
        </w:trPr>
        <w:tc>
          <w:tcPr>
            <w:tcW w:w="1980" w:type="dxa"/>
            <w:tcBorders>
              <w:top w:val="single" w:sz="4" w:space="0" w:color="auto"/>
              <w:left w:val="single" w:sz="8" w:space="0" w:color="auto"/>
              <w:bottom w:val="single" w:sz="8" w:space="0" w:color="323232"/>
              <w:right w:val="single" w:sz="8" w:space="0" w:color="323232"/>
            </w:tcBorders>
            <w:tcMar>
              <w:top w:w="144" w:type="dxa"/>
              <w:left w:w="90" w:type="dxa"/>
              <w:bottom w:w="144" w:type="dxa"/>
              <w:right w:w="90" w:type="dxa"/>
            </w:tcMar>
            <w:vAlign w:val="center"/>
          </w:tcPr>
          <w:p w14:paraId="2F8241B2" w14:textId="77777777" w:rsidR="00636F46" w:rsidRPr="00101FFC" w:rsidRDefault="00636F46">
            <w:pPr>
              <w:spacing w:before="0" w:after="0" w:line="240" w:lineRule="auto"/>
              <w:jc w:val="center"/>
              <w:rPr>
                <w:sz w:val="18"/>
              </w:rPr>
            </w:pPr>
            <w:r w:rsidRPr="00101FFC">
              <w:rPr>
                <w:sz w:val="18"/>
              </w:rPr>
              <w:t>M/RTP</w:t>
            </w:r>
          </w:p>
          <w:p w14:paraId="331F0383" w14:textId="77777777" w:rsidR="00636F46" w:rsidRPr="00101FFC" w:rsidRDefault="00636F46">
            <w:pPr>
              <w:spacing w:before="0" w:after="0" w:line="240" w:lineRule="auto"/>
              <w:jc w:val="center"/>
              <w:rPr>
                <w:rFonts w:cstheme="minorHAnsi"/>
                <w:color w:val="000000"/>
                <w:sz w:val="18"/>
              </w:rPr>
            </w:pPr>
            <w:r w:rsidRPr="00101FFC">
              <w:rPr>
                <w:sz w:val="18"/>
              </w:rPr>
              <w:t>(Metropolitan/Regional Transportation Plan)</w:t>
            </w:r>
          </w:p>
        </w:tc>
        <w:tc>
          <w:tcPr>
            <w:tcW w:w="990" w:type="dxa"/>
            <w:tcBorders>
              <w:top w:val="single" w:sz="4" w:space="0" w:color="auto"/>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7D674C2" w14:textId="77777777" w:rsidR="00636F46" w:rsidRPr="00101FFC" w:rsidRDefault="00636F46">
            <w:pPr>
              <w:spacing w:before="0" w:after="0" w:line="240" w:lineRule="auto"/>
              <w:jc w:val="center"/>
              <w:rPr>
                <w:sz w:val="18"/>
              </w:rPr>
            </w:pPr>
            <w:r w:rsidRPr="00101FFC">
              <w:rPr>
                <w:sz w:val="18"/>
              </w:rPr>
              <w:t>20 years</w:t>
            </w:r>
          </w:p>
          <w:p w14:paraId="094A0AD9" w14:textId="77777777" w:rsidR="00636F46" w:rsidRPr="00101FFC" w:rsidRDefault="00636F46">
            <w:pPr>
              <w:spacing w:before="0" w:after="0" w:line="240" w:lineRule="auto"/>
              <w:jc w:val="center"/>
              <w:rPr>
                <w:rFonts w:cstheme="minorHAnsi"/>
                <w:color w:val="000000"/>
                <w:sz w:val="18"/>
              </w:rPr>
            </w:pPr>
            <w:r w:rsidRPr="00101FFC">
              <w:rPr>
                <w:sz w:val="18"/>
              </w:rPr>
              <w:t>(min.)</w:t>
            </w:r>
          </w:p>
        </w:tc>
        <w:tc>
          <w:tcPr>
            <w:tcW w:w="2790" w:type="dxa"/>
            <w:tcBorders>
              <w:top w:val="single" w:sz="4" w:space="0" w:color="auto"/>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88EEE89" w14:textId="77777777" w:rsidR="00636F46" w:rsidRPr="00101FFC" w:rsidRDefault="00636F46">
            <w:pPr>
              <w:spacing w:before="0" w:after="0" w:line="240" w:lineRule="auto"/>
              <w:jc w:val="center"/>
              <w:rPr>
                <w:rFonts w:cstheme="minorHAnsi"/>
                <w:color w:val="000000"/>
                <w:sz w:val="18"/>
              </w:rPr>
            </w:pPr>
            <w:r w:rsidRPr="00101FFC">
              <w:rPr>
                <w:sz w:val="18"/>
              </w:rPr>
              <w:t>Policies, goals, and strategies</w:t>
            </w:r>
          </w:p>
        </w:tc>
        <w:tc>
          <w:tcPr>
            <w:tcW w:w="2430" w:type="dxa"/>
            <w:tcBorders>
              <w:top w:val="single" w:sz="4" w:space="0" w:color="auto"/>
              <w:left w:val="single" w:sz="8" w:space="0" w:color="323232"/>
              <w:bottom w:val="single" w:sz="8" w:space="0" w:color="323232"/>
              <w:right w:val="single" w:sz="8" w:space="0" w:color="323232"/>
            </w:tcBorders>
            <w:tcMar>
              <w:top w:w="144" w:type="dxa"/>
              <w:left w:w="90" w:type="dxa"/>
              <w:bottom w:w="144" w:type="dxa"/>
              <w:right w:w="90" w:type="dxa"/>
            </w:tcMar>
            <w:vAlign w:val="center"/>
          </w:tcPr>
          <w:p w14:paraId="1E61F775" w14:textId="77777777" w:rsidR="00636F46" w:rsidRPr="00101FFC" w:rsidRDefault="00636F46">
            <w:pPr>
              <w:spacing w:before="0" w:after="0" w:line="240" w:lineRule="auto"/>
              <w:jc w:val="center"/>
              <w:rPr>
                <w:sz w:val="18"/>
              </w:rPr>
            </w:pPr>
            <w:r w:rsidRPr="00101FFC">
              <w:rPr>
                <w:sz w:val="18"/>
              </w:rPr>
              <w:t>Every 5 years</w:t>
            </w:r>
          </w:p>
          <w:p w14:paraId="2F5EF662" w14:textId="77777777" w:rsidR="00636F46" w:rsidRPr="00101FFC" w:rsidRDefault="00636F46">
            <w:pPr>
              <w:spacing w:before="0" w:after="0" w:line="240" w:lineRule="auto"/>
              <w:jc w:val="center"/>
              <w:rPr>
                <w:rFonts w:cstheme="minorHAnsi"/>
                <w:color w:val="000000"/>
                <w:sz w:val="18"/>
              </w:rPr>
            </w:pPr>
            <w:r w:rsidRPr="00101FFC">
              <w:rPr>
                <w:sz w:val="18"/>
              </w:rPr>
              <w:t>(4 years for non-attainment and maintenance areas)</w:t>
            </w:r>
          </w:p>
        </w:tc>
        <w:tc>
          <w:tcPr>
            <w:tcW w:w="630" w:type="dxa"/>
            <w:tcBorders>
              <w:top w:val="single" w:sz="4" w:space="0" w:color="auto"/>
              <w:left w:val="single" w:sz="8" w:space="0" w:color="323232"/>
              <w:bottom w:val="single" w:sz="8" w:space="0" w:color="323232"/>
              <w:right w:val="single" w:sz="8" w:space="0" w:color="323232"/>
            </w:tcBorders>
            <w:tcMar>
              <w:top w:w="144" w:type="dxa"/>
              <w:left w:w="90" w:type="dxa"/>
              <w:bottom w:w="144" w:type="dxa"/>
              <w:right w:w="90" w:type="dxa"/>
            </w:tcMar>
            <w:vAlign w:val="center"/>
          </w:tcPr>
          <w:p w14:paraId="691ECDE3"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4" w:space="0" w:color="auto"/>
              <w:left w:val="single" w:sz="8" w:space="0" w:color="323232"/>
              <w:bottom w:val="single" w:sz="8" w:space="0" w:color="323232"/>
              <w:right w:val="single" w:sz="8" w:space="0" w:color="323232"/>
            </w:tcBorders>
            <w:tcMar>
              <w:top w:w="144" w:type="dxa"/>
              <w:left w:w="90" w:type="dxa"/>
              <w:bottom w:w="144" w:type="dxa"/>
              <w:right w:w="90" w:type="dxa"/>
            </w:tcMar>
            <w:vAlign w:val="center"/>
          </w:tcPr>
          <w:p w14:paraId="5DCD77D2"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4" w:space="0" w:color="auto"/>
              <w:left w:val="single" w:sz="8" w:space="0" w:color="323232"/>
              <w:bottom w:val="single" w:sz="8" w:space="0" w:color="323232"/>
              <w:right w:val="single" w:sz="8" w:space="0" w:color="auto"/>
            </w:tcBorders>
            <w:tcMar>
              <w:top w:w="144" w:type="dxa"/>
              <w:left w:w="90" w:type="dxa"/>
              <w:bottom w:w="144" w:type="dxa"/>
              <w:right w:w="90" w:type="dxa"/>
            </w:tcMar>
            <w:vAlign w:val="center"/>
          </w:tcPr>
          <w:p w14:paraId="2E7AA4E2" w14:textId="77777777" w:rsidR="00636F46" w:rsidRPr="00101FFC" w:rsidRDefault="00636F46" w:rsidP="00020D20">
            <w:pPr>
              <w:spacing w:before="0" w:after="0" w:line="240" w:lineRule="auto"/>
              <w:jc w:val="both"/>
              <w:rPr>
                <w:sz w:val="18"/>
              </w:rPr>
            </w:pPr>
          </w:p>
        </w:tc>
      </w:tr>
      <w:tr w:rsidR="00636F46" w:rsidRPr="00BB7056" w14:paraId="2E0AB752"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4C0ED820" w14:textId="77777777" w:rsidR="00636F46" w:rsidRPr="00101FFC" w:rsidRDefault="00636F46">
            <w:pPr>
              <w:spacing w:before="0" w:after="0" w:line="240" w:lineRule="auto"/>
              <w:jc w:val="center"/>
              <w:rPr>
                <w:sz w:val="18"/>
              </w:rPr>
            </w:pPr>
            <w:r w:rsidRPr="00101FFC">
              <w:rPr>
                <w:sz w:val="18"/>
              </w:rPr>
              <w:t>UPWP</w:t>
            </w:r>
          </w:p>
          <w:p w14:paraId="70861585" w14:textId="77777777" w:rsidR="00636F46" w:rsidRPr="00101FFC" w:rsidRDefault="00636F46">
            <w:pPr>
              <w:spacing w:before="0" w:after="0" w:line="240" w:lineRule="auto"/>
              <w:jc w:val="center"/>
              <w:rPr>
                <w:rFonts w:cstheme="minorHAnsi"/>
                <w:color w:val="000000"/>
                <w:sz w:val="18"/>
              </w:rPr>
            </w:pPr>
            <w:r w:rsidRPr="00101FFC">
              <w:rPr>
                <w:sz w:val="18"/>
              </w:rPr>
              <w:t>(Unified Planning Work Program)</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62F47D9C" w14:textId="39F10D4D" w:rsidR="00636F46" w:rsidRPr="00101FFC" w:rsidRDefault="002E6B98">
            <w:pPr>
              <w:spacing w:before="0" w:after="0" w:line="240" w:lineRule="auto"/>
              <w:jc w:val="center"/>
              <w:rPr>
                <w:rFonts w:cstheme="minorHAnsi"/>
                <w:color w:val="000000"/>
                <w:sz w:val="18"/>
              </w:rPr>
            </w:pPr>
            <w:r>
              <w:rPr>
                <w:sz w:val="18"/>
              </w:rPr>
              <w:t>2</w:t>
            </w:r>
            <w:r w:rsidR="00636F46" w:rsidRPr="00101FFC">
              <w:rPr>
                <w:sz w:val="18"/>
              </w:rPr>
              <w:t xml:space="preserve"> year</w:t>
            </w:r>
            <w:r>
              <w:rPr>
                <w:sz w:val="18"/>
              </w:rPr>
              <w:t>s</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5883B1E5" w14:textId="77777777" w:rsidR="00636F46" w:rsidRPr="00101FFC" w:rsidRDefault="00636F46">
            <w:pPr>
              <w:spacing w:before="0" w:after="0" w:line="240" w:lineRule="auto"/>
              <w:jc w:val="center"/>
              <w:rPr>
                <w:rFonts w:cstheme="minorHAnsi"/>
                <w:color w:val="000000"/>
                <w:sz w:val="18"/>
              </w:rPr>
            </w:pPr>
            <w:r w:rsidRPr="00101FFC">
              <w:rPr>
                <w:sz w:val="18"/>
              </w:rPr>
              <w:t>Planning studies and tasks</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F4C916E" w14:textId="4BC8DD49" w:rsidR="00636F46" w:rsidRPr="00101FFC" w:rsidRDefault="002E6B98">
            <w:pPr>
              <w:spacing w:before="0" w:after="0" w:line="240" w:lineRule="auto"/>
              <w:jc w:val="center"/>
              <w:rPr>
                <w:rFonts w:cstheme="minorHAnsi"/>
                <w:color w:val="000000"/>
                <w:sz w:val="18"/>
              </w:rPr>
            </w:pPr>
            <w:r>
              <w:rPr>
                <w:sz w:val="18"/>
              </w:rPr>
              <w:t>Biennially</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77410BD"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AB2EC17"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4D18087E" w14:textId="77777777" w:rsidR="00636F46" w:rsidRPr="00101FFC" w:rsidRDefault="00636F46" w:rsidP="00020D20">
            <w:pPr>
              <w:spacing w:before="0" w:after="0" w:line="240" w:lineRule="auto"/>
              <w:jc w:val="both"/>
              <w:rPr>
                <w:sz w:val="18"/>
              </w:rPr>
            </w:pPr>
          </w:p>
        </w:tc>
      </w:tr>
      <w:tr w:rsidR="00636F46" w:rsidRPr="00BB7056" w14:paraId="03C38186"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6C278DB1" w14:textId="77777777" w:rsidR="00636F46" w:rsidRPr="00101FFC" w:rsidRDefault="00636F46">
            <w:pPr>
              <w:spacing w:before="0" w:after="0" w:line="240" w:lineRule="auto"/>
              <w:jc w:val="center"/>
              <w:rPr>
                <w:sz w:val="18"/>
              </w:rPr>
            </w:pPr>
            <w:r w:rsidRPr="00101FFC">
              <w:rPr>
                <w:sz w:val="18"/>
              </w:rPr>
              <w:t>WP</w:t>
            </w:r>
          </w:p>
          <w:p w14:paraId="4473B563" w14:textId="77777777" w:rsidR="00636F46" w:rsidRPr="00101FFC" w:rsidRDefault="00636F46">
            <w:pPr>
              <w:spacing w:before="0" w:after="0" w:line="240" w:lineRule="auto"/>
              <w:jc w:val="center"/>
              <w:rPr>
                <w:rFonts w:cstheme="minorHAnsi"/>
                <w:color w:val="000000"/>
                <w:sz w:val="18"/>
              </w:rPr>
            </w:pPr>
            <w:r w:rsidRPr="00101FFC">
              <w:rPr>
                <w:sz w:val="18"/>
              </w:rPr>
              <w:t>(Work Program)</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26027AFF" w14:textId="06467168" w:rsidR="00636F46" w:rsidRPr="00101FFC" w:rsidRDefault="002E6B98">
            <w:pPr>
              <w:spacing w:before="0" w:after="0" w:line="240" w:lineRule="auto"/>
              <w:jc w:val="center"/>
              <w:rPr>
                <w:rFonts w:cstheme="minorHAnsi"/>
                <w:color w:val="000000"/>
                <w:sz w:val="18"/>
              </w:rPr>
            </w:pPr>
            <w:r>
              <w:rPr>
                <w:sz w:val="18"/>
              </w:rPr>
              <w:t>2</w:t>
            </w:r>
            <w:r w:rsidR="00636F46" w:rsidRPr="00101FFC">
              <w:rPr>
                <w:sz w:val="18"/>
              </w:rPr>
              <w:t xml:space="preserve"> year</w:t>
            </w:r>
            <w:r>
              <w:rPr>
                <w:sz w:val="18"/>
              </w:rPr>
              <w:t>s</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8354EEB" w14:textId="77777777" w:rsidR="00636F46" w:rsidRPr="00101FFC" w:rsidRDefault="00636F46">
            <w:pPr>
              <w:spacing w:before="0" w:after="0" w:line="240" w:lineRule="auto"/>
              <w:jc w:val="center"/>
              <w:rPr>
                <w:rFonts w:cstheme="minorHAnsi"/>
                <w:color w:val="000000"/>
                <w:sz w:val="18"/>
              </w:rPr>
            </w:pPr>
            <w:r w:rsidRPr="00101FFC">
              <w:rPr>
                <w:sz w:val="18"/>
              </w:rPr>
              <w:t>Planning studies and tasks</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02175BF" w14:textId="564B4468" w:rsidR="00636F46" w:rsidRPr="00101FFC" w:rsidRDefault="002E6B98">
            <w:pPr>
              <w:spacing w:before="0" w:after="0" w:line="240" w:lineRule="auto"/>
              <w:jc w:val="center"/>
              <w:rPr>
                <w:rFonts w:cstheme="minorHAnsi"/>
                <w:color w:val="000000"/>
                <w:sz w:val="18"/>
              </w:rPr>
            </w:pPr>
            <w:r>
              <w:rPr>
                <w:sz w:val="18"/>
              </w:rPr>
              <w:t>Biennially</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5EAEFB33" w14:textId="77777777" w:rsidR="00636F46" w:rsidRPr="00101FFC" w:rsidRDefault="00636F46" w:rsidP="00020D20">
            <w:pPr>
              <w:spacing w:before="0" w:after="0" w:line="240" w:lineRule="auto"/>
              <w:jc w:val="both"/>
              <w:rPr>
                <w:rFonts w:cstheme="minorHAnsi"/>
                <w:sz w:val="18"/>
              </w:rPr>
            </w:pP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9E7B30F" w14:textId="77777777" w:rsidR="00636F46" w:rsidRPr="00101FFC" w:rsidRDefault="00636F46" w:rsidP="00020D20">
            <w:pPr>
              <w:spacing w:before="0" w:after="0" w:line="240" w:lineRule="auto"/>
              <w:jc w:val="both"/>
              <w:rPr>
                <w:rFonts w:cstheme="minorHAnsi"/>
                <w:sz w:val="18"/>
              </w:rPr>
            </w:pP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48CD36FE" w14:textId="77777777" w:rsidR="00636F46" w:rsidRPr="00101FFC" w:rsidRDefault="00636F46" w:rsidP="00020D20">
            <w:pPr>
              <w:spacing w:before="0" w:after="0" w:line="240" w:lineRule="auto"/>
              <w:jc w:val="both"/>
              <w:rPr>
                <w:rFonts w:ascii="MinionPro-Regular" w:hAnsi="MinionPro-Regular" w:cs="MinionPro-Regular"/>
                <w:color w:val="000000"/>
                <w:sz w:val="18"/>
                <w:szCs w:val="24"/>
              </w:rPr>
            </w:pPr>
            <w:r w:rsidRPr="00101FFC">
              <w:rPr>
                <w:rFonts w:ascii="Segoe UI Symbol" w:hAnsi="Segoe UI Symbol" w:cs="Segoe UI Symbol"/>
                <w:sz w:val="18"/>
              </w:rPr>
              <w:t>✓</w:t>
            </w:r>
          </w:p>
        </w:tc>
      </w:tr>
      <w:tr w:rsidR="00636F46" w:rsidRPr="00BB7056" w14:paraId="28F1591A"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7E4C9D96" w14:textId="77777777" w:rsidR="00636F46" w:rsidRPr="00101FFC" w:rsidRDefault="00636F46">
            <w:pPr>
              <w:spacing w:before="0" w:after="0" w:line="240" w:lineRule="auto"/>
              <w:jc w:val="center"/>
              <w:rPr>
                <w:sz w:val="18"/>
              </w:rPr>
            </w:pPr>
            <w:r w:rsidRPr="00101FFC">
              <w:rPr>
                <w:sz w:val="18"/>
              </w:rPr>
              <w:t>TIP</w:t>
            </w:r>
          </w:p>
          <w:p w14:paraId="5C466E43" w14:textId="77777777" w:rsidR="00636F46" w:rsidRPr="00101FFC" w:rsidRDefault="00636F46">
            <w:pPr>
              <w:spacing w:before="0" w:after="0" w:line="240" w:lineRule="auto"/>
              <w:jc w:val="center"/>
              <w:rPr>
                <w:rFonts w:cstheme="minorHAnsi"/>
                <w:color w:val="000000"/>
                <w:sz w:val="18"/>
              </w:rPr>
            </w:pPr>
            <w:r w:rsidRPr="00101FFC">
              <w:rPr>
                <w:sz w:val="18"/>
              </w:rPr>
              <w:t>(Transportation Improvement Program)</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1500FA67" w14:textId="77777777" w:rsidR="00636F46" w:rsidRPr="00101FFC" w:rsidRDefault="00636F46">
            <w:pPr>
              <w:spacing w:before="0" w:after="0" w:line="240" w:lineRule="auto"/>
              <w:jc w:val="center"/>
              <w:rPr>
                <w:rFonts w:cstheme="minorHAnsi"/>
                <w:color w:val="000000"/>
                <w:sz w:val="18"/>
              </w:rPr>
            </w:pPr>
            <w:r w:rsidRPr="00101FFC">
              <w:rPr>
                <w:sz w:val="18"/>
              </w:rPr>
              <w:t>4-5 years</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6192F0C5" w14:textId="77777777" w:rsidR="00636F46" w:rsidRPr="00101FFC" w:rsidRDefault="00636F46">
            <w:pPr>
              <w:spacing w:before="0" w:after="0" w:line="240" w:lineRule="auto"/>
              <w:jc w:val="center"/>
              <w:rPr>
                <w:rFonts w:cstheme="minorHAnsi"/>
                <w:color w:val="000000"/>
                <w:sz w:val="18"/>
              </w:rPr>
            </w:pPr>
            <w:r w:rsidRPr="00101FFC">
              <w:rPr>
                <w:sz w:val="18"/>
              </w:rPr>
              <w:t>Transportation investments by fund type and funding year</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189AB4E2" w14:textId="77777777" w:rsidR="00D94C41" w:rsidRDefault="00D94C41">
            <w:pPr>
              <w:spacing w:before="0" w:after="0" w:line="240" w:lineRule="auto"/>
              <w:jc w:val="center"/>
              <w:rPr>
                <w:sz w:val="18"/>
              </w:rPr>
            </w:pPr>
            <w:r>
              <w:rPr>
                <w:sz w:val="18"/>
              </w:rPr>
              <w:t>At least every 4 years</w:t>
            </w:r>
          </w:p>
          <w:p w14:paraId="24E9FEE1" w14:textId="77777777" w:rsidR="00D94C41" w:rsidRDefault="00D94C41">
            <w:pPr>
              <w:spacing w:before="0" w:after="0" w:line="240" w:lineRule="auto"/>
              <w:jc w:val="center"/>
              <w:rPr>
                <w:sz w:val="18"/>
              </w:rPr>
            </w:pPr>
            <w:r>
              <w:rPr>
                <w:sz w:val="18"/>
              </w:rPr>
              <w:t>(period may occur</w:t>
            </w:r>
          </w:p>
          <w:p w14:paraId="5D2BADFA" w14:textId="0933D7C9" w:rsidR="00636F46" w:rsidRPr="00101FFC" w:rsidRDefault="00D94C41">
            <w:pPr>
              <w:spacing w:before="0" w:after="0" w:line="240" w:lineRule="auto"/>
              <w:jc w:val="center"/>
              <w:rPr>
                <w:rFonts w:cstheme="minorHAnsi"/>
                <w:color w:val="000000"/>
                <w:sz w:val="18"/>
              </w:rPr>
            </w:pPr>
            <w:r>
              <w:rPr>
                <w:sz w:val="18"/>
              </w:rPr>
              <w:t>more frequently)</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6FBE25B0"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6CB8B0EB"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04681B70" w14:textId="77777777" w:rsidR="00636F46" w:rsidRPr="00101FFC" w:rsidRDefault="00636F46" w:rsidP="00020D20">
            <w:pPr>
              <w:spacing w:before="0" w:after="0" w:line="240" w:lineRule="auto"/>
              <w:jc w:val="both"/>
              <w:rPr>
                <w:rFonts w:ascii="MinionPro-Regular" w:hAnsi="MinionPro-Regular" w:cs="MinionPro-Regular"/>
                <w:color w:val="000000"/>
                <w:sz w:val="18"/>
                <w:szCs w:val="24"/>
              </w:rPr>
            </w:pPr>
            <w:r w:rsidRPr="00101FFC">
              <w:rPr>
                <w:rFonts w:ascii="Segoe UI Symbol" w:hAnsi="Segoe UI Symbol" w:cs="Segoe UI Symbol"/>
                <w:sz w:val="18"/>
              </w:rPr>
              <w:t>✓</w:t>
            </w:r>
          </w:p>
        </w:tc>
      </w:tr>
      <w:tr w:rsidR="00636F46" w:rsidRPr="00BB7056" w14:paraId="79326020"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4DF403E0" w14:textId="77777777" w:rsidR="00636F46" w:rsidRPr="00101FFC" w:rsidRDefault="00636F46">
            <w:pPr>
              <w:spacing w:before="0" w:after="0" w:line="240" w:lineRule="auto"/>
              <w:jc w:val="center"/>
              <w:rPr>
                <w:rFonts w:cstheme="minorHAnsi"/>
                <w:color w:val="000000"/>
                <w:sz w:val="18"/>
              </w:rPr>
            </w:pPr>
            <w:r w:rsidRPr="00101FFC">
              <w:rPr>
                <w:sz w:val="18"/>
              </w:rPr>
              <w:t>Public Participation Plan</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25458284" w14:textId="77777777" w:rsidR="00636F46" w:rsidRPr="00101FFC" w:rsidRDefault="00636F46">
            <w:pPr>
              <w:spacing w:before="0" w:after="0" w:line="240" w:lineRule="auto"/>
              <w:jc w:val="center"/>
              <w:rPr>
                <w:rFonts w:cstheme="minorHAnsi"/>
                <w:color w:val="000000"/>
                <w:sz w:val="18"/>
              </w:rPr>
            </w:pPr>
            <w:r w:rsidRPr="00101FFC">
              <w:rPr>
                <w:sz w:val="18"/>
              </w:rPr>
              <w:t>N/A</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6ACC922" w14:textId="77777777" w:rsidR="00636F46" w:rsidRPr="00101FFC" w:rsidRDefault="00636F46">
            <w:pPr>
              <w:spacing w:before="0" w:after="0" w:line="240" w:lineRule="auto"/>
              <w:jc w:val="center"/>
              <w:rPr>
                <w:rFonts w:cstheme="minorHAnsi"/>
                <w:color w:val="000000"/>
                <w:sz w:val="18"/>
              </w:rPr>
            </w:pPr>
            <w:r w:rsidRPr="00101FFC">
              <w:rPr>
                <w:sz w:val="18"/>
              </w:rPr>
              <w:t>Details of the MPO public involvement process</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5DAD0C9E" w14:textId="77777777" w:rsidR="00636F46" w:rsidRPr="00101FFC" w:rsidRDefault="00636F46">
            <w:pPr>
              <w:spacing w:before="0" w:after="0" w:line="240" w:lineRule="auto"/>
              <w:jc w:val="center"/>
              <w:rPr>
                <w:sz w:val="18"/>
              </w:rPr>
            </w:pPr>
            <w:r w:rsidRPr="00101FFC">
              <w:rPr>
                <w:sz w:val="18"/>
              </w:rPr>
              <w:t>As needed</w:t>
            </w:r>
          </w:p>
          <w:p w14:paraId="52C9FF8F" w14:textId="77777777" w:rsidR="00636F46" w:rsidRPr="00101FFC" w:rsidRDefault="00636F46">
            <w:pPr>
              <w:spacing w:before="0" w:after="0" w:line="240" w:lineRule="auto"/>
              <w:jc w:val="center"/>
              <w:rPr>
                <w:rFonts w:cstheme="minorHAnsi"/>
                <w:color w:val="000000"/>
                <w:sz w:val="18"/>
              </w:rPr>
            </w:pPr>
            <w:r w:rsidRPr="00101FFC">
              <w:rPr>
                <w:sz w:val="18"/>
              </w:rPr>
              <w:t>(to stay in compliance with federal regulations)</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2A5DFBF3"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2975B70"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339BC070" w14:textId="77777777" w:rsidR="00636F46" w:rsidRPr="00101FFC" w:rsidRDefault="00636F46" w:rsidP="00020D20">
            <w:pPr>
              <w:spacing w:before="0" w:after="0" w:line="240" w:lineRule="auto"/>
              <w:jc w:val="both"/>
              <w:rPr>
                <w:rFonts w:ascii="MinionPro-Regular" w:hAnsi="MinionPro-Regular" w:cs="MinionPro-Regular"/>
                <w:color w:val="000000"/>
                <w:sz w:val="18"/>
                <w:szCs w:val="24"/>
              </w:rPr>
            </w:pPr>
            <w:r w:rsidRPr="00101FFC">
              <w:rPr>
                <w:rFonts w:ascii="Segoe UI Symbol" w:hAnsi="Segoe UI Symbol" w:cs="Segoe UI Symbol"/>
                <w:sz w:val="18"/>
              </w:rPr>
              <w:t>✓</w:t>
            </w:r>
          </w:p>
        </w:tc>
      </w:tr>
      <w:tr w:rsidR="00636F46" w:rsidRPr="00BB7056" w14:paraId="2E586A1B"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1C9EAADB" w14:textId="77777777" w:rsidR="00636F46" w:rsidRPr="00101FFC" w:rsidRDefault="00636F46">
            <w:pPr>
              <w:spacing w:before="0" w:after="0" w:line="240" w:lineRule="auto"/>
              <w:jc w:val="center"/>
              <w:rPr>
                <w:rFonts w:cstheme="minorHAnsi"/>
                <w:color w:val="000000"/>
                <w:sz w:val="18"/>
              </w:rPr>
            </w:pPr>
            <w:r w:rsidRPr="00101FFC">
              <w:rPr>
                <w:sz w:val="18"/>
              </w:rPr>
              <w:t>Title VI Plan</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0E0D5786" w14:textId="77777777" w:rsidR="00636F46" w:rsidRPr="00101FFC" w:rsidRDefault="00636F46">
            <w:pPr>
              <w:spacing w:before="0" w:after="0" w:line="240" w:lineRule="auto"/>
              <w:jc w:val="center"/>
              <w:rPr>
                <w:rFonts w:cstheme="minorHAnsi"/>
                <w:color w:val="000000"/>
                <w:sz w:val="18"/>
              </w:rPr>
            </w:pPr>
            <w:r w:rsidRPr="00101FFC">
              <w:rPr>
                <w:sz w:val="18"/>
              </w:rPr>
              <w:t>N/A</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30E3597E" w14:textId="77777777" w:rsidR="00636F46" w:rsidRPr="00101FFC" w:rsidRDefault="00636F46">
            <w:pPr>
              <w:spacing w:before="0" w:after="0" w:line="240" w:lineRule="auto"/>
              <w:jc w:val="center"/>
              <w:rPr>
                <w:rFonts w:cstheme="minorHAnsi"/>
                <w:color w:val="000000"/>
                <w:sz w:val="18"/>
              </w:rPr>
            </w:pPr>
            <w:r w:rsidRPr="00101FFC">
              <w:rPr>
                <w:sz w:val="18"/>
              </w:rPr>
              <w:t>Actions taken to meet antidiscrimination laws</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1CECF7E3" w14:textId="77777777" w:rsidR="00636F46" w:rsidRPr="00101FFC" w:rsidRDefault="00636F46">
            <w:pPr>
              <w:spacing w:before="0" w:after="0" w:line="240" w:lineRule="auto"/>
              <w:jc w:val="center"/>
              <w:rPr>
                <w:rFonts w:cstheme="minorHAnsi"/>
                <w:color w:val="000000"/>
                <w:sz w:val="18"/>
              </w:rPr>
            </w:pPr>
            <w:r w:rsidRPr="00101FFC">
              <w:rPr>
                <w:sz w:val="18"/>
              </w:rPr>
              <w:t>Annually</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9EE9362"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60990139"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68D0D3C0" w14:textId="77777777" w:rsidR="00636F46" w:rsidRPr="00101FFC" w:rsidRDefault="00636F46" w:rsidP="00020D20">
            <w:pPr>
              <w:spacing w:before="0" w:after="0" w:line="240" w:lineRule="auto"/>
              <w:jc w:val="both"/>
              <w:rPr>
                <w:rFonts w:ascii="MinionPro-Regular" w:hAnsi="MinionPro-Regular" w:cs="MinionPro-Regular"/>
                <w:color w:val="000000"/>
                <w:sz w:val="18"/>
                <w:szCs w:val="24"/>
              </w:rPr>
            </w:pPr>
            <w:r w:rsidRPr="00101FFC">
              <w:rPr>
                <w:rFonts w:ascii="Segoe UI Symbol" w:hAnsi="Segoe UI Symbol" w:cs="Segoe UI Symbol"/>
                <w:sz w:val="18"/>
              </w:rPr>
              <w:t>✓</w:t>
            </w:r>
          </w:p>
        </w:tc>
      </w:tr>
      <w:tr w:rsidR="00636F46" w:rsidRPr="00BB7056" w14:paraId="7EA1ED6D"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10EB633B" w14:textId="77777777" w:rsidR="00636F46" w:rsidRPr="00101FFC" w:rsidRDefault="00636F46">
            <w:pPr>
              <w:spacing w:before="0" w:after="0" w:line="240" w:lineRule="auto"/>
              <w:jc w:val="center"/>
              <w:rPr>
                <w:rFonts w:cstheme="minorHAnsi"/>
                <w:color w:val="000000"/>
                <w:sz w:val="18"/>
              </w:rPr>
            </w:pPr>
            <w:r w:rsidRPr="00101FFC">
              <w:rPr>
                <w:sz w:val="18"/>
              </w:rPr>
              <w:t>Regional Coordination Plan</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314A849C" w14:textId="77777777" w:rsidR="00636F46" w:rsidRPr="00101FFC" w:rsidRDefault="00636F46">
            <w:pPr>
              <w:spacing w:before="0" w:after="0" w:line="240" w:lineRule="auto"/>
              <w:jc w:val="center"/>
              <w:rPr>
                <w:rFonts w:cstheme="minorHAnsi"/>
                <w:color w:val="000000"/>
                <w:sz w:val="18"/>
              </w:rPr>
            </w:pPr>
            <w:r w:rsidRPr="00101FFC">
              <w:rPr>
                <w:sz w:val="18"/>
              </w:rPr>
              <w:t>N/A</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12CE14AA" w14:textId="77777777" w:rsidR="00636F46" w:rsidRPr="00101FFC" w:rsidRDefault="00636F46">
            <w:pPr>
              <w:spacing w:before="0" w:after="0" w:line="240" w:lineRule="auto"/>
              <w:jc w:val="center"/>
              <w:rPr>
                <w:rFonts w:cstheme="minorHAnsi"/>
                <w:color w:val="000000"/>
                <w:sz w:val="18"/>
              </w:rPr>
            </w:pPr>
            <w:r w:rsidRPr="00101FFC">
              <w:rPr>
                <w:sz w:val="18"/>
              </w:rPr>
              <w:t>Transportation services for people with disabilities, low incomes, and older adults</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69E1DA0" w14:textId="77777777" w:rsidR="00D94C41" w:rsidRPr="00101FFC" w:rsidRDefault="00D94C41">
            <w:pPr>
              <w:spacing w:before="0" w:after="0" w:line="240" w:lineRule="auto"/>
              <w:jc w:val="center"/>
              <w:rPr>
                <w:sz w:val="18"/>
              </w:rPr>
            </w:pPr>
            <w:r w:rsidRPr="00101FFC">
              <w:rPr>
                <w:sz w:val="18"/>
              </w:rPr>
              <w:t>Based on TIP and MTP</w:t>
            </w:r>
          </w:p>
          <w:p w14:paraId="06FB75E2" w14:textId="3AE35ACB" w:rsidR="00636F46" w:rsidRPr="00101FFC" w:rsidRDefault="00D94C41">
            <w:pPr>
              <w:spacing w:before="0" w:after="0" w:line="240" w:lineRule="auto"/>
              <w:jc w:val="center"/>
              <w:rPr>
                <w:rFonts w:cstheme="minorHAnsi"/>
                <w:color w:val="000000"/>
                <w:sz w:val="18"/>
              </w:rPr>
            </w:pPr>
            <w:r w:rsidRPr="00101FFC">
              <w:rPr>
                <w:sz w:val="18"/>
              </w:rPr>
              <w:t>(4 years for non-attainment and maintenance areas)</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7E61473"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50AB6634" w14:textId="77777777" w:rsidR="00636F46" w:rsidRPr="00101FFC" w:rsidRDefault="00636F46"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5A7CBE6B" w14:textId="77777777" w:rsidR="00636F46" w:rsidRPr="00101FFC" w:rsidRDefault="00636F46" w:rsidP="00020D20">
            <w:pPr>
              <w:spacing w:before="0" w:after="0" w:line="240" w:lineRule="auto"/>
              <w:jc w:val="both"/>
              <w:rPr>
                <w:rFonts w:ascii="MinionPro-Regular" w:hAnsi="MinionPro-Regular" w:cs="MinionPro-Regular"/>
                <w:color w:val="000000"/>
                <w:sz w:val="18"/>
                <w:szCs w:val="24"/>
              </w:rPr>
            </w:pPr>
            <w:r w:rsidRPr="00101FFC">
              <w:rPr>
                <w:rFonts w:ascii="Segoe UI Symbol" w:hAnsi="Segoe UI Symbol" w:cs="Segoe UI Symbol"/>
                <w:sz w:val="18"/>
              </w:rPr>
              <w:t>✓</w:t>
            </w:r>
          </w:p>
        </w:tc>
      </w:tr>
      <w:tr w:rsidR="00790390" w:rsidRPr="00BB7056" w14:paraId="3D21B464" w14:textId="77777777" w:rsidTr="00020D20">
        <w:trPr>
          <w:trHeight w:val="576"/>
        </w:trPr>
        <w:tc>
          <w:tcPr>
            <w:tcW w:w="1980" w:type="dxa"/>
            <w:tcBorders>
              <w:top w:val="single" w:sz="8" w:space="0" w:color="323232"/>
              <w:left w:val="single" w:sz="8" w:space="0" w:color="auto"/>
              <w:bottom w:val="single" w:sz="8" w:space="0" w:color="323232"/>
              <w:right w:val="single" w:sz="8" w:space="0" w:color="323232"/>
            </w:tcBorders>
            <w:tcMar>
              <w:top w:w="144" w:type="dxa"/>
              <w:left w:w="90" w:type="dxa"/>
              <w:bottom w:w="144" w:type="dxa"/>
              <w:right w:w="90" w:type="dxa"/>
            </w:tcMar>
            <w:vAlign w:val="center"/>
          </w:tcPr>
          <w:p w14:paraId="5872DBC9" w14:textId="19DF8C4B" w:rsidR="00790390" w:rsidRPr="00101FFC" w:rsidRDefault="00790390">
            <w:pPr>
              <w:spacing w:before="0" w:after="0" w:line="240" w:lineRule="auto"/>
              <w:jc w:val="center"/>
              <w:rPr>
                <w:rFonts w:cstheme="minorHAnsi"/>
                <w:color w:val="000000"/>
                <w:sz w:val="18"/>
              </w:rPr>
            </w:pPr>
            <w:r w:rsidRPr="00101FFC">
              <w:rPr>
                <w:sz w:val="18"/>
              </w:rPr>
              <w:t>Air Quality Regional Conformity</w:t>
            </w:r>
          </w:p>
        </w:tc>
        <w:tc>
          <w:tcPr>
            <w:tcW w:w="9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49668F93" w14:textId="77777777" w:rsidR="00790390" w:rsidRPr="00101FFC" w:rsidRDefault="00790390">
            <w:pPr>
              <w:spacing w:before="0" w:after="0" w:line="240" w:lineRule="auto"/>
              <w:jc w:val="center"/>
              <w:rPr>
                <w:rFonts w:cstheme="minorHAnsi"/>
                <w:color w:val="000000"/>
                <w:sz w:val="18"/>
              </w:rPr>
            </w:pPr>
            <w:r w:rsidRPr="00101FFC">
              <w:rPr>
                <w:sz w:val="18"/>
              </w:rPr>
              <w:t>Based on TIP and MTP</w:t>
            </w:r>
          </w:p>
        </w:tc>
        <w:tc>
          <w:tcPr>
            <w:tcW w:w="279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E9EE745" w14:textId="42861779" w:rsidR="00790390" w:rsidRPr="00101FFC" w:rsidRDefault="00790390">
            <w:pPr>
              <w:spacing w:before="0" w:after="0" w:line="240" w:lineRule="auto"/>
              <w:jc w:val="center"/>
              <w:rPr>
                <w:rFonts w:cstheme="minorHAnsi"/>
                <w:color w:val="000000"/>
                <w:sz w:val="18"/>
              </w:rPr>
            </w:pPr>
            <w:r w:rsidRPr="00101FFC">
              <w:rPr>
                <w:sz w:val="18"/>
              </w:rPr>
              <w:t>Conformity links air quality and transportation planning to ensure transportation activities in non-attainment and maintenance areas are consistent with air quality</w:t>
            </w:r>
            <w:r w:rsidR="002014D0">
              <w:rPr>
                <w:sz w:val="18"/>
              </w:rPr>
              <w:t xml:space="preserve"> goals</w:t>
            </w:r>
          </w:p>
        </w:tc>
        <w:tc>
          <w:tcPr>
            <w:tcW w:w="24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311B3F59" w14:textId="77777777" w:rsidR="00790390" w:rsidRPr="00101FFC" w:rsidRDefault="00790390">
            <w:pPr>
              <w:spacing w:before="0" w:after="0" w:line="240" w:lineRule="auto"/>
              <w:jc w:val="center"/>
              <w:rPr>
                <w:sz w:val="18"/>
              </w:rPr>
            </w:pPr>
            <w:r w:rsidRPr="00101FFC">
              <w:rPr>
                <w:sz w:val="18"/>
              </w:rPr>
              <w:t>Based on TIP and MTP</w:t>
            </w:r>
          </w:p>
          <w:p w14:paraId="7D5A07C7" w14:textId="77777777" w:rsidR="00790390" w:rsidRPr="00101FFC" w:rsidRDefault="00790390">
            <w:pPr>
              <w:spacing w:before="0" w:after="0" w:line="240" w:lineRule="auto"/>
              <w:jc w:val="center"/>
              <w:rPr>
                <w:rFonts w:cstheme="minorHAnsi"/>
                <w:color w:val="000000"/>
                <w:sz w:val="18"/>
              </w:rPr>
            </w:pPr>
            <w:r w:rsidRPr="00101FFC">
              <w:rPr>
                <w:sz w:val="18"/>
              </w:rPr>
              <w:t>(4 years for non-attainment and maintenance areas)</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01E96451" w14:textId="77777777" w:rsidR="00790390" w:rsidRPr="00101FFC" w:rsidRDefault="00790390"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323232"/>
              <w:right w:val="single" w:sz="8" w:space="0" w:color="323232"/>
            </w:tcBorders>
            <w:tcMar>
              <w:top w:w="144" w:type="dxa"/>
              <w:left w:w="90" w:type="dxa"/>
              <w:bottom w:w="144" w:type="dxa"/>
              <w:right w:w="90" w:type="dxa"/>
            </w:tcMar>
            <w:vAlign w:val="center"/>
          </w:tcPr>
          <w:p w14:paraId="71BA3730" w14:textId="77777777" w:rsidR="00790390" w:rsidRPr="00101FFC" w:rsidRDefault="00790390"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48" w:type="dxa"/>
            <w:tcBorders>
              <w:top w:val="single" w:sz="8" w:space="0" w:color="323232"/>
              <w:left w:val="single" w:sz="8" w:space="0" w:color="323232"/>
              <w:bottom w:val="single" w:sz="8" w:space="0" w:color="323232"/>
              <w:right w:val="single" w:sz="8" w:space="0" w:color="auto"/>
            </w:tcBorders>
            <w:tcMar>
              <w:top w:w="144" w:type="dxa"/>
              <w:left w:w="90" w:type="dxa"/>
              <w:bottom w:w="144" w:type="dxa"/>
              <w:right w:w="90" w:type="dxa"/>
            </w:tcMar>
            <w:vAlign w:val="center"/>
          </w:tcPr>
          <w:p w14:paraId="0FE41C63" w14:textId="77777777" w:rsidR="00790390" w:rsidRPr="00101FFC" w:rsidRDefault="00790390" w:rsidP="00020D20">
            <w:pPr>
              <w:spacing w:before="0" w:after="0" w:line="240" w:lineRule="auto"/>
              <w:jc w:val="both"/>
              <w:rPr>
                <w:sz w:val="18"/>
              </w:rPr>
            </w:pPr>
          </w:p>
        </w:tc>
      </w:tr>
      <w:tr w:rsidR="00790390" w:rsidRPr="00BB7056" w14:paraId="3F89A752" w14:textId="77777777" w:rsidTr="00020D20">
        <w:trPr>
          <w:trHeight w:val="576"/>
        </w:trPr>
        <w:tc>
          <w:tcPr>
            <w:tcW w:w="1980" w:type="dxa"/>
            <w:tcBorders>
              <w:top w:val="single" w:sz="8" w:space="0" w:color="323232"/>
              <w:left w:val="single" w:sz="8" w:space="0" w:color="auto"/>
              <w:bottom w:val="single" w:sz="8" w:space="0" w:color="auto"/>
              <w:right w:val="single" w:sz="8" w:space="0" w:color="323232"/>
            </w:tcBorders>
            <w:tcMar>
              <w:top w:w="144" w:type="dxa"/>
              <w:left w:w="90" w:type="dxa"/>
              <w:bottom w:w="144" w:type="dxa"/>
              <w:right w:w="90" w:type="dxa"/>
            </w:tcMar>
            <w:vAlign w:val="center"/>
          </w:tcPr>
          <w:p w14:paraId="51124388" w14:textId="77777777" w:rsidR="00790390" w:rsidRPr="00101FFC" w:rsidRDefault="00790390">
            <w:pPr>
              <w:spacing w:before="0" w:after="0" w:line="240" w:lineRule="auto"/>
              <w:jc w:val="center"/>
              <w:rPr>
                <w:rFonts w:cstheme="minorHAnsi"/>
                <w:color w:val="000000"/>
                <w:sz w:val="18"/>
              </w:rPr>
            </w:pPr>
            <w:r w:rsidRPr="00101FFC">
              <w:rPr>
                <w:sz w:val="18"/>
              </w:rPr>
              <w:t>Congestion Management Plan</w:t>
            </w:r>
          </w:p>
        </w:tc>
        <w:tc>
          <w:tcPr>
            <w:tcW w:w="990" w:type="dxa"/>
            <w:tcBorders>
              <w:top w:val="single" w:sz="8" w:space="0" w:color="323232"/>
              <w:left w:val="single" w:sz="8" w:space="0" w:color="323232"/>
              <w:bottom w:val="single" w:sz="8" w:space="0" w:color="auto"/>
              <w:right w:val="single" w:sz="8" w:space="0" w:color="323232"/>
            </w:tcBorders>
            <w:tcMar>
              <w:top w:w="144" w:type="dxa"/>
              <w:left w:w="90" w:type="dxa"/>
              <w:bottom w:w="144" w:type="dxa"/>
              <w:right w:w="90" w:type="dxa"/>
            </w:tcMar>
            <w:vAlign w:val="center"/>
          </w:tcPr>
          <w:p w14:paraId="44B5A521" w14:textId="77777777" w:rsidR="00790390" w:rsidRPr="00101FFC" w:rsidRDefault="00790390">
            <w:pPr>
              <w:spacing w:before="0" w:after="0" w:line="240" w:lineRule="auto"/>
              <w:jc w:val="center"/>
              <w:rPr>
                <w:rFonts w:cstheme="minorHAnsi"/>
                <w:color w:val="000000"/>
                <w:sz w:val="18"/>
              </w:rPr>
            </w:pPr>
            <w:r w:rsidRPr="00101FFC">
              <w:rPr>
                <w:sz w:val="18"/>
              </w:rPr>
              <w:t>Ongoing</w:t>
            </w:r>
          </w:p>
        </w:tc>
        <w:tc>
          <w:tcPr>
            <w:tcW w:w="2790" w:type="dxa"/>
            <w:tcBorders>
              <w:top w:val="single" w:sz="8" w:space="0" w:color="323232"/>
              <w:left w:val="single" w:sz="8" w:space="0" w:color="323232"/>
              <w:bottom w:val="single" w:sz="8" w:space="0" w:color="auto"/>
              <w:right w:val="single" w:sz="8" w:space="0" w:color="323232"/>
            </w:tcBorders>
            <w:tcMar>
              <w:top w:w="144" w:type="dxa"/>
              <w:left w:w="90" w:type="dxa"/>
              <w:bottom w:w="144" w:type="dxa"/>
              <w:right w:w="90" w:type="dxa"/>
            </w:tcMar>
            <w:vAlign w:val="center"/>
          </w:tcPr>
          <w:p w14:paraId="078CABF9" w14:textId="77777777" w:rsidR="00790390" w:rsidRPr="00101FFC" w:rsidRDefault="00790390">
            <w:pPr>
              <w:spacing w:before="0" w:after="0" w:line="240" w:lineRule="auto"/>
              <w:jc w:val="center"/>
              <w:rPr>
                <w:rFonts w:cstheme="minorHAnsi"/>
                <w:color w:val="000000"/>
                <w:sz w:val="18"/>
              </w:rPr>
            </w:pPr>
            <w:r w:rsidRPr="00101FFC">
              <w:rPr>
                <w:sz w:val="18"/>
              </w:rPr>
              <w:t>Provides demand reduction and operational management strategies</w:t>
            </w:r>
          </w:p>
        </w:tc>
        <w:tc>
          <w:tcPr>
            <w:tcW w:w="2430" w:type="dxa"/>
            <w:tcBorders>
              <w:top w:val="single" w:sz="8" w:space="0" w:color="323232"/>
              <w:left w:val="single" w:sz="8" w:space="0" w:color="323232"/>
              <w:bottom w:val="single" w:sz="8" w:space="0" w:color="auto"/>
              <w:right w:val="single" w:sz="8" w:space="0" w:color="323232"/>
            </w:tcBorders>
            <w:tcMar>
              <w:top w:w="144" w:type="dxa"/>
              <w:left w:w="90" w:type="dxa"/>
              <w:bottom w:w="144" w:type="dxa"/>
              <w:right w:w="90" w:type="dxa"/>
            </w:tcMar>
            <w:vAlign w:val="center"/>
          </w:tcPr>
          <w:p w14:paraId="3AAE1FC9" w14:textId="77777777" w:rsidR="00790390" w:rsidRPr="00101FFC" w:rsidRDefault="00790390">
            <w:pPr>
              <w:spacing w:before="0" w:after="0" w:line="240" w:lineRule="auto"/>
              <w:jc w:val="center"/>
              <w:rPr>
                <w:rFonts w:cstheme="minorHAnsi"/>
                <w:color w:val="000000"/>
                <w:sz w:val="18"/>
              </w:rPr>
            </w:pPr>
            <w:r w:rsidRPr="00101FFC">
              <w:rPr>
                <w:sz w:val="18"/>
              </w:rPr>
              <w:t>As needed</w:t>
            </w:r>
          </w:p>
        </w:tc>
        <w:tc>
          <w:tcPr>
            <w:tcW w:w="630" w:type="dxa"/>
            <w:tcBorders>
              <w:top w:val="single" w:sz="8" w:space="0" w:color="323232"/>
              <w:left w:val="single" w:sz="8" w:space="0" w:color="323232"/>
              <w:bottom w:val="single" w:sz="8" w:space="0" w:color="auto"/>
              <w:right w:val="single" w:sz="8" w:space="0" w:color="323232"/>
            </w:tcBorders>
            <w:tcMar>
              <w:top w:w="144" w:type="dxa"/>
              <w:left w:w="90" w:type="dxa"/>
              <w:bottom w:w="144" w:type="dxa"/>
              <w:right w:w="90" w:type="dxa"/>
            </w:tcMar>
            <w:vAlign w:val="center"/>
          </w:tcPr>
          <w:p w14:paraId="450641EE" w14:textId="77777777" w:rsidR="00790390" w:rsidRPr="00101FFC" w:rsidRDefault="00790390" w:rsidP="00020D20">
            <w:pPr>
              <w:spacing w:before="0" w:after="0" w:line="240" w:lineRule="auto"/>
              <w:jc w:val="both"/>
              <w:rPr>
                <w:rFonts w:cstheme="minorHAnsi"/>
                <w:color w:val="000000"/>
                <w:sz w:val="18"/>
              </w:rPr>
            </w:pPr>
            <w:r w:rsidRPr="00101FFC">
              <w:rPr>
                <w:rFonts w:ascii="Segoe UI Symbol" w:hAnsi="Segoe UI Symbol" w:cs="Segoe UI Symbol"/>
                <w:sz w:val="18"/>
              </w:rPr>
              <w:t>✓</w:t>
            </w:r>
          </w:p>
        </w:tc>
        <w:tc>
          <w:tcPr>
            <w:tcW w:w="630" w:type="dxa"/>
            <w:tcBorders>
              <w:top w:val="single" w:sz="8" w:space="0" w:color="323232"/>
              <w:left w:val="single" w:sz="8" w:space="0" w:color="323232"/>
              <w:bottom w:val="single" w:sz="8" w:space="0" w:color="auto"/>
              <w:right w:val="single" w:sz="8" w:space="0" w:color="323232"/>
            </w:tcBorders>
            <w:tcMar>
              <w:top w:w="144" w:type="dxa"/>
              <w:left w:w="90" w:type="dxa"/>
              <w:bottom w:w="144" w:type="dxa"/>
              <w:right w:w="90" w:type="dxa"/>
            </w:tcMar>
            <w:vAlign w:val="center"/>
          </w:tcPr>
          <w:p w14:paraId="1C1C0E1F" w14:textId="77777777" w:rsidR="00790390" w:rsidRPr="00101FFC" w:rsidRDefault="00790390" w:rsidP="00020D20">
            <w:pPr>
              <w:spacing w:before="0" w:after="0" w:line="240" w:lineRule="auto"/>
              <w:jc w:val="both"/>
              <w:rPr>
                <w:rFonts w:cstheme="minorHAnsi"/>
                <w:sz w:val="18"/>
              </w:rPr>
            </w:pPr>
          </w:p>
        </w:tc>
        <w:tc>
          <w:tcPr>
            <w:tcW w:w="648" w:type="dxa"/>
            <w:tcBorders>
              <w:top w:val="single" w:sz="8" w:space="0" w:color="323232"/>
              <w:left w:val="single" w:sz="8" w:space="0" w:color="323232"/>
              <w:bottom w:val="single" w:sz="8" w:space="0" w:color="auto"/>
              <w:right w:val="single" w:sz="8" w:space="0" w:color="auto"/>
            </w:tcBorders>
            <w:tcMar>
              <w:top w:w="144" w:type="dxa"/>
              <w:left w:w="90" w:type="dxa"/>
              <w:bottom w:w="144" w:type="dxa"/>
              <w:right w:w="90" w:type="dxa"/>
            </w:tcMar>
            <w:vAlign w:val="center"/>
          </w:tcPr>
          <w:p w14:paraId="7B5679C0" w14:textId="77777777" w:rsidR="00790390" w:rsidRPr="00101FFC" w:rsidRDefault="00790390" w:rsidP="00020D20">
            <w:pPr>
              <w:spacing w:before="0" w:after="0" w:line="240" w:lineRule="auto"/>
              <w:jc w:val="both"/>
              <w:rPr>
                <w:sz w:val="18"/>
              </w:rPr>
            </w:pPr>
          </w:p>
        </w:tc>
      </w:tr>
    </w:tbl>
    <w:p w14:paraId="1EE4D646" w14:textId="77777777" w:rsidR="00636F46" w:rsidRDefault="00636F46" w:rsidP="00020D20">
      <w:pPr>
        <w:jc w:val="both"/>
        <w:sectPr w:rsidR="00636F46" w:rsidSect="00020D20">
          <w:type w:val="continuous"/>
          <w:pgSz w:w="12240" w:h="15840"/>
          <w:pgMar w:top="1080" w:right="1080" w:bottom="1080" w:left="1080" w:header="1152" w:footer="720" w:gutter="0"/>
          <w:pgNumType w:chapStyle="1"/>
          <w:cols w:space="1152"/>
          <w:docGrid w:linePitch="360"/>
        </w:sectPr>
      </w:pPr>
    </w:p>
    <w:p w14:paraId="4BFCFAF8" w14:textId="77777777" w:rsidR="00636F46" w:rsidRDefault="00636F46" w:rsidP="00020D20">
      <w:pPr>
        <w:jc w:val="both"/>
        <w:sectPr w:rsidR="00636F46" w:rsidSect="009B54DF">
          <w:type w:val="continuous"/>
          <w:pgSz w:w="12240" w:h="15840"/>
          <w:pgMar w:top="1080" w:right="1080" w:bottom="1080" w:left="1080" w:header="1152" w:footer="720" w:gutter="0"/>
          <w:cols w:num="2" w:space="1152"/>
          <w:docGrid w:linePitch="360"/>
        </w:sectPr>
      </w:pPr>
    </w:p>
    <w:p w14:paraId="4334D722" w14:textId="77777777" w:rsidR="00636F46" w:rsidRPr="00BB7056" w:rsidRDefault="00636F46" w:rsidP="00020D20">
      <w:pPr>
        <w:pStyle w:val="Heading3"/>
        <w:jc w:val="both"/>
      </w:pPr>
      <w:bookmarkStart w:id="10" w:name="_Ref50018376"/>
      <w:r w:rsidRPr="00BB7056">
        <w:t>1.3.4 | Arizona Statutes</w:t>
      </w:r>
      <w:bookmarkEnd w:id="10"/>
    </w:p>
    <w:p w14:paraId="5D2E016D" w14:textId="77777777" w:rsidR="00636F46" w:rsidRPr="00BB7056" w:rsidRDefault="00636F46" w:rsidP="00020D20">
      <w:pPr>
        <w:jc w:val="both"/>
      </w:pPr>
      <w:r w:rsidRPr="00BB7056">
        <w:t xml:space="preserve">Similar to the federal process, the Arizona State Legislature passes laws (approved by the governor) which are incorporated into the </w:t>
      </w:r>
      <w:r w:rsidRPr="00774E16">
        <w:rPr>
          <w:rStyle w:val="Heading5Char"/>
        </w:rPr>
        <w:t>Arizona Revised Statutes</w:t>
      </w:r>
      <w:r w:rsidRPr="00BB7056">
        <w:t xml:space="preserve"> (A.R.S.). Arizona’s laws on transportation planning are found in several articles of</w:t>
      </w:r>
      <w:r w:rsidRPr="007B6EEE">
        <w:rPr>
          <w:rStyle w:val="TitleChar"/>
        </w:rPr>
        <w:t xml:space="preserve"> </w:t>
      </w:r>
      <w:hyperlink r:id="rId49" w:history="1">
        <w:r w:rsidRPr="00A975B0">
          <w:rPr>
            <w:rStyle w:val="TitleChar"/>
          </w:rPr>
          <w:t>Title 28, Transportation</w:t>
        </w:r>
      </w:hyperlink>
      <w:r w:rsidRPr="00BB7056">
        <w:t>:</w:t>
      </w:r>
    </w:p>
    <w:p w14:paraId="48F996C7" w14:textId="77777777" w:rsidR="00636F46" w:rsidRPr="00BB7056" w:rsidRDefault="00636F46" w:rsidP="00020D20">
      <w:pPr>
        <w:jc w:val="both"/>
      </w:pPr>
      <w:r w:rsidRPr="00774E16">
        <w:rPr>
          <w:b/>
        </w:rPr>
        <w:t>Chapter 2</w:t>
      </w:r>
      <w:r w:rsidRPr="00BB7056">
        <w:t xml:space="preserve"> | Administration </w:t>
      </w:r>
    </w:p>
    <w:p w14:paraId="2A1A2484" w14:textId="77777777" w:rsidR="00636F46" w:rsidRPr="00BB7056" w:rsidRDefault="00636F46" w:rsidP="00020D20">
      <w:pPr>
        <w:jc w:val="both"/>
      </w:pPr>
      <w:r>
        <w:tab/>
      </w:r>
      <w:r w:rsidRPr="00774E16">
        <w:rPr>
          <w:b/>
        </w:rPr>
        <w:t>Article 7</w:t>
      </w:r>
      <w:r w:rsidRPr="00BB7056">
        <w:t xml:space="preserve"> | Transportation Planning</w:t>
      </w:r>
    </w:p>
    <w:p w14:paraId="47F795B9" w14:textId="77777777" w:rsidR="00636F46" w:rsidRPr="00101FFC" w:rsidRDefault="00636F46" w:rsidP="00020D20">
      <w:pPr>
        <w:jc w:val="both"/>
        <w:rPr>
          <w:b/>
          <w:u w:val="single"/>
        </w:rPr>
      </w:pPr>
      <w:r>
        <w:tab/>
      </w:r>
      <w:r>
        <w:tab/>
      </w:r>
      <w:r w:rsidRPr="00101FFC">
        <w:rPr>
          <w:b/>
          <w:u w:val="single"/>
        </w:rPr>
        <w:t xml:space="preserve">Section 501, 503, &amp; 504: </w:t>
      </w:r>
    </w:p>
    <w:p w14:paraId="0037B5C6" w14:textId="066D162A" w:rsidR="00636F46" w:rsidRPr="00BB7056" w:rsidRDefault="00202C92" w:rsidP="00020D20">
      <w:pPr>
        <w:pStyle w:val="Body-Bullets"/>
        <w:jc w:val="both"/>
      </w:pPr>
      <w:hyperlink r:id="rId50" w:history="1">
        <w:r w:rsidR="00636F46" w:rsidRPr="00A975B0">
          <w:rPr>
            <w:rStyle w:val="TitleChar"/>
          </w:rPr>
          <w:t>A.R.S. §</w:t>
        </w:r>
        <w:r w:rsidR="008216A0">
          <w:rPr>
            <w:rStyle w:val="TitleChar"/>
          </w:rPr>
          <w:t xml:space="preserve"> </w:t>
        </w:r>
        <w:r w:rsidR="00636F46" w:rsidRPr="00A975B0">
          <w:rPr>
            <w:rStyle w:val="TitleChar"/>
          </w:rPr>
          <w:t>28-501 et seq.</w:t>
        </w:r>
      </w:hyperlink>
      <w:r w:rsidR="00636F46" w:rsidRPr="00BB7056">
        <w:t xml:space="preserve"> | Transportation Planning</w:t>
      </w:r>
    </w:p>
    <w:p w14:paraId="74451F0E" w14:textId="7D2B8260" w:rsidR="00636F46" w:rsidRPr="00BB7056" w:rsidRDefault="00202C92" w:rsidP="00020D20">
      <w:pPr>
        <w:pStyle w:val="Body-Bullets"/>
        <w:jc w:val="both"/>
      </w:pPr>
      <w:hyperlink r:id="rId51" w:history="1">
        <w:r w:rsidR="00636F46" w:rsidRPr="00A975B0">
          <w:rPr>
            <w:rStyle w:val="TitleChar"/>
          </w:rPr>
          <w:t>A.R.S. §</w:t>
        </w:r>
        <w:r w:rsidR="008216A0">
          <w:rPr>
            <w:rStyle w:val="TitleChar"/>
          </w:rPr>
          <w:t xml:space="preserve"> </w:t>
        </w:r>
        <w:r w:rsidR="00636F46" w:rsidRPr="00A975B0">
          <w:rPr>
            <w:rStyle w:val="TitleChar"/>
          </w:rPr>
          <w:t>28-503</w:t>
        </w:r>
      </w:hyperlink>
      <w:r w:rsidR="00636F46" w:rsidRPr="00BB7056">
        <w:t xml:space="preserve"> | Performance Based Planning &amp; Programming</w:t>
      </w:r>
    </w:p>
    <w:p w14:paraId="1AC549C9" w14:textId="6FED800C" w:rsidR="00636F46" w:rsidRPr="00BB7056" w:rsidRDefault="00202C92" w:rsidP="00020D20">
      <w:pPr>
        <w:pStyle w:val="Body-Bullets"/>
        <w:jc w:val="both"/>
      </w:pPr>
      <w:hyperlink r:id="rId52" w:history="1">
        <w:r w:rsidR="00636F46" w:rsidRPr="00A975B0">
          <w:rPr>
            <w:rStyle w:val="TitleChar"/>
          </w:rPr>
          <w:t>A.R.S. §</w:t>
        </w:r>
        <w:r w:rsidR="008216A0">
          <w:rPr>
            <w:rStyle w:val="TitleChar"/>
          </w:rPr>
          <w:t xml:space="preserve"> </w:t>
        </w:r>
        <w:r w:rsidR="00636F46" w:rsidRPr="00A975B0">
          <w:rPr>
            <w:rStyle w:val="TitleChar"/>
          </w:rPr>
          <w:t>28-504</w:t>
        </w:r>
      </w:hyperlink>
      <w:r w:rsidR="00636F46" w:rsidRPr="00BB7056">
        <w:t xml:space="preserve"> | Transportation system performance measures; data collection and reporting; methodologies</w:t>
      </w:r>
    </w:p>
    <w:p w14:paraId="1DAC62E3" w14:textId="77777777" w:rsidR="00636F46" w:rsidRPr="00BB7056" w:rsidRDefault="00636F46" w:rsidP="00020D20">
      <w:pPr>
        <w:jc w:val="both"/>
      </w:pPr>
      <w:r w:rsidRPr="00774E16">
        <w:rPr>
          <w:b/>
        </w:rPr>
        <w:t>Chapter 17</w:t>
      </w:r>
      <w:r w:rsidRPr="00BB7056">
        <w:t xml:space="preserve"> | Transportation Excise Tax Distribution</w:t>
      </w:r>
    </w:p>
    <w:p w14:paraId="795A6126" w14:textId="77777777" w:rsidR="00636F46" w:rsidRPr="00BB7056" w:rsidRDefault="00636F46" w:rsidP="00020D20">
      <w:pPr>
        <w:jc w:val="both"/>
      </w:pPr>
      <w:r>
        <w:tab/>
      </w:r>
      <w:r w:rsidRPr="00774E16">
        <w:rPr>
          <w:b/>
        </w:rPr>
        <w:t>Article 1</w:t>
      </w:r>
      <w:r w:rsidRPr="00BB7056">
        <w:t xml:space="preserve"> | Transportation Excise Tax Distribution in Highly Populated Counties</w:t>
      </w:r>
    </w:p>
    <w:p w14:paraId="1B4DE1F9" w14:textId="77777777" w:rsidR="00636F46" w:rsidRPr="00101FFC" w:rsidRDefault="00636F46" w:rsidP="00020D20">
      <w:pPr>
        <w:jc w:val="both"/>
        <w:rPr>
          <w:b/>
          <w:u w:val="single"/>
        </w:rPr>
      </w:pPr>
      <w:r>
        <w:tab/>
      </w:r>
      <w:r>
        <w:tab/>
      </w:r>
      <w:r w:rsidRPr="00101FFC">
        <w:rPr>
          <w:b/>
          <w:u w:val="single"/>
        </w:rPr>
        <w:t>Section 6308:</w:t>
      </w:r>
    </w:p>
    <w:p w14:paraId="15E2C7FB" w14:textId="11348BC3" w:rsidR="00636F46" w:rsidRPr="00BB7056" w:rsidRDefault="00202C92" w:rsidP="00020D20">
      <w:pPr>
        <w:pStyle w:val="Body-Bullets"/>
        <w:jc w:val="both"/>
      </w:pPr>
      <w:hyperlink r:id="rId53" w:history="1">
        <w:r w:rsidR="00636F46" w:rsidRPr="00741813">
          <w:rPr>
            <w:rStyle w:val="TitleChar"/>
          </w:rPr>
          <w:t>A.R.S. §</w:t>
        </w:r>
        <w:r w:rsidR="008216A0">
          <w:rPr>
            <w:rStyle w:val="TitleChar"/>
          </w:rPr>
          <w:t xml:space="preserve"> </w:t>
        </w:r>
        <w:r w:rsidR="00636F46" w:rsidRPr="00741813">
          <w:rPr>
            <w:rStyle w:val="TitleChar"/>
          </w:rPr>
          <w:t xml:space="preserve">28-6308 </w:t>
        </w:r>
      </w:hyperlink>
      <w:r w:rsidR="00636F46" w:rsidRPr="00BB7056">
        <w:t>| Regional planning agency transportation policy committee; regional transportation plan; plan review process</w:t>
      </w:r>
    </w:p>
    <w:p w14:paraId="381E9657" w14:textId="77777777" w:rsidR="00636F46" w:rsidRPr="00BB7056" w:rsidRDefault="00636F46" w:rsidP="00020D20">
      <w:pPr>
        <w:jc w:val="both"/>
      </w:pPr>
      <w:r w:rsidRPr="005900ED">
        <w:rPr>
          <w:b/>
        </w:rPr>
        <w:t>Chapter 20</w:t>
      </w:r>
      <w:r w:rsidRPr="00BB7056">
        <w:t xml:space="preserve"> | State Highways and Routes</w:t>
      </w:r>
    </w:p>
    <w:p w14:paraId="087A5D41" w14:textId="77777777" w:rsidR="00636F46" w:rsidRPr="00BB7056" w:rsidRDefault="00636F46" w:rsidP="00020D20">
      <w:pPr>
        <w:jc w:val="both"/>
      </w:pPr>
      <w:r>
        <w:rPr>
          <w:b/>
        </w:rPr>
        <w:tab/>
      </w:r>
      <w:r w:rsidRPr="005900ED">
        <w:rPr>
          <w:b/>
        </w:rPr>
        <w:t>Article 3</w:t>
      </w:r>
      <w:r w:rsidRPr="00BB7056">
        <w:t xml:space="preserve"> | Five Year Transportation Facilities Construction Program</w:t>
      </w:r>
    </w:p>
    <w:p w14:paraId="59582B54" w14:textId="77777777" w:rsidR="00636F46" w:rsidRPr="00101FFC" w:rsidRDefault="00636F46" w:rsidP="00020D20">
      <w:pPr>
        <w:jc w:val="both"/>
        <w:rPr>
          <w:b/>
          <w:u w:val="single"/>
        </w:rPr>
      </w:pPr>
      <w:r w:rsidRPr="005900ED">
        <w:tab/>
      </w:r>
      <w:r w:rsidRPr="005900ED">
        <w:tab/>
      </w:r>
      <w:r w:rsidRPr="00101FFC">
        <w:rPr>
          <w:b/>
          <w:u w:val="single"/>
        </w:rPr>
        <w:t>Sections 6951, 6952, 6953, 6954, &amp; 6955:</w:t>
      </w:r>
    </w:p>
    <w:p w14:paraId="26830F82" w14:textId="77777777" w:rsidR="00636F46" w:rsidRPr="00BB7056" w:rsidRDefault="00202C92" w:rsidP="00020D20">
      <w:pPr>
        <w:pStyle w:val="Body-Bullets"/>
        <w:jc w:val="both"/>
      </w:pPr>
      <w:hyperlink r:id="rId54" w:history="1">
        <w:r w:rsidR="00636F46" w:rsidRPr="00741813">
          <w:rPr>
            <w:rStyle w:val="TitleChar"/>
          </w:rPr>
          <w:t>A.R.S. § 28-6951 et seq.</w:t>
        </w:r>
      </w:hyperlink>
      <w:r w:rsidR="00636F46" w:rsidRPr="00BB7056">
        <w:t xml:space="preserve"> | Five Year Transportation Facilities Construction Program</w:t>
      </w:r>
    </w:p>
    <w:p w14:paraId="5FA445E1" w14:textId="3AD69ECF" w:rsidR="002E2882" w:rsidRDefault="00636F46">
      <w:pPr>
        <w:jc w:val="both"/>
      </w:pPr>
      <w:r w:rsidRPr="00BB7056">
        <w:t xml:space="preserve">Arizona’s statutory requirements focus largely on development of the statewide transportation plan and the statewide Five-Year Transportation Facilities Construction Program. The statewide plan and five-year program are developed including the regional and metropolitan project priorities resulting from federally mandated transportation planning processes. All plans and programs developed by COGs and MPOs, including TMAs, must be consistent with Arizona statutes and ADOT planning documents. </w:t>
      </w:r>
    </w:p>
    <w:p w14:paraId="3FEEC8E2" w14:textId="21F6D48F" w:rsidR="00636F46" w:rsidRPr="005601F5" w:rsidRDefault="00B609E9" w:rsidP="00020D20">
      <w:pPr>
        <w:pStyle w:val="Heading2"/>
      </w:pPr>
      <w:bookmarkStart w:id="11" w:name="_Ref50018394"/>
      <w:r>
        <w:t>1.4</w:t>
      </w:r>
      <w:r w:rsidR="00636F46" w:rsidRPr="005601F5">
        <w:t xml:space="preserve"> | REGIONAL GOVERNANCE IN ARIZONA</w:t>
      </w:r>
      <w:bookmarkEnd w:id="11"/>
    </w:p>
    <w:p w14:paraId="469D6915" w14:textId="77777777" w:rsidR="00636F46" w:rsidRPr="005601F5" w:rsidRDefault="00636F46" w:rsidP="00020D20">
      <w:pPr>
        <w:jc w:val="both"/>
      </w:pPr>
      <w:r w:rsidRPr="005601F5">
        <w:t xml:space="preserve">Arizona has three types of regional transportation planning agencies to conduct and coordinate transportation planning activities: </w:t>
      </w:r>
    </w:p>
    <w:p w14:paraId="1FD52272" w14:textId="77777777" w:rsidR="00636F46" w:rsidRPr="005601F5" w:rsidRDefault="00636F46" w:rsidP="00020D20">
      <w:pPr>
        <w:pStyle w:val="Body-Bullets"/>
        <w:jc w:val="both"/>
      </w:pPr>
      <w:r w:rsidRPr="005601F5">
        <w:t>TMAs</w:t>
      </w:r>
    </w:p>
    <w:p w14:paraId="4E9744C2" w14:textId="77777777" w:rsidR="00636F46" w:rsidRPr="005601F5" w:rsidRDefault="00636F46" w:rsidP="00020D20">
      <w:pPr>
        <w:pStyle w:val="Body-Bullets"/>
        <w:jc w:val="both"/>
      </w:pPr>
      <w:r w:rsidRPr="005601F5">
        <w:t xml:space="preserve">MPOs </w:t>
      </w:r>
    </w:p>
    <w:p w14:paraId="1C359C0C" w14:textId="77777777" w:rsidR="00636F46" w:rsidRPr="005601F5" w:rsidRDefault="00636F46" w:rsidP="00020D20">
      <w:pPr>
        <w:pStyle w:val="Body-Bullets"/>
        <w:jc w:val="both"/>
      </w:pPr>
      <w:r w:rsidRPr="005601F5">
        <w:t>COGs</w:t>
      </w:r>
    </w:p>
    <w:p w14:paraId="4FB03C78" w14:textId="7E65068B" w:rsidR="00636F46" w:rsidRDefault="00636F46" w:rsidP="00020D20">
      <w:pPr>
        <w:jc w:val="both"/>
        <w:rPr>
          <w:b/>
        </w:rPr>
      </w:pPr>
      <w:r w:rsidRPr="005601F5">
        <w:t xml:space="preserve">Every community within Arizona is represented by at least one of these planning agencies, as illustrated in </w:t>
      </w:r>
      <w:r>
        <w:t>F</w:t>
      </w:r>
      <w:r w:rsidRPr="005601F5">
        <w:t>igure 1-1 on the next page. Table 1-3 lists the various planning entities that are indicated</w:t>
      </w:r>
      <w:r>
        <w:t xml:space="preserve"> in</w:t>
      </w:r>
      <w:r w:rsidRPr="005601F5">
        <w:t xml:space="preserve"> </w:t>
      </w:r>
      <w:r>
        <w:t>F</w:t>
      </w:r>
      <w:r w:rsidRPr="005601F5">
        <w:t>igure 1-1.</w:t>
      </w:r>
      <w:r>
        <w:t xml:space="preserve"> </w:t>
      </w:r>
      <w:r w:rsidRPr="005601F5">
        <w:t>The</w:t>
      </w:r>
      <w:r w:rsidR="006E76AE">
        <w:t>re</w:t>
      </w:r>
      <w:r w:rsidRPr="005601F5">
        <w:t xml:space="preserve"> </w:t>
      </w:r>
      <w:r w:rsidR="006E76AE">
        <w:t xml:space="preserve">are two MPOs </w:t>
      </w:r>
      <w:r w:rsidRPr="005601F5">
        <w:t>classified as TMAs, MAG and Pima A</w:t>
      </w:r>
      <w:r>
        <w:t>ssociation of Governments (PAG). MAG has the most population of the state’s regional agencies,</w:t>
      </w:r>
      <w:r w:rsidRPr="005601F5">
        <w:t xml:space="preserve"> in</w:t>
      </w:r>
      <w:r>
        <w:t xml:space="preserve">cluding all of Maricopa County and the northern portion of Pinal County. PAG represents all of </w:t>
      </w:r>
      <w:r w:rsidRPr="005601F5">
        <w:t xml:space="preserve">Pima </w:t>
      </w:r>
      <w:r w:rsidR="00D61A51">
        <w:t>C</w:t>
      </w:r>
      <w:r w:rsidRPr="005601F5">
        <w:t>ount</w:t>
      </w:r>
      <w:r>
        <w:t xml:space="preserve">y, the second most populated county in Arizona. </w:t>
      </w:r>
      <w:r w:rsidRPr="005601F5">
        <w:t>Central Yavapai Metropolitan Planning Organization (CYMPO),</w:t>
      </w:r>
      <w:r>
        <w:t xml:space="preserve"> </w:t>
      </w:r>
      <w:r w:rsidR="00AF6C09">
        <w:t>Flagstaff Metropolitan Planning Organization (FMPO)</w:t>
      </w:r>
      <w:r w:rsidRPr="005601F5">
        <w:t>, and Yuma Metropolitan Planning Organization (YMPO) are represented within the urbanized areas of</w:t>
      </w:r>
      <w:r w:rsidR="00FA7F5B">
        <w:t xml:space="preserve"> the</w:t>
      </w:r>
      <w:r w:rsidRPr="005601F5">
        <w:t xml:space="preserve"> Northern Arizona Council of Governments (NACOG) and </w:t>
      </w:r>
      <w:r w:rsidR="00FA7F5B">
        <w:t xml:space="preserve">the </w:t>
      </w:r>
      <w:r w:rsidRPr="005601F5">
        <w:t>Western Arizona Council of Governments (WACOG).</w:t>
      </w:r>
    </w:p>
    <w:p w14:paraId="7B3DC99F" w14:textId="50F2B468" w:rsidR="00636F46" w:rsidRDefault="00636F46" w:rsidP="00020D20">
      <w:pPr>
        <w:jc w:val="both"/>
        <w:sectPr w:rsidR="00636F46" w:rsidSect="00020D20">
          <w:type w:val="continuous"/>
          <w:pgSz w:w="12240" w:h="15840"/>
          <w:pgMar w:top="1080" w:right="1080" w:bottom="1080" w:left="1080" w:header="1152" w:footer="720" w:gutter="0"/>
          <w:pgNumType w:chapStyle="1"/>
          <w:cols w:num="2" w:space="1152"/>
          <w:docGrid w:linePitch="360"/>
        </w:sectPr>
      </w:pPr>
      <w:r>
        <w:t>The t</w:t>
      </w:r>
      <w:r w:rsidRPr="005601F5">
        <w:t xml:space="preserve">hree </w:t>
      </w:r>
      <w:r>
        <w:t>newest</w:t>
      </w:r>
      <w:r w:rsidRPr="005601F5">
        <w:t xml:space="preserve"> entities listed in </w:t>
      </w:r>
      <w:r>
        <w:t>T</w:t>
      </w:r>
      <w:r w:rsidRPr="005601F5">
        <w:t>able 1-3 were formed in 2013, after the 2010 U.S. Census indicated that a representative population had reached the threshold of 50,000 residents, trigger</w:t>
      </w:r>
      <w:r w:rsidR="006E76AE">
        <w:t>ing</w:t>
      </w:r>
      <w:r w:rsidRPr="005601F5">
        <w:t xml:space="preserve"> a regulatory requirement for MPO formation.</w:t>
      </w:r>
      <w:r>
        <w:t xml:space="preserve"> They are Lake Havasu Metropolitan Planning Organization (LHMPO) based in Lake Havasu City, Sun Corridor Metropolitan Planning Organization (SCMPO) based in Casa Grande, and Sierra Vista Metropolitan Planning Organization (SVMPO) based in Sierra Vista. They are also </w:t>
      </w:r>
      <w:r w:rsidRPr="005601F5">
        <w:t xml:space="preserve">encompassed within </w:t>
      </w:r>
      <w:r>
        <w:t xml:space="preserve">WACOG, </w:t>
      </w:r>
      <w:r w:rsidRPr="005601F5">
        <w:t>Central Arizona Governments (CAG)</w:t>
      </w:r>
      <w:r>
        <w:t xml:space="preserve">, and </w:t>
      </w:r>
      <w:r w:rsidRPr="005601F5">
        <w:t>Southeast Arizona Governments Organization (SEAGO), respectively.</w:t>
      </w:r>
      <w:r w:rsidR="006E76AE">
        <w:t xml:space="preserve"> </w:t>
      </w:r>
      <w:r w:rsidRPr="005601F5">
        <w:t>The following sections further describe the</w:t>
      </w:r>
      <w:r w:rsidR="006E76AE">
        <w:t>se entities</w:t>
      </w:r>
      <w:r w:rsidRPr="005601F5">
        <w:t xml:space="preserve"> roles and responsibilities.</w:t>
      </w:r>
    </w:p>
    <w:p w14:paraId="0C6CD3CC" w14:textId="4F03127F" w:rsidR="00636F46" w:rsidRDefault="00636F46" w:rsidP="00020D20">
      <w:pPr>
        <w:pStyle w:val="Heading4"/>
        <w:jc w:val="both"/>
      </w:pPr>
      <w:r>
        <w:rPr>
          <w:noProof/>
        </w:rPr>
        <w:drawing>
          <wp:anchor distT="0" distB="0" distL="114300" distR="114300" simplePos="0" relativeHeight="251618551" behindDoc="0" locked="0" layoutInCell="1" allowOverlap="1" wp14:anchorId="1B934C8B" wp14:editId="752189E6">
            <wp:simplePos x="0" y="0"/>
            <wp:positionH relativeFrom="margin">
              <wp:posOffset>752475</wp:posOffset>
            </wp:positionH>
            <wp:positionV relativeFrom="paragraph">
              <wp:posOffset>188595</wp:posOffset>
            </wp:positionV>
            <wp:extent cx="5448300" cy="758814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ffermanst\AppData\Local\Microsoft\Windows\INetCacheContent.Word\cogs_mpos_engineering_districts.jpg"/>
                    <pic:cNvPicPr>
                      <a:picLocks noChangeAspect="1" noChangeArrowheads="1"/>
                    </pic:cNvPicPr>
                  </pic:nvPicPr>
                  <pic:blipFill rotWithShape="1">
                    <a:blip r:embed="rId55">
                      <a:extLst>
                        <a:ext uri="{28A0092B-C50C-407E-A947-70E740481C1C}">
                          <a14:useLocalDpi xmlns:a14="http://schemas.microsoft.com/office/drawing/2010/main" val="0"/>
                        </a:ext>
                      </a:extLst>
                    </a:blip>
                    <a:srcRect b="9355"/>
                    <a:stretch/>
                  </pic:blipFill>
                  <pic:spPr bwMode="auto">
                    <a:xfrm>
                      <a:off x="0" y="0"/>
                      <a:ext cx="5453486" cy="7595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01F5">
        <w:t>Figure 1-1 | Regional Governance in Arizona</w:t>
      </w:r>
    </w:p>
    <w:p w14:paraId="7F97BE93" w14:textId="77777777" w:rsidR="00023FEC" w:rsidRPr="00472679" w:rsidRDefault="00023FEC" w:rsidP="00020D20">
      <w:pPr>
        <w:jc w:val="both"/>
      </w:pPr>
    </w:p>
    <w:p w14:paraId="4605F67A" w14:textId="77777777" w:rsidR="00636F46" w:rsidRDefault="00636F46" w:rsidP="00020D20">
      <w:pPr>
        <w:jc w:val="both"/>
        <w:rPr>
          <w:noProof/>
        </w:rPr>
      </w:pPr>
    </w:p>
    <w:p w14:paraId="6DCD7717" w14:textId="77777777" w:rsidR="00636F46" w:rsidRDefault="00636F46" w:rsidP="00020D20">
      <w:pPr>
        <w:jc w:val="both"/>
      </w:pPr>
    </w:p>
    <w:p w14:paraId="7E5EA636" w14:textId="77777777" w:rsidR="00636F46" w:rsidRDefault="00636F46" w:rsidP="00020D20">
      <w:pPr>
        <w:jc w:val="both"/>
      </w:pPr>
      <w:r>
        <w:br w:type="page"/>
      </w:r>
    </w:p>
    <w:p w14:paraId="101B6560" w14:textId="77777777" w:rsidR="00636F46" w:rsidRDefault="00636F46" w:rsidP="00020D20">
      <w:pPr>
        <w:pStyle w:val="Heading4"/>
        <w:jc w:val="both"/>
      </w:pPr>
      <w:r w:rsidRPr="005601F5">
        <w:t>Table 1-3 | Arizona TMAs, MPOs, and COGs</w:t>
      </w:r>
    </w:p>
    <w:tbl>
      <w:tblPr>
        <w:tblW w:w="10072" w:type="dxa"/>
        <w:tblInd w:w="-11" w:type="dxa"/>
        <w:tblLayout w:type="fixed"/>
        <w:tblCellMar>
          <w:left w:w="0" w:type="dxa"/>
          <w:right w:w="0" w:type="dxa"/>
        </w:tblCellMar>
        <w:tblLook w:val="0000" w:firstRow="0" w:lastRow="0" w:firstColumn="0" w:lastColumn="0" w:noHBand="0" w:noVBand="0"/>
      </w:tblPr>
      <w:tblGrid>
        <w:gridCol w:w="1151"/>
        <w:gridCol w:w="3701"/>
        <w:gridCol w:w="1631"/>
        <w:gridCol w:w="1126"/>
        <w:gridCol w:w="819"/>
        <w:gridCol w:w="819"/>
        <w:gridCol w:w="825"/>
      </w:tblGrid>
      <w:tr w:rsidR="00636F46" w:rsidRPr="005601F5" w14:paraId="2859B186" w14:textId="77777777" w:rsidTr="00636F46">
        <w:trPr>
          <w:trHeight w:val="144"/>
        </w:trPr>
        <w:tc>
          <w:tcPr>
            <w:tcW w:w="1151" w:type="dxa"/>
            <w:tcBorders>
              <w:top w:val="single" w:sz="8" w:space="0" w:color="auto"/>
              <w:left w:val="single" w:sz="8" w:space="0" w:color="auto"/>
              <w:bottom w:val="single" w:sz="8" w:space="0" w:color="auto"/>
              <w:right w:val="single" w:sz="8" w:space="0" w:color="FFFFFF" w:themeColor="background1"/>
            </w:tcBorders>
            <w:shd w:val="clear" w:color="auto" w:fill="012768"/>
            <w:tcMar>
              <w:top w:w="91" w:type="dxa"/>
              <w:left w:w="91" w:type="dxa"/>
              <w:bottom w:w="91" w:type="dxa"/>
              <w:right w:w="91" w:type="dxa"/>
            </w:tcMar>
            <w:vAlign w:val="center"/>
          </w:tcPr>
          <w:p w14:paraId="060CBBD1" w14:textId="77777777" w:rsidR="00636F46" w:rsidRPr="00101FFC" w:rsidRDefault="00636F46" w:rsidP="00020D20">
            <w:pPr>
              <w:jc w:val="center"/>
              <w:rPr>
                <w:sz w:val="22"/>
              </w:rPr>
            </w:pPr>
            <w:r w:rsidRPr="00101FFC">
              <w:rPr>
                <w:sz w:val="22"/>
              </w:rPr>
              <w:t>Acronym</w:t>
            </w:r>
          </w:p>
        </w:tc>
        <w:tc>
          <w:tcPr>
            <w:tcW w:w="3701"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91" w:type="dxa"/>
              <w:left w:w="91" w:type="dxa"/>
              <w:bottom w:w="91" w:type="dxa"/>
              <w:right w:w="91" w:type="dxa"/>
            </w:tcMar>
            <w:vAlign w:val="center"/>
          </w:tcPr>
          <w:p w14:paraId="318DED49" w14:textId="77777777" w:rsidR="00636F46" w:rsidRPr="00101FFC" w:rsidRDefault="00636F46" w:rsidP="00020D20">
            <w:pPr>
              <w:jc w:val="center"/>
              <w:rPr>
                <w:sz w:val="22"/>
              </w:rPr>
            </w:pPr>
            <w:r w:rsidRPr="00101FFC">
              <w:rPr>
                <w:sz w:val="22"/>
              </w:rPr>
              <w:t>Entity Name</w:t>
            </w:r>
          </w:p>
        </w:tc>
        <w:tc>
          <w:tcPr>
            <w:tcW w:w="1631"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91" w:type="dxa"/>
              <w:left w:w="91" w:type="dxa"/>
              <w:bottom w:w="91" w:type="dxa"/>
              <w:right w:w="91" w:type="dxa"/>
            </w:tcMar>
            <w:vAlign w:val="center"/>
          </w:tcPr>
          <w:p w14:paraId="2CD4D161" w14:textId="77777777" w:rsidR="00636F46" w:rsidRPr="00101FFC" w:rsidRDefault="00636F46" w:rsidP="00020D20">
            <w:pPr>
              <w:jc w:val="center"/>
              <w:rPr>
                <w:sz w:val="22"/>
              </w:rPr>
            </w:pPr>
            <w:r w:rsidRPr="00101FFC">
              <w:rPr>
                <w:sz w:val="22"/>
              </w:rPr>
              <w:t>Location</w:t>
            </w:r>
          </w:p>
        </w:tc>
        <w:tc>
          <w:tcPr>
            <w:tcW w:w="1126"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91" w:type="dxa"/>
              <w:left w:w="91" w:type="dxa"/>
              <w:bottom w:w="91" w:type="dxa"/>
              <w:right w:w="91" w:type="dxa"/>
            </w:tcMar>
            <w:vAlign w:val="center"/>
          </w:tcPr>
          <w:p w14:paraId="7B713121" w14:textId="77777777" w:rsidR="00636F46" w:rsidRPr="00101FFC" w:rsidRDefault="00636F46" w:rsidP="00020D20">
            <w:pPr>
              <w:jc w:val="center"/>
              <w:rPr>
                <w:sz w:val="22"/>
              </w:rPr>
            </w:pPr>
            <w:r w:rsidRPr="00101FFC">
              <w:rPr>
                <w:sz w:val="22"/>
              </w:rPr>
              <w:t>Year Est.</w:t>
            </w:r>
          </w:p>
        </w:tc>
        <w:tc>
          <w:tcPr>
            <w:tcW w:w="819"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91" w:type="dxa"/>
              <w:left w:w="91" w:type="dxa"/>
              <w:bottom w:w="91" w:type="dxa"/>
              <w:right w:w="91" w:type="dxa"/>
            </w:tcMar>
            <w:vAlign w:val="center"/>
          </w:tcPr>
          <w:p w14:paraId="4076B659" w14:textId="77777777" w:rsidR="00636F46" w:rsidRPr="00101FFC" w:rsidRDefault="00636F46" w:rsidP="00020D20">
            <w:pPr>
              <w:jc w:val="center"/>
              <w:rPr>
                <w:sz w:val="22"/>
              </w:rPr>
            </w:pPr>
            <w:r w:rsidRPr="00101FFC">
              <w:rPr>
                <w:sz w:val="22"/>
              </w:rPr>
              <w:t xml:space="preserve">TMA </w:t>
            </w:r>
            <w:r w:rsidRPr="00101FFC">
              <w:rPr>
                <w:sz w:val="22"/>
                <w:vertAlign w:val="superscript"/>
              </w:rPr>
              <w:t>1</w:t>
            </w:r>
          </w:p>
        </w:tc>
        <w:tc>
          <w:tcPr>
            <w:tcW w:w="819"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91" w:type="dxa"/>
              <w:left w:w="91" w:type="dxa"/>
              <w:bottom w:w="91" w:type="dxa"/>
              <w:right w:w="91" w:type="dxa"/>
            </w:tcMar>
            <w:vAlign w:val="center"/>
          </w:tcPr>
          <w:p w14:paraId="253E5BCF" w14:textId="77777777" w:rsidR="00636F46" w:rsidRPr="00101FFC" w:rsidRDefault="00636F46" w:rsidP="00020D20">
            <w:pPr>
              <w:jc w:val="center"/>
              <w:rPr>
                <w:sz w:val="22"/>
              </w:rPr>
            </w:pPr>
            <w:r w:rsidRPr="00101FFC">
              <w:rPr>
                <w:sz w:val="22"/>
              </w:rPr>
              <w:t xml:space="preserve">MPO </w:t>
            </w:r>
            <w:r w:rsidRPr="00101FFC">
              <w:rPr>
                <w:sz w:val="22"/>
                <w:vertAlign w:val="superscript"/>
              </w:rPr>
              <w:t>2</w:t>
            </w:r>
          </w:p>
        </w:tc>
        <w:tc>
          <w:tcPr>
            <w:tcW w:w="825" w:type="dxa"/>
            <w:tcBorders>
              <w:top w:val="single" w:sz="8" w:space="0" w:color="auto"/>
              <w:left w:val="single" w:sz="8" w:space="0" w:color="FFFFFF" w:themeColor="background1"/>
              <w:bottom w:val="single" w:sz="8" w:space="0" w:color="auto"/>
              <w:right w:val="single" w:sz="8" w:space="0" w:color="auto"/>
            </w:tcBorders>
            <w:shd w:val="clear" w:color="auto" w:fill="012768"/>
            <w:tcMar>
              <w:top w:w="91" w:type="dxa"/>
              <w:left w:w="91" w:type="dxa"/>
              <w:bottom w:w="91" w:type="dxa"/>
              <w:right w:w="91" w:type="dxa"/>
            </w:tcMar>
            <w:vAlign w:val="center"/>
          </w:tcPr>
          <w:p w14:paraId="6454E81E" w14:textId="77777777" w:rsidR="00636F46" w:rsidRPr="00101FFC" w:rsidRDefault="00636F46" w:rsidP="00020D20">
            <w:pPr>
              <w:jc w:val="center"/>
              <w:rPr>
                <w:sz w:val="22"/>
              </w:rPr>
            </w:pPr>
            <w:r w:rsidRPr="00101FFC">
              <w:rPr>
                <w:sz w:val="22"/>
              </w:rPr>
              <w:t xml:space="preserve">COG </w:t>
            </w:r>
            <w:r w:rsidRPr="00101FFC">
              <w:rPr>
                <w:sz w:val="22"/>
                <w:vertAlign w:val="superscript"/>
              </w:rPr>
              <w:t>3</w:t>
            </w:r>
          </w:p>
        </w:tc>
      </w:tr>
      <w:tr w:rsidR="00636F46" w:rsidRPr="005601F5" w14:paraId="0483F375" w14:textId="77777777" w:rsidTr="00636F46">
        <w:trPr>
          <w:trHeight w:val="547"/>
        </w:trPr>
        <w:tc>
          <w:tcPr>
            <w:tcW w:w="1151"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13FC275E" w14:textId="77777777" w:rsidR="00636F46" w:rsidRPr="00101FFC" w:rsidRDefault="00636F46" w:rsidP="00020D20">
            <w:pPr>
              <w:spacing w:before="0" w:after="0" w:line="240" w:lineRule="auto"/>
              <w:jc w:val="center"/>
              <w:rPr>
                <w:rFonts w:cstheme="minorHAnsi"/>
                <w:color w:val="000000"/>
                <w:sz w:val="18"/>
              </w:rPr>
            </w:pPr>
            <w:r w:rsidRPr="00101FFC">
              <w:rPr>
                <w:sz w:val="18"/>
              </w:rPr>
              <w:t>MAG</w:t>
            </w:r>
          </w:p>
        </w:tc>
        <w:tc>
          <w:tcPr>
            <w:tcW w:w="3701"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4B7EF1C7" w14:textId="5607C3F3" w:rsidR="00636F46" w:rsidRPr="00101FFC" w:rsidRDefault="00636F46" w:rsidP="00020D20">
            <w:pPr>
              <w:spacing w:before="0" w:after="0" w:line="240" w:lineRule="auto"/>
              <w:jc w:val="center"/>
              <w:rPr>
                <w:sz w:val="18"/>
              </w:rPr>
            </w:pPr>
            <w:r w:rsidRPr="00101FFC">
              <w:rPr>
                <w:sz w:val="18"/>
              </w:rPr>
              <w:t>Maricopa Association of</w:t>
            </w:r>
          </w:p>
          <w:p w14:paraId="600E34B6" w14:textId="6A74B965" w:rsidR="00636F46" w:rsidRPr="00101FFC" w:rsidRDefault="00636F46" w:rsidP="00020D20">
            <w:pPr>
              <w:spacing w:before="0" w:after="0" w:line="240" w:lineRule="auto"/>
              <w:jc w:val="center"/>
              <w:rPr>
                <w:rFonts w:cstheme="minorHAnsi"/>
                <w:color w:val="000000"/>
                <w:sz w:val="18"/>
              </w:rPr>
            </w:pPr>
            <w:r w:rsidRPr="00101FFC">
              <w:rPr>
                <w:sz w:val="18"/>
              </w:rPr>
              <w:t>Governments</w:t>
            </w:r>
          </w:p>
        </w:tc>
        <w:tc>
          <w:tcPr>
            <w:tcW w:w="1631"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1C0906A8" w14:textId="77777777" w:rsidR="00636F46" w:rsidRPr="00101FFC" w:rsidRDefault="00636F46" w:rsidP="00020D20">
            <w:pPr>
              <w:spacing w:before="0" w:after="0" w:line="240" w:lineRule="auto"/>
              <w:jc w:val="center"/>
              <w:rPr>
                <w:rFonts w:cstheme="minorHAnsi"/>
                <w:color w:val="000000"/>
                <w:sz w:val="18"/>
              </w:rPr>
            </w:pPr>
            <w:r w:rsidRPr="00101FFC">
              <w:rPr>
                <w:sz w:val="18"/>
              </w:rPr>
              <w:t>Phoenix</w:t>
            </w:r>
          </w:p>
        </w:tc>
        <w:tc>
          <w:tcPr>
            <w:tcW w:w="1126"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21511B06" w14:textId="13E569D9" w:rsidR="00636F46" w:rsidRPr="00101FFC" w:rsidRDefault="00636F46" w:rsidP="00020D20">
            <w:pPr>
              <w:spacing w:before="0" w:after="0" w:line="240" w:lineRule="auto"/>
              <w:jc w:val="center"/>
              <w:rPr>
                <w:rFonts w:cstheme="minorHAnsi"/>
                <w:color w:val="000000"/>
                <w:sz w:val="18"/>
              </w:rPr>
            </w:pPr>
            <w:r w:rsidRPr="00101FFC">
              <w:rPr>
                <w:sz w:val="18"/>
              </w:rPr>
              <w:t>196</w:t>
            </w:r>
            <w:r w:rsidR="001433A8">
              <w:rPr>
                <w:sz w:val="18"/>
              </w:rPr>
              <w:t>7</w:t>
            </w:r>
          </w:p>
        </w:tc>
        <w:tc>
          <w:tcPr>
            <w:tcW w:w="819"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3F866D4D" w14:textId="77777777" w:rsidR="00636F46" w:rsidRPr="00101FFC" w:rsidRDefault="00636F46"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19"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231BFEB0" w14:textId="77777777" w:rsidR="00636F46" w:rsidRPr="00101FFC" w:rsidRDefault="00636F46"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auto"/>
              <w:left w:val="single" w:sz="8" w:space="0" w:color="323232"/>
              <w:bottom w:val="single" w:sz="8" w:space="0" w:color="323232"/>
              <w:right w:val="single" w:sz="8" w:space="0" w:color="323232"/>
            </w:tcBorders>
            <w:tcMar>
              <w:top w:w="91" w:type="dxa"/>
              <w:left w:w="91" w:type="dxa"/>
              <w:bottom w:w="91" w:type="dxa"/>
              <w:right w:w="91" w:type="dxa"/>
            </w:tcMar>
            <w:vAlign w:val="center"/>
          </w:tcPr>
          <w:p w14:paraId="04066601" w14:textId="1E9A490D" w:rsidR="00636F46" w:rsidRPr="00101FFC" w:rsidRDefault="00C11E83" w:rsidP="00020D20">
            <w:pPr>
              <w:spacing w:before="0" w:after="0" w:line="240" w:lineRule="auto"/>
              <w:jc w:val="center"/>
              <w:rPr>
                <w:rFonts w:cstheme="minorHAnsi"/>
                <w:sz w:val="18"/>
              </w:rPr>
            </w:pPr>
            <w:r w:rsidRPr="00101FFC">
              <w:rPr>
                <w:rFonts w:ascii="Segoe UI Symbol" w:hAnsi="Segoe UI Symbol" w:cs="Segoe UI Symbol"/>
                <w:sz w:val="18"/>
              </w:rPr>
              <w:t>✓</w:t>
            </w:r>
          </w:p>
        </w:tc>
      </w:tr>
      <w:tr w:rsidR="00636F46" w:rsidRPr="005601F5" w14:paraId="61E46710"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51F80BB" w14:textId="02F53293" w:rsidR="00636F46" w:rsidRPr="00101FFC" w:rsidRDefault="00636F46" w:rsidP="00020D20">
            <w:pPr>
              <w:spacing w:before="0" w:after="0" w:line="240" w:lineRule="auto"/>
              <w:jc w:val="center"/>
              <w:rPr>
                <w:rFonts w:cstheme="minorHAnsi"/>
                <w:color w:val="000000"/>
                <w:sz w:val="18"/>
              </w:rPr>
            </w:pPr>
            <w:r w:rsidRPr="00101FFC">
              <w:rPr>
                <w:sz w:val="18"/>
              </w:rPr>
              <w:t>PAG</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49A6CBC" w14:textId="77777777" w:rsidR="00636F46" w:rsidRPr="00101FFC" w:rsidRDefault="00636F46" w:rsidP="00020D20">
            <w:pPr>
              <w:spacing w:before="0" w:after="0" w:line="240" w:lineRule="auto"/>
              <w:jc w:val="center"/>
              <w:rPr>
                <w:rFonts w:cstheme="minorHAnsi"/>
                <w:color w:val="000000"/>
                <w:sz w:val="18"/>
              </w:rPr>
            </w:pPr>
            <w:r w:rsidRPr="00101FFC">
              <w:rPr>
                <w:sz w:val="18"/>
              </w:rPr>
              <w:t>Pima Association of Governments</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34A4A3B" w14:textId="77777777" w:rsidR="00636F46" w:rsidRPr="00101FFC" w:rsidRDefault="00636F46" w:rsidP="00020D20">
            <w:pPr>
              <w:spacing w:before="0" w:after="0" w:line="240" w:lineRule="auto"/>
              <w:jc w:val="center"/>
              <w:rPr>
                <w:rFonts w:cstheme="minorHAnsi"/>
                <w:color w:val="000000"/>
                <w:sz w:val="18"/>
              </w:rPr>
            </w:pPr>
            <w:r w:rsidRPr="00101FFC">
              <w:rPr>
                <w:sz w:val="18"/>
              </w:rPr>
              <w:t>Tucson</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40E7C6B" w14:textId="77777777" w:rsidR="00636F46" w:rsidRPr="00101FFC" w:rsidRDefault="00636F46" w:rsidP="00020D20">
            <w:pPr>
              <w:spacing w:before="0" w:after="0" w:line="240" w:lineRule="auto"/>
              <w:jc w:val="center"/>
              <w:rPr>
                <w:rFonts w:cstheme="minorHAnsi"/>
                <w:color w:val="000000"/>
                <w:sz w:val="18"/>
              </w:rPr>
            </w:pPr>
            <w:r w:rsidRPr="00101FFC">
              <w:rPr>
                <w:sz w:val="18"/>
              </w:rPr>
              <w:t>1972</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AC7FD8B" w14:textId="77777777" w:rsidR="00636F46" w:rsidRPr="00101FFC" w:rsidRDefault="00636F46"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556B443" w14:textId="77777777" w:rsidR="00636F46" w:rsidRPr="00101FFC" w:rsidRDefault="00636F46"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A4E1E12" w14:textId="7029BB05" w:rsidR="00636F46" w:rsidRPr="00101FFC" w:rsidRDefault="00C11E83" w:rsidP="00020D20">
            <w:pPr>
              <w:spacing w:before="0" w:after="0" w:line="240" w:lineRule="auto"/>
              <w:jc w:val="center"/>
              <w:rPr>
                <w:rFonts w:cstheme="minorHAnsi"/>
                <w:sz w:val="18"/>
              </w:rPr>
            </w:pPr>
            <w:r w:rsidRPr="00101FFC">
              <w:rPr>
                <w:rFonts w:ascii="Segoe UI Symbol" w:hAnsi="Segoe UI Symbol" w:cs="Segoe UI Symbol"/>
                <w:sz w:val="18"/>
              </w:rPr>
              <w:t>✓</w:t>
            </w:r>
          </w:p>
        </w:tc>
      </w:tr>
      <w:tr w:rsidR="00636F46" w:rsidRPr="005601F5" w14:paraId="632BBFC5"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252B871" w14:textId="77777777" w:rsidR="00636F46" w:rsidRPr="00101FFC" w:rsidRDefault="00636F46" w:rsidP="00020D20">
            <w:pPr>
              <w:spacing w:before="0" w:after="0" w:line="240" w:lineRule="auto"/>
              <w:jc w:val="center"/>
              <w:rPr>
                <w:rFonts w:cstheme="minorHAnsi"/>
                <w:color w:val="000000"/>
                <w:sz w:val="18"/>
              </w:rPr>
            </w:pPr>
            <w:r w:rsidRPr="00101FFC">
              <w:rPr>
                <w:sz w:val="18"/>
              </w:rPr>
              <w:t>CYMPO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0A7A828C" w14:textId="77777777" w:rsidR="00636F46" w:rsidRPr="00101FFC" w:rsidRDefault="00636F46" w:rsidP="00020D20">
            <w:pPr>
              <w:spacing w:before="0" w:after="0" w:line="240" w:lineRule="auto"/>
              <w:jc w:val="center"/>
              <w:rPr>
                <w:rFonts w:cstheme="minorHAnsi"/>
                <w:color w:val="000000"/>
                <w:sz w:val="18"/>
              </w:rPr>
            </w:pPr>
            <w:r w:rsidRPr="00101FFC">
              <w:rPr>
                <w:sz w:val="18"/>
              </w:rPr>
              <w:t>Central Yavapai Metropolitan Planning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8EEF0E1" w14:textId="77777777" w:rsidR="00636F46" w:rsidRPr="00101FFC" w:rsidRDefault="00636F46" w:rsidP="00020D20">
            <w:pPr>
              <w:spacing w:before="0" w:after="0" w:line="240" w:lineRule="auto"/>
              <w:jc w:val="center"/>
              <w:rPr>
                <w:rFonts w:cstheme="minorHAnsi"/>
                <w:color w:val="000000"/>
                <w:sz w:val="18"/>
              </w:rPr>
            </w:pPr>
            <w:r w:rsidRPr="00101FFC">
              <w:rPr>
                <w:sz w:val="18"/>
              </w:rPr>
              <w:t>Prescott</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19BAE2C" w14:textId="77777777" w:rsidR="00636F46" w:rsidRPr="00101FFC" w:rsidRDefault="00636F46" w:rsidP="00020D20">
            <w:pPr>
              <w:spacing w:before="0" w:after="0" w:line="240" w:lineRule="auto"/>
              <w:jc w:val="center"/>
              <w:rPr>
                <w:rFonts w:cstheme="minorHAnsi"/>
                <w:color w:val="000000"/>
                <w:sz w:val="18"/>
              </w:rPr>
            </w:pPr>
            <w:r w:rsidRPr="00101FFC">
              <w:rPr>
                <w:sz w:val="18"/>
              </w:rPr>
              <w:t>2003</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C759DEE" w14:textId="77777777" w:rsidR="00636F46" w:rsidRPr="00101FFC" w:rsidRDefault="00636F46"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738AC64" w14:textId="77777777" w:rsidR="00636F46" w:rsidRPr="00101FFC" w:rsidRDefault="00636F46"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43A7F20" w14:textId="77777777" w:rsidR="00636F46" w:rsidRPr="00101FFC" w:rsidRDefault="00636F46" w:rsidP="00020D20">
            <w:pPr>
              <w:spacing w:before="0" w:after="0" w:line="240" w:lineRule="auto"/>
              <w:jc w:val="center"/>
              <w:rPr>
                <w:rFonts w:cstheme="minorHAnsi"/>
                <w:sz w:val="18"/>
              </w:rPr>
            </w:pPr>
          </w:p>
        </w:tc>
      </w:tr>
      <w:tr w:rsidR="005070BF" w:rsidRPr="005601F5" w14:paraId="4E01FE96"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068DDE8" w14:textId="13A1D718" w:rsidR="005070BF" w:rsidRPr="00101FFC" w:rsidRDefault="005070BF" w:rsidP="00020D20">
            <w:pPr>
              <w:spacing w:before="0" w:after="0" w:line="240" w:lineRule="auto"/>
              <w:jc w:val="center"/>
              <w:rPr>
                <w:sz w:val="18"/>
                <w:vertAlign w:val="superscript"/>
              </w:rPr>
            </w:pPr>
            <w:r>
              <w:rPr>
                <w:sz w:val="18"/>
              </w:rPr>
              <w:t>FMPO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215D1FD" w14:textId="08127D91" w:rsidR="005070BF" w:rsidRPr="00101FFC" w:rsidRDefault="005070BF" w:rsidP="00020D20">
            <w:pPr>
              <w:spacing w:before="0" w:after="0" w:line="240" w:lineRule="auto"/>
              <w:jc w:val="center"/>
              <w:rPr>
                <w:sz w:val="18"/>
              </w:rPr>
            </w:pPr>
            <w:r w:rsidRPr="00305638">
              <w:rPr>
                <w:sz w:val="18"/>
              </w:rPr>
              <w:t>Flagstaff Metropolitan Planning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A25C667" w14:textId="76B3970A" w:rsidR="005070BF" w:rsidRPr="00101FFC" w:rsidRDefault="005070BF" w:rsidP="00020D20">
            <w:pPr>
              <w:spacing w:before="0" w:after="0" w:line="240" w:lineRule="auto"/>
              <w:jc w:val="center"/>
              <w:rPr>
                <w:sz w:val="18"/>
              </w:rPr>
            </w:pPr>
            <w:r w:rsidRPr="00101FFC">
              <w:rPr>
                <w:sz w:val="18"/>
              </w:rPr>
              <w:t>Flagstaff</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639420C" w14:textId="5FF048D0" w:rsidR="005070BF" w:rsidRPr="00101FFC" w:rsidRDefault="005070BF" w:rsidP="00020D20">
            <w:pPr>
              <w:spacing w:before="0" w:after="0" w:line="240" w:lineRule="auto"/>
              <w:jc w:val="center"/>
              <w:rPr>
                <w:sz w:val="18"/>
              </w:rPr>
            </w:pPr>
            <w:r w:rsidRPr="00101FFC">
              <w:rPr>
                <w:sz w:val="18"/>
              </w:rPr>
              <w:t>1996</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DA79E06"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26639F4" w14:textId="713C8A41" w:rsidR="005070BF" w:rsidRPr="00101FFC" w:rsidRDefault="005070BF" w:rsidP="00020D20">
            <w:pPr>
              <w:spacing w:before="0" w:after="0" w:line="240" w:lineRule="auto"/>
              <w:jc w:val="center"/>
              <w:rPr>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6C9FD2A" w14:textId="77777777" w:rsidR="005070BF" w:rsidRPr="00101FFC" w:rsidRDefault="005070BF" w:rsidP="00020D20">
            <w:pPr>
              <w:spacing w:before="0" w:after="0" w:line="240" w:lineRule="auto"/>
              <w:jc w:val="center"/>
              <w:rPr>
                <w:rFonts w:cstheme="minorHAnsi"/>
                <w:sz w:val="18"/>
              </w:rPr>
            </w:pPr>
          </w:p>
        </w:tc>
      </w:tr>
      <w:tr w:rsidR="005070BF" w:rsidRPr="005601F5" w14:paraId="7A71A13C"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D90A186" w14:textId="250759BD" w:rsidR="005070BF" w:rsidRPr="00101FFC" w:rsidRDefault="005070BF" w:rsidP="00020D20">
            <w:pPr>
              <w:spacing w:before="0" w:after="0" w:line="240" w:lineRule="auto"/>
              <w:jc w:val="center"/>
              <w:rPr>
                <w:rFonts w:cstheme="minorHAnsi"/>
                <w:color w:val="000000"/>
                <w:sz w:val="18"/>
              </w:rPr>
            </w:pPr>
            <w:r w:rsidRPr="00101FFC">
              <w:rPr>
                <w:sz w:val="18"/>
              </w:rPr>
              <w:t>LHMPO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0917422" w14:textId="256ED085" w:rsidR="005070BF" w:rsidRPr="00101FFC" w:rsidRDefault="005070BF" w:rsidP="00020D20">
            <w:pPr>
              <w:spacing w:before="0" w:after="0" w:line="240" w:lineRule="auto"/>
              <w:jc w:val="center"/>
              <w:rPr>
                <w:rFonts w:cstheme="minorHAnsi"/>
                <w:color w:val="000000"/>
                <w:sz w:val="18"/>
              </w:rPr>
            </w:pPr>
            <w:r w:rsidRPr="00101FFC">
              <w:rPr>
                <w:sz w:val="18"/>
              </w:rPr>
              <w:t>Lake Havasu Metropolitan Planning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721301E" w14:textId="27424726" w:rsidR="005070BF" w:rsidRPr="00101FFC" w:rsidRDefault="005070BF" w:rsidP="00020D20">
            <w:pPr>
              <w:spacing w:before="0" w:after="0" w:line="240" w:lineRule="auto"/>
              <w:jc w:val="center"/>
              <w:rPr>
                <w:rFonts w:cstheme="minorHAnsi"/>
                <w:color w:val="000000"/>
                <w:sz w:val="18"/>
              </w:rPr>
            </w:pPr>
            <w:r w:rsidRPr="00101FFC">
              <w:rPr>
                <w:sz w:val="18"/>
              </w:rPr>
              <w:t>Lake Havasu City</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F3FBACC" w14:textId="34B04590" w:rsidR="005070BF" w:rsidRPr="00101FFC" w:rsidRDefault="005070BF" w:rsidP="00020D20">
            <w:pPr>
              <w:spacing w:before="0" w:after="0" w:line="240" w:lineRule="auto"/>
              <w:jc w:val="center"/>
              <w:rPr>
                <w:rFonts w:cstheme="minorHAnsi"/>
                <w:color w:val="000000"/>
                <w:sz w:val="18"/>
              </w:rPr>
            </w:pPr>
            <w:r w:rsidRPr="00101FFC">
              <w:rPr>
                <w:sz w:val="18"/>
              </w:rPr>
              <w:t>2013</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AEE2462"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CF6C29C" w14:textId="69696719"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19489A7" w14:textId="53C76F58" w:rsidR="005070BF" w:rsidRPr="00101FFC" w:rsidRDefault="005070BF" w:rsidP="00020D20">
            <w:pPr>
              <w:spacing w:before="0" w:after="0" w:line="240" w:lineRule="auto"/>
              <w:jc w:val="center"/>
              <w:rPr>
                <w:rFonts w:cstheme="minorHAnsi"/>
                <w:sz w:val="18"/>
              </w:rPr>
            </w:pPr>
          </w:p>
        </w:tc>
      </w:tr>
      <w:tr w:rsidR="005070BF" w:rsidRPr="005601F5" w14:paraId="72276F44"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4436544" w14:textId="6A15721B" w:rsidR="005070BF" w:rsidRPr="00101FFC" w:rsidRDefault="005070BF" w:rsidP="00020D20">
            <w:pPr>
              <w:spacing w:before="0" w:after="0" w:line="240" w:lineRule="auto"/>
              <w:jc w:val="center"/>
              <w:rPr>
                <w:rFonts w:cstheme="minorHAnsi"/>
                <w:color w:val="000000"/>
                <w:sz w:val="18"/>
              </w:rPr>
            </w:pPr>
            <w:r w:rsidRPr="00101FFC">
              <w:rPr>
                <w:sz w:val="18"/>
              </w:rPr>
              <w:t>SCMPO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890E640" w14:textId="42C57535" w:rsidR="005070BF" w:rsidRPr="00101FFC" w:rsidRDefault="005070BF" w:rsidP="00020D20">
            <w:pPr>
              <w:spacing w:before="0" w:after="0" w:line="240" w:lineRule="auto"/>
              <w:jc w:val="center"/>
              <w:rPr>
                <w:rFonts w:cstheme="minorHAnsi"/>
                <w:color w:val="000000"/>
                <w:sz w:val="18"/>
              </w:rPr>
            </w:pPr>
            <w:r w:rsidRPr="00101FFC">
              <w:rPr>
                <w:sz w:val="18"/>
              </w:rPr>
              <w:t>Sun Corridor Metropolitan Planning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9DE0B87" w14:textId="77777777" w:rsidR="005070BF" w:rsidRPr="00101FFC" w:rsidRDefault="005070BF" w:rsidP="00020D20">
            <w:pPr>
              <w:spacing w:before="0" w:after="0" w:line="240" w:lineRule="auto"/>
              <w:jc w:val="center"/>
              <w:rPr>
                <w:rFonts w:cstheme="minorHAnsi"/>
                <w:color w:val="000000"/>
                <w:sz w:val="18"/>
              </w:rPr>
            </w:pPr>
            <w:r w:rsidRPr="00101FFC">
              <w:rPr>
                <w:sz w:val="18"/>
              </w:rPr>
              <w:t>Casa Grande</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66D118F" w14:textId="77777777" w:rsidR="005070BF" w:rsidRPr="00101FFC" w:rsidRDefault="005070BF" w:rsidP="00020D20">
            <w:pPr>
              <w:spacing w:before="0" w:after="0" w:line="240" w:lineRule="auto"/>
              <w:jc w:val="center"/>
              <w:rPr>
                <w:rFonts w:cstheme="minorHAnsi"/>
                <w:color w:val="000000"/>
                <w:sz w:val="18"/>
              </w:rPr>
            </w:pPr>
            <w:r w:rsidRPr="00101FFC">
              <w:rPr>
                <w:sz w:val="18"/>
              </w:rPr>
              <w:t>2013</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01477AC9"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E3E30B6" w14:textId="77777777"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2DF78BB" w14:textId="01991DB6" w:rsidR="005070BF" w:rsidRPr="00101FFC" w:rsidRDefault="005070BF" w:rsidP="00020D20">
            <w:pPr>
              <w:spacing w:before="0" w:after="0" w:line="240" w:lineRule="auto"/>
              <w:jc w:val="center"/>
              <w:rPr>
                <w:rFonts w:cstheme="minorHAnsi"/>
                <w:sz w:val="18"/>
              </w:rPr>
            </w:pPr>
          </w:p>
        </w:tc>
      </w:tr>
      <w:tr w:rsidR="005070BF" w:rsidRPr="005601F5" w14:paraId="5E388066"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DE47747" w14:textId="789830E8" w:rsidR="005070BF" w:rsidRPr="00101FFC" w:rsidRDefault="005070BF" w:rsidP="00020D20">
            <w:pPr>
              <w:spacing w:before="0" w:after="0" w:line="240" w:lineRule="auto"/>
              <w:jc w:val="center"/>
              <w:rPr>
                <w:rFonts w:cstheme="minorHAnsi"/>
                <w:color w:val="000000"/>
                <w:sz w:val="18"/>
              </w:rPr>
            </w:pPr>
            <w:r w:rsidRPr="00101FFC">
              <w:rPr>
                <w:sz w:val="18"/>
              </w:rPr>
              <w:t>SVMPO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0C0D2DB" w14:textId="77777777" w:rsidR="005070BF" w:rsidRPr="00101FFC" w:rsidRDefault="005070BF" w:rsidP="00020D20">
            <w:pPr>
              <w:spacing w:before="0" w:after="0" w:line="240" w:lineRule="auto"/>
              <w:jc w:val="center"/>
              <w:rPr>
                <w:rFonts w:cstheme="minorHAnsi"/>
                <w:color w:val="000000"/>
                <w:sz w:val="18"/>
              </w:rPr>
            </w:pPr>
            <w:r w:rsidRPr="00101FFC">
              <w:rPr>
                <w:sz w:val="18"/>
              </w:rPr>
              <w:t>Sierra Vista Metropolitan Planning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0660356" w14:textId="77777777" w:rsidR="005070BF" w:rsidRPr="00101FFC" w:rsidRDefault="005070BF" w:rsidP="00020D20">
            <w:pPr>
              <w:spacing w:before="0" w:after="0" w:line="240" w:lineRule="auto"/>
              <w:jc w:val="center"/>
              <w:rPr>
                <w:rFonts w:cstheme="minorHAnsi"/>
                <w:color w:val="000000"/>
                <w:sz w:val="18"/>
              </w:rPr>
            </w:pPr>
            <w:r w:rsidRPr="00101FFC">
              <w:rPr>
                <w:sz w:val="18"/>
              </w:rPr>
              <w:t>Sierra Vista</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49AC3BF" w14:textId="77777777" w:rsidR="005070BF" w:rsidRPr="00101FFC" w:rsidRDefault="005070BF" w:rsidP="00020D20">
            <w:pPr>
              <w:spacing w:before="0" w:after="0" w:line="240" w:lineRule="auto"/>
              <w:jc w:val="center"/>
              <w:rPr>
                <w:rFonts w:cstheme="minorHAnsi"/>
                <w:color w:val="000000"/>
                <w:sz w:val="18"/>
              </w:rPr>
            </w:pPr>
            <w:r w:rsidRPr="00101FFC">
              <w:rPr>
                <w:sz w:val="18"/>
              </w:rPr>
              <w:t>2013</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054577E"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EAD6632" w14:textId="77777777"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D367BCE" w14:textId="64645831" w:rsidR="005070BF" w:rsidRPr="00101FFC" w:rsidRDefault="005070BF" w:rsidP="00020D20">
            <w:pPr>
              <w:spacing w:before="0" w:after="0" w:line="240" w:lineRule="auto"/>
              <w:jc w:val="center"/>
              <w:rPr>
                <w:rFonts w:cstheme="minorHAnsi"/>
                <w:sz w:val="18"/>
              </w:rPr>
            </w:pPr>
          </w:p>
        </w:tc>
      </w:tr>
      <w:tr w:rsidR="005070BF" w:rsidRPr="005601F5" w14:paraId="7E8B76D5"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8A2BEEB" w14:textId="3FA97E70" w:rsidR="005070BF" w:rsidRPr="00101FFC" w:rsidRDefault="005070BF" w:rsidP="00020D20">
            <w:pPr>
              <w:spacing w:before="0" w:after="0" w:line="240" w:lineRule="auto"/>
              <w:jc w:val="center"/>
              <w:rPr>
                <w:rFonts w:cstheme="minorHAnsi"/>
                <w:color w:val="000000"/>
                <w:sz w:val="18"/>
              </w:rPr>
            </w:pPr>
            <w:r w:rsidRPr="00101FFC">
              <w:rPr>
                <w:sz w:val="18"/>
              </w:rPr>
              <w:t>YMPO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6830C7F" w14:textId="77777777" w:rsidR="005070BF" w:rsidRPr="00101FFC" w:rsidRDefault="005070BF" w:rsidP="00020D20">
            <w:pPr>
              <w:spacing w:before="0" w:after="0" w:line="240" w:lineRule="auto"/>
              <w:jc w:val="center"/>
              <w:rPr>
                <w:rFonts w:cstheme="minorHAnsi"/>
                <w:color w:val="000000"/>
                <w:sz w:val="18"/>
              </w:rPr>
            </w:pPr>
            <w:r w:rsidRPr="00101FFC">
              <w:rPr>
                <w:sz w:val="18"/>
              </w:rPr>
              <w:t>Yuma Metropolitan Planning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C8336C7" w14:textId="77777777" w:rsidR="005070BF" w:rsidRPr="00101FFC" w:rsidRDefault="005070BF" w:rsidP="00020D20">
            <w:pPr>
              <w:spacing w:before="0" w:after="0" w:line="240" w:lineRule="auto"/>
              <w:jc w:val="center"/>
              <w:rPr>
                <w:rFonts w:cstheme="minorHAnsi"/>
                <w:color w:val="000000"/>
                <w:sz w:val="18"/>
              </w:rPr>
            </w:pPr>
            <w:r w:rsidRPr="00101FFC">
              <w:rPr>
                <w:sz w:val="18"/>
              </w:rPr>
              <w:t>Yuma</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0D97DE8" w14:textId="77777777" w:rsidR="005070BF" w:rsidRPr="00101FFC" w:rsidRDefault="005070BF" w:rsidP="00020D20">
            <w:pPr>
              <w:spacing w:before="0" w:after="0" w:line="240" w:lineRule="auto"/>
              <w:jc w:val="center"/>
              <w:rPr>
                <w:rFonts w:cstheme="minorHAnsi"/>
                <w:color w:val="000000"/>
                <w:sz w:val="18"/>
              </w:rPr>
            </w:pPr>
            <w:r w:rsidRPr="00101FFC">
              <w:rPr>
                <w:sz w:val="18"/>
              </w:rPr>
              <w:t>1983</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2C012CF"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D9E6DC2" w14:textId="77777777"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21E58E29" w14:textId="109F05AD" w:rsidR="005070BF" w:rsidRPr="00101FFC" w:rsidRDefault="005070BF" w:rsidP="00020D20">
            <w:pPr>
              <w:spacing w:before="0" w:after="0" w:line="240" w:lineRule="auto"/>
              <w:jc w:val="center"/>
              <w:rPr>
                <w:rFonts w:cstheme="minorHAnsi"/>
                <w:sz w:val="18"/>
              </w:rPr>
            </w:pPr>
          </w:p>
        </w:tc>
      </w:tr>
      <w:tr w:rsidR="005070BF" w:rsidRPr="005601F5" w14:paraId="397CB3BB"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75AD592" w14:textId="4C771CF7" w:rsidR="005070BF" w:rsidRPr="00101FFC" w:rsidRDefault="005070BF" w:rsidP="00020D20">
            <w:pPr>
              <w:spacing w:before="0" w:after="0" w:line="240" w:lineRule="auto"/>
              <w:jc w:val="center"/>
              <w:rPr>
                <w:rFonts w:cstheme="minorHAnsi"/>
                <w:color w:val="000000"/>
                <w:sz w:val="18"/>
              </w:rPr>
            </w:pPr>
            <w:r w:rsidRPr="00101FFC">
              <w:rPr>
                <w:sz w:val="18"/>
              </w:rPr>
              <w:t>CAG</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02C01630" w14:textId="45265AB9" w:rsidR="005070BF" w:rsidRPr="00101FFC" w:rsidRDefault="005070BF" w:rsidP="00020D20">
            <w:pPr>
              <w:spacing w:before="0" w:after="0" w:line="240" w:lineRule="auto"/>
              <w:jc w:val="center"/>
              <w:rPr>
                <w:rFonts w:cstheme="minorHAnsi"/>
                <w:color w:val="000000"/>
                <w:sz w:val="18"/>
              </w:rPr>
            </w:pPr>
            <w:r w:rsidRPr="00101FFC">
              <w:rPr>
                <w:sz w:val="18"/>
              </w:rPr>
              <w:t>Central Arizona Governments</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E1FE23E" w14:textId="77777777" w:rsidR="005070BF" w:rsidRPr="00101FFC" w:rsidRDefault="005070BF" w:rsidP="00020D20">
            <w:pPr>
              <w:spacing w:before="0" w:after="0" w:line="240" w:lineRule="auto"/>
              <w:jc w:val="center"/>
              <w:rPr>
                <w:rFonts w:cstheme="minorHAnsi"/>
                <w:color w:val="000000"/>
                <w:sz w:val="18"/>
              </w:rPr>
            </w:pPr>
            <w:r w:rsidRPr="00101FFC">
              <w:rPr>
                <w:sz w:val="18"/>
              </w:rPr>
              <w:t>Apache Junction</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8371DD9" w14:textId="77777777" w:rsidR="005070BF" w:rsidRPr="00101FFC" w:rsidRDefault="005070BF" w:rsidP="00020D20">
            <w:pPr>
              <w:spacing w:before="0" w:after="0" w:line="240" w:lineRule="auto"/>
              <w:jc w:val="center"/>
              <w:rPr>
                <w:rFonts w:cstheme="minorHAnsi"/>
                <w:color w:val="000000"/>
                <w:sz w:val="18"/>
              </w:rPr>
            </w:pPr>
            <w:r w:rsidRPr="00101FFC">
              <w:rPr>
                <w:sz w:val="18"/>
              </w:rPr>
              <w:t>1970</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0580D697"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AB520A5" w14:textId="77777777" w:rsidR="005070BF" w:rsidRPr="00101FFC" w:rsidRDefault="005070BF" w:rsidP="00020D20">
            <w:pPr>
              <w:spacing w:before="0" w:after="0" w:line="240" w:lineRule="auto"/>
              <w:jc w:val="center"/>
              <w:rPr>
                <w:rFonts w:cstheme="minorHAnsi"/>
                <w:sz w:val="18"/>
              </w:rPr>
            </w:pP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1B21FD9" w14:textId="73C7A0F7"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r>
      <w:tr w:rsidR="005070BF" w:rsidRPr="005601F5" w14:paraId="6C6F0407"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0007D5FE" w14:textId="12481E85" w:rsidR="005070BF" w:rsidRPr="00101FFC" w:rsidRDefault="005070BF" w:rsidP="00020D20">
            <w:pPr>
              <w:spacing w:before="0" w:after="0" w:line="240" w:lineRule="auto"/>
              <w:jc w:val="center"/>
              <w:rPr>
                <w:rFonts w:cstheme="minorHAnsi"/>
                <w:color w:val="000000"/>
                <w:sz w:val="18"/>
              </w:rPr>
            </w:pPr>
            <w:r w:rsidRPr="00101FFC">
              <w:rPr>
                <w:sz w:val="18"/>
              </w:rPr>
              <w:t>NACOG</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7A92892" w14:textId="77777777" w:rsidR="005070BF" w:rsidRPr="00101FFC" w:rsidRDefault="005070BF" w:rsidP="00020D20">
            <w:pPr>
              <w:spacing w:before="0" w:after="0" w:line="240" w:lineRule="auto"/>
              <w:jc w:val="center"/>
              <w:rPr>
                <w:rFonts w:cstheme="minorHAnsi"/>
                <w:color w:val="000000"/>
                <w:sz w:val="18"/>
              </w:rPr>
            </w:pPr>
            <w:r w:rsidRPr="00101FFC">
              <w:rPr>
                <w:sz w:val="18"/>
              </w:rPr>
              <w:t>Northern Arizona Council of Government</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F8644D4" w14:textId="77777777" w:rsidR="005070BF" w:rsidRPr="00101FFC" w:rsidRDefault="005070BF" w:rsidP="00020D20">
            <w:pPr>
              <w:spacing w:before="0" w:after="0" w:line="240" w:lineRule="auto"/>
              <w:jc w:val="center"/>
              <w:rPr>
                <w:rFonts w:cstheme="minorHAnsi"/>
                <w:color w:val="000000"/>
                <w:sz w:val="18"/>
              </w:rPr>
            </w:pPr>
            <w:r w:rsidRPr="00101FFC">
              <w:rPr>
                <w:sz w:val="18"/>
              </w:rPr>
              <w:t>Flagstaff</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D0B4DB0" w14:textId="77777777" w:rsidR="005070BF" w:rsidRPr="00101FFC" w:rsidRDefault="005070BF" w:rsidP="00020D20">
            <w:pPr>
              <w:spacing w:before="0" w:after="0" w:line="240" w:lineRule="auto"/>
              <w:jc w:val="center"/>
              <w:rPr>
                <w:rFonts w:cstheme="minorHAnsi"/>
                <w:color w:val="000000"/>
                <w:sz w:val="18"/>
              </w:rPr>
            </w:pPr>
            <w:r w:rsidRPr="00101FFC">
              <w:rPr>
                <w:sz w:val="18"/>
              </w:rPr>
              <w:t>1975</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5B01627"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F4EBF5E" w14:textId="77777777" w:rsidR="005070BF" w:rsidRPr="00101FFC" w:rsidRDefault="005070BF" w:rsidP="00020D20">
            <w:pPr>
              <w:spacing w:before="0" w:after="0" w:line="240" w:lineRule="auto"/>
              <w:jc w:val="center"/>
              <w:rPr>
                <w:rFonts w:cstheme="minorHAnsi"/>
                <w:sz w:val="18"/>
              </w:rPr>
            </w:pP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B1053E2" w14:textId="58F6E1FA"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r>
      <w:tr w:rsidR="005070BF" w:rsidRPr="005601F5" w14:paraId="402A6EB7"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9FA755A" w14:textId="2A7B584A" w:rsidR="005070BF" w:rsidRPr="00101FFC" w:rsidRDefault="005070BF" w:rsidP="00020D20">
            <w:pPr>
              <w:spacing w:before="0" w:after="0" w:line="240" w:lineRule="auto"/>
              <w:jc w:val="center"/>
              <w:rPr>
                <w:rFonts w:cstheme="minorHAnsi"/>
                <w:color w:val="000000"/>
                <w:sz w:val="18"/>
              </w:rPr>
            </w:pPr>
            <w:r w:rsidRPr="00101FFC">
              <w:rPr>
                <w:sz w:val="18"/>
              </w:rPr>
              <w:t>SEAGO</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187504CB" w14:textId="77777777" w:rsidR="005070BF" w:rsidRPr="00101FFC" w:rsidRDefault="005070BF" w:rsidP="00020D20">
            <w:pPr>
              <w:spacing w:before="0" w:after="0" w:line="240" w:lineRule="auto"/>
              <w:jc w:val="center"/>
              <w:rPr>
                <w:rFonts w:cstheme="minorHAnsi"/>
                <w:color w:val="000000"/>
                <w:sz w:val="18"/>
              </w:rPr>
            </w:pPr>
            <w:r w:rsidRPr="00101FFC">
              <w:rPr>
                <w:sz w:val="18"/>
              </w:rPr>
              <w:t>Southeastern Arizona Governments Organization</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C45A667" w14:textId="77777777" w:rsidR="005070BF" w:rsidRPr="00101FFC" w:rsidRDefault="005070BF" w:rsidP="00020D20">
            <w:pPr>
              <w:spacing w:before="0" w:after="0" w:line="240" w:lineRule="auto"/>
              <w:jc w:val="center"/>
              <w:rPr>
                <w:rFonts w:cstheme="minorHAnsi"/>
                <w:color w:val="000000"/>
                <w:sz w:val="18"/>
              </w:rPr>
            </w:pPr>
            <w:r w:rsidRPr="00101FFC">
              <w:rPr>
                <w:sz w:val="18"/>
              </w:rPr>
              <w:t>Bisbee</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70DA245" w14:textId="77777777" w:rsidR="005070BF" w:rsidRPr="00101FFC" w:rsidRDefault="005070BF" w:rsidP="00020D20">
            <w:pPr>
              <w:spacing w:before="0" w:after="0" w:line="240" w:lineRule="auto"/>
              <w:jc w:val="center"/>
              <w:rPr>
                <w:rFonts w:cstheme="minorHAnsi"/>
                <w:color w:val="000000"/>
                <w:sz w:val="18"/>
              </w:rPr>
            </w:pPr>
            <w:r w:rsidRPr="00101FFC">
              <w:rPr>
                <w:sz w:val="18"/>
              </w:rPr>
              <w:t>1972</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1171DA3"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ED8D7B2" w14:textId="77777777" w:rsidR="005070BF" w:rsidRPr="00101FFC" w:rsidRDefault="005070BF" w:rsidP="00020D20">
            <w:pPr>
              <w:spacing w:before="0" w:after="0" w:line="240" w:lineRule="auto"/>
              <w:jc w:val="center"/>
              <w:rPr>
                <w:rFonts w:cstheme="minorHAnsi"/>
                <w:sz w:val="18"/>
              </w:rPr>
            </w:pP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FD7AD90" w14:textId="30182CCC"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r>
      <w:tr w:rsidR="005070BF" w:rsidRPr="005601F5" w14:paraId="74E8CDF1" w14:textId="77777777" w:rsidTr="00636F46">
        <w:trPr>
          <w:trHeight w:val="547"/>
        </w:trPr>
        <w:tc>
          <w:tcPr>
            <w:tcW w:w="115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6E630A2" w14:textId="0666C820" w:rsidR="005070BF" w:rsidRPr="00101FFC" w:rsidRDefault="005070BF" w:rsidP="00020D20">
            <w:pPr>
              <w:spacing w:before="0" w:after="0" w:line="240" w:lineRule="auto"/>
              <w:jc w:val="center"/>
              <w:rPr>
                <w:rFonts w:cstheme="minorHAnsi"/>
                <w:color w:val="000000"/>
                <w:sz w:val="18"/>
              </w:rPr>
            </w:pPr>
            <w:r w:rsidRPr="00101FFC">
              <w:rPr>
                <w:sz w:val="18"/>
              </w:rPr>
              <w:t>WACOG</w:t>
            </w:r>
          </w:p>
        </w:tc>
        <w:tc>
          <w:tcPr>
            <w:tcW w:w="370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37E47BA3" w14:textId="77777777" w:rsidR="005070BF" w:rsidRPr="00101FFC" w:rsidRDefault="005070BF" w:rsidP="00020D20">
            <w:pPr>
              <w:spacing w:before="0" w:after="0" w:line="240" w:lineRule="auto"/>
              <w:jc w:val="center"/>
              <w:rPr>
                <w:rFonts w:cstheme="minorHAnsi"/>
                <w:color w:val="000000"/>
                <w:sz w:val="18"/>
              </w:rPr>
            </w:pPr>
            <w:r w:rsidRPr="00101FFC">
              <w:rPr>
                <w:sz w:val="18"/>
              </w:rPr>
              <w:t>Western Arizona Council of Governments</w:t>
            </w:r>
          </w:p>
        </w:tc>
        <w:tc>
          <w:tcPr>
            <w:tcW w:w="1631"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367EC50" w14:textId="77777777" w:rsidR="005070BF" w:rsidRPr="00101FFC" w:rsidRDefault="005070BF" w:rsidP="00020D20">
            <w:pPr>
              <w:spacing w:before="0" w:after="0" w:line="240" w:lineRule="auto"/>
              <w:jc w:val="center"/>
              <w:rPr>
                <w:rFonts w:cstheme="minorHAnsi"/>
                <w:color w:val="000000"/>
                <w:sz w:val="18"/>
              </w:rPr>
            </w:pPr>
            <w:r w:rsidRPr="00101FFC">
              <w:rPr>
                <w:sz w:val="18"/>
              </w:rPr>
              <w:t>Kingman</w:t>
            </w:r>
          </w:p>
        </w:tc>
        <w:tc>
          <w:tcPr>
            <w:tcW w:w="1126"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54E19992" w14:textId="77777777" w:rsidR="005070BF" w:rsidRPr="00101FFC" w:rsidRDefault="005070BF" w:rsidP="00020D20">
            <w:pPr>
              <w:spacing w:before="0" w:after="0" w:line="240" w:lineRule="auto"/>
              <w:jc w:val="center"/>
              <w:rPr>
                <w:rFonts w:cstheme="minorHAnsi"/>
                <w:color w:val="000000"/>
                <w:sz w:val="18"/>
              </w:rPr>
            </w:pPr>
            <w:r w:rsidRPr="00101FFC">
              <w:rPr>
                <w:sz w:val="18"/>
              </w:rPr>
              <w:t>1971</w:t>
            </w: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6DCD4E14" w14:textId="77777777" w:rsidR="005070BF" w:rsidRPr="00101FFC" w:rsidRDefault="005070BF" w:rsidP="00020D20">
            <w:pPr>
              <w:spacing w:before="0" w:after="0" w:line="240" w:lineRule="auto"/>
              <w:jc w:val="center"/>
              <w:rPr>
                <w:rFonts w:cstheme="minorHAnsi"/>
                <w:sz w:val="18"/>
              </w:rPr>
            </w:pPr>
          </w:p>
        </w:tc>
        <w:tc>
          <w:tcPr>
            <w:tcW w:w="819"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78393F83" w14:textId="77777777" w:rsidR="005070BF" w:rsidRPr="00101FFC" w:rsidRDefault="005070BF" w:rsidP="00020D20">
            <w:pPr>
              <w:spacing w:before="0" w:after="0" w:line="240" w:lineRule="auto"/>
              <w:jc w:val="center"/>
              <w:rPr>
                <w:rFonts w:cstheme="minorHAnsi"/>
                <w:sz w:val="18"/>
              </w:rPr>
            </w:pPr>
          </w:p>
        </w:tc>
        <w:tc>
          <w:tcPr>
            <w:tcW w:w="825" w:type="dxa"/>
            <w:tcBorders>
              <w:top w:val="single" w:sz="8" w:space="0" w:color="323232"/>
              <w:left w:val="single" w:sz="8" w:space="0" w:color="323232"/>
              <w:bottom w:val="single" w:sz="8" w:space="0" w:color="323232"/>
              <w:right w:val="single" w:sz="8" w:space="0" w:color="323232"/>
            </w:tcBorders>
            <w:tcMar>
              <w:top w:w="91" w:type="dxa"/>
              <w:left w:w="91" w:type="dxa"/>
              <w:bottom w:w="91" w:type="dxa"/>
              <w:right w:w="91" w:type="dxa"/>
            </w:tcMar>
            <w:vAlign w:val="center"/>
          </w:tcPr>
          <w:p w14:paraId="4746744F" w14:textId="0E5C4F9C" w:rsidR="005070BF" w:rsidRPr="00101FFC" w:rsidRDefault="005070BF" w:rsidP="00020D20">
            <w:pPr>
              <w:spacing w:before="0" w:after="0" w:line="240" w:lineRule="auto"/>
              <w:jc w:val="center"/>
              <w:rPr>
                <w:rFonts w:cstheme="minorHAnsi"/>
                <w:color w:val="000000"/>
                <w:sz w:val="18"/>
              </w:rPr>
            </w:pPr>
            <w:r w:rsidRPr="00101FFC">
              <w:rPr>
                <w:rFonts w:ascii="Segoe UI Symbol" w:hAnsi="Segoe UI Symbol" w:cs="Segoe UI Symbol"/>
                <w:sz w:val="18"/>
              </w:rPr>
              <w:t>✓</w:t>
            </w:r>
          </w:p>
        </w:tc>
      </w:tr>
    </w:tbl>
    <w:p w14:paraId="22318F30" w14:textId="77777777" w:rsidR="00636F46" w:rsidRPr="005601F5" w:rsidRDefault="00636F46" w:rsidP="00020D20">
      <w:pPr>
        <w:pStyle w:val="Source-Graphic"/>
        <w:jc w:val="both"/>
      </w:pPr>
      <w:r w:rsidRPr="005601F5">
        <w:t>1 TMAs have 200,000 or more population; mandated under the Intermodal Surface Transportation Efficiency Act of 1991.</w:t>
      </w:r>
    </w:p>
    <w:p w14:paraId="624EE8FF" w14:textId="77777777" w:rsidR="00636F46" w:rsidRPr="005601F5" w:rsidRDefault="00636F46" w:rsidP="00020D20">
      <w:pPr>
        <w:pStyle w:val="Source-Graphic"/>
        <w:jc w:val="both"/>
      </w:pPr>
      <w:r w:rsidRPr="005601F5">
        <w:t>2 MPOs have 50,000 or more population; mandated under the Federal-Aid Highway Act of 1962.</w:t>
      </w:r>
    </w:p>
    <w:p w14:paraId="383BB167" w14:textId="3F8ACAD0" w:rsidR="00636F46" w:rsidRDefault="00D61A51" w:rsidP="00020D20">
      <w:pPr>
        <w:pStyle w:val="Source-Graphic"/>
        <w:jc w:val="both"/>
      </w:pPr>
      <w:r>
        <w:t xml:space="preserve">3 </w:t>
      </w:r>
      <w:hyperlink r:id="rId56" w:history="1">
        <w:r w:rsidR="00636F46" w:rsidRPr="00BD4BB5">
          <w:rPr>
            <w:rStyle w:val="TitleChar"/>
            <w:sz w:val="16"/>
          </w:rPr>
          <w:t>Executive Order 70-2</w:t>
        </w:r>
      </w:hyperlink>
      <w:r>
        <w:t xml:space="preserve"> from</w:t>
      </w:r>
      <w:r w:rsidR="00636F46" w:rsidRPr="005601F5">
        <w:t xml:space="preserve"> Governor Jack Williams in 1970</w:t>
      </w:r>
      <w:r>
        <w:t xml:space="preserve"> provided the initial framework for the current COG jurisdictions</w:t>
      </w:r>
      <w:r w:rsidR="00636F46" w:rsidRPr="005601F5">
        <w:t>.</w:t>
      </w:r>
    </w:p>
    <w:p w14:paraId="65118ADE" w14:textId="77777777" w:rsidR="00636F46" w:rsidRDefault="00636F46" w:rsidP="00020D20">
      <w:pPr>
        <w:jc w:val="both"/>
        <w:sectPr w:rsidR="00636F46" w:rsidSect="00020D20">
          <w:pgSz w:w="12240" w:h="15840"/>
          <w:pgMar w:top="1080" w:right="1080" w:bottom="1080" w:left="1080" w:header="1152" w:footer="720" w:gutter="0"/>
          <w:pgNumType w:chapStyle="1"/>
          <w:cols w:space="1152"/>
          <w:docGrid w:linePitch="360"/>
        </w:sectPr>
      </w:pPr>
    </w:p>
    <w:p w14:paraId="6D09474E" w14:textId="606F1574" w:rsidR="00636F46" w:rsidRDefault="00636F46" w:rsidP="00020D20">
      <w:pPr>
        <w:pStyle w:val="Heading2"/>
        <w:rPr>
          <w:b w:val="0"/>
        </w:rPr>
        <w:sectPr w:rsidR="00636F46" w:rsidSect="00020D20">
          <w:pgSz w:w="12240" w:h="15840"/>
          <w:pgMar w:top="1080" w:right="1080" w:bottom="1080" w:left="1080" w:header="1152" w:footer="720" w:gutter="0"/>
          <w:pgNumType w:chapStyle="1"/>
          <w:cols w:space="1152"/>
          <w:docGrid w:linePitch="360"/>
        </w:sectPr>
      </w:pPr>
      <w:bookmarkStart w:id="12" w:name="_Ref50018401"/>
      <w:r w:rsidRPr="005601F5">
        <w:t>1.</w:t>
      </w:r>
      <w:r w:rsidR="00B609E9">
        <w:t>5</w:t>
      </w:r>
      <w:r w:rsidRPr="005601F5">
        <w:t xml:space="preserve"> | TRANSPORTATION MANAGEMENT AREA</w:t>
      </w:r>
      <w:bookmarkEnd w:id="12"/>
      <w:r w:rsidR="00762C34">
        <w:t>S</w:t>
      </w:r>
    </w:p>
    <w:p w14:paraId="18016151" w14:textId="77777777" w:rsidR="00636F46" w:rsidRDefault="00636F46" w:rsidP="00020D20">
      <w:pPr>
        <w:jc w:val="both"/>
        <w:sectPr w:rsidR="00636F46" w:rsidSect="00F513AC">
          <w:type w:val="continuous"/>
          <w:pgSz w:w="12240" w:h="15840"/>
          <w:pgMar w:top="1080" w:right="1080" w:bottom="1080" w:left="1080" w:header="1152" w:footer="720" w:gutter="0"/>
          <w:cols w:num="2" w:space="1152"/>
          <w:docGrid w:linePitch="360"/>
        </w:sectPr>
      </w:pPr>
      <w:r>
        <w:rPr>
          <w:noProof/>
        </w:rPr>
        <mc:AlternateContent>
          <mc:Choice Requires="wpg">
            <w:drawing>
              <wp:anchor distT="0" distB="0" distL="114300" distR="114300" simplePos="0" relativeHeight="251618635" behindDoc="0" locked="0" layoutInCell="1" allowOverlap="1" wp14:anchorId="0BC506C5" wp14:editId="22B42E39">
                <wp:simplePos x="0" y="0"/>
                <wp:positionH relativeFrom="margin">
                  <wp:posOffset>66675</wp:posOffset>
                </wp:positionH>
                <wp:positionV relativeFrom="paragraph">
                  <wp:posOffset>206375</wp:posOffset>
                </wp:positionV>
                <wp:extent cx="2771775" cy="2279650"/>
                <wp:effectExtent l="95250" t="95250" r="104775" b="101600"/>
                <wp:wrapSquare wrapText="bothSides"/>
                <wp:docPr id="816285924" name="Group 816285924"/>
                <wp:cNvGraphicFramePr/>
                <a:graphic xmlns:a="http://schemas.openxmlformats.org/drawingml/2006/main">
                  <a:graphicData uri="http://schemas.microsoft.com/office/word/2010/wordprocessingGroup">
                    <wpg:wgp>
                      <wpg:cNvGrpSpPr/>
                      <wpg:grpSpPr>
                        <a:xfrm>
                          <a:off x="0" y="0"/>
                          <a:ext cx="2771775" cy="2279650"/>
                          <a:chOff x="0" y="0"/>
                          <a:chExt cx="2771775" cy="2279650"/>
                        </a:xfrm>
                      </wpg:grpSpPr>
                      <wps:wsp>
                        <wps:cNvPr id="1690911486" name="Text Box 1690911486"/>
                        <wps:cNvSpPr txBox="1"/>
                        <wps:spPr>
                          <a:xfrm>
                            <a:off x="0" y="0"/>
                            <a:ext cx="2771775" cy="227965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4F026D9D" w14:textId="77777777" w:rsidTr="00636F46">
                                <w:trPr>
                                  <w:trHeight w:val="358"/>
                                </w:trPr>
                                <w:tc>
                                  <w:tcPr>
                                    <w:tcW w:w="3394" w:type="dxa"/>
                                    <w:shd w:val="clear" w:color="auto" w:fill="auto"/>
                                  </w:tcPr>
                                  <w:p w14:paraId="3A005DA8" w14:textId="77777777" w:rsidR="00C6444C" w:rsidRPr="00101FFC" w:rsidRDefault="00C6444C">
                                    <w:pPr>
                                      <w:pStyle w:val="Calloutboxes"/>
                                      <w:rPr>
                                        <w:color w:val="012768"/>
                                      </w:rPr>
                                    </w:pPr>
                                  </w:p>
                                </w:tc>
                                <w:tc>
                                  <w:tcPr>
                                    <w:tcW w:w="1106" w:type="dxa"/>
                                    <w:shd w:val="clear" w:color="auto" w:fill="auto"/>
                                  </w:tcPr>
                                  <w:p w14:paraId="3B15D112" w14:textId="77777777" w:rsidR="00C6444C" w:rsidRPr="00101FFC" w:rsidRDefault="00C6444C" w:rsidP="00D30138">
                                    <w:pPr>
                                      <w:pStyle w:val="Calloutboxes"/>
                                      <w:jc w:val="left"/>
                                      <w:rPr>
                                        <w:color w:val="FFFFFF" w:themeColor="background1"/>
                                        <w:sz w:val="24"/>
                                        <w:szCs w:val="24"/>
                                      </w:rPr>
                                    </w:pPr>
                                  </w:p>
                                </w:tc>
                              </w:tr>
                              <w:tr w:rsidR="00C6444C" w14:paraId="05928634" w14:textId="77777777" w:rsidTr="00636F46">
                                <w:trPr>
                                  <w:trHeight w:val="3236"/>
                                </w:trPr>
                                <w:tc>
                                  <w:tcPr>
                                    <w:tcW w:w="4500" w:type="dxa"/>
                                    <w:gridSpan w:val="2"/>
                                    <w:vAlign w:val="center"/>
                                  </w:tcPr>
                                  <w:p w14:paraId="2B340437" w14:textId="5E338D7F" w:rsidR="00C6444C" w:rsidRPr="001847F0" w:rsidRDefault="00C6444C" w:rsidP="00636F46">
                                    <w:pPr>
                                      <w:pStyle w:val="Calloutboxes"/>
                                    </w:pPr>
                                    <w:r>
                                      <w:t>A TMA is designated by the U.S. Secretary of Transportation for an urbanized area with a population of at least 200,000. Congress provided for this greater role by MPOs through a certification review aimed at formalizing the continuing oversight and day-to-day evaluation of the planning process. MPOs attaining certification enjoy certain benefits, but they also incur additional requirements beyond those of smaller urbanized areas for congestion management, project selection, and certification. For more information about the certification process, please see chapter 11 of this manual. The Federal Highway Administration (FHWA) and FTA jointly review and evaluate the transportation planning process every four years. In air quality nonattainment or maintenance areas, the FHWA and FTA review to ensure that TMAs follow air quality conformity regulations.</w:t>
                                    </w:r>
                                  </w:p>
                                </w:tc>
                              </w:tr>
                            </w:tbl>
                            <w:p w14:paraId="613332A9" w14:textId="77777777" w:rsidR="00C6444C" w:rsidRPr="00347D6E" w:rsidRDefault="00C6444C" w:rsidP="00636F46">
                              <w:pPr>
                                <w:pStyle w:val="Calloutboxes"/>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1487" name="Group 1690911487"/>
                        <wpg:cNvGrpSpPr/>
                        <wpg:grpSpPr>
                          <a:xfrm>
                            <a:off x="0" y="0"/>
                            <a:ext cx="2771775" cy="361315"/>
                            <a:chOff x="11875" y="29688"/>
                            <a:chExt cx="2772410" cy="456764"/>
                          </a:xfrm>
                        </wpg:grpSpPr>
                        <wps:wsp>
                          <wps:cNvPr id="1690911490" name="Rectangle 1690911490"/>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1495" name="Text Box 1690911495"/>
                          <wps:cNvSpPr txBox="1"/>
                          <wps:spPr>
                            <a:xfrm>
                              <a:off x="69776" y="29688"/>
                              <a:ext cx="2714509" cy="426646"/>
                            </a:xfrm>
                            <a:prstGeom prst="rect">
                              <a:avLst/>
                            </a:prstGeom>
                            <a:noFill/>
                            <a:ln w="6350">
                              <a:noFill/>
                            </a:ln>
                            <a:effectLst/>
                          </wps:spPr>
                          <wps:txbx>
                            <w:txbxContent>
                              <w:p w14:paraId="0E00877F" w14:textId="77777777" w:rsidR="00C6444C" w:rsidRPr="00101FFC" w:rsidRDefault="00C6444C" w:rsidP="00636F46">
                                <w:pPr>
                                  <w:jc w:val="center"/>
                                  <w:rPr>
                                    <w:color w:val="FFFFFF" w:themeColor="background1"/>
                                    <w:sz w:val="24"/>
                                  </w:rPr>
                                </w:pPr>
                                <w:r w:rsidRPr="00101FFC">
                                  <w:rPr>
                                    <w:color w:val="FFFFFF" w:themeColor="background1"/>
                                    <w:sz w:val="24"/>
                                  </w:rPr>
                                  <w:t>TMA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BC506C5" id="Group 816285924" o:spid="_x0000_s1027" style="position:absolute;left:0;text-align:left;margin-left:5.25pt;margin-top:16.25pt;width:218.25pt;height:179.5pt;z-index:251618635;mso-position-horizontal-relative:margin" coordsize="27717,2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">
                <v:shapetype id="_x0000_t202" coordsize="21600,21600" o:spt="202" path="m,l,21600r21600,l21600,xe">
                  <v:stroke joinstyle="miter"/>
                  <v:path gradientshapeok="t" o:connecttype="rect"/>
                </v:shapetype>
                <v:shape id="Text Box 1690911486" o:spid="_x0000_s1028" type="#_x0000_t202" style="position:absolute;width:27717;height:2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4F026D9D" w14:textId="77777777" w:rsidTr="00636F46">
                          <w:trPr>
                            <w:trHeight w:val="358"/>
                          </w:trPr>
                          <w:tc>
                            <w:tcPr>
                              <w:tcW w:w="3394" w:type="dxa"/>
                              <w:shd w:val="clear" w:color="auto" w:fill="auto"/>
                            </w:tcPr>
                            <w:p w14:paraId="3A005DA8" w14:textId="77777777" w:rsidR="00C6444C" w:rsidRPr="00101FFC" w:rsidRDefault="00C6444C">
                              <w:pPr>
                                <w:pStyle w:val="Calloutboxes"/>
                                <w:rPr>
                                  <w:color w:val="012768"/>
                                </w:rPr>
                              </w:pPr>
                            </w:p>
                          </w:tc>
                          <w:tc>
                            <w:tcPr>
                              <w:tcW w:w="1106" w:type="dxa"/>
                              <w:shd w:val="clear" w:color="auto" w:fill="auto"/>
                            </w:tcPr>
                            <w:p w14:paraId="3B15D112" w14:textId="77777777" w:rsidR="00C6444C" w:rsidRPr="00101FFC" w:rsidRDefault="00C6444C" w:rsidP="00D30138">
                              <w:pPr>
                                <w:pStyle w:val="Calloutboxes"/>
                                <w:jc w:val="left"/>
                                <w:rPr>
                                  <w:color w:val="FFFFFF" w:themeColor="background1"/>
                                  <w:sz w:val="24"/>
                                  <w:szCs w:val="24"/>
                                </w:rPr>
                              </w:pPr>
                            </w:p>
                          </w:tc>
                        </w:tr>
                        <w:tr w:rsidR="00C6444C" w14:paraId="05928634" w14:textId="77777777" w:rsidTr="00636F46">
                          <w:trPr>
                            <w:trHeight w:val="3236"/>
                          </w:trPr>
                          <w:tc>
                            <w:tcPr>
                              <w:tcW w:w="4500" w:type="dxa"/>
                              <w:gridSpan w:val="2"/>
                              <w:vAlign w:val="center"/>
                            </w:tcPr>
                            <w:p w14:paraId="2B340437" w14:textId="5E338D7F" w:rsidR="00C6444C" w:rsidRPr="001847F0" w:rsidRDefault="00C6444C" w:rsidP="00636F46">
                              <w:pPr>
                                <w:pStyle w:val="Calloutboxes"/>
                              </w:pPr>
                              <w:r>
                                <w:t>A TMA is designated by the U.S. Secretary of Transportation for an urbanized area with a population of at least 200,000. Congress provided for this greater role by MPOs through a certification review aimed at formalizing the continuing oversight and day-to-day evaluation of the planning process. MPOs attaining certification enjoy certain benefits, but they also incur additional requirements beyond those of smaller urbanized areas for congestion management, project selection, and certification. For more information about the certification process, please see chapter 11 of this manual. The Federal Highway Administration (FHWA) and FTA jointly review and evaluate the transportation planning process every four years. In air quality nonattainment or maintenance areas, the FHWA and FTA review to ensure that TMAs follow air quality conformity regulations.</w:t>
                              </w:r>
                            </w:p>
                          </w:tc>
                        </w:tr>
                      </w:tbl>
                      <w:p w14:paraId="613332A9" w14:textId="77777777" w:rsidR="00C6444C" w:rsidRPr="00347D6E" w:rsidRDefault="00C6444C" w:rsidP="00636F46">
                        <w:pPr>
                          <w:pStyle w:val="Calloutboxes"/>
                          <w:jc w:val="left"/>
                        </w:pPr>
                      </w:p>
                    </w:txbxContent>
                  </v:textbox>
                </v:shape>
                <v:group id="Group 1690911487" o:spid="_x0000_s1029" style="position:absolute;width:27717;height:3613"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">
                  <v:rect id="Rectangle 1690911490" o:spid="_x0000_s1030"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" fillcolor="#012768" strokecolor="#1f4d78 [1604]" strokeweight="1pt"/>
                  <v:shape id="Text Box 1690911495" o:spid="_x0000_s1031" type="#_x0000_t202" style="position:absolute;left:697;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" filled="f" stroked="f" strokeweight=".5pt">
                    <v:textbox>
                      <w:txbxContent>
                        <w:p w14:paraId="0E00877F" w14:textId="77777777" w:rsidR="00C6444C" w:rsidRPr="00101FFC" w:rsidRDefault="00C6444C" w:rsidP="00636F46">
                          <w:pPr>
                            <w:jc w:val="center"/>
                            <w:rPr>
                              <w:color w:val="FFFFFF" w:themeColor="background1"/>
                              <w:sz w:val="24"/>
                            </w:rPr>
                          </w:pPr>
                          <w:r w:rsidRPr="00101FFC">
                            <w:rPr>
                              <w:color w:val="FFFFFF" w:themeColor="background1"/>
                              <w:sz w:val="24"/>
                            </w:rPr>
                            <w:t>TMA</w:t>
                          </w:r>
                        </w:p>
                      </w:txbxContent>
                    </v:textbox>
                  </v:shape>
                </v:group>
                <w10:wrap type="square" anchorx="margin"/>
              </v:group>
            </w:pict>
          </mc:Fallback>
        </mc:AlternateContent>
      </w:r>
    </w:p>
    <w:p w14:paraId="07FF1C26" w14:textId="2405F27B" w:rsidR="00636F46" w:rsidRDefault="00B609E9" w:rsidP="00020D20">
      <w:pPr>
        <w:pStyle w:val="Heading3"/>
        <w:jc w:val="both"/>
      </w:pPr>
      <w:bookmarkStart w:id="13" w:name="_Ref50018473"/>
      <w:r>
        <w:t>1.5</w:t>
      </w:r>
      <w:r w:rsidR="00636F46" w:rsidRPr="005601F5">
        <w:t>.1 | Structure</w:t>
      </w:r>
      <w:bookmarkEnd w:id="13"/>
    </w:p>
    <w:p w14:paraId="60E7885D" w14:textId="66DC2327" w:rsidR="00636F46" w:rsidRDefault="00636F46" w:rsidP="00020D20">
      <w:pPr>
        <w:jc w:val="both"/>
      </w:pPr>
      <w:r w:rsidRPr="005601F5">
        <w:t>TMAs are created</w:t>
      </w:r>
      <w:r w:rsidR="00FA7F5B">
        <w:t xml:space="preserve"> after reaching the population threshold of 200,000</w:t>
      </w:r>
      <w:r w:rsidRPr="005601F5">
        <w:t xml:space="preserve"> through an agreement between Arizona’s governor and the cities and towns within the metropolitan area. </w:t>
      </w:r>
      <w:r w:rsidR="00FA7F5B">
        <w:t xml:space="preserve">Following TMA designation, </w:t>
      </w:r>
      <w:r w:rsidRPr="005601F5">
        <w:t>They are governed by boards that serve as policy committees with representatives from state and local governments, tribal members, regional planning agencies, business groups, and public transit providers as defined in the TMA organization’s bylaws. TMAs typically have advisory committees and have a professional staff to provide committee support and prepare required products.</w:t>
      </w:r>
    </w:p>
    <w:p w14:paraId="2D673838" w14:textId="2BC579FA" w:rsidR="00636F46" w:rsidRPr="00101FFC" w:rsidRDefault="00B609E9" w:rsidP="00020D20">
      <w:pPr>
        <w:pStyle w:val="Heading3"/>
        <w:jc w:val="both"/>
        <w:rPr>
          <w:rStyle w:val="Heading3Char"/>
          <w:b/>
        </w:rPr>
      </w:pPr>
      <w:bookmarkStart w:id="14" w:name="_Ref50018493"/>
      <w:r>
        <w:rPr>
          <w:rStyle w:val="Heading3Char"/>
          <w:b/>
        </w:rPr>
        <w:t>1.5</w:t>
      </w:r>
      <w:r w:rsidR="00636F46" w:rsidRPr="00101FFC">
        <w:rPr>
          <w:rStyle w:val="Heading3Char"/>
          <w:b/>
        </w:rPr>
        <w:t>.2 | Funding</w:t>
      </w:r>
      <w:bookmarkEnd w:id="14"/>
    </w:p>
    <w:p w14:paraId="6BE48D6A" w14:textId="08867815" w:rsidR="00636F46" w:rsidRPr="005601F5" w:rsidRDefault="00636F46" w:rsidP="00020D20">
      <w:pPr>
        <w:jc w:val="both"/>
      </w:pPr>
      <w:r w:rsidRPr="005601F5">
        <w:t>TMAs typically receive their funding either from the federal government or through ADOT</w:t>
      </w:r>
      <w:r w:rsidR="00E0678B">
        <w:t xml:space="preserve"> that includes </w:t>
      </w:r>
      <w:r w:rsidR="00E0678B" w:rsidRPr="000C46FA">
        <w:rPr>
          <w:rStyle w:val="Heading5Char"/>
        </w:rPr>
        <w:t>State Planning and Research</w:t>
      </w:r>
      <w:r w:rsidR="00E0678B" w:rsidRPr="004D0795">
        <w:t xml:space="preserve"> (SPR) and </w:t>
      </w:r>
      <w:r w:rsidR="00E0678B" w:rsidRPr="000C46FA">
        <w:rPr>
          <w:rStyle w:val="Heading5Char"/>
        </w:rPr>
        <w:t xml:space="preserve">Surface Transportation </w:t>
      </w:r>
      <w:r w:rsidR="00E0678B">
        <w:rPr>
          <w:rStyle w:val="Heading5Char"/>
        </w:rPr>
        <w:t xml:space="preserve">Block Grant </w:t>
      </w:r>
      <w:r w:rsidR="00E0678B" w:rsidRPr="004D0795">
        <w:t>(ST</w:t>
      </w:r>
      <w:r w:rsidR="00E0678B">
        <w:t>BG</w:t>
      </w:r>
      <w:r w:rsidR="00E0678B" w:rsidRPr="004D0795">
        <w:t>)</w:t>
      </w:r>
      <w:r w:rsidR="00E0678B">
        <w:t xml:space="preserve"> program funds</w:t>
      </w:r>
      <w:r w:rsidRPr="005601F5">
        <w:t>. Some programs may not require a TMA to go through ADOT for funding, in which case the TMA may apply directly to the federal government. Each MPO, inclu</w:t>
      </w:r>
      <w:r w:rsidR="00BD216C">
        <w:t>ding TMAs, signs a Grant</w:t>
      </w:r>
      <w:r w:rsidRPr="005601F5">
        <w:t xml:space="preserve"> Agreement </w:t>
      </w:r>
      <w:r w:rsidR="00BD216C">
        <w:t>(GRT</w:t>
      </w:r>
      <w:r w:rsidRPr="005601F5">
        <w:t xml:space="preserve">) with ADOT that outlines annual responsibilities. Those responsibilities are further outlined in the </w:t>
      </w:r>
      <w:r w:rsidRPr="00F513AC">
        <w:rPr>
          <w:rStyle w:val="Heading5Char"/>
        </w:rPr>
        <w:t>Unified Planning Work Program</w:t>
      </w:r>
      <w:r w:rsidRPr="00020D20">
        <w:rPr>
          <w:b/>
        </w:rPr>
        <w:t xml:space="preserve"> </w:t>
      </w:r>
      <w:r w:rsidRPr="005601F5">
        <w:t xml:space="preserve">(UPWP) detailed in chapter 4. Funding for MPO programs and projects are described in chapter 10. </w:t>
      </w:r>
    </w:p>
    <w:p w14:paraId="3A1209E1" w14:textId="0979E39F" w:rsidR="00636F46" w:rsidRPr="005601F5" w:rsidRDefault="00B609E9" w:rsidP="00020D20">
      <w:pPr>
        <w:pStyle w:val="Heading3"/>
        <w:jc w:val="both"/>
      </w:pPr>
      <w:bookmarkStart w:id="15" w:name="_Ref50018502"/>
      <w:r>
        <w:t>1.5</w:t>
      </w:r>
      <w:r w:rsidR="00636F46" w:rsidRPr="005601F5">
        <w:t>.3 | Products</w:t>
      </w:r>
      <w:bookmarkEnd w:id="15"/>
    </w:p>
    <w:p w14:paraId="6111C5A4" w14:textId="77777777" w:rsidR="00636F46" w:rsidRPr="005601F5" w:rsidRDefault="00636F46" w:rsidP="00020D20">
      <w:pPr>
        <w:jc w:val="both"/>
      </w:pPr>
      <w:r w:rsidRPr="005601F5">
        <w:t xml:space="preserve">Each TMA is required to produce the following: </w:t>
      </w:r>
    </w:p>
    <w:p w14:paraId="01D81AAB" w14:textId="77777777" w:rsidR="00636F46" w:rsidRPr="005601F5" w:rsidRDefault="00636F46" w:rsidP="00020D20">
      <w:pPr>
        <w:pStyle w:val="Body-Bullets"/>
        <w:jc w:val="both"/>
      </w:pPr>
      <w:r w:rsidRPr="005601F5">
        <w:t>Metropolitan Transportation Plan (MTP)</w:t>
      </w:r>
    </w:p>
    <w:p w14:paraId="5A83CFC9" w14:textId="77777777" w:rsidR="00636F46" w:rsidRPr="005601F5" w:rsidRDefault="00636F46" w:rsidP="00020D20">
      <w:pPr>
        <w:pStyle w:val="Body-Bullets"/>
        <w:jc w:val="both"/>
      </w:pPr>
      <w:r w:rsidRPr="005601F5">
        <w:t>Unified Planning Work Program (UPWP)</w:t>
      </w:r>
    </w:p>
    <w:p w14:paraId="0DC73EAC" w14:textId="77777777" w:rsidR="00636F46" w:rsidRPr="005601F5" w:rsidRDefault="00636F46" w:rsidP="00020D20">
      <w:pPr>
        <w:pStyle w:val="Body-Bullets"/>
        <w:jc w:val="both"/>
      </w:pPr>
      <w:r w:rsidRPr="005601F5">
        <w:t xml:space="preserve">Transportation Improvement Program (TIP) </w:t>
      </w:r>
    </w:p>
    <w:p w14:paraId="2FBBFF23" w14:textId="77777777" w:rsidR="00636F46" w:rsidRPr="005601F5" w:rsidRDefault="00636F46" w:rsidP="00020D20">
      <w:pPr>
        <w:pStyle w:val="Body-Bullets"/>
        <w:jc w:val="both"/>
      </w:pPr>
      <w:r w:rsidRPr="005601F5">
        <w:t xml:space="preserve">Public Participation Plan </w:t>
      </w:r>
    </w:p>
    <w:p w14:paraId="5A37B376" w14:textId="77777777" w:rsidR="00636F46" w:rsidRPr="005601F5" w:rsidRDefault="00636F46" w:rsidP="00020D20">
      <w:pPr>
        <w:pStyle w:val="Body-Bullets"/>
        <w:jc w:val="both"/>
      </w:pPr>
      <w:r w:rsidRPr="005601F5">
        <w:t>Title VI Plan</w:t>
      </w:r>
    </w:p>
    <w:p w14:paraId="25EC963A" w14:textId="77777777" w:rsidR="00636F46" w:rsidRPr="005601F5" w:rsidRDefault="00636F46" w:rsidP="00020D20">
      <w:pPr>
        <w:pStyle w:val="Body-Bullets"/>
        <w:jc w:val="both"/>
      </w:pPr>
      <w:r w:rsidRPr="005601F5">
        <w:t>Regional Coordination Plan</w:t>
      </w:r>
    </w:p>
    <w:p w14:paraId="7DA2FF79" w14:textId="07EA3F66" w:rsidR="00636F46" w:rsidRPr="005601F5" w:rsidRDefault="00636F46" w:rsidP="00020D20">
      <w:pPr>
        <w:pStyle w:val="Body-Bullets"/>
        <w:jc w:val="both"/>
      </w:pPr>
      <w:r w:rsidRPr="005601F5">
        <w:t>Air Quality Plan</w:t>
      </w:r>
      <w:r w:rsidR="00FA7F5B">
        <w:t xml:space="preserve"> (</w:t>
      </w:r>
      <w:r w:rsidR="00FA7F5B" w:rsidRPr="00020D20">
        <w:rPr>
          <w:i/>
        </w:rPr>
        <w:t>only for non-attainment</w:t>
      </w:r>
      <w:r w:rsidR="00FA7F5B">
        <w:t>)</w:t>
      </w:r>
    </w:p>
    <w:p w14:paraId="712FB3C6" w14:textId="17F18A1F" w:rsidR="00636F46" w:rsidRDefault="00636F46" w:rsidP="00020D20">
      <w:pPr>
        <w:pStyle w:val="Body-Bullets"/>
        <w:jc w:val="both"/>
      </w:pPr>
      <w:r w:rsidRPr="005601F5">
        <w:t xml:space="preserve">Congestion Management </w:t>
      </w:r>
      <w:r w:rsidR="00BD216C">
        <w:t>Process</w:t>
      </w:r>
    </w:p>
    <w:p w14:paraId="4E10B408" w14:textId="77777777" w:rsidR="00636F46" w:rsidRPr="005601F5" w:rsidRDefault="00636F46" w:rsidP="00020D20">
      <w:pPr>
        <w:jc w:val="both"/>
      </w:pPr>
      <w:r w:rsidRPr="005601F5">
        <w:t xml:space="preserve">These documents are further described in the following chapters in this manual. </w:t>
      </w:r>
    </w:p>
    <w:p w14:paraId="71D76F8B" w14:textId="6BBEA5BA" w:rsidR="00636F46" w:rsidRPr="005601F5" w:rsidRDefault="00B609E9" w:rsidP="00020D20">
      <w:pPr>
        <w:pStyle w:val="Heading3"/>
        <w:jc w:val="both"/>
      </w:pPr>
      <w:bookmarkStart w:id="16" w:name="_Ref50018511"/>
      <w:r>
        <w:t>1.5</w:t>
      </w:r>
      <w:r w:rsidR="00636F46" w:rsidRPr="005601F5">
        <w:t>.4 | TMAs in Arizona</w:t>
      </w:r>
      <w:bookmarkEnd w:id="16"/>
    </w:p>
    <w:p w14:paraId="70DF2320" w14:textId="77777777" w:rsidR="00636F46" w:rsidRDefault="00636F46" w:rsidP="00020D20">
      <w:pPr>
        <w:jc w:val="both"/>
        <w:sectPr w:rsidR="00636F46" w:rsidSect="00F513AC">
          <w:type w:val="continuous"/>
          <w:pgSz w:w="12240" w:h="15840"/>
          <w:pgMar w:top="1080" w:right="1080" w:bottom="1080" w:left="1080" w:header="1152" w:footer="720" w:gutter="0"/>
          <w:cols w:num="2" w:space="1152"/>
          <w:docGrid w:linePitch="360"/>
        </w:sectPr>
      </w:pPr>
      <w:r w:rsidRPr="005601F5">
        <w:t xml:space="preserve">There are two TMAs in Arizona, </w:t>
      </w:r>
      <w:r w:rsidRPr="00F513AC">
        <w:rPr>
          <w:b/>
        </w:rPr>
        <w:t>Maricopa Association of Governments</w:t>
      </w:r>
      <w:r w:rsidRPr="005601F5">
        <w:t xml:space="preserve"> (MAG) and </w:t>
      </w:r>
      <w:r w:rsidRPr="00F513AC">
        <w:rPr>
          <w:b/>
        </w:rPr>
        <w:t>Pima Association of Governments</w:t>
      </w:r>
      <w:r w:rsidRPr="005601F5">
        <w:t xml:space="preserve"> (PAG). MAG operates in the Phoenix metropolitan region and PAG operates in the Tucson metropolitan region.</w:t>
      </w:r>
    </w:p>
    <w:p w14:paraId="3B5377BD" w14:textId="77777777" w:rsidR="00636F46" w:rsidRPr="002F17FB" w:rsidRDefault="00636F46" w:rsidP="00020D20">
      <w:pPr>
        <w:pStyle w:val="BodyTextTitle"/>
        <w:jc w:val="both"/>
      </w:pPr>
      <w:bookmarkStart w:id="17" w:name="_Ref50019068"/>
      <w:r w:rsidRPr="003707B0">
        <w:t>Maricopa Association of Governments (MAG)</w:t>
      </w:r>
      <w:bookmarkEnd w:id="17"/>
    </w:p>
    <w:p w14:paraId="0C2563E8" w14:textId="2197E368" w:rsidR="00636F46" w:rsidRPr="00F26C07" w:rsidRDefault="00636F46" w:rsidP="00020D20">
      <w:pPr>
        <w:jc w:val="both"/>
      </w:pPr>
      <w:r>
        <w:rPr>
          <w:noProof/>
        </w:rPr>
        <mc:AlternateContent>
          <mc:Choice Requires="wps">
            <w:drawing>
              <wp:anchor distT="0" distB="0" distL="114300" distR="114300" simplePos="0" relativeHeight="251618599" behindDoc="0" locked="0" layoutInCell="1" allowOverlap="1" wp14:anchorId="6973F441" wp14:editId="755E094F">
                <wp:simplePos x="0" y="0"/>
                <wp:positionH relativeFrom="column">
                  <wp:posOffset>2962275</wp:posOffset>
                </wp:positionH>
                <wp:positionV relativeFrom="paragraph">
                  <wp:posOffset>748030</wp:posOffset>
                </wp:positionV>
                <wp:extent cx="1876425" cy="247650"/>
                <wp:effectExtent l="0" t="0" r="28575" b="19050"/>
                <wp:wrapNone/>
                <wp:docPr id="1690911496" name="Text Box 1690911496"/>
                <wp:cNvGraphicFramePr/>
                <a:graphic xmlns:a="http://schemas.openxmlformats.org/drawingml/2006/main">
                  <a:graphicData uri="http://schemas.microsoft.com/office/word/2010/wordprocessingShape">
                    <wps:wsp>
                      <wps:cNvSpPr txBox="1"/>
                      <wps:spPr>
                        <a:xfrm>
                          <a:off x="0" y="0"/>
                          <a:ext cx="1876425" cy="2476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497C046F" w14:textId="77777777" w:rsidR="00C6444C" w:rsidRPr="00101FFC" w:rsidRDefault="00C6444C" w:rsidP="00636F46">
                            <w:pPr>
                              <w:pStyle w:val="Heading4"/>
                              <w:spacing w:before="0" w:after="0" w:line="240" w:lineRule="auto"/>
                            </w:pPr>
                            <w:r w:rsidRPr="00101FFC">
                              <w:t>Figure 1-2 | MAG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H relativeFrom="margin">
                  <wp14:pctWidth>0</wp14:pctWidth>
                </wp14:sizeRelH>
                <wp14:sizeRelV relativeFrom="margin">
                  <wp14:pctHeight>0</wp14:pctHeight>
                </wp14:sizeRelV>
              </wp:anchor>
            </w:drawing>
          </mc:Choice>
          <mc:Fallback>
            <w:pict>
              <v:shape w14:anchorId="6973F441" id="Text Box 1690911496" o:spid="_x0000_s1032" type="#_x0000_t202" style="position:absolute;left:0;text-align:left;margin-left:233.25pt;margin-top:58.9pt;width:147.75pt;height:19.5pt;z-index:251618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" fillcolor="white [3201]" strokecolor="white [3212]" strokeweight="1pt">
                <v:textbox>
                  <w:txbxContent>
                    <w:p w14:paraId="497C046F" w14:textId="77777777" w:rsidR="00C6444C" w:rsidRPr="00101FFC" w:rsidRDefault="00C6444C" w:rsidP="00636F46">
                      <w:pPr>
                        <w:pStyle w:val="Heading4"/>
                        <w:spacing w:before="0" w:after="0" w:line="240" w:lineRule="auto"/>
                      </w:pPr>
                      <w:r w:rsidRPr="00101FFC">
                        <w:t>Figure 1-2 | MAG Regional Area</w:t>
                      </w:r>
                    </w:p>
                  </w:txbxContent>
                </v:textbox>
              </v:shape>
            </w:pict>
          </mc:Fallback>
        </mc:AlternateContent>
      </w:r>
      <w:r>
        <w:rPr>
          <w:noProof/>
        </w:rPr>
        <w:drawing>
          <wp:anchor distT="0" distB="0" distL="114300" distR="114300" simplePos="0" relativeHeight="251618595" behindDoc="0" locked="0" layoutInCell="1" allowOverlap="1" wp14:anchorId="435B3B3D" wp14:editId="33981C47">
            <wp:simplePos x="0" y="0"/>
            <wp:positionH relativeFrom="rightMargin">
              <wp:posOffset>-3399155</wp:posOffset>
            </wp:positionH>
            <wp:positionV relativeFrom="paragraph">
              <wp:posOffset>856615</wp:posOffset>
            </wp:positionV>
            <wp:extent cx="3392170" cy="2827020"/>
            <wp:effectExtent l="0" t="0" r="0" b="0"/>
            <wp:wrapSquare wrapText="bothSides"/>
            <wp:docPr id="816286097" name="Picture 81628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_Map2-MAG REDUCED.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92170" cy="2827020"/>
                    </a:xfrm>
                    <a:prstGeom prst="rect">
                      <a:avLst/>
                    </a:prstGeom>
                  </pic:spPr>
                </pic:pic>
              </a:graphicData>
            </a:graphic>
            <wp14:sizeRelH relativeFrom="page">
              <wp14:pctWidth>0</wp14:pctWidth>
            </wp14:sizeRelH>
            <wp14:sizeRelV relativeFrom="page">
              <wp14:pctHeight>0</wp14:pctHeight>
            </wp14:sizeRelV>
          </wp:anchor>
        </w:drawing>
      </w:r>
      <w:r w:rsidRPr="00F26C07">
        <w:t>M</w:t>
      </w:r>
      <w:r>
        <w:t xml:space="preserve">aricopa </w:t>
      </w:r>
      <w:r w:rsidRPr="00F26C07">
        <w:t>A</w:t>
      </w:r>
      <w:r>
        <w:t xml:space="preserve">ssociation of </w:t>
      </w:r>
      <w:r w:rsidRPr="00F26C07">
        <w:t>G</w:t>
      </w:r>
      <w:r>
        <w:t>overnments</w:t>
      </w:r>
      <w:r w:rsidRPr="00F26C07">
        <w:t xml:space="preserve"> is the regional planning agency for Maricopa County</w:t>
      </w:r>
      <w:r w:rsidR="009D626A">
        <w:t xml:space="preserve"> and the northern portion of Pinal County</w:t>
      </w:r>
      <w:r w:rsidRPr="00F26C07">
        <w:t xml:space="preserve">, which includes the metropolitan Phoenix area, as shown in </w:t>
      </w:r>
      <w:r w:rsidR="00DC0C98">
        <w:t>F</w:t>
      </w:r>
      <w:r w:rsidRPr="00F26C07">
        <w:t>igure 1-2. The MAG membership currently consists of the 27 incorporated cities and towns within Maricopa County and the contiguous urbanized area, the Gila River Indian Community, the Salt River Pima Maricopa Indian Community, Fort McDowell Yavapai Nation, Maricopa County</w:t>
      </w:r>
      <w:r>
        <w:t>, and Pinal County</w:t>
      </w:r>
      <w:r w:rsidRPr="00F26C07">
        <w:t>. Additionally, ADOT serve</w:t>
      </w:r>
      <w:r w:rsidR="001433A8">
        <w:t>s</w:t>
      </w:r>
      <w:r w:rsidRPr="00F26C07">
        <w:t xml:space="preserve"> as </w:t>
      </w:r>
      <w:r w:rsidR="001433A8">
        <w:t>an ex-officio member</w:t>
      </w:r>
      <w:r w:rsidRPr="00F26C07">
        <w:t xml:space="preserve"> for transportation-related issues. The MAG region, which is Maricopa County and includes portions of Pinal County, comprises </w:t>
      </w:r>
      <w:r>
        <w:t>10</w:t>
      </w:r>
      <w:r w:rsidRPr="00F26C07">
        <w:t>,</w:t>
      </w:r>
      <w:r>
        <w:t>655 square miles and had a 2018</w:t>
      </w:r>
      <w:r w:rsidRPr="00F26C07">
        <w:t xml:space="preserve"> Census population</w:t>
      </w:r>
      <w:r>
        <w:t xml:space="preserve"> estimate</w:t>
      </w:r>
      <w:r w:rsidRPr="00F26C07">
        <w:t xml:space="preserve"> of 4,</w:t>
      </w:r>
      <w:r>
        <w:t>857,962</w:t>
      </w:r>
      <w:r w:rsidRPr="00F26C07">
        <w:t xml:space="preserve"> </w:t>
      </w:r>
      <w:bookmarkStart w:id="18" w:name="_Hlk57984763"/>
      <w:r w:rsidRPr="00F26C07">
        <w:t xml:space="preserve">residents. </w:t>
      </w:r>
    </w:p>
    <w:p w14:paraId="11767162" w14:textId="3E1AA6E2" w:rsidR="00636F46" w:rsidRDefault="00636F46" w:rsidP="00020D20">
      <w:pPr>
        <w:jc w:val="both"/>
      </w:pPr>
      <w:r>
        <w:t>In 196</w:t>
      </w:r>
      <w:r w:rsidR="001433A8">
        <w:t>7</w:t>
      </w:r>
      <w:r>
        <w:t xml:space="preserve">, </w:t>
      </w:r>
      <w:r w:rsidRPr="00F26C07">
        <w:t>MAG was the first regional planning agency formed in the state of Arizona</w:t>
      </w:r>
      <w:r>
        <w:t xml:space="preserve"> when</w:t>
      </w:r>
      <w:r w:rsidRPr="00F26C07">
        <w:t xml:space="preserve"> local elected officials recognized the need for long-range planning and policy development on a regional scale. </w:t>
      </w:r>
      <w:r>
        <w:t>T</w:t>
      </w:r>
      <w:r w:rsidRPr="00F26C07">
        <w:t xml:space="preserve">he governor designated MAG to serve as the principal planning agency for issues </w:t>
      </w:r>
      <w:r w:rsidR="00FA7F5B">
        <w:t xml:space="preserve">such as </w:t>
      </w:r>
      <w:r w:rsidRPr="00F26C07">
        <w:t>air quality, water quality, and solid waste management.</w:t>
      </w:r>
    </w:p>
    <w:p w14:paraId="1F81015F" w14:textId="77777777" w:rsidR="001433A8" w:rsidRDefault="001433A8" w:rsidP="00020D20">
      <w:pPr>
        <w:jc w:val="both"/>
      </w:pPr>
    </w:p>
    <w:p w14:paraId="07E875A0" w14:textId="77777777" w:rsidR="00636F46" w:rsidRPr="00101FFC" w:rsidRDefault="00636F46" w:rsidP="00020D20">
      <w:pPr>
        <w:jc w:val="both"/>
        <w:rPr>
          <w:b/>
          <w:sz w:val="2"/>
        </w:rPr>
      </w:pPr>
    </w:p>
    <w:p w14:paraId="7BF5375D" w14:textId="504E13DE" w:rsidR="00636F46" w:rsidRDefault="002C1B60" w:rsidP="00020D20">
      <w:pPr>
        <w:pStyle w:val="Heading4"/>
        <w:jc w:val="both"/>
      </w:pPr>
      <w:r>
        <w:rPr>
          <w:rFonts w:cstheme="minorHAnsi"/>
          <w:noProof/>
        </w:rPr>
        <mc:AlternateContent>
          <mc:Choice Requires="wps">
            <w:drawing>
              <wp:anchor distT="0" distB="0" distL="114300" distR="114300" simplePos="0" relativeHeight="251618574" behindDoc="1" locked="0" layoutInCell="1" allowOverlap="1" wp14:anchorId="3E2628D7" wp14:editId="6D819DF1">
                <wp:simplePos x="0" y="0"/>
                <wp:positionH relativeFrom="column">
                  <wp:posOffset>5111115</wp:posOffset>
                </wp:positionH>
                <wp:positionV relativeFrom="paragraph">
                  <wp:posOffset>1748155</wp:posOffset>
                </wp:positionV>
                <wp:extent cx="1285875" cy="1543050"/>
                <wp:effectExtent l="76200" t="95250" r="85725" b="95250"/>
                <wp:wrapTight wrapText="bothSides">
                  <wp:wrapPolygon edited="0">
                    <wp:start x="-1280" y="-1333"/>
                    <wp:lineTo x="-1280" y="22667"/>
                    <wp:lineTo x="22720" y="22667"/>
                    <wp:lineTo x="22720" y="-1333"/>
                    <wp:lineTo x="-1280" y="-1333"/>
                  </wp:wrapPolygon>
                </wp:wrapTight>
                <wp:docPr id="1690911511" name="Text Box 1690911511"/>
                <wp:cNvGraphicFramePr/>
                <a:graphic xmlns:a="http://schemas.openxmlformats.org/drawingml/2006/main">
                  <a:graphicData uri="http://schemas.microsoft.com/office/word/2010/wordprocessingShape">
                    <wps:wsp>
                      <wps:cNvSpPr txBox="1"/>
                      <wps:spPr>
                        <a:xfrm>
                          <a:off x="0" y="0"/>
                          <a:ext cx="1285875" cy="15430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583CA67" w14:textId="77777777" w:rsidR="00C6444C" w:rsidRDefault="00C6444C" w:rsidP="00636F46">
                            <w:pPr>
                              <w:jc w:val="center"/>
                            </w:pPr>
                            <w:r>
                              <w:rPr>
                                <w:noProof/>
                              </w:rPr>
                              <w:drawing>
                                <wp:inline distT="0" distB="0" distL="0" distR="0" wp14:anchorId="06B08187" wp14:editId="3C65C23A">
                                  <wp:extent cx="457200" cy="457200"/>
                                  <wp:effectExtent l="0" t="0" r="0" b="0"/>
                                  <wp:docPr id="1690912084" name="Picture 1690912084">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BF890A7" w14:textId="77777777" w:rsidR="00C6444C" w:rsidRDefault="00C6444C" w:rsidP="00636F46">
                            <w:pPr>
                              <w:pStyle w:val="Calloutboxes"/>
                            </w:pPr>
                            <w:r>
                              <w:t>MAG</w:t>
                            </w:r>
                          </w:p>
                          <w:p w14:paraId="09D26290" w14:textId="77777777" w:rsidR="00C6444C" w:rsidRDefault="00C6444C" w:rsidP="00636F46">
                            <w:pPr>
                              <w:pStyle w:val="Calloutboxes"/>
                            </w:pPr>
                            <w:r>
                              <w:t>302 N. 1st Ave., Ste. 300 Phoenix, AZ 85003</w:t>
                            </w:r>
                          </w:p>
                          <w:p w14:paraId="671BE695" w14:textId="77777777" w:rsidR="00C6444C" w:rsidRDefault="00C6444C" w:rsidP="00636F46">
                            <w:pPr>
                              <w:pStyle w:val="Calloutboxes"/>
                            </w:pPr>
                            <w:r>
                              <w:t xml:space="preserve"> #: 602-254-6300</w:t>
                            </w:r>
                          </w:p>
                          <w:p w14:paraId="3469CBC7" w14:textId="77777777" w:rsidR="00C6444C" w:rsidRPr="00101FFC" w:rsidRDefault="00202C92" w:rsidP="00636F46">
                            <w:pPr>
                              <w:pStyle w:val="Title"/>
                              <w:rPr>
                                <w:sz w:val="16"/>
                                <w:szCs w:val="16"/>
                              </w:rPr>
                            </w:pPr>
                            <w:hyperlink r:id="rId60" w:history="1">
                              <w:r w:rsidR="00C6444C" w:rsidRPr="00101FFC">
                                <w:rPr>
                                  <w:rStyle w:val="Hyperlink"/>
                                  <w:rFonts w:ascii="Calibri" w:hAnsi="Calibri" w:cstheme="majorBidi"/>
                                  <w:i/>
                                  <w:iCs w:val="0"/>
                                  <w:color w:val="CE5B18"/>
                                  <w:u w:val="none"/>
                                </w:rPr>
                                <w:t>https://www.azmag.gov/</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2628D7" id="Text Box 1690911511" o:spid="_x0000_s1033" type="#_x0000_t202" style="position:absolute;left:0;text-align:left;margin-left:402.45pt;margin-top:137.65pt;width:101.25pt;height:121.5pt;z-index:-2516979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" fillcolor="#f7f7f7" stroked="f" strokeweight=".5pt">
                <v:shadow on="t" type="perspective" color="black" opacity="26214f" offset="0,0" matrix="66847f,,,66847f"/>
                <v:textbox>
                  <w:txbxContent>
                    <w:p w14:paraId="1583CA67" w14:textId="77777777" w:rsidR="00C6444C" w:rsidRDefault="00C6444C" w:rsidP="00636F46">
                      <w:pPr>
                        <w:jc w:val="center"/>
                      </w:pPr>
                      <w:r>
                        <w:rPr>
                          <w:noProof/>
                        </w:rPr>
                        <w:drawing>
                          <wp:inline distT="0" distB="0" distL="0" distR="0" wp14:anchorId="06B08187" wp14:editId="3C65C23A">
                            <wp:extent cx="457200" cy="457200"/>
                            <wp:effectExtent l="0" t="0" r="0" b="0"/>
                            <wp:docPr id="1690912084" name="Picture 1690912084">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BF890A7" w14:textId="77777777" w:rsidR="00C6444C" w:rsidRDefault="00C6444C" w:rsidP="00636F46">
                      <w:pPr>
                        <w:pStyle w:val="Calloutboxes"/>
                      </w:pPr>
                      <w:r>
                        <w:t>MAG</w:t>
                      </w:r>
                    </w:p>
                    <w:p w14:paraId="09D26290" w14:textId="77777777" w:rsidR="00C6444C" w:rsidRDefault="00C6444C" w:rsidP="00636F46">
                      <w:pPr>
                        <w:pStyle w:val="Calloutboxes"/>
                      </w:pPr>
                      <w:r>
                        <w:t>302 N. 1st Ave., Ste. 300 Phoenix, AZ 85003</w:t>
                      </w:r>
                    </w:p>
                    <w:p w14:paraId="671BE695" w14:textId="77777777" w:rsidR="00C6444C" w:rsidRDefault="00C6444C" w:rsidP="00636F46">
                      <w:pPr>
                        <w:pStyle w:val="Calloutboxes"/>
                      </w:pPr>
                      <w:r>
                        <w:t xml:space="preserve"> #: 602-254-6300</w:t>
                      </w:r>
                    </w:p>
                    <w:p w14:paraId="3469CBC7" w14:textId="77777777" w:rsidR="00C6444C" w:rsidRPr="00101FFC" w:rsidRDefault="00576D31" w:rsidP="00636F46">
                      <w:pPr>
                        <w:pStyle w:val="Title"/>
                        <w:rPr>
                          <w:sz w:val="16"/>
                          <w:szCs w:val="16"/>
                        </w:rPr>
                      </w:pPr>
                      <w:hyperlink r:id="rId63" w:history="1">
                        <w:r w:rsidR="00C6444C" w:rsidRPr="00101FFC">
                          <w:rPr>
                            <w:rStyle w:val="Hyperlink"/>
                            <w:rFonts w:ascii="Calibri" w:hAnsi="Calibri" w:cstheme="majorBidi"/>
                            <w:i/>
                            <w:iCs w:val="0"/>
                            <w:color w:val="CE5B18"/>
                            <w:u w:val="none"/>
                          </w:rPr>
                          <w:t>https://www.azmag.gov/</w:t>
                        </w:r>
                      </w:hyperlink>
                    </w:p>
                  </w:txbxContent>
                </v:textbox>
                <w10:wrap type="tight"/>
              </v:shape>
            </w:pict>
          </mc:Fallback>
        </mc:AlternateContent>
      </w:r>
      <w:r>
        <w:rPr>
          <w:b/>
          <w:noProof/>
        </w:rPr>
        <w:drawing>
          <wp:anchor distT="0" distB="0" distL="114300" distR="114300" simplePos="0" relativeHeight="251618552" behindDoc="0" locked="0" layoutInCell="1" allowOverlap="1" wp14:anchorId="789AE2E9" wp14:editId="209511B3">
            <wp:simplePos x="0" y="0"/>
            <wp:positionH relativeFrom="rightMargin">
              <wp:posOffset>-1261745</wp:posOffset>
            </wp:positionH>
            <wp:positionV relativeFrom="paragraph">
              <wp:posOffset>164465</wp:posOffset>
            </wp:positionV>
            <wp:extent cx="1242695" cy="1462405"/>
            <wp:effectExtent l="0" t="0" r="0" b="4445"/>
            <wp:wrapSquare wrapText="bothSides"/>
            <wp:docPr id="816286098" name="Picture 81628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20" name="1_Map-MAG REDUCED.jpg"/>
                    <pic:cNvPicPr/>
                  </pic:nvPicPr>
                  <pic:blipFill>
                    <a:blip r:embed="rId64" cstate="hqprint">
                      <a:extLst>
                        <a:ext uri="{28A0092B-C50C-407E-A947-70E740481C1C}">
                          <a14:useLocalDpi xmlns:a14="http://schemas.microsoft.com/office/drawing/2010/main" val="0"/>
                        </a:ext>
                      </a:extLst>
                    </a:blip>
                    <a:stretch>
                      <a:fillRect/>
                    </a:stretch>
                  </pic:blipFill>
                  <pic:spPr>
                    <a:xfrm>
                      <a:off x="0" y="0"/>
                      <a:ext cx="1242695" cy="1462405"/>
                    </a:xfrm>
                    <a:prstGeom prst="rect">
                      <a:avLst/>
                    </a:prstGeom>
                  </pic:spPr>
                </pic:pic>
              </a:graphicData>
            </a:graphic>
            <wp14:sizeRelH relativeFrom="page">
              <wp14:pctWidth>0</wp14:pctWidth>
            </wp14:sizeRelH>
            <wp14:sizeRelV relativeFrom="page">
              <wp14:pctHeight>0</wp14:pctHeight>
            </wp14:sizeRelV>
          </wp:anchor>
        </w:drawing>
      </w:r>
      <w:r w:rsidR="00636F46" w:rsidRPr="00F26C07">
        <w:t>Table 1-4 | MAG Statistics</w:t>
      </w:r>
    </w:p>
    <w:tbl>
      <w:tblPr>
        <w:tblW w:w="0" w:type="auto"/>
        <w:tblInd w:w="-10" w:type="dxa"/>
        <w:tblLayout w:type="fixed"/>
        <w:tblCellMar>
          <w:left w:w="0" w:type="dxa"/>
          <w:right w:w="0" w:type="dxa"/>
        </w:tblCellMar>
        <w:tblLook w:val="0000" w:firstRow="0" w:lastRow="0" w:firstColumn="0" w:lastColumn="0" w:noHBand="0" w:noVBand="0"/>
      </w:tblPr>
      <w:tblGrid>
        <w:gridCol w:w="2160"/>
        <w:gridCol w:w="5400"/>
      </w:tblGrid>
      <w:tr w:rsidR="00636F46" w:rsidRPr="000C5731" w14:paraId="59D23B12" w14:textId="77777777" w:rsidTr="00020D20">
        <w:trPr>
          <w:trHeight w:val="144"/>
        </w:trPr>
        <w:tc>
          <w:tcPr>
            <w:tcW w:w="756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0959EC7D" w14:textId="585E8729" w:rsidR="00636F46" w:rsidRPr="00101FFC" w:rsidRDefault="00636F46">
            <w:pPr>
              <w:spacing w:before="0" w:after="0" w:line="240" w:lineRule="auto"/>
              <w:jc w:val="center"/>
              <w:rPr>
                <w:sz w:val="22"/>
              </w:rPr>
            </w:pPr>
            <w:r w:rsidRPr="00101FFC">
              <w:rPr>
                <w:sz w:val="22"/>
                <w:szCs w:val="18"/>
              </w:rPr>
              <w:t>Maricopa</w:t>
            </w:r>
            <w:r w:rsidRPr="00101FFC">
              <w:rPr>
                <w:sz w:val="22"/>
              </w:rPr>
              <w:t xml:space="preserve"> Association of Governments </w:t>
            </w:r>
            <w:r w:rsidR="005070BF">
              <w:rPr>
                <w:sz w:val="22"/>
              </w:rPr>
              <w:t>–</w:t>
            </w:r>
            <w:r w:rsidRPr="00101FFC">
              <w:rPr>
                <w:sz w:val="22"/>
              </w:rPr>
              <w:t xml:space="preserve"> MAG</w:t>
            </w:r>
          </w:p>
        </w:tc>
      </w:tr>
      <w:tr w:rsidR="00636F46" w:rsidRPr="000C5731" w14:paraId="0E4615E9" w14:textId="77777777" w:rsidTr="00020D20">
        <w:trPr>
          <w:trHeight w:val="20"/>
        </w:trPr>
        <w:tc>
          <w:tcPr>
            <w:tcW w:w="2160" w:type="dxa"/>
            <w:tcBorders>
              <w:left w:val="single" w:sz="8" w:space="0" w:color="auto"/>
              <w:bottom w:val="single" w:sz="8" w:space="0" w:color="323232"/>
              <w:right w:val="single" w:sz="8" w:space="0" w:color="323232"/>
            </w:tcBorders>
            <w:tcMar>
              <w:top w:w="58" w:type="dxa"/>
              <w:left w:w="58" w:type="dxa"/>
              <w:bottom w:w="58" w:type="dxa"/>
              <w:right w:w="58" w:type="dxa"/>
            </w:tcMar>
            <w:vAlign w:val="center"/>
          </w:tcPr>
          <w:p w14:paraId="7130FC33" w14:textId="77777777" w:rsidR="00636F46" w:rsidRPr="00101FFC" w:rsidRDefault="00636F46" w:rsidP="00020D20">
            <w:pPr>
              <w:spacing w:before="0" w:after="0" w:line="240" w:lineRule="auto"/>
              <w:jc w:val="both"/>
              <w:rPr>
                <w:sz w:val="18"/>
                <w:szCs w:val="18"/>
              </w:rPr>
            </w:pPr>
            <w:r w:rsidRPr="00101FFC">
              <w:rPr>
                <w:sz w:val="18"/>
                <w:szCs w:val="18"/>
              </w:rPr>
              <w:t>Year Established</w:t>
            </w:r>
          </w:p>
        </w:tc>
        <w:tc>
          <w:tcPr>
            <w:tcW w:w="5400" w:type="dxa"/>
            <w:tcBorders>
              <w:left w:val="single" w:sz="8" w:space="0" w:color="323232"/>
              <w:bottom w:val="single" w:sz="8" w:space="0" w:color="323232"/>
              <w:right w:val="single" w:sz="8" w:space="0" w:color="auto"/>
            </w:tcBorders>
            <w:tcMar>
              <w:top w:w="58" w:type="dxa"/>
              <w:left w:w="58" w:type="dxa"/>
              <w:bottom w:w="58" w:type="dxa"/>
              <w:right w:w="58" w:type="dxa"/>
            </w:tcMar>
            <w:vAlign w:val="center"/>
          </w:tcPr>
          <w:p w14:paraId="7F48287C" w14:textId="31EAEB49" w:rsidR="00636F46" w:rsidRPr="00101FFC" w:rsidRDefault="00636F46" w:rsidP="00020D20">
            <w:pPr>
              <w:spacing w:before="0" w:after="0" w:line="240" w:lineRule="auto"/>
              <w:jc w:val="both"/>
              <w:rPr>
                <w:sz w:val="18"/>
                <w:szCs w:val="18"/>
              </w:rPr>
            </w:pPr>
            <w:r w:rsidRPr="00101FFC">
              <w:rPr>
                <w:sz w:val="18"/>
                <w:szCs w:val="18"/>
              </w:rPr>
              <w:t>196</w:t>
            </w:r>
            <w:r w:rsidR="001433A8">
              <w:rPr>
                <w:sz w:val="18"/>
                <w:szCs w:val="18"/>
              </w:rPr>
              <w:t>7</w:t>
            </w:r>
          </w:p>
        </w:tc>
      </w:tr>
      <w:tr w:rsidR="00636F46" w:rsidRPr="000C5731" w14:paraId="2B3583DF"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31C33EAC" w14:textId="77777777" w:rsidR="00636F46" w:rsidRPr="00101FFC" w:rsidRDefault="00636F46" w:rsidP="00020D20">
            <w:pPr>
              <w:spacing w:before="0" w:after="0" w:line="240" w:lineRule="auto"/>
              <w:jc w:val="both"/>
              <w:rPr>
                <w:sz w:val="18"/>
                <w:szCs w:val="18"/>
              </w:rPr>
            </w:pPr>
            <w:r w:rsidRPr="00101FFC">
              <w:rPr>
                <w:sz w:val="18"/>
                <w:szCs w:val="18"/>
              </w:rPr>
              <w:t>Hosted/Independent MPO</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2A481AB6" w14:textId="77777777" w:rsidR="00636F46" w:rsidRPr="00101FFC" w:rsidRDefault="00636F46" w:rsidP="00020D20">
            <w:pPr>
              <w:spacing w:before="0" w:after="0" w:line="240" w:lineRule="auto"/>
              <w:jc w:val="both"/>
              <w:rPr>
                <w:sz w:val="18"/>
                <w:szCs w:val="18"/>
              </w:rPr>
            </w:pPr>
            <w:r w:rsidRPr="00101FFC">
              <w:rPr>
                <w:sz w:val="18"/>
                <w:szCs w:val="18"/>
              </w:rPr>
              <w:t>Independent</w:t>
            </w:r>
          </w:p>
        </w:tc>
      </w:tr>
      <w:tr w:rsidR="00636F46" w:rsidRPr="000C5731" w14:paraId="7DAF2E35"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43CDC065" w14:textId="77777777" w:rsidR="00636F46" w:rsidRPr="00101FFC" w:rsidRDefault="00636F46" w:rsidP="00020D20">
            <w:pPr>
              <w:spacing w:before="0" w:after="0" w:line="240" w:lineRule="auto"/>
              <w:jc w:val="both"/>
              <w:rPr>
                <w:sz w:val="18"/>
                <w:szCs w:val="18"/>
              </w:rPr>
            </w:pPr>
            <w:r w:rsidRPr="00101FFC">
              <w:rPr>
                <w:sz w:val="18"/>
                <w:szCs w:val="18"/>
              </w:rPr>
              <w:t>2018 Population</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475AB3C4" w14:textId="77777777" w:rsidR="00636F46" w:rsidRPr="00101FFC" w:rsidRDefault="00636F46" w:rsidP="00020D20">
            <w:pPr>
              <w:spacing w:before="0" w:after="0" w:line="240" w:lineRule="auto"/>
              <w:jc w:val="both"/>
              <w:rPr>
                <w:sz w:val="18"/>
                <w:szCs w:val="18"/>
              </w:rPr>
            </w:pPr>
            <w:r w:rsidRPr="00101FFC">
              <w:rPr>
                <w:sz w:val="18"/>
                <w:szCs w:val="18"/>
              </w:rPr>
              <w:t>4,857,962</w:t>
            </w:r>
          </w:p>
        </w:tc>
      </w:tr>
      <w:tr w:rsidR="00636F46" w:rsidRPr="000C5731" w14:paraId="70C0838E"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448C9673" w14:textId="77777777" w:rsidR="00636F46" w:rsidRPr="00101FFC" w:rsidRDefault="00636F46" w:rsidP="00020D20">
            <w:pPr>
              <w:spacing w:before="0" w:after="0" w:line="240" w:lineRule="auto"/>
              <w:jc w:val="both"/>
              <w:rPr>
                <w:sz w:val="18"/>
                <w:szCs w:val="18"/>
              </w:rPr>
            </w:pPr>
            <w:r w:rsidRPr="00101FFC">
              <w:rPr>
                <w:sz w:val="18"/>
                <w:szCs w:val="18"/>
              </w:rPr>
              <w:t>Counties</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60748288" w14:textId="77777777" w:rsidR="00636F46" w:rsidRPr="00101FFC" w:rsidRDefault="00636F46" w:rsidP="00020D20">
            <w:pPr>
              <w:spacing w:before="0" w:after="0" w:line="240" w:lineRule="auto"/>
              <w:jc w:val="both"/>
              <w:rPr>
                <w:sz w:val="18"/>
                <w:szCs w:val="18"/>
              </w:rPr>
            </w:pPr>
            <w:r w:rsidRPr="00101FFC">
              <w:rPr>
                <w:sz w:val="18"/>
                <w:szCs w:val="18"/>
              </w:rPr>
              <w:t>2 | Maricopa, Pinal</w:t>
            </w:r>
          </w:p>
        </w:tc>
      </w:tr>
      <w:tr w:rsidR="00636F46" w:rsidRPr="000C5731" w14:paraId="7268746D"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2483CADC" w14:textId="77777777" w:rsidR="00636F46" w:rsidRPr="00101FFC" w:rsidRDefault="00636F46" w:rsidP="00020D20">
            <w:pPr>
              <w:spacing w:before="0" w:after="0" w:line="240" w:lineRule="auto"/>
              <w:jc w:val="both"/>
              <w:rPr>
                <w:sz w:val="18"/>
                <w:szCs w:val="18"/>
              </w:rPr>
            </w:pPr>
            <w:r w:rsidRPr="00101FFC">
              <w:rPr>
                <w:sz w:val="18"/>
                <w:szCs w:val="18"/>
              </w:rPr>
              <w:t>Number of Municipalities</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6F0A1F87" w14:textId="77777777" w:rsidR="00636F46" w:rsidRPr="00101FFC" w:rsidRDefault="00636F46" w:rsidP="00020D20">
            <w:pPr>
              <w:spacing w:before="0" w:after="0" w:line="240" w:lineRule="auto"/>
              <w:jc w:val="both"/>
              <w:rPr>
                <w:sz w:val="18"/>
                <w:szCs w:val="18"/>
              </w:rPr>
            </w:pPr>
            <w:r w:rsidRPr="00101FFC">
              <w:rPr>
                <w:sz w:val="18"/>
                <w:szCs w:val="18"/>
              </w:rPr>
              <w:t>27</w:t>
            </w:r>
          </w:p>
        </w:tc>
      </w:tr>
      <w:tr w:rsidR="00636F46" w:rsidRPr="000C5731" w14:paraId="06BBC025"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2C477980" w14:textId="77777777" w:rsidR="00636F46" w:rsidRPr="00101FFC" w:rsidRDefault="00636F46" w:rsidP="00020D20">
            <w:pPr>
              <w:spacing w:before="0" w:after="0" w:line="240" w:lineRule="auto"/>
              <w:jc w:val="both"/>
              <w:rPr>
                <w:sz w:val="18"/>
                <w:szCs w:val="18"/>
              </w:rPr>
            </w:pPr>
            <w:r w:rsidRPr="00101FFC">
              <w:rPr>
                <w:sz w:val="18"/>
                <w:szCs w:val="18"/>
              </w:rPr>
              <w:t>Tribal Partner Agencies</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4D0CFFBC" w14:textId="77777777" w:rsidR="00636F46" w:rsidRPr="00101FFC" w:rsidRDefault="00636F46" w:rsidP="00020D20">
            <w:pPr>
              <w:spacing w:before="0" w:after="0" w:line="240" w:lineRule="auto"/>
              <w:jc w:val="both"/>
              <w:rPr>
                <w:sz w:val="18"/>
                <w:szCs w:val="18"/>
              </w:rPr>
            </w:pPr>
            <w:r w:rsidRPr="00101FFC">
              <w:rPr>
                <w:sz w:val="18"/>
                <w:szCs w:val="18"/>
              </w:rPr>
              <w:t>3 | Fort McDowell Yavapai Nation, Gila River Indian Community, Salt River Pima-Maricopa Indian Community</w:t>
            </w:r>
          </w:p>
        </w:tc>
      </w:tr>
      <w:tr w:rsidR="00636F46" w:rsidRPr="000C5731" w14:paraId="14580F89"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6BC6EDAE" w14:textId="77777777" w:rsidR="00636F46" w:rsidRPr="00101FFC" w:rsidRDefault="00636F46" w:rsidP="00020D20">
            <w:pPr>
              <w:spacing w:before="0" w:after="0" w:line="240" w:lineRule="auto"/>
              <w:jc w:val="both"/>
              <w:rPr>
                <w:sz w:val="18"/>
                <w:szCs w:val="18"/>
              </w:rPr>
            </w:pPr>
            <w:r w:rsidRPr="00101FFC">
              <w:rPr>
                <w:sz w:val="18"/>
                <w:szCs w:val="18"/>
              </w:rPr>
              <w:t>Primary Travel Corridors</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49992CCA" w14:textId="77777777" w:rsidR="00636F46" w:rsidRPr="00101FFC" w:rsidRDefault="00636F46" w:rsidP="00020D20">
            <w:pPr>
              <w:spacing w:before="0" w:after="0" w:line="240" w:lineRule="auto"/>
              <w:jc w:val="both"/>
              <w:rPr>
                <w:sz w:val="18"/>
                <w:szCs w:val="18"/>
              </w:rPr>
            </w:pPr>
            <w:r w:rsidRPr="00101FFC">
              <w:rPr>
                <w:w w:val="92"/>
                <w:sz w:val="18"/>
                <w:szCs w:val="18"/>
              </w:rPr>
              <w:t>9| Interstate: I-8, I-10, I-17. US Routes: US 60. State Routes: SR 85, SR 101, SR 202, SR 303, SR 347.</w:t>
            </w:r>
          </w:p>
        </w:tc>
      </w:tr>
      <w:tr w:rsidR="00636F46" w:rsidRPr="000C5731" w14:paraId="2AA46C15"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1158BF8F" w14:textId="77777777" w:rsidR="00636F46" w:rsidRPr="00101FFC" w:rsidRDefault="00636F46" w:rsidP="00020D20">
            <w:pPr>
              <w:spacing w:before="0" w:after="0" w:line="240" w:lineRule="auto"/>
              <w:jc w:val="both"/>
              <w:rPr>
                <w:sz w:val="18"/>
                <w:szCs w:val="18"/>
              </w:rPr>
            </w:pPr>
            <w:r w:rsidRPr="00101FFC">
              <w:rPr>
                <w:sz w:val="18"/>
                <w:szCs w:val="18"/>
              </w:rPr>
              <w:t>Transit</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14B97AB0" w14:textId="77777777" w:rsidR="00636F46" w:rsidRPr="00101FFC" w:rsidRDefault="00636F46" w:rsidP="00020D20">
            <w:pPr>
              <w:spacing w:before="0" w:after="0" w:line="240" w:lineRule="auto"/>
              <w:jc w:val="both"/>
              <w:rPr>
                <w:sz w:val="18"/>
                <w:szCs w:val="18"/>
              </w:rPr>
            </w:pPr>
            <w:r w:rsidRPr="00101FFC">
              <w:rPr>
                <w:sz w:val="18"/>
                <w:szCs w:val="18"/>
              </w:rPr>
              <w:t>Yes</w:t>
            </w:r>
          </w:p>
        </w:tc>
      </w:tr>
      <w:bookmarkEnd w:id="18"/>
      <w:tr w:rsidR="00636F46" w:rsidRPr="000C5731" w14:paraId="4E83E8B8" w14:textId="77777777" w:rsidTr="00020D20">
        <w:trPr>
          <w:trHeight w:val="20"/>
        </w:trPr>
        <w:tc>
          <w:tcPr>
            <w:tcW w:w="2160" w:type="dxa"/>
            <w:tcBorders>
              <w:top w:val="single" w:sz="8" w:space="0" w:color="323232"/>
              <w:left w:val="single" w:sz="8" w:space="0" w:color="auto"/>
              <w:bottom w:val="single" w:sz="8" w:space="0" w:color="323232"/>
              <w:right w:val="single" w:sz="8" w:space="0" w:color="323232"/>
            </w:tcBorders>
            <w:tcMar>
              <w:top w:w="58" w:type="dxa"/>
              <w:left w:w="58" w:type="dxa"/>
              <w:bottom w:w="58" w:type="dxa"/>
              <w:right w:w="58" w:type="dxa"/>
            </w:tcMar>
            <w:vAlign w:val="center"/>
          </w:tcPr>
          <w:p w14:paraId="00D339AD" w14:textId="77777777" w:rsidR="00636F46" w:rsidRPr="00101FFC" w:rsidRDefault="00636F46" w:rsidP="00020D20">
            <w:pPr>
              <w:spacing w:before="0" w:after="0" w:line="240" w:lineRule="auto"/>
              <w:jc w:val="both"/>
              <w:rPr>
                <w:sz w:val="18"/>
                <w:szCs w:val="18"/>
              </w:rPr>
            </w:pPr>
            <w:r w:rsidRPr="00101FFC">
              <w:rPr>
                <w:sz w:val="18"/>
                <w:szCs w:val="18"/>
              </w:rPr>
              <w:t>Airport</w:t>
            </w:r>
          </w:p>
        </w:tc>
        <w:tc>
          <w:tcPr>
            <w:tcW w:w="5400" w:type="dxa"/>
            <w:tcBorders>
              <w:top w:val="single" w:sz="8" w:space="0" w:color="323232"/>
              <w:left w:val="single" w:sz="8" w:space="0" w:color="323232"/>
              <w:bottom w:val="single" w:sz="8" w:space="0" w:color="323232"/>
              <w:right w:val="single" w:sz="8" w:space="0" w:color="auto"/>
            </w:tcBorders>
            <w:tcMar>
              <w:top w:w="58" w:type="dxa"/>
              <w:left w:w="58" w:type="dxa"/>
              <w:bottom w:w="58" w:type="dxa"/>
              <w:right w:w="58" w:type="dxa"/>
            </w:tcMar>
            <w:vAlign w:val="center"/>
          </w:tcPr>
          <w:p w14:paraId="42583F5F" w14:textId="77777777" w:rsidR="00636F46" w:rsidRPr="00101FFC" w:rsidRDefault="00636F46" w:rsidP="00020D20">
            <w:pPr>
              <w:spacing w:before="0" w:after="0" w:line="240" w:lineRule="auto"/>
              <w:jc w:val="both"/>
              <w:rPr>
                <w:sz w:val="18"/>
                <w:szCs w:val="18"/>
              </w:rPr>
            </w:pPr>
            <w:r w:rsidRPr="00101FFC">
              <w:rPr>
                <w:sz w:val="18"/>
                <w:szCs w:val="18"/>
              </w:rPr>
              <w:t>Yes</w:t>
            </w:r>
          </w:p>
        </w:tc>
      </w:tr>
      <w:tr w:rsidR="00636F46" w:rsidRPr="000C5731" w14:paraId="42A5269E" w14:textId="77777777" w:rsidTr="00020D20">
        <w:trPr>
          <w:trHeight w:val="20"/>
        </w:trPr>
        <w:tc>
          <w:tcPr>
            <w:tcW w:w="2160" w:type="dxa"/>
            <w:tcBorders>
              <w:top w:val="single" w:sz="8" w:space="0" w:color="323232"/>
              <w:left w:val="single" w:sz="8" w:space="0" w:color="auto"/>
              <w:bottom w:val="single" w:sz="8" w:space="0" w:color="auto"/>
              <w:right w:val="single" w:sz="8" w:space="0" w:color="323232"/>
            </w:tcBorders>
            <w:tcMar>
              <w:top w:w="58" w:type="dxa"/>
              <w:left w:w="58" w:type="dxa"/>
              <w:bottom w:w="58" w:type="dxa"/>
              <w:right w:w="58" w:type="dxa"/>
            </w:tcMar>
            <w:vAlign w:val="center"/>
          </w:tcPr>
          <w:p w14:paraId="3583AB8B" w14:textId="77777777" w:rsidR="00636F46" w:rsidRPr="00101FFC" w:rsidRDefault="00636F46">
            <w:pPr>
              <w:spacing w:before="0" w:after="0" w:line="240" w:lineRule="auto"/>
              <w:rPr>
                <w:sz w:val="18"/>
                <w:szCs w:val="18"/>
              </w:rPr>
            </w:pPr>
            <w:r w:rsidRPr="00101FFC">
              <w:rPr>
                <w:sz w:val="18"/>
                <w:szCs w:val="18"/>
              </w:rPr>
              <w:t>Air Quality Nonattainment or Maintenance</w:t>
            </w:r>
          </w:p>
        </w:tc>
        <w:tc>
          <w:tcPr>
            <w:tcW w:w="5400" w:type="dxa"/>
            <w:tcBorders>
              <w:top w:val="single" w:sz="8" w:space="0" w:color="323232"/>
              <w:left w:val="single" w:sz="8" w:space="0" w:color="323232"/>
              <w:bottom w:val="single" w:sz="8" w:space="0" w:color="auto"/>
              <w:right w:val="single" w:sz="8" w:space="0" w:color="auto"/>
            </w:tcBorders>
            <w:tcMar>
              <w:top w:w="58" w:type="dxa"/>
              <w:left w:w="58" w:type="dxa"/>
              <w:bottom w:w="58" w:type="dxa"/>
              <w:right w:w="58" w:type="dxa"/>
            </w:tcMar>
            <w:vAlign w:val="center"/>
          </w:tcPr>
          <w:p w14:paraId="1758BF07" w14:textId="6C3E79F6" w:rsidR="00636F46" w:rsidRPr="00101FFC" w:rsidRDefault="00636F46" w:rsidP="00020D20">
            <w:pPr>
              <w:pStyle w:val="Body-Bullets"/>
              <w:numPr>
                <w:ilvl w:val="0"/>
                <w:numId w:val="0"/>
              </w:numPr>
              <w:jc w:val="both"/>
            </w:pPr>
            <w:r w:rsidRPr="00101FFC">
              <w:t>Carbon monoxide</w:t>
            </w:r>
            <w:r w:rsidR="009646BD">
              <w:t xml:space="preserve"> (</w:t>
            </w:r>
            <w:r w:rsidR="0071046E">
              <w:t>CO)</w:t>
            </w:r>
            <w:r w:rsidRPr="00101FFC">
              <w:t>, Ozone (1 hr), Ozone (8 hr), PM10, PM2.5</w:t>
            </w:r>
          </w:p>
        </w:tc>
      </w:tr>
    </w:tbl>
    <w:p w14:paraId="477EA0B8" w14:textId="4C63F6EF" w:rsidR="002C1B60" w:rsidRDefault="002C1B60">
      <w:pPr>
        <w:pStyle w:val="BodyTextTitle"/>
        <w:jc w:val="both"/>
      </w:pPr>
      <w:bookmarkStart w:id="19" w:name="_Ref50019078"/>
      <w:r>
        <w:br w:type="page"/>
      </w:r>
    </w:p>
    <w:p w14:paraId="54C74248" w14:textId="3DE2F931" w:rsidR="00636F46" w:rsidRPr="002F17FB" w:rsidRDefault="00636F46" w:rsidP="00020D20">
      <w:pPr>
        <w:pStyle w:val="BodyTextTitle"/>
      </w:pPr>
      <w:bookmarkStart w:id="20" w:name="_Ref57985327"/>
      <w:r w:rsidRPr="003707B0">
        <w:t>Pima Association of Governments (PAG)</w:t>
      </w:r>
      <w:bookmarkEnd w:id="19"/>
      <w:bookmarkEnd w:id="20"/>
    </w:p>
    <w:p w14:paraId="7B46978C" w14:textId="58D10D7F" w:rsidR="00636F46" w:rsidRPr="00E836D8" w:rsidRDefault="00636F46" w:rsidP="00020D20">
      <w:pPr>
        <w:spacing w:before="60" w:after="60" w:line="264" w:lineRule="auto"/>
        <w:jc w:val="both"/>
      </w:pPr>
      <w:r w:rsidRPr="00E836D8">
        <w:t>P</w:t>
      </w:r>
      <w:r>
        <w:t xml:space="preserve">ima </w:t>
      </w:r>
      <w:r w:rsidRPr="00E836D8">
        <w:t>A</w:t>
      </w:r>
      <w:r>
        <w:t xml:space="preserve">ssociation of </w:t>
      </w:r>
      <w:r w:rsidRPr="00E836D8">
        <w:t>G</w:t>
      </w:r>
      <w:r>
        <w:t>overnments</w:t>
      </w:r>
      <w:r w:rsidRPr="00E836D8">
        <w:t xml:space="preserve"> is the MPO that serves Pima County, including the Tucson metropolitan area in southern Arizo</w:t>
      </w:r>
      <w:r w:rsidR="00DC0C98">
        <w:t>na. PAG’s boundary is shown in F</w:t>
      </w:r>
      <w:r w:rsidRPr="00E836D8">
        <w:t>igure 1-3. PAG’s nine-member regional council has representatives from the county, five municipalities, the Pascua Yaqui and Tohono O’odham tribal governments, and the Arizona State Transportation Board (ASTB). The PAG region, which is Pima County, comprises 9,188 square miles and had a 201</w:t>
      </w:r>
      <w:r w:rsidR="00C11E83">
        <w:t>8</w:t>
      </w:r>
      <w:r w:rsidRPr="00E836D8">
        <w:t xml:space="preserve"> Census population of </w:t>
      </w:r>
      <w:r w:rsidR="00C11E83">
        <w:t>1,047,279</w:t>
      </w:r>
      <w:r w:rsidRPr="00E836D8">
        <w:t xml:space="preserve"> residents.</w:t>
      </w:r>
    </w:p>
    <w:p w14:paraId="5E30DC6E" w14:textId="5305E9BA" w:rsidR="00636F46" w:rsidRDefault="00636F46" w:rsidP="00020D20">
      <w:pPr>
        <w:spacing w:after="0" w:line="264" w:lineRule="auto"/>
        <w:jc w:val="both"/>
        <w:rPr>
          <w:b/>
        </w:rPr>
      </w:pPr>
      <w:r>
        <w:rPr>
          <w:noProof/>
        </w:rPr>
        <mc:AlternateContent>
          <mc:Choice Requires="wps">
            <w:drawing>
              <wp:anchor distT="0" distB="0" distL="114300" distR="114300" simplePos="0" relativeHeight="251618553" behindDoc="0" locked="0" layoutInCell="1" allowOverlap="1" wp14:anchorId="7C56F647" wp14:editId="11D4D047">
                <wp:simplePos x="0" y="0"/>
                <wp:positionH relativeFrom="column">
                  <wp:posOffset>0</wp:posOffset>
                </wp:positionH>
                <wp:positionV relativeFrom="paragraph">
                  <wp:posOffset>676275</wp:posOffset>
                </wp:positionV>
                <wp:extent cx="1895475" cy="247650"/>
                <wp:effectExtent l="0" t="0" r="0" b="0"/>
                <wp:wrapNone/>
                <wp:docPr id="1690911525" name="Text Box 1690911525"/>
                <wp:cNvGraphicFramePr/>
                <a:graphic xmlns:a="http://schemas.openxmlformats.org/drawingml/2006/main">
                  <a:graphicData uri="http://schemas.microsoft.com/office/word/2010/wordprocessingShape">
                    <wps:wsp>
                      <wps:cNvSpPr txBox="1"/>
                      <wps:spPr>
                        <a:xfrm>
                          <a:off x="0" y="0"/>
                          <a:ext cx="1895475" cy="2476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6D90F07" w14:textId="77777777" w:rsidR="00C6444C" w:rsidRPr="00101FFC" w:rsidRDefault="00C6444C" w:rsidP="00636F46">
                            <w:pPr>
                              <w:pStyle w:val="Heading4"/>
                              <w:spacing w:before="0" w:after="0" w:line="240" w:lineRule="auto"/>
                            </w:pPr>
                            <w:r w:rsidRPr="00101FFC">
                              <w:t>Figure 1-</w:t>
                            </w:r>
                            <w:r>
                              <w:t>3</w:t>
                            </w:r>
                            <w:r w:rsidRPr="00101FFC">
                              <w:t xml:space="preserve"> | </w:t>
                            </w:r>
                            <w:r>
                              <w:t>PAG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H relativeFrom="margin">
                  <wp14:pctWidth>0</wp14:pctWidth>
                </wp14:sizeRelH>
                <wp14:sizeRelV relativeFrom="margin">
                  <wp14:pctHeight>0</wp14:pctHeight>
                </wp14:sizeRelV>
              </wp:anchor>
            </w:drawing>
          </mc:Choice>
          <mc:Fallback>
            <w:pict>
              <v:shape w14:anchorId="7C56F647" id="Text Box 1690911525" o:spid="_x0000_s1034" type="#_x0000_t202" style="position:absolute;left:0;text-align:left;margin-left:0;margin-top:53.25pt;width:149.25pt;height:19.5pt;z-index:251618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" filled="f" stroked="f" strokeweight="1pt">
                <v:textbox>
                  <w:txbxContent>
                    <w:p w14:paraId="26D90F07" w14:textId="77777777" w:rsidR="00C6444C" w:rsidRPr="00101FFC" w:rsidRDefault="00C6444C" w:rsidP="00636F46">
                      <w:pPr>
                        <w:pStyle w:val="Heading4"/>
                        <w:spacing w:before="0" w:after="0" w:line="240" w:lineRule="auto"/>
                      </w:pPr>
                      <w:r w:rsidRPr="00101FFC">
                        <w:t>Figure 1-</w:t>
                      </w:r>
                      <w:r>
                        <w:t>3</w:t>
                      </w:r>
                      <w:r w:rsidRPr="00101FFC">
                        <w:t xml:space="preserve"> | </w:t>
                      </w:r>
                      <w:r>
                        <w:t>PAG Regional Area</w:t>
                      </w:r>
                    </w:p>
                  </w:txbxContent>
                </v:textbox>
              </v:shape>
            </w:pict>
          </mc:Fallback>
        </mc:AlternateContent>
      </w:r>
      <w:r w:rsidRPr="00E836D8">
        <w:t>PAG’s programs focus on cross-jurisdictional planning issues, such as air quality, water quality, energy, transportation, and population growth. PAG’s activities and services include traffic data collection, mapping, population projections, carpool matching,</w:t>
      </w:r>
      <w:r w:rsidR="00C11E83">
        <w:t xml:space="preserve"> sustainability planning,</w:t>
      </w:r>
      <w:r w:rsidRPr="00E836D8">
        <w:t xml:space="preserve"> public meetings, and publications.</w:t>
      </w:r>
      <w:r w:rsidR="00C11E83">
        <w:t xml:space="preserve"> </w:t>
      </w:r>
      <w:r w:rsidR="00C11E83" w:rsidRPr="00C11E83">
        <w:t xml:space="preserve">The governor has designated </w:t>
      </w:r>
      <w:r w:rsidR="00C11E83">
        <w:t>PAG</w:t>
      </w:r>
      <w:r w:rsidR="00C11E83" w:rsidRPr="00C11E83">
        <w:t xml:space="preserve"> to serve as the principal planning agency for issues such as, air quality, water quality, and solid waste management.</w:t>
      </w:r>
    </w:p>
    <w:p w14:paraId="13854A7F" w14:textId="77777777" w:rsidR="00636F46" w:rsidRDefault="00023FEC" w:rsidP="00020D20">
      <w:pPr>
        <w:jc w:val="both"/>
      </w:pPr>
      <w:r>
        <w:rPr>
          <w:noProof/>
        </w:rPr>
        <w:drawing>
          <wp:anchor distT="0" distB="0" distL="114300" distR="114300" simplePos="0" relativeHeight="251618603" behindDoc="0" locked="0" layoutInCell="1" allowOverlap="1" wp14:anchorId="53957D4F" wp14:editId="2C46FBE0">
            <wp:simplePos x="0" y="0"/>
            <wp:positionH relativeFrom="column">
              <wp:posOffset>5139690</wp:posOffset>
            </wp:positionH>
            <wp:positionV relativeFrom="paragraph">
              <wp:posOffset>2235835</wp:posOffset>
            </wp:positionV>
            <wp:extent cx="1243330" cy="1462405"/>
            <wp:effectExtent l="0" t="0" r="0" b="4445"/>
            <wp:wrapNone/>
            <wp:docPr id="816286100" name="Picture 81628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24" name="1_Map-PAG REDUCED.jpg"/>
                    <pic:cNvPicPr/>
                  </pic:nvPicPr>
                  <pic:blipFill>
                    <a:blip r:embed="rId65" cstate="hqprint">
                      <a:extLst>
                        <a:ext uri="{28A0092B-C50C-407E-A947-70E740481C1C}">
                          <a14:useLocalDpi xmlns:a14="http://schemas.microsoft.com/office/drawing/2010/main" val="0"/>
                        </a:ext>
                      </a:extLst>
                    </a:blip>
                    <a:stretch>
                      <a:fillRect/>
                    </a:stretch>
                  </pic:blipFill>
                  <pic:spPr>
                    <a:xfrm>
                      <a:off x="0" y="0"/>
                      <a:ext cx="1243330" cy="1462405"/>
                    </a:xfrm>
                    <a:prstGeom prst="rect">
                      <a:avLst/>
                    </a:prstGeom>
                  </pic:spPr>
                </pic:pic>
              </a:graphicData>
            </a:graphic>
            <wp14:sizeRelH relativeFrom="margin">
              <wp14:pctWidth>0</wp14:pctWidth>
            </wp14:sizeRelH>
            <wp14:sizeRelV relativeFrom="margin">
              <wp14:pctHeight>0</wp14:pctHeight>
            </wp14:sizeRelV>
          </wp:anchor>
        </w:drawing>
      </w:r>
      <w:r w:rsidR="00636F46">
        <w:rPr>
          <w:noProof/>
        </w:rPr>
        <w:drawing>
          <wp:inline distT="0" distB="0" distL="0" distR="0" wp14:anchorId="613D0E22" wp14:editId="3A39902D">
            <wp:extent cx="6028055" cy="2080564"/>
            <wp:effectExtent l="0" t="0" r="0" b="0"/>
            <wp:docPr id="816286105" name="Picture 816286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23" name="1_Map2-PAG REDUCED.jp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6144764" cy="212084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452"/>
        <w:tblW w:w="0" w:type="auto"/>
        <w:tblLayout w:type="fixed"/>
        <w:tblCellMar>
          <w:left w:w="0" w:type="dxa"/>
          <w:right w:w="0" w:type="dxa"/>
        </w:tblCellMar>
        <w:tblLook w:val="0000" w:firstRow="0" w:lastRow="0" w:firstColumn="0" w:lastColumn="0" w:noHBand="0" w:noVBand="0"/>
      </w:tblPr>
      <w:tblGrid>
        <w:gridCol w:w="3330"/>
        <w:gridCol w:w="4320"/>
      </w:tblGrid>
      <w:tr w:rsidR="00636F46" w:rsidRPr="00675B3C" w14:paraId="1BE48B26" w14:textId="77777777" w:rsidTr="00020D20">
        <w:trPr>
          <w:trHeight w:val="20"/>
        </w:trPr>
        <w:tc>
          <w:tcPr>
            <w:tcW w:w="765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7B879824" w14:textId="4B0A0458" w:rsidR="00636F46" w:rsidRPr="00BA25CC" w:rsidRDefault="00636F46" w:rsidP="00C57D06">
            <w:pPr>
              <w:spacing w:before="0" w:after="0" w:line="240" w:lineRule="auto"/>
              <w:jc w:val="center"/>
              <w:rPr>
                <w:color w:val="323232"/>
                <w:sz w:val="22"/>
              </w:rPr>
            </w:pPr>
            <w:r w:rsidRPr="00020D20">
              <w:rPr>
                <w:sz w:val="22"/>
                <w:bdr w:val="single" w:sz="4" w:space="0" w:color="auto"/>
              </w:rPr>
              <w:t>Pima</w:t>
            </w:r>
            <w:r w:rsidR="005070BF">
              <w:rPr>
                <w:sz w:val="22"/>
              </w:rPr>
              <w:t xml:space="preserve"> Association of Governments –</w:t>
            </w:r>
            <w:r w:rsidRPr="00BA25CC">
              <w:rPr>
                <w:sz w:val="22"/>
              </w:rPr>
              <w:t xml:space="preserve"> PAG</w:t>
            </w:r>
          </w:p>
        </w:tc>
      </w:tr>
      <w:tr w:rsidR="00636F46" w:rsidRPr="000C5731" w14:paraId="4EFF26D4" w14:textId="77777777" w:rsidTr="00020D20">
        <w:trPr>
          <w:trHeight w:val="180"/>
        </w:trPr>
        <w:tc>
          <w:tcPr>
            <w:tcW w:w="3330" w:type="dxa"/>
            <w:tcBorders>
              <w:left w:val="single" w:sz="8" w:space="0" w:color="323232"/>
              <w:bottom w:val="single" w:sz="8" w:space="0" w:color="323232"/>
              <w:right w:val="single" w:sz="8" w:space="0" w:color="323232"/>
            </w:tcBorders>
            <w:tcMar>
              <w:top w:w="58" w:type="dxa"/>
              <w:left w:w="58" w:type="dxa"/>
              <w:bottom w:w="58" w:type="dxa"/>
              <w:right w:w="58" w:type="dxa"/>
            </w:tcMar>
            <w:vAlign w:val="center"/>
          </w:tcPr>
          <w:p w14:paraId="29BB0434" w14:textId="77777777" w:rsidR="00636F46" w:rsidRPr="00BA25CC" w:rsidRDefault="00636F46" w:rsidP="00020D20">
            <w:pPr>
              <w:spacing w:before="0" w:after="0" w:line="240" w:lineRule="auto"/>
              <w:jc w:val="both"/>
              <w:rPr>
                <w:sz w:val="18"/>
              </w:rPr>
            </w:pPr>
            <w:r w:rsidRPr="00BA25CC">
              <w:rPr>
                <w:sz w:val="18"/>
              </w:rPr>
              <w:t>Year Established</w:t>
            </w:r>
          </w:p>
        </w:tc>
        <w:tc>
          <w:tcPr>
            <w:tcW w:w="4320" w:type="dxa"/>
            <w:tcBorders>
              <w:left w:val="single" w:sz="8" w:space="0" w:color="323232"/>
              <w:bottom w:val="single" w:sz="8" w:space="0" w:color="323232"/>
              <w:right w:val="single" w:sz="8" w:space="0" w:color="323232"/>
            </w:tcBorders>
            <w:tcMar>
              <w:top w:w="58" w:type="dxa"/>
              <w:left w:w="58" w:type="dxa"/>
              <w:bottom w:w="58" w:type="dxa"/>
              <w:right w:w="58" w:type="dxa"/>
            </w:tcMar>
            <w:vAlign w:val="center"/>
          </w:tcPr>
          <w:p w14:paraId="069CF8BD" w14:textId="77777777" w:rsidR="00636F46" w:rsidRPr="00BA25CC" w:rsidRDefault="00636F46" w:rsidP="00020D20">
            <w:pPr>
              <w:spacing w:before="0" w:after="0" w:line="240" w:lineRule="auto"/>
              <w:jc w:val="both"/>
              <w:rPr>
                <w:sz w:val="18"/>
              </w:rPr>
            </w:pPr>
            <w:r w:rsidRPr="00BA25CC">
              <w:rPr>
                <w:sz w:val="18"/>
              </w:rPr>
              <w:t>1972</w:t>
            </w:r>
          </w:p>
        </w:tc>
      </w:tr>
      <w:tr w:rsidR="00636F46" w:rsidRPr="000C5731" w14:paraId="2A2181CE"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2D816763" w14:textId="77777777" w:rsidR="00636F46" w:rsidRPr="00BA25CC" w:rsidRDefault="00636F46" w:rsidP="00020D20">
            <w:pPr>
              <w:spacing w:before="0" w:after="0" w:line="240" w:lineRule="auto"/>
              <w:jc w:val="both"/>
              <w:rPr>
                <w:sz w:val="18"/>
              </w:rPr>
            </w:pPr>
            <w:r w:rsidRPr="00BA25CC">
              <w:rPr>
                <w:sz w:val="18"/>
              </w:rPr>
              <w:t>Hosted/Independent MPO</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586808AC" w14:textId="77777777" w:rsidR="00636F46" w:rsidRPr="00BA25CC" w:rsidRDefault="00636F46" w:rsidP="00020D20">
            <w:pPr>
              <w:spacing w:before="0" w:after="0" w:line="240" w:lineRule="auto"/>
              <w:jc w:val="both"/>
              <w:rPr>
                <w:sz w:val="18"/>
              </w:rPr>
            </w:pPr>
            <w:r w:rsidRPr="00BA25CC">
              <w:rPr>
                <w:sz w:val="18"/>
              </w:rPr>
              <w:t>Independent</w:t>
            </w:r>
          </w:p>
        </w:tc>
      </w:tr>
      <w:tr w:rsidR="00636F46" w:rsidRPr="000C5731" w14:paraId="2AEE7AEA"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3EC4CE5B" w14:textId="77777777" w:rsidR="00636F46" w:rsidRPr="00BA25CC" w:rsidRDefault="00636F46" w:rsidP="00020D20">
            <w:pPr>
              <w:spacing w:before="0" w:after="0" w:line="240" w:lineRule="auto"/>
              <w:jc w:val="both"/>
              <w:rPr>
                <w:sz w:val="18"/>
              </w:rPr>
            </w:pPr>
            <w:r w:rsidRPr="00BA25CC">
              <w:rPr>
                <w:sz w:val="18"/>
              </w:rPr>
              <w:t>Land Area (sq. mi.)</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1F2D60FD" w14:textId="77777777" w:rsidR="00636F46" w:rsidRPr="00BA25CC" w:rsidRDefault="00636F46" w:rsidP="00020D20">
            <w:pPr>
              <w:spacing w:before="0" w:after="0" w:line="240" w:lineRule="auto"/>
              <w:jc w:val="both"/>
              <w:rPr>
                <w:sz w:val="18"/>
              </w:rPr>
            </w:pPr>
            <w:r w:rsidRPr="00BA25CC">
              <w:rPr>
                <w:sz w:val="18"/>
              </w:rPr>
              <w:t>9,188</w:t>
            </w:r>
          </w:p>
        </w:tc>
      </w:tr>
      <w:tr w:rsidR="00636F46" w:rsidRPr="000C5731" w14:paraId="0E8DAFD9"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19EE34E8" w14:textId="77777777" w:rsidR="00636F46" w:rsidRPr="00BA25CC" w:rsidRDefault="00636F46" w:rsidP="00020D20">
            <w:pPr>
              <w:spacing w:before="0" w:after="0" w:line="240" w:lineRule="auto"/>
              <w:jc w:val="both"/>
              <w:rPr>
                <w:sz w:val="18"/>
              </w:rPr>
            </w:pPr>
            <w:r w:rsidRPr="00BA25CC">
              <w:rPr>
                <w:sz w:val="18"/>
              </w:rPr>
              <w:t>2018 Population</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62707036" w14:textId="77777777" w:rsidR="00636F46" w:rsidRPr="00BA25CC" w:rsidRDefault="00636F46" w:rsidP="00020D20">
            <w:pPr>
              <w:spacing w:before="0" w:after="0" w:line="240" w:lineRule="auto"/>
              <w:jc w:val="both"/>
              <w:rPr>
                <w:sz w:val="18"/>
              </w:rPr>
            </w:pPr>
            <w:r w:rsidRPr="00BA25CC">
              <w:rPr>
                <w:sz w:val="18"/>
              </w:rPr>
              <w:t>1,047,279</w:t>
            </w:r>
          </w:p>
        </w:tc>
      </w:tr>
      <w:tr w:rsidR="00636F46" w:rsidRPr="000C5731" w14:paraId="4DBFF1E4"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6C9FBE58" w14:textId="77777777" w:rsidR="00636F46" w:rsidRPr="00BA25CC" w:rsidRDefault="00636F46" w:rsidP="00020D20">
            <w:pPr>
              <w:spacing w:before="0" w:after="0" w:line="240" w:lineRule="auto"/>
              <w:jc w:val="both"/>
              <w:rPr>
                <w:sz w:val="18"/>
              </w:rPr>
            </w:pPr>
            <w:r w:rsidRPr="00BA25CC">
              <w:rPr>
                <w:sz w:val="18"/>
              </w:rPr>
              <w:t>Counties</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47561DBF" w14:textId="77777777" w:rsidR="00636F46" w:rsidRPr="00BA25CC" w:rsidRDefault="00636F46" w:rsidP="00020D20">
            <w:pPr>
              <w:spacing w:before="0" w:after="0" w:line="240" w:lineRule="auto"/>
              <w:jc w:val="both"/>
              <w:rPr>
                <w:sz w:val="18"/>
              </w:rPr>
            </w:pPr>
            <w:r w:rsidRPr="00BA25CC">
              <w:rPr>
                <w:sz w:val="18"/>
              </w:rPr>
              <w:t>1 | Pima</w:t>
            </w:r>
          </w:p>
        </w:tc>
      </w:tr>
      <w:tr w:rsidR="00636F46" w:rsidRPr="000C5731" w14:paraId="1B7C4A88"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57AF98EF" w14:textId="77777777" w:rsidR="00636F46" w:rsidRPr="00BA25CC" w:rsidRDefault="00636F46" w:rsidP="00020D20">
            <w:pPr>
              <w:spacing w:before="0" w:after="0" w:line="240" w:lineRule="auto"/>
              <w:jc w:val="both"/>
              <w:rPr>
                <w:sz w:val="18"/>
              </w:rPr>
            </w:pPr>
            <w:r w:rsidRPr="00BA25CC">
              <w:rPr>
                <w:sz w:val="18"/>
              </w:rPr>
              <w:t>Number of Municipalities</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068AF241" w14:textId="77777777" w:rsidR="00636F46" w:rsidRPr="00BA25CC" w:rsidRDefault="00636F46" w:rsidP="00020D20">
            <w:pPr>
              <w:spacing w:before="0" w:after="0" w:line="240" w:lineRule="auto"/>
              <w:jc w:val="both"/>
              <w:rPr>
                <w:sz w:val="18"/>
              </w:rPr>
            </w:pPr>
            <w:r w:rsidRPr="00BA25CC">
              <w:rPr>
                <w:sz w:val="18"/>
              </w:rPr>
              <w:t>5</w:t>
            </w:r>
          </w:p>
        </w:tc>
      </w:tr>
      <w:tr w:rsidR="00636F46" w:rsidRPr="000C5731" w14:paraId="55D8BE3D"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0A440F9D" w14:textId="77777777" w:rsidR="00636F46" w:rsidRPr="00BA25CC" w:rsidRDefault="00636F46" w:rsidP="00020D20">
            <w:pPr>
              <w:spacing w:before="0" w:after="0" w:line="240" w:lineRule="auto"/>
              <w:jc w:val="both"/>
              <w:rPr>
                <w:sz w:val="18"/>
              </w:rPr>
            </w:pPr>
            <w:r w:rsidRPr="00BA25CC">
              <w:rPr>
                <w:sz w:val="18"/>
              </w:rPr>
              <w:t>Tribal Partner Agencies</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7017A318" w14:textId="7CA5AD11" w:rsidR="00636F46" w:rsidRPr="00BA25CC" w:rsidRDefault="00636F46" w:rsidP="00020D20">
            <w:pPr>
              <w:spacing w:before="0" w:after="0" w:line="240" w:lineRule="auto"/>
              <w:jc w:val="both"/>
              <w:rPr>
                <w:sz w:val="18"/>
              </w:rPr>
            </w:pPr>
            <w:r w:rsidRPr="00BA25CC">
              <w:rPr>
                <w:sz w:val="18"/>
              </w:rPr>
              <w:t xml:space="preserve">2 </w:t>
            </w:r>
            <w:r w:rsidR="00C11E83">
              <w:rPr>
                <w:sz w:val="18"/>
              </w:rPr>
              <w:t>| Pascau Yaqui Tribe, Tohono O’o</w:t>
            </w:r>
            <w:r w:rsidRPr="00BA25CC">
              <w:rPr>
                <w:sz w:val="18"/>
              </w:rPr>
              <w:t>dham Nation</w:t>
            </w:r>
          </w:p>
        </w:tc>
      </w:tr>
      <w:tr w:rsidR="00636F46" w:rsidRPr="000C5731" w14:paraId="394A2566"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77070100" w14:textId="77777777" w:rsidR="00636F46" w:rsidRPr="00BA25CC" w:rsidRDefault="00636F46" w:rsidP="00020D20">
            <w:pPr>
              <w:spacing w:before="0" w:after="0" w:line="240" w:lineRule="auto"/>
              <w:jc w:val="both"/>
              <w:rPr>
                <w:sz w:val="18"/>
              </w:rPr>
            </w:pPr>
            <w:r w:rsidRPr="00BA25CC">
              <w:rPr>
                <w:sz w:val="18"/>
              </w:rPr>
              <w:t>Primary Travel Corridors</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62BE4AD8" w14:textId="77777777" w:rsidR="00636F46" w:rsidRPr="00BA25CC" w:rsidRDefault="00636F46" w:rsidP="00020D20">
            <w:pPr>
              <w:spacing w:before="0" w:after="0" w:line="240" w:lineRule="auto"/>
              <w:jc w:val="both"/>
              <w:rPr>
                <w:sz w:val="18"/>
              </w:rPr>
            </w:pPr>
            <w:r>
              <w:rPr>
                <w:sz w:val="18"/>
              </w:rPr>
              <w:t>3</w:t>
            </w:r>
            <w:r w:rsidRPr="00BA25CC">
              <w:rPr>
                <w:sz w:val="18"/>
              </w:rPr>
              <w:t xml:space="preserve"> | Interstates: 1-10, 1-19. State Routes: </w:t>
            </w:r>
            <w:r>
              <w:rPr>
                <w:sz w:val="18"/>
              </w:rPr>
              <w:t>S</w:t>
            </w:r>
            <w:r w:rsidRPr="00BA25CC">
              <w:rPr>
                <w:sz w:val="18"/>
              </w:rPr>
              <w:t xml:space="preserve">R </w:t>
            </w:r>
            <w:r>
              <w:rPr>
                <w:sz w:val="18"/>
              </w:rPr>
              <w:t>86</w:t>
            </w:r>
          </w:p>
        </w:tc>
      </w:tr>
      <w:tr w:rsidR="00636F46" w:rsidRPr="000C5731" w14:paraId="2468D53B"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6C89873A" w14:textId="77777777" w:rsidR="00636F46" w:rsidRPr="00BA25CC" w:rsidRDefault="00636F46" w:rsidP="00020D20">
            <w:pPr>
              <w:spacing w:before="0" w:after="0" w:line="240" w:lineRule="auto"/>
              <w:jc w:val="both"/>
              <w:rPr>
                <w:sz w:val="18"/>
              </w:rPr>
            </w:pPr>
            <w:r w:rsidRPr="00BA25CC">
              <w:rPr>
                <w:sz w:val="18"/>
              </w:rPr>
              <w:t>Transit</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7315BFB7" w14:textId="77777777" w:rsidR="00636F46" w:rsidRPr="00BA25CC" w:rsidRDefault="00636F46" w:rsidP="00020D20">
            <w:pPr>
              <w:spacing w:before="0" w:after="0" w:line="240" w:lineRule="auto"/>
              <w:jc w:val="both"/>
              <w:rPr>
                <w:sz w:val="18"/>
              </w:rPr>
            </w:pPr>
            <w:r w:rsidRPr="00BA25CC">
              <w:rPr>
                <w:sz w:val="18"/>
              </w:rPr>
              <w:t>Yes</w:t>
            </w:r>
          </w:p>
        </w:tc>
      </w:tr>
      <w:tr w:rsidR="00636F46" w:rsidRPr="000C5731" w14:paraId="320C9AEA"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64C8F4C0" w14:textId="77777777" w:rsidR="00636F46" w:rsidRPr="00BA25CC" w:rsidRDefault="00636F46" w:rsidP="00020D20">
            <w:pPr>
              <w:spacing w:before="0" w:after="0" w:line="240" w:lineRule="auto"/>
              <w:jc w:val="both"/>
              <w:rPr>
                <w:sz w:val="18"/>
              </w:rPr>
            </w:pPr>
            <w:r w:rsidRPr="00BA25CC">
              <w:rPr>
                <w:sz w:val="18"/>
              </w:rPr>
              <w:t>Airport</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0C624C0F" w14:textId="77777777" w:rsidR="00636F46" w:rsidRPr="00BA25CC" w:rsidRDefault="00636F46" w:rsidP="00020D20">
            <w:pPr>
              <w:spacing w:before="0" w:after="0" w:line="240" w:lineRule="auto"/>
              <w:jc w:val="both"/>
              <w:rPr>
                <w:sz w:val="18"/>
              </w:rPr>
            </w:pPr>
            <w:r w:rsidRPr="00BA25CC">
              <w:rPr>
                <w:sz w:val="18"/>
              </w:rPr>
              <w:t>Yes</w:t>
            </w:r>
          </w:p>
        </w:tc>
      </w:tr>
      <w:tr w:rsidR="00636F46" w:rsidRPr="000C5731" w14:paraId="191E4EAD" w14:textId="77777777" w:rsidTr="00020D20">
        <w:trPr>
          <w:trHeight w:val="180"/>
        </w:trPr>
        <w:tc>
          <w:tcPr>
            <w:tcW w:w="333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289FD714" w14:textId="77777777" w:rsidR="00636F46" w:rsidRPr="00BA25CC" w:rsidRDefault="00636F46" w:rsidP="00121C12">
            <w:pPr>
              <w:spacing w:before="0" w:after="0" w:line="240" w:lineRule="auto"/>
              <w:rPr>
                <w:sz w:val="18"/>
              </w:rPr>
            </w:pPr>
            <w:r w:rsidRPr="00610BE4">
              <w:rPr>
                <w:sz w:val="18"/>
              </w:rPr>
              <w:t>Air Quality Nonattainmen</w:t>
            </w:r>
            <w:r>
              <w:rPr>
                <w:sz w:val="18"/>
              </w:rPr>
              <w:t>t or Maintenance</w:t>
            </w:r>
          </w:p>
        </w:tc>
        <w:tc>
          <w:tcPr>
            <w:tcW w:w="4320" w:type="dxa"/>
            <w:tcBorders>
              <w:top w:val="single" w:sz="8" w:space="0" w:color="323232"/>
              <w:left w:val="single" w:sz="8" w:space="0" w:color="323232"/>
              <w:bottom w:val="single" w:sz="8" w:space="0" w:color="323232"/>
              <w:right w:val="single" w:sz="8" w:space="0" w:color="323232"/>
            </w:tcBorders>
            <w:tcMar>
              <w:top w:w="58" w:type="dxa"/>
              <w:left w:w="58" w:type="dxa"/>
              <w:bottom w:w="58" w:type="dxa"/>
              <w:right w:w="58" w:type="dxa"/>
            </w:tcMar>
            <w:vAlign w:val="center"/>
          </w:tcPr>
          <w:p w14:paraId="170AEC77" w14:textId="2626FEF1" w:rsidR="00636F46" w:rsidRPr="00BA25CC" w:rsidRDefault="00636F46" w:rsidP="00020D20">
            <w:pPr>
              <w:spacing w:before="0" w:after="0" w:line="240" w:lineRule="auto"/>
              <w:jc w:val="both"/>
              <w:rPr>
                <w:sz w:val="18"/>
              </w:rPr>
            </w:pPr>
            <w:r w:rsidRPr="00610BE4">
              <w:rPr>
                <w:sz w:val="18"/>
              </w:rPr>
              <w:t>PM 10</w:t>
            </w:r>
            <w:r w:rsidRPr="00610BE4" w:rsidDel="00412637">
              <w:rPr>
                <w:sz w:val="18"/>
              </w:rPr>
              <w:t xml:space="preserve"> </w:t>
            </w:r>
          </w:p>
        </w:tc>
      </w:tr>
    </w:tbl>
    <w:p w14:paraId="73A4755D" w14:textId="61E1414B" w:rsidR="00023FEC" w:rsidRDefault="00023FEC" w:rsidP="00020D20">
      <w:pPr>
        <w:pStyle w:val="Heading4"/>
        <w:jc w:val="both"/>
      </w:pPr>
      <w:r w:rsidRPr="00675B3C">
        <w:t>Table 1-5 | PAG Statistics</w:t>
      </w:r>
    </w:p>
    <w:p w14:paraId="2A5F1D9F" w14:textId="423E5030" w:rsidR="00636F46" w:rsidRDefault="00023FEC">
      <w:pPr>
        <w:pStyle w:val="Heading2"/>
        <w:sectPr w:rsidR="00636F46" w:rsidSect="00020D20">
          <w:pgSz w:w="12240" w:h="15840"/>
          <w:pgMar w:top="1080" w:right="1080" w:bottom="1080" w:left="1080" w:header="1152" w:footer="720" w:gutter="0"/>
          <w:pgNumType w:chapStyle="1"/>
          <w:cols w:space="1152"/>
          <w:docGrid w:linePitch="360"/>
        </w:sectPr>
      </w:pPr>
      <w:r>
        <w:rPr>
          <w:b w:val="0"/>
          <w:noProof/>
        </w:rPr>
        <mc:AlternateContent>
          <mc:Choice Requires="wps">
            <w:drawing>
              <wp:anchor distT="0" distB="0" distL="114300" distR="114300" simplePos="0" relativeHeight="251618598" behindDoc="0" locked="0" layoutInCell="1" allowOverlap="1" wp14:anchorId="7DCA37EB" wp14:editId="4D5CD2FB">
                <wp:simplePos x="0" y="0"/>
                <wp:positionH relativeFrom="margin">
                  <wp:posOffset>4982845</wp:posOffset>
                </wp:positionH>
                <wp:positionV relativeFrom="paragraph">
                  <wp:posOffset>1355090</wp:posOffset>
                </wp:positionV>
                <wp:extent cx="1438275" cy="1409700"/>
                <wp:effectExtent l="95250" t="95250" r="104775" b="95250"/>
                <wp:wrapNone/>
                <wp:docPr id="1690911526" name="Text Box 1690911526"/>
                <wp:cNvGraphicFramePr/>
                <a:graphic xmlns:a="http://schemas.openxmlformats.org/drawingml/2006/main">
                  <a:graphicData uri="http://schemas.microsoft.com/office/word/2010/wordprocessingShape">
                    <wps:wsp>
                      <wps:cNvSpPr txBox="1"/>
                      <wps:spPr>
                        <a:xfrm>
                          <a:off x="0" y="0"/>
                          <a:ext cx="1438275" cy="14097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CD2440D" w14:textId="77777777" w:rsidR="00C6444C" w:rsidRDefault="00C6444C" w:rsidP="00636F46">
                            <w:pPr>
                              <w:jc w:val="center"/>
                            </w:pPr>
                            <w:r>
                              <w:rPr>
                                <w:noProof/>
                              </w:rPr>
                              <w:drawing>
                                <wp:inline distT="0" distB="0" distL="0" distR="0" wp14:anchorId="78122987" wp14:editId="6BD02962">
                                  <wp:extent cx="457200" cy="457200"/>
                                  <wp:effectExtent l="0" t="0" r="0" b="0"/>
                                  <wp:docPr id="1690912085" name="Picture 1690912085">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989A786" w14:textId="77777777" w:rsidR="00C6444C" w:rsidRDefault="00C6444C" w:rsidP="00636F46">
                            <w:pPr>
                              <w:pStyle w:val="Calloutboxes"/>
                            </w:pPr>
                            <w:r>
                              <w:t>PAG</w:t>
                            </w:r>
                          </w:p>
                          <w:p w14:paraId="10ECA2D0" w14:textId="6D8E2EA6" w:rsidR="00C6444C" w:rsidRDefault="00C6444C" w:rsidP="00636F46">
                            <w:pPr>
                              <w:pStyle w:val="Calloutboxes"/>
                            </w:pPr>
                            <w:r>
                              <w:t>1 E Broadway Blvd., Ste. 401</w:t>
                            </w:r>
                          </w:p>
                          <w:p w14:paraId="612EC4F3" w14:textId="77777777" w:rsidR="00C6444C" w:rsidRDefault="00C6444C" w:rsidP="00636F46">
                            <w:pPr>
                              <w:pStyle w:val="Calloutboxes"/>
                            </w:pPr>
                            <w:r>
                              <w:t>Tucson, AZ 85701</w:t>
                            </w:r>
                          </w:p>
                          <w:p w14:paraId="5A4691BE" w14:textId="77777777" w:rsidR="00C6444C" w:rsidRDefault="00C6444C" w:rsidP="00636F46">
                            <w:pPr>
                              <w:pStyle w:val="Calloutboxes"/>
                            </w:pPr>
                            <w:r>
                              <w:t xml:space="preserve"> #: 520-792-1093</w:t>
                            </w:r>
                          </w:p>
                          <w:p w14:paraId="6051FC57" w14:textId="77777777" w:rsidR="00C6444C" w:rsidRPr="00101FFC" w:rsidRDefault="00202C92" w:rsidP="00636F46">
                            <w:pPr>
                              <w:pStyle w:val="Title"/>
                              <w:rPr>
                                <w:sz w:val="16"/>
                                <w:szCs w:val="16"/>
                              </w:rPr>
                            </w:pPr>
                            <w:hyperlink r:id="rId68" w:history="1">
                              <w:r w:rsidR="00C6444C">
                                <w:rPr>
                                  <w:rStyle w:val="Hyperlink"/>
                                  <w:rFonts w:ascii="Calibri" w:hAnsi="Calibri" w:cstheme="majorBidi"/>
                                  <w:i/>
                                  <w:iCs w:val="0"/>
                                  <w:color w:val="CE5B18"/>
                                  <w:u w:val="none"/>
                                </w:rPr>
                                <w:t>https://pagregion.com/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CA37EB" id="Text Box 1690911526" o:spid="_x0000_s1035" type="#_x0000_t202" style="position:absolute;left:0;text-align:left;margin-left:392.35pt;margin-top:106.7pt;width:113.25pt;height:111pt;z-index:2516185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" fillcolor="#f7f7f7" stroked="f" strokeweight=".5pt">
                <v:shadow on="t" type="perspective" color="black" opacity="26214f" offset="0,0" matrix="66847f,,,66847f"/>
                <v:textbox>
                  <w:txbxContent>
                    <w:p w14:paraId="6CD2440D" w14:textId="77777777" w:rsidR="00C6444C" w:rsidRDefault="00C6444C" w:rsidP="00636F46">
                      <w:pPr>
                        <w:jc w:val="center"/>
                      </w:pPr>
                      <w:r>
                        <w:rPr>
                          <w:noProof/>
                        </w:rPr>
                        <w:drawing>
                          <wp:inline distT="0" distB="0" distL="0" distR="0" wp14:anchorId="78122987" wp14:editId="6BD02962">
                            <wp:extent cx="457200" cy="457200"/>
                            <wp:effectExtent l="0" t="0" r="0" b="0"/>
                            <wp:docPr id="1690912085" name="Picture 1690912085">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989A786" w14:textId="77777777" w:rsidR="00C6444C" w:rsidRDefault="00C6444C" w:rsidP="00636F46">
                      <w:pPr>
                        <w:pStyle w:val="Calloutboxes"/>
                      </w:pPr>
                      <w:r>
                        <w:t>PAG</w:t>
                      </w:r>
                    </w:p>
                    <w:p w14:paraId="10ECA2D0" w14:textId="6D8E2EA6" w:rsidR="00C6444C" w:rsidRDefault="00C6444C" w:rsidP="00636F46">
                      <w:pPr>
                        <w:pStyle w:val="Calloutboxes"/>
                      </w:pPr>
                      <w:r>
                        <w:t>1 E Broadway Blvd., Ste. 401</w:t>
                      </w:r>
                    </w:p>
                    <w:p w14:paraId="612EC4F3" w14:textId="77777777" w:rsidR="00C6444C" w:rsidRDefault="00C6444C" w:rsidP="00636F46">
                      <w:pPr>
                        <w:pStyle w:val="Calloutboxes"/>
                      </w:pPr>
                      <w:r>
                        <w:t>Tucson, AZ 85701</w:t>
                      </w:r>
                    </w:p>
                    <w:p w14:paraId="5A4691BE" w14:textId="77777777" w:rsidR="00C6444C" w:rsidRDefault="00C6444C" w:rsidP="00636F46">
                      <w:pPr>
                        <w:pStyle w:val="Calloutboxes"/>
                      </w:pPr>
                      <w:r>
                        <w:t xml:space="preserve"> #: 520-792-1093</w:t>
                      </w:r>
                    </w:p>
                    <w:p w14:paraId="6051FC57" w14:textId="77777777" w:rsidR="00C6444C" w:rsidRPr="00101FFC" w:rsidRDefault="004C7EA6" w:rsidP="00636F46">
                      <w:pPr>
                        <w:pStyle w:val="Title"/>
                        <w:rPr>
                          <w:sz w:val="16"/>
                          <w:szCs w:val="16"/>
                        </w:rPr>
                      </w:pPr>
                      <w:hyperlink r:id="rId71" w:history="1">
                        <w:r w:rsidR="00C6444C">
                          <w:rPr>
                            <w:rStyle w:val="Hyperlink"/>
                            <w:rFonts w:ascii="Calibri" w:hAnsi="Calibri" w:cstheme="majorBidi"/>
                            <w:i/>
                            <w:iCs w:val="0"/>
                            <w:color w:val="CE5B18"/>
                            <w:u w:val="none"/>
                          </w:rPr>
                          <w:t>https://pagregion.com/</w:t>
                        </w:r>
                      </w:hyperlink>
                    </w:p>
                  </w:txbxContent>
                </v:textbox>
                <w10:wrap anchorx="margin"/>
              </v:shape>
            </w:pict>
          </mc:Fallback>
        </mc:AlternateContent>
      </w:r>
      <w:r w:rsidR="00636F46">
        <w:br w:type="page"/>
      </w:r>
      <w:bookmarkStart w:id="21" w:name="_Ref50019114"/>
      <w:r w:rsidR="00636F46">
        <w:rPr>
          <w:noProof/>
        </w:rPr>
        <mc:AlternateContent>
          <mc:Choice Requires="wpg">
            <w:drawing>
              <wp:anchor distT="0" distB="0" distL="114300" distR="114300" simplePos="0" relativeHeight="251618596" behindDoc="0" locked="0" layoutInCell="1" allowOverlap="1" wp14:anchorId="3C44F6BC" wp14:editId="7D16CFB5">
                <wp:simplePos x="0" y="0"/>
                <wp:positionH relativeFrom="column">
                  <wp:posOffset>-2540</wp:posOffset>
                </wp:positionH>
                <wp:positionV relativeFrom="paragraph">
                  <wp:posOffset>415925</wp:posOffset>
                </wp:positionV>
                <wp:extent cx="2771775" cy="1583055"/>
                <wp:effectExtent l="95250" t="95250" r="104775" b="93345"/>
                <wp:wrapSquare wrapText="bothSides"/>
                <wp:docPr id="1690911527" name="Group 1690911527"/>
                <wp:cNvGraphicFramePr/>
                <a:graphic xmlns:a="http://schemas.openxmlformats.org/drawingml/2006/main">
                  <a:graphicData uri="http://schemas.microsoft.com/office/word/2010/wordprocessingGroup">
                    <wpg:wgp>
                      <wpg:cNvGrpSpPr/>
                      <wpg:grpSpPr>
                        <a:xfrm>
                          <a:off x="0" y="0"/>
                          <a:ext cx="2771775" cy="1583055"/>
                          <a:chOff x="0" y="0"/>
                          <a:chExt cx="2771775" cy="1584068"/>
                        </a:xfrm>
                      </wpg:grpSpPr>
                      <wps:wsp>
                        <wps:cNvPr id="1690911528" name="Text Box 1690911528"/>
                        <wps:cNvSpPr txBox="1"/>
                        <wps:spPr>
                          <a:xfrm>
                            <a:off x="0" y="0"/>
                            <a:ext cx="2771775" cy="1584068"/>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13039755" w14:textId="77777777" w:rsidTr="00636F46">
                                <w:trPr>
                                  <w:trHeight w:val="358"/>
                                </w:trPr>
                                <w:tc>
                                  <w:tcPr>
                                    <w:tcW w:w="3394" w:type="dxa"/>
                                    <w:shd w:val="clear" w:color="auto" w:fill="auto"/>
                                  </w:tcPr>
                                  <w:p w14:paraId="2BD092DB" w14:textId="77777777" w:rsidR="00C6444C" w:rsidRPr="00101FFC" w:rsidRDefault="00C6444C">
                                    <w:pPr>
                                      <w:pStyle w:val="Calloutboxes"/>
                                      <w:rPr>
                                        <w:color w:val="012768"/>
                                      </w:rPr>
                                    </w:pPr>
                                  </w:p>
                                </w:tc>
                                <w:tc>
                                  <w:tcPr>
                                    <w:tcW w:w="1106" w:type="dxa"/>
                                    <w:shd w:val="clear" w:color="auto" w:fill="auto"/>
                                  </w:tcPr>
                                  <w:p w14:paraId="7B9EB7F1" w14:textId="77777777" w:rsidR="00C6444C" w:rsidRPr="00101FFC" w:rsidRDefault="00C6444C" w:rsidP="00D30138">
                                    <w:pPr>
                                      <w:pStyle w:val="Calloutboxes"/>
                                      <w:jc w:val="left"/>
                                      <w:rPr>
                                        <w:color w:val="FFFFFF" w:themeColor="background1"/>
                                        <w:sz w:val="24"/>
                                        <w:szCs w:val="24"/>
                                      </w:rPr>
                                    </w:pPr>
                                  </w:p>
                                </w:tc>
                              </w:tr>
                              <w:tr w:rsidR="00C6444C" w14:paraId="79331D7C" w14:textId="77777777" w:rsidTr="00636F46">
                                <w:trPr>
                                  <w:trHeight w:val="2157"/>
                                </w:trPr>
                                <w:tc>
                                  <w:tcPr>
                                    <w:tcW w:w="4500" w:type="dxa"/>
                                    <w:gridSpan w:val="2"/>
                                    <w:vAlign w:val="center"/>
                                  </w:tcPr>
                                  <w:p w14:paraId="0BD1583F" w14:textId="77777777" w:rsidR="00C6444C" w:rsidRPr="001847F0" w:rsidRDefault="00C6444C" w:rsidP="00636F46">
                                    <w:pPr>
                                      <w:pStyle w:val="Calloutboxes"/>
                                    </w:pPr>
                                    <w:r>
                                      <w:t>An MPO is a governmental entity required in urban areas with a population of 50,000 persons or more. The MPO is charged with providing a comprehensive regional transportation planning process for the designated planning area. MPOs work with ADOT and other partner agencies to develop federal- and state-required transportation plans and programs for their regions. An MPO ensures federal spending on transportation occurs through a comprehensive, continuous, and cooperative (3-C) planning process.</w:t>
                                    </w:r>
                                  </w:p>
                                </w:tc>
                              </w:tr>
                            </w:tbl>
                            <w:p w14:paraId="38FF0B85" w14:textId="77777777" w:rsidR="00C6444C" w:rsidRPr="00347D6E" w:rsidRDefault="00C6444C" w:rsidP="00636F46">
                              <w:pPr>
                                <w:pStyle w:val="Calloutboxes"/>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1529" name="Group 1690911529"/>
                        <wpg:cNvGrpSpPr/>
                        <wpg:grpSpPr>
                          <a:xfrm>
                            <a:off x="0" y="0"/>
                            <a:ext cx="2771775" cy="361315"/>
                            <a:chOff x="11875" y="29688"/>
                            <a:chExt cx="2772410" cy="456764"/>
                          </a:xfrm>
                        </wpg:grpSpPr>
                        <wps:wsp>
                          <wps:cNvPr id="1690911530" name="Rectangle 1690911530"/>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1531" name="Text Box 1690911531"/>
                          <wps:cNvSpPr txBox="1"/>
                          <wps:spPr>
                            <a:xfrm>
                              <a:off x="65323" y="29688"/>
                              <a:ext cx="2714509" cy="426646"/>
                            </a:xfrm>
                            <a:prstGeom prst="rect">
                              <a:avLst/>
                            </a:prstGeom>
                            <a:noFill/>
                            <a:ln w="6350">
                              <a:noFill/>
                            </a:ln>
                            <a:effectLst/>
                          </wps:spPr>
                          <wps:txbx>
                            <w:txbxContent>
                              <w:p w14:paraId="10780455" w14:textId="77777777" w:rsidR="00C6444C" w:rsidRPr="00101FFC" w:rsidRDefault="00C6444C" w:rsidP="00636F46">
                                <w:pPr>
                                  <w:jc w:val="center"/>
                                  <w:rPr>
                                    <w:color w:val="FFFFFF" w:themeColor="background1"/>
                                    <w:sz w:val="24"/>
                                  </w:rPr>
                                </w:pPr>
                                <w:r w:rsidRPr="00101FFC">
                                  <w:rPr>
                                    <w:color w:val="FFFFFF" w:themeColor="background1"/>
                                    <w:sz w:val="24"/>
                                  </w:rPr>
                                  <w:t>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C44F6BC" id="Group 1690911527" o:spid="_x0000_s1036" style="position:absolute;left:0;text-align:left;margin-left:-.2pt;margin-top:32.75pt;width:218.25pt;height:124.65pt;z-index:251618596;mso-height-relative:margin" coordsize="27717,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">
                <v:shape id="Text Box 1690911528" o:spid="_x0000_s1037" type="#_x0000_t202" style="position:absolute;width:27717;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13039755" w14:textId="77777777" w:rsidTr="00636F46">
                          <w:trPr>
                            <w:trHeight w:val="358"/>
                          </w:trPr>
                          <w:tc>
                            <w:tcPr>
                              <w:tcW w:w="3394" w:type="dxa"/>
                              <w:shd w:val="clear" w:color="auto" w:fill="auto"/>
                            </w:tcPr>
                            <w:p w14:paraId="2BD092DB" w14:textId="77777777" w:rsidR="00C6444C" w:rsidRPr="00101FFC" w:rsidRDefault="00C6444C">
                              <w:pPr>
                                <w:pStyle w:val="Calloutboxes"/>
                                <w:rPr>
                                  <w:color w:val="012768"/>
                                </w:rPr>
                              </w:pPr>
                            </w:p>
                          </w:tc>
                          <w:tc>
                            <w:tcPr>
                              <w:tcW w:w="1106" w:type="dxa"/>
                              <w:shd w:val="clear" w:color="auto" w:fill="auto"/>
                            </w:tcPr>
                            <w:p w14:paraId="7B9EB7F1" w14:textId="77777777" w:rsidR="00C6444C" w:rsidRPr="00101FFC" w:rsidRDefault="00C6444C" w:rsidP="00D30138">
                              <w:pPr>
                                <w:pStyle w:val="Calloutboxes"/>
                                <w:jc w:val="left"/>
                                <w:rPr>
                                  <w:color w:val="FFFFFF" w:themeColor="background1"/>
                                  <w:sz w:val="24"/>
                                  <w:szCs w:val="24"/>
                                </w:rPr>
                              </w:pPr>
                            </w:p>
                          </w:tc>
                        </w:tr>
                        <w:tr w:rsidR="00C6444C" w14:paraId="79331D7C" w14:textId="77777777" w:rsidTr="00636F46">
                          <w:trPr>
                            <w:trHeight w:val="2157"/>
                          </w:trPr>
                          <w:tc>
                            <w:tcPr>
                              <w:tcW w:w="4500" w:type="dxa"/>
                              <w:gridSpan w:val="2"/>
                              <w:vAlign w:val="center"/>
                            </w:tcPr>
                            <w:p w14:paraId="0BD1583F" w14:textId="77777777" w:rsidR="00C6444C" w:rsidRPr="001847F0" w:rsidRDefault="00C6444C" w:rsidP="00636F46">
                              <w:pPr>
                                <w:pStyle w:val="Calloutboxes"/>
                              </w:pPr>
                              <w:r>
                                <w:t>An MPO is a governmental entity required in urban areas with a population of 50,000 persons or more. The MPO is charged with providing a comprehensive regional transportation planning process for the designated planning area. MPOs work with ADOT and other partner agencies to develop federal- and state-required transportation plans and programs for their regions. An MPO ensures federal spending on transportation occurs through a comprehensive, continuous, and cooperative (3-C) planning process.</w:t>
                              </w:r>
                            </w:p>
                          </w:tc>
                        </w:tr>
                      </w:tbl>
                      <w:p w14:paraId="38FF0B85" w14:textId="77777777" w:rsidR="00C6444C" w:rsidRPr="00347D6E" w:rsidRDefault="00C6444C" w:rsidP="00636F46">
                        <w:pPr>
                          <w:pStyle w:val="Calloutboxes"/>
                          <w:jc w:val="left"/>
                        </w:pPr>
                      </w:p>
                    </w:txbxContent>
                  </v:textbox>
                </v:shape>
                <v:group id="Group 1690911529" o:spid="_x0000_s1038" style="position:absolute;width:27717;height:3613"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">
                  <v:rect id="Rectangle 1690911530" o:spid="_x0000_s1039"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" fillcolor="#012768" strokecolor="#1f4d78 [1604]" strokeweight="1pt"/>
                  <v:shape id="Text Box 1690911531" o:spid="_x0000_s1040" type="#_x0000_t202" style="position:absolute;left:653;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" filled="f" stroked="f" strokeweight=".5pt">
                    <v:textbox>
                      <w:txbxContent>
                        <w:p w14:paraId="10780455" w14:textId="77777777" w:rsidR="00C6444C" w:rsidRPr="00101FFC" w:rsidRDefault="00C6444C" w:rsidP="00636F46">
                          <w:pPr>
                            <w:jc w:val="center"/>
                            <w:rPr>
                              <w:color w:val="FFFFFF" w:themeColor="background1"/>
                              <w:sz w:val="24"/>
                            </w:rPr>
                          </w:pPr>
                          <w:r w:rsidRPr="00101FFC">
                            <w:rPr>
                              <w:color w:val="FFFFFF" w:themeColor="background1"/>
                              <w:sz w:val="24"/>
                            </w:rPr>
                            <w:t>MPO</w:t>
                          </w:r>
                        </w:p>
                      </w:txbxContent>
                    </v:textbox>
                  </v:shape>
                </v:group>
                <w10:wrap type="square"/>
              </v:group>
            </w:pict>
          </mc:Fallback>
        </mc:AlternateContent>
      </w:r>
      <w:r w:rsidR="00B609E9">
        <w:t>1.6</w:t>
      </w:r>
      <w:r w:rsidR="00636F46" w:rsidRPr="000F5649">
        <w:t xml:space="preserve"> | METROPOLITAN PLANNING ORGANIZATIONS</w:t>
      </w:r>
      <w:bookmarkEnd w:id="21"/>
      <w:r w:rsidR="00636F46" w:rsidRPr="000F5649">
        <w:t xml:space="preserve"> </w:t>
      </w:r>
    </w:p>
    <w:p w14:paraId="1E001F00" w14:textId="61A1C560" w:rsidR="00636F46" w:rsidRPr="000F5649" w:rsidRDefault="00B609E9" w:rsidP="00020D20">
      <w:pPr>
        <w:pStyle w:val="Heading3"/>
        <w:jc w:val="both"/>
      </w:pPr>
      <w:bookmarkStart w:id="22" w:name="_Ref50019174"/>
      <w:r>
        <w:t>1.6</w:t>
      </w:r>
      <w:r w:rsidR="00636F46" w:rsidRPr="000F5649">
        <w:t>.1 | Structure</w:t>
      </w:r>
      <w:bookmarkEnd w:id="22"/>
    </w:p>
    <w:p w14:paraId="05B20C5C" w14:textId="77777777" w:rsidR="00636F46" w:rsidRPr="000F5649" w:rsidRDefault="00636F46" w:rsidP="00020D20">
      <w:pPr>
        <w:jc w:val="both"/>
      </w:pPr>
      <w:r w:rsidRPr="000F5649">
        <w:t xml:space="preserve">MPOs are created through an agreement between Arizona’s governor and the cities and towns within a metropolitan area. They are governed by boards that serve as policy committees with representatives from state and local governments, tribal members, regional planning agencies, business groups, and public transit providers as defined in the MPO bylaws. MPOs typically have several topic-based advisory committees and have a professional staff to facilitate committee discussions and conduct the work outlined in the UPWP. </w:t>
      </w:r>
    </w:p>
    <w:p w14:paraId="1A90D23B" w14:textId="4C483494" w:rsidR="00636F46" w:rsidRPr="000F5649" w:rsidRDefault="00636F46" w:rsidP="00020D20">
      <w:pPr>
        <w:pStyle w:val="Heading3"/>
        <w:jc w:val="both"/>
      </w:pPr>
      <w:bookmarkStart w:id="23" w:name="_Ref50019180"/>
      <w:r w:rsidRPr="000F5649">
        <w:t>1.</w:t>
      </w:r>
      <w:r w:rsidR="00B609E9">
        <w:t>6</w:t>
      </w:r>
      <w:r w:rsidRPr="000F5649">
        <w:t>.2 | Funding</w:t>
      </w:r>
      <w:bookmarkEnd w:id="23"/>
    </w:p>
    <w:p w14:paraId="40DDECBD" w14:textId="41CB692B" w:rsidR="00636F46" w:rsidRDefault="00636F46" w:rsidP="00020D20">
      <w:pPr>
        <w:jc w:val="both"/>
      </w:pPr>
      <w:r>
        <w:rPr>
          <w:rFonts w:cstheme="minorHAnsi"/>
          <w:noProof/>
        </w:rPr>
        <mc:AlternateContent>
          <mc:Choice Requires="wps">
            <w:drawing>
              <wp:anchor distT="0" distB="0" distL="114300" distR="114300" simplePos="0" relativeHeight="251618575" behindDoc="1" locked="0" layoutInCell="1" allowOverlap="1" wp14:anchorId="54CE8DD4" wp14:editId="6F2B3B80">
                <wp:simplePos x="0" y="0"/>
                <wp:positionH relativeFrom="column">
                  <wp:posOffset>-2540</wp:posOffset>
                </wp:positionH>
                <wp:positionV relativeFrom="paragraph">
                  <wp:posOffset>730885</wp:posOffset>
                </wp:positionV>
                <wp:extent cx="1373505" cy="1144905"/>
                <wp:effectExtent l="95250" t="76200" r="93345" b="74295"/>
                <wp:wrapTight wrapText="bothSides">
                  <wp:wrapPolygon edited="0">
                    <wp:start x="-899" y="-1438"/>
                    <wp:lineTo x="-1498" y="-1078"/>
                    <wp:lineTo x="-1198" y="22642"/>
                    <wp:lineTo x="22469" y="22642"/>
                    <wp:lineTo x="22768" y="4672"/>
                    <wp:lineTo x="22169" y="-719"/>
                    <wp:lineTo x="22169" y="-1438"/>
                    <wp:lineTo x="-899" y="-1438"/>
                  </wp:wrapPolygon>
                </wp:wrapTight>
                <wp:docPr id="1690911542" name="Text Box 1690911542"/>
                <wp:cNvGraphicFramePr/>
                <a:graphic xmlns:a="http://schemas.openxmlformats.org/drawingml/2006/main">
                  <a:graphicData uri="http://schemas.microsoft.com/office/word/2010/wordprocessingShape">
                    <wps:wsp>
                      <wps:cNvSpPr txBox="1"/>
                      <wps:spPr>
                        <a:xfrm>
                          <a:off x="0" y="0"/>
                          <a:ext cx="1373505" cy="11449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001BEE7" w14:textId="77777777" w:rsidR="00C6444C" w:rsidRDefault="00C6444C" w:rsidP="00636F46">
                            <w:pPr>
                              <w:jc w:val="center"/>
                            </w:pPr>
                            <w:r>
                              <w:rPr>
                                <w:noProof/>
                              </w:rPr>
                              <w:drawing>
                                <wp:inline distT="0" distB="0" distL="0" distR="0" wp14:anchorId="4EF94A09" wp14:editId="4C9A0E24">
                                  <wp:extent cx="457200" cy="457200"/>
                                  <wp:effectExtent l="0" t="0" r="0" b="0"/>
                                  <wp:docPr id="1690912086" name="Picture 169091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E057704" w14:textId="77777777" w:rsidR="00C6444C" w:rsidRPr="00885508" w:rsidRDefault="00C6444C" w:rsidP="00636F46">
                            <w:pPr>
                              <w:pStyle w:val="Calloutboxes"/>
                            </w:pPr>
                            <w:r>
                              <w:t>Funding for MPO programs and projects are described in chapter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CE8DD4" id="Text Box 1690911542" o:spid="_x0000_s1041" type="#_x0000_t202" style="position:absolute;left:0;text-align:left;margin-left:-.2pt;margin-top:57.55pt;width:108.15pt;height:90.15pt;z-index:-2516979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" fillcolor="#f7f7f7" stroked="f" strokeweight=".5pt">
                <v:shadow on="t" type="perspective" color="black" opacity="26214f" offset="0,0" matrix="66847f,,,66847f"/>
                <v:textbox>
                  <w:txbxContent>
                    <w:p w14:paraId="4001BEE7" w14:textId="77777777" w:rsidR="00C6444C" w:rsidRDefault="00C6444C" w:rsidP="00636F46">
                      <w:pPr>
                        <w:jc w:val="center"/>
                      </w:pPr>
                      <w:r>
                        <w:rPr>
                          <w:noProof/>
                        </w:rPr>
                        <w:drawing>
                          <wp:inline distT="0" distB="0" distL="0" distR="0" wp14:anchorId="4EF94A09" wp14:editId="4C9A0E24">
                            <wp:extent cx="457200" cy="457200"/>
                            <wp:effectExtent l="0" t="0" r="0" b="0"/>
                            <wp:docPr id="1690912086" name="Picture 169091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E057704" w14:textId="77777777" w:rsidR="00C6444C" w:rsidRPr="00885508" w:rsidRDefault="00C6444C" w:rsidP="00636F46">
                      <w:pPr>
                        <w:pStyle w:val="Calloutboxes"/>
                      </w:pPr>
                      <w:r>
                        <w:t>Funding for MPO programs and projects are described in chapter 10.</w:t>
                      </w:r>
                    </w:p>
                  </w:txbxContent>
                </v:textbox>
                <w10:wrap type="tight"/>
              </v:shape>
            </w:pict>
          </mc:Fallback>
        </mc:AlternateContent>
      </w:r>
      <w:r w:rsidRPr="000F5649">
        <w:t>MPOs typically receive their funding both from the federal government and through ADOT</w:t>
      </w:r>
      <w:r w:rsidR="00E0678B">
        <w:t xml:space="preserve"> that include SPR and </w:t>
      </w:r>
      <w:r w:rsidR="00E0678B" w:rsidRPr="004D0795">
        <w:t>ST</w:t>
      </w:r>
      <w:r w:rsidR="00E0678B">
        <w:t>BG</w:t>
      </w:r>
      <w:r w:rsidRPr="000F5649">
        <w:t xml:space="preserve">. Several factors determine the amount of funding granted, including formula funds, transit activities, air quality conformity planning, and other agreed-upon planning work outlined in the </w:t>
      </w:r>
      <w:r w:rsidR="00BD216C">
        <w:t>GRT</w:t>
      </w:r>
      <w:r w:rsidRPr="000F5649">
        <w:t xml:space="preserve"> and UPWP.</w:t>
      </w:r>
    </w:p>
    <w:p w14:paraId="1CCFD731" w14:textId="13DBA16A" w:rsidR="00636F46" w:rsidRPr="000F5649" w:rsidRDefault="00636F46" w:rsidP="00020D20">
      <w:pPr>
        <w:pStyle w:val="Heading3"/>
        <w:jc w:val="both"/>
      </w:pPr>
      <w:r>
        <w:br w:type="column"/>
      </w:r>
      <w:bookmarkStart w:id="24" w:name="_Ref50019185"/>
      <w:r w:rsidR="00B609E9">
        <w:t>1.6</w:t>
      </w:r>
      <w:r w:rsidRPr="000F5649">
        <w:t>.3 | Products</w:t>
      </w:r>
      <w:bookmarkEnd w:id="24"/>
    </w:p>
    <w:p w14:paraId="6C7F460B" w14:textId="77777777" w:rsidR="00636F46" w:rsidRPr="000F5649" w:rsidRDefault="00636F46" w:rsidP="00020D20">
      <w:pPr>
        <w:jc w:val="both"/>
      </w:pPr>
      <w:r w:rsidRPr="000F5649">
        <w:t xml:space="preserve">Each MPO is responsible for at a minimum producing the following: </w:t>
      </w:r>
    </w:p>
    <w:p w14:paraId="69AF0CA1" w14:textId="77777777" w:rsidR="00636F46" w:rsidRPr="000F5649" w:rsidRDefault="00636F46" w:rsidP="00020D20">
      <w:pPr>
        <w:pStyle w:val="Body-Bullets"/>
        <w:jc w:val="both"/>
      </w:pPr>
      <w:r w:rsidRPr="000F5649">
        <w:t>MTP/RTP</w:t>
      </w:r>
    </w:p>
    <w:p w14:paraId="7B846768" w14:textId="77777777" w:rsidR="00636F46" w:rsidRPr="000F5649" w:rsidRDefault="00636F46" w:rsidP="00020D20">
      <w:pPr>
        <w:pStyle w:val="Body-Bullets"/>
        <w:jc w:val="both"/>
      </w:pPr>
      <w:r w:rsidRPr="000F5649">
        <w:t>UPWP</w:t>
      </w:r>
    </w:p>
    <w:p w14:paraId="218008B4" w14:textId="77777777" w:rsidR="00636F46" w:rsidRPr="000F5649" w:rsidRDefault="00636F46" w:rsidP="00020D20">
      <w:pPr>
        <w:pStyle w:val="Body-Bullets"/>
        <w:jc w:val="both"/>
      </w:pPr>
      <w:r w:rsidRPr="000F5649">
        <w:t>TIP</w:t>
      </w:r>
    </w:p>
    <w:p w14:paraId="47DAA80C" w14:textId="77777777" w:rsidR="00636F46" w:rsidRPr="000F5649" w:rsidRDefault="00636F46" w:rsidP="00020D20">
      <w:pPr>
        <w:pStyle w:val="Body-Bullets"/>
        <w:jc w:val="both"/>
      </w:pPr>
      <w:r w:rsidRPr="000F5649">
        <w:t>Public Participation Plan</w:t>
      </w:r>
    </w:p>
    <w:p w14:paraId="2A6DB937" w14:textId="77777777" w:rsidR="00636F46" w:rsidRPr="000F5649" w:rsidRDefault="00636F46" w:rsidP="00020D20">
      <w:pPr>
        <w:pStyle w:val="Body-Bullets"/>
        <w:jc w:val="both"/>
      </w:pPr>
      <w:r w:rsidRPr="000F5649">
        <w:t>Title VI Plan</w:t>
      </w:r>
    </w:p>
    <w:p w14:paraId="4E673930" w14:textId="77777777" w:rsidR="00636F46" w:rsidRPr="000F5649" w:rsidRDefault="00636F46" w:rsidP="00020D20">
      <w:pPr>
        <w:pStyle w:val="Body-Bullets"/>
        <w:jc w:val="both"/>
      </w:pPr>
      <w:r w:rsidRPr="000F5649">
        <w:t>Regional Coordination Plan</w:t>
      </w:r>
    </w:p>
    <w:p w14:paraId="37448867" w14:textId="699FD94C" w:rsidR="00636F46" w:rsidRPr="000F5649" w:rsidRDefault="00636F46" w:rsidP="00020D20">
      <w:pPr>
        <w:pStyle w:val="Body-Bullets"/>
        <w:jc w:val="both"/>
      </w:pPr>
      <w:r w:rsidRPr="000F5649">
        <w:t>Air Quality Plan</w:t>
      </w:r>
      <w:r w:rsidR="00FA7F5B">
        <w:t xml:space="preserve"> (</w:t>
      </w:r>
      <w:r w:rsidR="00FA7F5B" w:rsidRPr="00223C84">
        <w:rPr>
          <w:i/>
        </w:rPr>
        <w:t>only for non-attainment</w:t>
      </w:r>
      <w:r w:rsidR="00FA7F5B">
        <w:t>)</w:t>
      </w:r>
    </w:p>
    <w:p w14:paraId="5B31B693" w14:textId="7A09E24B" w:rsidR="00636F46" w:rsidRPr="000F5649" w:rsidRDefault="00636F46" w:rsidP="00020D20">
      <w:pPr>
        <w:pStyle w:val="Heading3"/>
        <w:jc w:val="both"/>
        <w:rPr>
          <w:szCs w:val="20"/>
        </w:rPr>
      </w:pPr>
      <w:bookmarkStart w:id="25" w:name="_Ref50019190"/>
      <w:r w:rsidRPr="05839DC1">
        <w:rPr>
          <w:szCs w:val="20"/>
        </w:rPr>
        <w:t>1.</w:t>
      </w:r>
      <w:r w:rsidR="00B609E9">
        <w:rPr>
          <w:szCs w:val="20"/>
        </w:rPr>
        <w:t>6</w:t>
      </w:r>
      <w:r w:rsidRPr="05839DC1">
        <w:rPr>
          <w:szCs w:val="20"/>
        </w:rPr>
        <w:t>.4 | MPOs in Arizona (Non-TMA)</w:t>
      </w:r>
      <w:bookmarkEnd w:id="25"/>
    </w:p>
    <w:p w14:paraId="1D361978" w14:textId="149F03D1" w:rsidR="00636F46" w:rsidRDefault="00BF4C39" w:rsidP="00020D20">
      <w:pPr>
        <w:jc w:val="both"/>
        <w:rPr>
          <w:b/>
        </w:rPr>
        <w:sectPr w:rsidR="00636F46" w:rsidSect="000C5731">
          <w:type w:val="continuous"/>
          <w:pgSz w:w="12240" w:h="15840"/>
          <w:pgMar w:top="1080" w:right="1080" w:bottom="1080" w:left="1080" w:header="1152" w:footer="720" w:gutter="0"/>
          <w:cols w:num="2" w:space="1152"/>
          <w:docGrid w:linePitch="360"/>
        </w:sectPr>
      </w:pPr>
      <w:r>
        <w:rPr>
          <w:rFonts w:cstheme="minorHAnsi"/>
          <w:noProof/>
        </w:rPr>
        <mc:AlternateContent>
          <mc:Choice Requires="wps">
            <w:drawing>
              <wp:anchor distT="0" distB="0" distL="114300" distR="114300" simplePos="0" relativeHeight="251618576" behindDoc="1" locked="0" layoutInCell="1" allowOverlap="1" wp14:anchorId="6022A97B" wp14:editId="68969B4D">
                <wp:simplePos x="0" y="0"/>
                <wp:positionH relativeFrom="column">
                  <wp:posOffset>1523365</wp:posOffset>
                </wp:positionH>
                <wp:positionV relativeFrom="paragraph">
                  <wp:posOffset>167005</wp:posOffset>
                </wp:positionV>
                <wp:extent cx="1168977" cy="1286510"/>
                <wp:effectExtent l="76200" t="95250" r="69850" b="104140"/>
                <wp:wrapTight wrapText="bothSides">
                  <wp:wrapPolygon edited="0">
                    <wp:start x="-1057" y="-1599"/>
                    <wp:lineTo x="-1409" y="-960"/>
                    <wp:lineTo x="-1409" y="21110"/>
                    <wp:lineTo x="-1057" y="23029"/>
                    <wp:lineTo x="22539" y="23029"/>
                    <wp:lineTo x="22539" y="4158"/>
                    <wp:lineTo x="22187" y="-640"/>
                    <wp:lineTo x="22187" y="-1599"/>
                    <wp:lineTo x="-1057" y="-1599"/>
                  </wp:wrapPolygon>
                </wp:wrapTight>
                <wp:docPr id="1690911543" name="Text Box 1690911543"/>
                <wp:cNvGraphicFramePr/>
                <a:graphic xmlns:a="http://schemas.openxmlformats.org/drawingml/2006/main">
                  <a:graphicData uri="http://schemas.microsoft.com/office/word/2010/wordprocessingShape">
                    <wps:wsp>
                      <wps:cNvSpPr txBox="1"/>
                      <wps:spPr>
                        <a:xfrm>
                          <a:off x="0" y="0"/>
                          <a:ext cx="1168977" cy="128651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D1D50DF" w14:textId="77777777" w:rsidR="00C6444C" w:rsidRDefault="00C6444C" w:rsidP="00636F46">
                            <w:pPr>
                              <w:jc w:val="center"/>
                            </w:pPr>
                            <w:r>
                              <w:rPr>
                                <w:noProof/>
                              </w:rPr>
                              <w:drawing>
                                <wp:inline distT="0" distB="0" distL="0" distR="0" wp14:anchorId="11AF9152" wp14:editId="1766A180">
                                  <wp:extent cx="457200" cy="457200"/>
                                  <wp:effectExtent l="0" t="0" r="0" b="0"/>
                                  <wp:docPr id="1690912087" name="Picture 169091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8B45406" w14:textId="2C54043E" w:rsidR="00C6444C" w:rsidRPr="00885508" w:rsidRDefault="00C6444C" w:rsidP="00636F46">
                            <w:pPr>
                              <w:pStyle w:val="Calloutboxes"/>
                            </w:pPr>
                            <w:r>
                              <w:t xml:space="preserve">Federal law detailing metropolitan planning requirements is codified in </w:t>
                            </w:r>
                            <w:hyperlink r:id="rId75" w:history="1">
                              <w:r w:rsidRPr="00101FFC">
                                <w:rPr>
                                  <w:rStyle w:val="TitleChar"/>
                                  <w:sz w:val="16"/>
                                  <w:szCs w:val="16"/>
                                </w:rPr>
                                <w:t>23 U</w:t>
                              </w:r>
                              <w:r>
                                <w:rPr>
                                  <w:rStyle w:val="TitleChar"/>
                                  <w:sz w:val="16"/>
                                  <w:szCs w:val="16"/>
                                </w:rPr>
                                <w:t>.</w:t>
                              </w:r>
                              <w:r w:rsidRPr="00101FFC">
                                <w:rPr>
                                  <w:rStyle w:val="TitleChar"/>
                                  <w:sz w:val="16"/>
                                  <w:szCs w:val="16"/>
                                </w:rPr>
                                <w:t>S</w:t>
                              </w:r>
                              <w:r>
                                <w:rPr>
                                  <w:rStyle w:val="TitleChar"/>
                                  <w:sz w:val="16"/>
                                  <w:szCs w:val="16"/>
                                </w:rPr>
                                <w:t>.</w:t>
                              </w:r>
                              <w:r w:rsidRPr="00101FFC">
                                <w:rPr>
                                  <w:rStyle w:val="TitleChar"/>
                                  <w:sz w:val="16"/>
                                  <w:szCs w:val="16"/>
                                </w:rPr>
                                <w:t>C</w:t>
                              </w:r>
                              <w:r>
                                <w:rPr>
                                  <w:rStyle w:val="TitleChar"/>
                                  <w:sz w:val="16"/>
                                  <w:szCs w:val="16"/>
                                </w:rPr>
                                <w:t>.</w:t>
                              </w:r>
                              <w:r w:rsidRPr="00101FFC">
                                <w:rPr>
                                  <w:rStyle w:val="TitleChar"/>
                                  <w:sz w:val="16"/>
                                  <w:szCs w:val="16"/>
                                </w:rPr>
                                <w:t xml:space="preserve"> § 134</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22A97B" id="Text Box 1690911543" o:spid="_x0000_s1042" type="#_x0000_t202" style="position:absolute;left:0;text-align:left;margin-left:119.95pt;margin-top:13.15pt;width:92.05pt;height:101.3pt;z-index:-25169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" fillcolor="#f7f7f7" stroked="f" strokeweight=".5pt">
                <v:shadow on="t" type="perspective" color="black" opacity="26214f" offset="0,0" matrix="66847f,,,66847f"/>
                <v:textbox>
                  <w:txbxContent>
                    <w:p w14:paraId="4D1D50DF" w14:textId="77777777" w:rsidR="00C6444C" w:rsidRDefault="00C6444C" w:rsidP="00636F46">
                      <w:pPr>
                        <w:jc w:val="center"/>
                      </w:pPr>
                      <w:r>
                        <w:rPr>
                          <w:noProof/>
                        </w:rPr>
                        <w:drawing>
                          <wp:inline distT="0" distB="0" distL="0" distR="0" wp14:anchorId="11AF9152" wp14:editId="1766A180">
                            <wp:extent cx="457200" cy="457200"/>
                            <wp:effectExtent l="0" t="0" r="0" b="0"/>
                            <wp:docPr id="1690912087" name="Picture 169091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8B45406" w14:textId="2C54043E" w:rsidR="00C6444C" w:rsidRPr="00885508" w:rsidRDefault="00C6444C" w:rsidP="00636F46">
                      <w:pPr>
                        <w:pStyle w:val="Calloutboxes"/>
                      </w:pPr>
                      <w:r>
                        <w:t xml:space="preserve">Federal law detailing metropolitan planning requirements is codified in </w:t>
                      </w:r>
                      <w:hyperlink r:id="rId77" w:history="1">
                        <w:r w:rsidRPr="00101FFC">
                          <w:rPr>
                            <w:rStyle w:val="TitleChar"/>
                            <w:sz w:val="16"/>
                            <w:szCs w:val="16"/>
                          </w:rPr>
                          <w:t>23 U</w:t>
                        </w:r>
                        <w:r>
                          <w:rPr>
                            <w:rStyle w:val="TitleChar"/>
                            <w:sz w:val="16"/>
                            <w:szCs w:val="16"/>
                          </w:rPr>
                          <w:t>.</w:t>
                        </w:r>
                        <w:r w:rsidRPr="00101FFC">
                          <w:rPr>
                            <w:rStyle w:val="TitleChar"/>
                            <w:sz w:val="16"/>
                            <w:szCs w:val="16"/>
                          </w:rPr>
                          <w:t>S</w:t>
                        </w:r>
                        <w:r>
                          <w:rPr>
                            <w:rStyle w:val="TitleChar"/>
                            <w:sz w:val="16"/>
                            <w:szCs w:val="16"/>
                          </w:rPr>
                          <w:t>.</w:t>
                        </w:r>
                        <w:r w:rsidRPr="00101FFC">
                          <w:rPr>
                            <w:rStyle w:val="TitleChar"/>
                            <w:sz w:val="16"/>
                            <w:szCs w:val="16"/>
                          </w:rPr>
                          <w:t>C</w:t>
                        </w:r>
                        <w:r>
                          <w:rPr>
                            <w:rStyle w:val="TitleChar"/>
                            <w:sz w:val="16"/>
                            <w:szCs w:val="16"/>
                          </w:rPr>
                          <w:t>.</w:t>
                        </w:r>
                        <w:r w:rsidRPr="00101FFC">
                          <w:rPr>
                            <w:rStyle w:val="TitleChar"/>
                            <w:sz w:val="16"/>
                            <w:szCs w:val="16"/>
                          </w:rPr>
                          <w:t xml:space="preserve"> § 134</w:t>
                        </w:r>
                      </w:hyperlink>
                    </w:p>
                  </w:txbxContent>
                </v:textbox>
                <w10:wrap type="tight"/>
              </v:shape>
            </w:pict>
          </mc:Fallback>
        </mc:AlternateContent>
      </w:r>
      <w:r w:rsidR="00636F46" w:rsidRPr="000F5649">
        <w:t xml:space="preserve">Beyond the two MPOs certified as TMAs, Arizona has six other MPOs: </w:t>
      </w:r>
      <w:r w:rsidR="00636F46" w:rsidRPr="00101FFC">
        <w:rPr>
          <w:b/>
        </w:rPr>
        <w:t>Central Yavapai Metropolitan Planning Organization</w:t>
      </w:r>
      <w:r w:rsidR="00636F46" w:rsidRPr="000F5649">
        <w:t xml:space="preserve"> (CYMPO),</w:t>
      </w:r>
      <w:r w:rsidR="00636F46">
        <w:t xml:space="preserve"> </w:t>
      </w:r>
      <w:r w:rsidR="005070BF" w:rsidRPr="00305638">
        <w:rPr>
          <w:b/>
        </w:rPr>
        <w:t xml:space="preserve">Flagstaff Metropolitan Planning Organization </w:t>
      </w:r>
      <w:r w:rsidR="005070BF">
        <w:t xml:space="preserve">(FMPO), </w:t>
      </w:r>
      <w:r w:rsidR="00636F46" w:rsidRPr="00101FFC">
        <w:rPr>
          <w:b/>
        </w:rPr>
        <w:t>Lake Havasu Metropolitan Planning Organization</w:t>
      </w:r>
      <w:r w:rsidR="00636F46">
        <w:t xml:space="preserve"> </w:t>
      </w:r>
      <w:r w:rsidR="00636F46" w:rsidRPr="000F5649">
        <w:t>(LHMPO)</w:t>
      </w:r>
      <w:r w:rsidR="00636F46">
        <w:t xml:space="preserve">, </w:t>
      </w:r>
      <w:r w:rsidR="00636F46" w:rsidRPr="00101FFC">
        <w:rPr>
          <w:b/>
        </w:rPr>
        <w:t>Sun Corridor Metropolitan Planning Organization</w:t>
      </w:r>
      <w:r w:rsidR="00636F46">
        <w:t xml:space="preserve"> (SCMPO), </w:t>
      </w:r>
      <w:r w:rsidR="00636F46" w:rsidRPr="00101FFC">
        <w:rPr>
          <w:b/>
        </w:rPr>
        <w:t>Sierra Vista Metropolitan Planning Organization</w:t>
      </w:r>
      <w:r w:rsidR="00636F46">
        <w:t xml:space="preserve"> (SVMPO), and</w:t>
      </w:r>
      <w:r w:rsidR="00636F46" w:rsidRPr="000F5649">
        <w:t xml:space="preserve"> </w:t>
      </w:r>
      <w:r w:rsidR="00636F46" w:rsidRPr="00101FFC">
        <w:rPr>
          <w:b/>
        </w:rPr>
        <w:t>Yuma Metropolitan Planning Organization</w:t>
      </w:r>
      <w:r w:rsidR="00636F46" w:rsidRPr="000F5649">
        <w:t xml:space="preserve"> (YMPO)</w:t>
      </w:r>
      <w:r w:rsidR="00636F46">
        <w:t xml:space="preserve">. </w:t>
      </w:r>
      <w:r w:rsidR="00636F46" w:rsidRPr="000F5649">
        <w:t>Each of these MPOs is described on the following pages.</w:t>
      </w:r>
    </w:p>
    <w:bookmarkStart w:id="26" w:name="_Ref50023194"/>
    <w:p w14:paraId="3F7BD1EE" w14:textId="688B13B4" w:rsidR="00636F46" w:rsidRPr="00020D20" w:rsidRDefault="005070BF" w:rsidP="00020D20">
      <w:pPr>
        <w:pStyle w:val="BodyTextTitle"/>
        <w:jc w:val="both"/>
        <w:rPr>
          <w:sz w:val="38"/>
          <w:szCs w:val="38"/>
        </w:rPr>
      </w:pPr>
      <w:r w:rsidRPr="00020D20">
        <w:rPr>
          <w:noProof/>
          <w:sz w:val="38"/>
          <w:szCs w:val="38"/>
        </w:rPr>
        <mc:AlternateContent>
          <mc:Choice Requires="wps">
            <w:drawing>
              <wp:anchor distT="0" distB="0" distL="114300" distR="114300" simplePos="0" relativeHeight="251618555" behindDoc="0" locked="0" layoutInCell="1" allowOverlap="1" wp14:anchorId="4515493D" wp14:editId="74D0D846">
                <wp:simplePos x="0" y="0"/>
                <wp:positionH relativeFrom="column">
                  <wp:posOffset>3416935</wp:posOffset>
                </wp:positionH>
                <wp:positionV relativeFrom="paragraph">
                  <wp:posOffset>334645</wp:posOffset>
                </wp:positionV>
                <wp:extent cx="2689860" cy="318770"/>
                <wp:effectExtent l="0" t="0" r="0" b="5080"/>
                <wp:wrapNone/>
                <wp:docPr id="1690911544" name="Text Box 1690911544"/>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74E7381" w14:textId="77777777" w:rsidR="00C6444C" w:rsidRPr="00101FFC" w:rsidRDefault="00C6444C" w:rsidP="00636F46">
                            <w:pPr>
                              <w:pStyle w:val="Heading4"/>
                            </w:pPr>
                            <w:r w:rsidRPr="00101FFC">
                              <w:t>Figure 1-</w:t>
                            </w:r>
                            <w:r>
                              <w:t>4</w:t>
                            </w:r>
                            <w:r w:rsidRPr="00101FFC">
                              <w:t xml:space="preserve"> | </w:t>
                            </w:r>
                            <w:r>
                              <w:t>CYMPO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4515493D" id="Text Box 1690911544" o:spid="_x0000_s1043" type="#_x0000_t202" style="position:absolute;left:0;text-align:left;margin-left:269.05pt;margin-top:26.35pt;width:211.8pt;height:25.1pt;z-index:2516185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" filled="f" stroked="f" strokeweight="1pt">
                <v:textbox>
                  <w:txbxContent>
                    <w:p w14:paraId="574E7381" w14:textId="77777777" w:rsidR="00C6444C" w:rsidRPr="00101FFC" w:rsidRDefault="00C6444C" w:rsidP="00636F46">
                      <w:pPr>
                        <w:pStyle w:val="Heading4"/>
                      </w:pPr>
                      <w:r w:rsidRPr="00101FFC">
                        <w:t>Figure 1-</w:t>
                      </w:r>
                      <w:r>
                        <w:t>4</w:t>
                      </w:r>
                      <w:r w:rsidRPr="00101FFC">
                        <w:t xml:space="preserve"> | </w:t>
                      </w:r>
                      <w:r>
                        <w:t>CYMPO Regional Area</w:t>
                      </w:r>
                    </w:p>
                  </w:txbxContent>
                </v:textbox>
              </v:shape>
            </w:pict>
          </mc:Fallback>
        </mc:AlternateContent>
      </w:r>
      <w:r w:rsidR="00636F46" w:rsidRPr="00020D20">
        <w:rPr>
          <w:sz w:val="38"/>
          <w:szCs w:val="38"/>
        </w:rPr>
        <w:t>Central Yavapai Metropolitan Planning Organization</w:t>
      </w:r>
      <w:r w:rsidR="00A60CF7" w:rsidRPr="00020D20">
        <w:rPr>
          <w:sz w:val="38"/>
          <w:szCs w:val="38"/>
        </w:rPr>
        <w:t xml:space="preserve"> </w:t>
      </w:r>
      <w:r w:rsidR="00636F46" w:rsidRPr="00020D20">
        <w:rPr>
          <w:sz w:val="38"/>
          <w:szCs w:val="38"/>
        </w:rPr>
        <w:t>(CYMPO)</w:t>
      </w:r>
      <w:bookmarkEnd w:id="26"/>
    </w:p>
    <w:p w14:paraId="0C31804A" w14:textId="73AC53C6" w:rsidR="00636F46" w:rsidRDefault="00636F46" w:rsidP="00020D20">
      <w:pPr>
        <w:jc w:val="both"/>
        <w:rPr>
          <w:b/>
        </w:rPr>
      </w:pPr>
      <w:r>
        <w:rPr>
          <w:b/>
          <w:noProof/>
        </w:rPr>
        <w:drawing>
          <wp:anchor distT="0" distB="0" distL="114300" distR="114300" simplePos="0" relativeHeight="251618554" behindDoc="0" locked="0" layoutInCell="1" allowOverlap="1" wp14:anchorId="1F28E1E5" wp14:editId="0B05E693">
            <wp:simplePos x="0" y="0"/>
            <wp:positionH relativeFrom="column">
              <wp:posOffset>3423920</wp:posOffset>
            </wp:positionH>
            <wp:positionV relativeFrom="paragraph">
              <wp:posOffset>152400</wp:posOffset>
            </wp:positionV>
            <wp:extent cx="2973070" cy="3731260"/>
            <wp:effectExtent l="0" t="0" r="0" b="2540"/>
            <wp:wrapSquare wrapText="bothSides"/>
            <wp:docPr id="816286106" name="Picture 81628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28" name="1_Map2-CYMPO REDUCED.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73070" cy="3731260"/>
                    </a:xfrm>
                    <a:prstGeom prst="rect">
                      <a:avLst/>
                    </a:prstGeom>
                  </pic:spPr>
                </pic:pic>
              </a:graphicData>
            </a:graphic>
            <wp14:sizeRelH relativeFrom="page">
              <wp14:pctWidth>0</wp14:pctWidth>
            </wp14:sizeRelH>
            <wp14:sizeRelV relativeFrom="page">
              <wp14:pctHeight>0</wp14:pctHeight>
            </wp14:sizeRelV>
          </wp:anchor>
        </w:drawing>
      </w:r>
      <w:r>
        <w:t xml:space="preserve">The </w:t>
      </w:r>
      <w:r w:rsidRPr="004D0795">
        <w:t>C</w:t>
      </w:r>
      <w:r>
        <w:t xml:space="preserve">entral </w:t>
      </w:r>
      <w:r w:rsidRPr="004D0795">
        <w:t>Y</w:t>
      </w:r>
      <w:r>
        <w:t xml:space="preserve">avapai </w:t>
      </w:r>
      <w:r w:rsidRPr="004D0795">
        <w:t>MPO is a partnership of the jurisdictions that are within its planning area, which includes: the city of Prescott, town of Chino Valley, town of Dewey-Humboldt, town of Prescott Valley, Yavapai County, and ADOT. CYMPO’s purpose is to cooperatively plan the transportation future of the Central Yavapai region that falls within the 401 square miles of the MPO planning boundary. CYMPO’s boundary is shown in Figure 1-</w:t>
      </w:r>
      <w:r>
        <w:t>4.</w:t>
      </w:r>
    </w:p>
    <w:p w14:paraId="62134EC7" w14:textId="77777777" w:rsidR="00636F46" w:rsidRDefault="00636F46" w:rsidP="00020D20">
      <w:pPr>
        <w:jc w:val="both"/>
      </w:pPr>
    </w:p>
    <w:p w14:paraId="19C21577" w14:textId="54EBFA37" w:rsidR="00636F46" w:rsidRDefault="002C1B60" w:rsidP="00020D20">
      <w:pPr>
        <w:pStyle w:val="Heading4"/>
        <w:jc w:val="both"/>
      </w:pPr>
      <w:r>
        <w:rPr>
          <w:rFonts w:cstheme="minorHAnsi"/>
          <w:noProof/>
        </w:rPr>
        <mc:AlternateContent>
          <mc:Choice Requires="wps">
            <w:drawing>
              <wp:anchor distT="0" distB="0" distL="114300" distR="114300" simplePos="0" relativeHeight="251618577" behindDoc="0" locked="0" layoutInCell="1" allowOverlap="1" wp14:anchorId="79A9B30F" wp14:editId="7C6B53AA">
                <wp:simplePos x="0" y="0"/>
                <wp:positionH relativeFrom="column">
                  <wp:posOffset>3419475</wp:posOffset>
                </wp:positionH>
                <wp:positionV relativeFrom="paragraph">
                  <wp:posOffset>2678430</wp:posOffset>
                </wp:positionV>
                <wp:extent cx="1734820" cy="1390650"/>
                <wp:effectExtent l="95250" t="95250" r="74930" b="95250"/>
                <wp:wrapNone/>
                <wp:docPr id="1690911545" name="Text Box 1690911545"/>
                <wp:cNvGraphicFramePr/>
                <a:graphic xmlns:a="http://schemas.openxmlformats.org/drawingml/2006/main">
                  <a:graphicData uri="http://schemas.microsoft.com/office/word/2010/wordprocessingShape">
                    <wps:wsp>
                      <wps:cNvSpPr txBox="1"/>
                      <wps:spPr>
                        <a:xfrm>
                          <a:off x="0" y="0"/>
                          <a:ext cx="1734820" cy="13906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45F0735" w14:textId="77777777" w:rsidR="00C6444C" w:rsidRDefault="00C6444C" w:rsidP="00636F46">
                            <w:pPr>
                              <w:jc w:val="center"/>
                            </w:pPr>
                            <w:r>
                              <w:rPr>
                                <w:noProof/>
                              </w:rPr>
                              <w:drawing>
                                <wp:inline distT="0" distB="0" distL="0" distR="0" wp14:anchorId="2E5ABF2A" wp14:editId="6A647DFB">
                                  <wp:extent cx="457200" cy="457200"/>
                                  <wp:effectExtent l="0" t="0" r="0" b="0"/>
                                  <wp:docPr id="198" name="Picture 198">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CA43E1E" w14:textId="77777777" w:rsidR="00C6444C" w:rsidRDefault="00C6444C" w:rsidP="00636F46">
                            <w:pPr>
                              <w:pStyle w:val="Calloutboxes"/>
                            </w:pPr>
                            <w:r>
                              <w:t>CYMPO</w:t>
                            </w:r>
                          </w:p>
                          <w:p w14:paraId="53EFD1C6" w14:textId="77777777" w:rsidR="00C6444C" w:rsidRDefault="00C6444C" w:rsidP="00636F46">
                            <w:pPr>
                              <w:pStyle w:val="Calloutboxes"/>
                            </w:pPr>
                            <w:r>
                              <w:t>1971 Commerce Center Circle, Ste. E</w:t>
                            </w:r>
                          </w:p>
                          <w:p w14:paraId="324F80B5" w14:textId="77777777" w:rsidR="00C6444C" w:rsidRDefault="00C6444C" w:rsidP="00636F46">
                            <w:pPr>
                              <w:pStyle w:val="Calloutboxes"/>
                            </w:pPr>
                            <w:r>
                              <w:t>Prescott, AZ 86301</w:t>
                            </w:r>
                          </w:p>
                          <w:p w14:paraId="2F09692F" w14:textId="77777777" w:rsidR="00C6444C" w:rsidRDefault="00C6444C" w:rsidP="00636F46">
                            <w:pPr>
                              <w:pStyle w:val="Calloutboxes"/>
                            </w:pPr>
                            <w:r>
                              <w:t xml:space="preserve"> #: 928-759-5516</w:t>
                            </w:r>
                          </w:p>
                          <w:p w14:paraId="17150A37" w14:textId="77777777" w:rsidR="00C6444C" w:rsidRPr="00101FFC" w:rsidRDefault="00202C92" w:rsidP="00636F46">
                            <w:pPr>
                              <w:pStyle w:val="Title"/>
                              <w:rPr>
                                <w:sz w:val="16"/>
                                <w:szCs w:val="16"/>
                              </w:rPr>
                            </w:pPr>
                            <w:hyperlink r:id="rId80" w:history="1">
                              <w:r w:rsidR="00C6444C" w:rsidRPr="00101FFC">
                                <w:rPr>
                                  <w:rStyle w:val="Hyperlink"/>
                                  <w:rFonts w:ascii="Calibri" w:hAnsi="Calibri" w:cstheme="majorBidi"/>
                                  <w:i/>
                                  <w:color w:val="CE5B18"/>
                                  <w:u w:val="none"/>
                                </w:rPr>
                                <w:t>https://www.cympo.org/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A9B30F" id="Text Box 1690911545" o:spid="_x0000_s1044" type="#_x0000_t202" style="position:absolute;left:0;text-align:left;margin-left:269.25pt;margin-top:210.9pt;width:136.6pt;height:109.5pt;z-index:251618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" fillcolor="#f7f7f7" stroked="f" strokeweight=".5pt">
                <v:shadow on="t" type="perspective" color="black" opacity="26214f" offset="0,0" matrix="66847f,,,66847f"/>
                <v:textbox>
                  <w:txbxContent>
                    <w:p w14:paraId="045F0735" w14:textId="77777777" w:rsidR="00C6444C" w:rsidRDefault="00C6444C" w:rsidP="00636F46">
                      <w:pPr>
                        <w:jc w:val="center"/>
                      </w:pPr>
                      <w:r>
                        <w:rPr>
                          <w:noProof/>
                        </w:rPr>
                        <w:drawing>
                          <wp:inline distT="0" distB="0" distL="0" distR="0" wp14:anchorId="2E5ABF2A" wp14:editId="6A647DFB">
                            <wp:extent cx="457200" cy="457200"/>
                            <wp:effectExtent l="0" t="0" r="0" b="0"/>
                            <wp:docPr id="198" name="Picture 198">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CA43E1E" w14:textId="77777777" w:rsidR="00C6444C" w:rsidRDefault="00C6444C" w:rsidP="00636F46">
                      <w:pPr>
                        <w:pStyle w:val="Calloutboxes"/>
                      </w:pPr>
                      <w:r>
                        <w:t>CYMPO</w:t>
                      </w:r>
                    </w:p>
                    <w:p w14:paraId="53EFD1C6" w14:textId="77777777" w:rsidR="00C6444C" w:rsidRDefault="00C6444C" w:rsidP="00636F46">
                      <w:pPr>
                        <w:pStyle w:val="Calloutboxes"/>
                      </w:pPr>
                      <w:r>
                        <w:t>1971 Commerce Center Circle, Ste. E</w:t>
                      </w:r>
                    </w:p>
                    <w:p w14:paraId="324F80B5" w14:textId="77777777" w:rsidR="00C6444C" w:rsidRDefault="00C6444C" w:rsidP="00636F46">
                      <w:pPr>
                        <w:pStyle w:val="Calloutboxes"/>
                      </w:pPr>
                      <w:r>
                        <w:t>Prescott, AZ 86301</w:t>
                      </w:r>
                    </w:p>
                    <w:p w14:paraId="2F09692F" w14:textId="77777777" w:rsidR="00C6444C" w:rsidRDefault="00C6444C" w:rsidP="00636F46">
                      <w:pPr>
                        <w:pStyle w:val="Calloutboxes"/>
                      </w:pPr>
                      <w:r>
                        <w:t xml:space="preserve"> #: 928-759-5516</w:t>
                      </w:r>
                    </w:p>
                    <w:p w14:paraId="17150A37" w14:textId="77777777" w:rsidR="00C6444C" w:rsidRPr="00101FFC" w:rsidRDefault="00576D31" w:rsidP="00636F46">
                      <w:pPr>
                        <w:pStyle w:val="Title"/>
                        <w:rPr>
                          <w:sz w:val="16"/>
                          <w:szCs w:val="16"/>
                        </w:rPr>
                      </w:pPr>
                      <w:hyperlink r:id="rId82" w:history="1">
                        <w:r w:rsidR="00C6444C" w:rsidRPr="00101FFC">
                          <w:rPr>
                            <w:rStyle w:val="Hyperlink"/>
                            <w:rFonts w:ascii="Calibri" w:hAnsi="Calibri" w:cstheme="majorBidi"/>
                            <w:i/>
                            <w:color w:val="CE5B18"/>
                            <w:u w:val="none"/>
                          </w:rPr>
                          <w:t>https://www.cympo.org/</w:t>
                        </w:r>
                      </w:hyperlink>
                    </w:p>
                  </w:txbxContent>
                </v:textbox>
              </v:shape>
            </w:pict>
          </mc:Fallback>
        </mc:AlternateContent>
      </w:r>
      <w:r w:rsidR="002E2882">
        <w:rPr>
          <w:noProof/>
        </w:rPr>
        <w:drawing>
          <wp:anchor distT="0" distB="0" distL="114300" distR="114300" simplePos="0" relativeHeight="251618556" behindDoc="0" locked="0" layoutInCell="1" allowOverlap="1" wp14:anchorId="0CC22533" wp14:editId="3C759ECA">
            <wp:simplePos x="0" y="0"/>
            <wp:positionH relativeFrom="column">
              <wp:posOffset>5343525</wp:posOffset>
            </wp:positionH>
            <wp:positionV relativeFrom="paragraph">
              <wp:posOffset>2677795</wp:posOffset>
            </wp:positionV>
            <wp:extent cx="1242695" cy="1462405"/>
            <wp:effectExtent l="0" t="0" r="0" b="4445"/>
            <wp:wrapNone/>
            <wp:docPr id="816286111" name="Picture 81628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0" name="1_Map-CYMPO REDUCED.jpg"/>
                    <pic:cNvPicPr/>
                  </pic:nvPicPr>
                  <pic:blipFill>
                    <a:blip r:embed="rId83" cstate="hqprint">
                      <a:extLst>
                        <a:ext uri="{28A0092B-C50C-407E-A947-70E740481C1C}">
                          <a14:useLocalDpi xmlns:a14="http://schemas.microsoft.com/office/drawing/2010/main" val="0"/>
                        </a:ext>
                      </a:extLst>
                    </a:blip>
                    <a:stretch>
                      <a:fillRect/>
                    </a:stretch>
                  </pic:blipFill>
                  <pic:spPr>
                    <a:xfrm>
                      <a:off x="0" y="0"/>
                      <a:ext cx="1242695" cy="1462405"/>
                    </a:xfrm>
                    <a:prstGeom prst="rect">
                      <a:avLst/>
                    </a:prstGeom>
                  </pic:spPr>
                </pic:pic>
              </a:graphicData>
            </a:graphic>
            <wp14:sizeRelH relativeFrom="page">
              <wp14:pctWidth>0</wp14:pctWidth>
            </wp14:sizeRelH>
            <wp14:sizeRelV relativeFrom="page">
              <wp14:pctHeight>0</wp14:pctHeight>
            </wp14:sizeRelV>
          </wp:anchor>
        </w:drawing>
      </w:r>
      <w:r w:rsidR="00636F46" w:rsidRPr="004D0795">
        <w:t>Table 1-</w:t>
      </w:r>
      <w:r w:rsidR="00636F46">
        <w:t>6</w:t>
      </w:r>
      <w:r w:rsidR="00636F46" w:rsidRPr="004D0795">
        <w:t xml:space="preserve"> | CYMPO Statistics</w:t>
      </w:r>
    </w:p>
    <w:tbl>
      <w:tblPr>
        <w:tblW w:w="0" w:type="auto"/>
        <w:tblInd w:w="-10" w:type="dxa"/>
        <w:tblLayout w:type="fixed"/>
        <w:tblCellMar>
          <w:left w:w="0" w:type="dxa"/>
          <w:right w:w="0" w:type="dxa"/>
        </w:tblCellMar>
        <w:tblLook w:val="0000" w:firstRow="0" w:lastRow="0" w:firstColumn="0" w:lastColumn="0" w:noHBand="0" w:noVBand="0"/>
      </w:tblPr>
      <w:tblGrid>
        <w:gridCol w:w="2250"/>
        <w:gridCol w:w="2880"/>
      </w:tblGrid>
      <w:tr w:rsidR="00636F46" w:rsidRPr="004D0795" w14:paraId="2F100B5D" w14:textId="77777777" w:rsidTr="00020D20">
        <w:trPr>
          <w:trHeight w:val="20"/>
        </w:trPr>
        <w:tc>
          <w:tcPr>
            <w:tcW w:w="5130" w:type="dxa"/>
            <w:gridSpan w:val="2"/>
            <w:tcBorders>
              <w:top w:val="single" w:sz="4" w:space="0" w:color="auto"/>
              <w:left w:val="single" w:sz="4" w:space="0" w:color="auto"/>
              <w:bottom w:val="single" w:sz="4" w:space="0" w:color="auto"/>
              <w:right w:val="single" w:sz="4" w:space="0" w:color="auto"/>
            </w:tcBorders>
            <w:shd w:val="clear" w:color="auto" w:fill="012768"/>
            <w:tcMar>
              <w:top w:w="80" w:type="dxa"/>
              <w:left w:w="80" w:type="dxa"/>
              <w:bottom w:w="80" w:type="dxa"/>
              <w:right w:w="80" w:type="dxa"/>
            </w:tcMar>
            <w:vAlign w:val="center"/>
          </w:tcPr>
          <w:p w14:paraId="45BE42A8" w14:textId="388CB643" w:rsidR="00636F46" w:rsidRPr="00101FFC" w:rsidRDefault="00636F46" w:rsidP="00020D20">
            <w:pPr>
              <w:spacing w:before="0" w:after="0" w:line="240" w:lineRule="auto"/>
              <w:jc w:val="center"/>
              <w:rPr>
                <w:sz w:val="22"/>
              </w:rPr>
            </w:pPr>
            <w:r w:rsidRPr="00101FFC">
              <w:rPr>
                <w:sz w:val="22"/>
              </w:rPr>
              <w:t xml:space="preserve">Central Yavapai Metropolitan Planning Organization </w:t>
            </w:r>
            <w:r w:rsidR="005070BF">
              <w:rPr>
                <w:sz w:val="22"/>
              </w:rPr>
              <w:t>–</w:t>
            </w:r>
            <w:r w:rsidRPr="00101FFC">
              <w:rPr>
                <w:sz w:val="22"/>
              </w:rPr>
              <w:t xml:space="preserve"> CYMPO</w:t>
            </w:r>
          </w:p>
        </w:tc>
      </w:tr>
      <w:tr w:rsidR="00636F46" w:rsidRPr="004D0795" w14:paraId="3BB45458" w14:textId="77777777" w:rsidTr="00020D20">
        <w:trPr>
          <w:trHeight w:val="270"/>
        </w:trPr>
        <w:tc>
          <w:tcPr>
            <w:tcW w:w="2250"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1590AA95" w14:textId="77777777" w:rsidR="00636F46" w:rsidRPr="00101FFC" w:rsidRDefault="00636F46" w:rsidP="00020D20">
            <w:pPr>
              <w:spacing w:before="0" w:after="0" w:line="240" w:lineRule="auto"/>
              <w:jc w:val="both"/>
              <w:rPr>
                <w:sz w:val="18"/>
              </w:rPr>
            </w:pPr>
            <w:r w:rsidRPr="00101FFC">
              <w:rPr>
                <w:sz w:val="18"/>
              </w:rPr>
              <w:t>Year Established</w:t>
            </w:r>
          </w:p>
        </w:tc>
        <w:tc>
          <w:tcPr>
            <w:tcW w:w="2880"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69ECC7A7" w14:textId="77777777" w:rsidR="00636F46" w:rsidRPr="00101FFC" w:rsidRDefault="00636F46" w:rsidP="00020D20">
            <w:pPr>
              <w:spacing w:before="0" w:after="0" w:line="240" w:lineRule="auto"/>
              <w:jc w:val="both"/>
              <w:rPr>
                <w:sz w:val="18"/>
              </w:rPr>
            </w:pPr>
            <w:r w:rsidRPr="00101FFC">
              <w:rPr>
                <w:sz w:val="18"/>
              </w:rPr>
              <w:t>2003</w:t>
            </w:r>
          </w:p>
        </w:tc>
      </w:tr>
      <w:tr w:rsidR="00636F46" w:rsidRPr="004D0795" w14:paraId="3C4C63A6"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014856B" w14:textId="77777777" w:rsidR="00636F46" w:rsidRPr="00101FFC" w:rsidRDefault="00636F46" w:rsidP="00020D20">
            <w:pPr>
              <w:spacing w:before="0" w:after="0" w:line="240" w:lineRule="auto"/>
              <w:jc w:val="both"/>
              <w:rPr>
                <w:sz w:val="18"/>
              </w:rPr>
            </w:pPr>
            <w:r w:rsidRPr="00101FFC">
              <w:rPr>
                <w:sz w:val="18"/>
              </w:rPr>
              <w:t>Hosted/Independent MPO</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4F1E5A" w14:textId="77777777" w:rsidR="00636F46" w:rsidRPr="00101FFC" w:rsidRDefault="00636F46" w:rsidP="00020D20">
            <w:pPr>
              <w:spacing w:before="0" w:after="0" w:line="240" w:lineRule="auto"/>
              <w:jc w:val="both"/>
              <w:rPr>
                <w:sz w:val="18"/>
              </w:rPr>
            </w:pPr>
            <w:r w:rsidRPr="00101FFC">
              <w:rPr>
                <w:sz w:val="18"/>
              </w:rPr>
              <w:t>Hosted by Yavapai County</w:t>
            </w:r>
          </w:p>
        </w:tc>
      </w:tr>
      <w:tr w:rsidR="00636F46" w:rsidRPr="004D0795" w14:paraId="60575528"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BD0505D" w14:textId="77777777" w:rsidR="00636F46" w:rsidRPr="00101FFC" w:rsidRDefault="00636F46" w:rsidP="00020D20">
            <w:pPr>
              <w:spacing w:before="0" w:after="0" w:line="240" w:lineRule="auto"/>
              <w:jc w:val="both"/>
              <w:rPr>
                <w:sz w:val="18"/>
              </w:rPr>
            </w:pPr>
            <w:r w:rsidRPr="00101FFC">
              <w:rPr>
                <w:sz w:val="18"/>
              </w:rPr>
              <w:t>Land Area (sq. mi.)</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1A7E05E" w14:textId="77777777" w:rsidR="00636F46" w:rsidRPr="00101FFC" w:rsidRDefault="00636F46" w:rsidP="00020D20">
            <w:pPr>
              <w:spacing w:before="0" w:after="0" w:line="240" w:lineRule="auto"/>
              <w:jc w:val="both"/>
              <w:rPr>
                <w:sz w:val="18"/>
              </w:rPr>
            </w:pPr>
            <w:r w:rsidRPr="00101FFC">
              <w:rPr>
                <w:sz w:val="18"/>
              </w:rPr>
              <w:t>401</w:t>
            </w:r>
          </w:p>
        </w:tc>
      </w:tr>
      <w:tr w:rsidR="00636F46" w:rsidRPr="004D0795" w14:paraId="1B781189"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16AC5A9" w14:textId="77777777" w:rsidR="00636F46" w:rsidRPr="00101FFC" w:rsidRDefault="00636F46" w:rsidP="00020D20">
            <w:pPr>
              <w:spacing w:before="0" w:after="0" w:line="240" w:lineRule="auto"/>
              <w:jc w:val="both"/>
              <w:rPr>
                <w:sz w:val="18"/>
              </w:rPr>
            </w:pPr>
            <w:r w:rsidRPr="00101FFC">
              <w:rPr>
                <w:sz w:val="18"/>
              </w:rPr>
              <w:t>2018 Population</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82DADF9" w14:textId="77777777" w:rsidR="00636F46" w:rsidRPr="00101FFC" w:rsidRDefault="00636F46" w:rsidP="00020D20">
            <w:pPr>
              <w:spacing w:before="0" w:after="0" w:line="240" w:lineRule="auto"/>
              <w:jc w:val="both"/>
              <w:rPr>
                <w:sz w:val="18"/>
              </w:rPr>
            </w:pPr>
            <w:r w:rsidRPr="00101FFC">
              <w:rPr>
                <w:sz w:val="18"/>
              </w:rPr>
              <w:t>139,600</w:t>
            </w:r>
          </w:p>
        </w:tc>
      </w:tr>
      <w:tr w:rsidR="00636F46" w:rsidRPr="004D0795" w14:paraId="5C60329C"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84573B5" w14:textId="77777777" w:rsidR="00636F46" w:rsidRPr="00101FFC" w:rsidRDefault="00636F46" w:rsidP="00020D20">
            <w:pPr>
              <w:spacing w:before="0" w:after="0" w:line="240" w:lineRule="auto"/>
              <w:jc w:val="both"/>
              <w:rPr>
                <w:sz w:val="18"/>
              </w:rPr>
            </w:pPr>
            <w:r w:rsidRPr="00101FFC">
              <w:rPr>
                <w:sz w:val="18"/>
              </w:rPr>
              <w:t>Counties</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B74D6C5" w14:textId="77777777" w:rsidR="00636F46" w:rsidRPr="00101FFC" w:rsidRDefault="00636F46" w:rsidP="00020D20">
            <w:pPr>
              <w:spacing w:before="0" w:after="0" w:line="240" w:lineRule="auto"/>
              <w:jc w:val="both"/>
              <w:rPr>
                <w:sz w:val="18"/>
              </w:rPr>
            </w:pPr>
            <w:r w:rsidRPr="00101FFC">
              <w:rPr>
                <w:sz w:val="18"/>
              </w:rPr>
              <w:t>1 | Yavapai</w:t>
            </w:r>
          </w:p>
        </w:tc>
      </w:tr>
      <w:tr w:rsidR="00636F46" w:rsidRPr="004D0795" w14:paraId="7D1BB803"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1826BDA" w14:textId="77777777" w:rsidR="00636F46" w:rsidRPr="00101FFC" w:rsidRDefault="00636F46" w:rsidP="00020D20">
            <w:pPr>
              <w:spacing w:before="0" w:after="0" w:line="240" w:lineRule="auto"/>
              <w:jc w:val="both"/>
              <w:rPr>
                <w:sz w:val="18"/>
              </w:rPr>
            </w:pPr>
            <w:r w:rsidRPr="00101FFC">
              <w:rPr>
                <w:sz w:val="18"/>
              </w:rPr>
              <w:t>Number of Municipalities</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3707A97" w14:textId="77777777" w:rsidR="00636F46" w:rsidRPr="00101FFC" w:rsidRDefault="00636F46" w:rsidP="00020D20">
            <w:pPr>
              <w:spacing w:before="0" w:after="0" w:line="240" w:lineRule="auto"/>
              <w:jc w:val="both"/>
              <w:rPr>
                <w:sz w:val="18"/>
              </w:rPr>
            </w:pPr>
            <w:r w:rsidRPr="00101FFC">
              <w:rPr>
                <w:sz w:val="18"/>
              </w:rPr>
              <w:t>4</w:t>
            </w:r>
          </w:p>
        </w:tc>
      </w:tr>
      <w:tr w:rsidR="00636F46" w:rsidRPr="004D0795" w14:paraId="001892DC"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B6F3E08" w14:textId="77777777" w:rsidR="00636F46" w:rsidRPr="00101FFC" w:rsidRDefault="00636F46" w:rsidP="00020D20">
            <w:pPr>
              <w:spacing w:before="0" w:after="0" w:line="240" w:lineRule="auto"/>
              <w:jc w:val="both"/>
              <w:rPr>
                <w:sz w:val="18"/>
              </w:rPr>
            </w:pPr>
            <w:r w:rsidRPr="00101FFC">
              <w:rPr>
                <w:sz w:val="18"/>
              </w:rPr>
              <w:t>Tribal Partner Agencies</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5AB84F5" w14:textId="77777777" w:rsidR="00636F46" w:rsidRPr="00101FFC" w:rsidRDefault="00636F46" w:rsidP="00020D20">
            <w:pPr>
              <w:spacing w:before="0" w:after="0" w:line="240" w:lineRule="auto"/>
              <w:jc w:val="both"/>
              <w:rPr>
                <w:sz w:val="18"/>
              </w:rPr>
            </w:pPr>
            <w:r w:rsidRPr="00101FFC">
              <w:rPr>
                <w:sz w:val="18"/>
              </w:rPr>
              <w:t>1 | Yavapai-Prescott Indian Tribe</w:t>
            </w:r>
          </w:p>
        </w:tc>
      </w:tr>
      <w:tr w:rsidR="00636F46" w:rsidRPr="004D0795" w14:paraId="05373761"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9C6ABF5" w14:textId="77777777" w:rsidR="00636F46" w:rsidRPr="00101FFC" w:rsidRDefault="00636F46" w:rsidP="00020D20">
            <w:pPr>
              <w:spacing w:before="0" w:after="0" w:line="240" w:lineRule="auto"/>
              <w:jc w:val="both"/>
              <w:rPr>
                <w:sz w:val="18"/>
              </w:rPr>
            </w:pPr>
            <w:r w:rsidRPr="00101FFC">
              <w:rPr>
                <w:sz w:val="18"/>
              </w:rPr>
              <w:t>Primary Travel Corridors</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5BFAC05" w14:textId="77777777" w:rsidR="00636F46" w:rsidRPr="00101FFC" w:rsidRDefault="00636F46" w:rsidP="00020D20">
            <w:pPr>
              <w:spacing w:before="0" w:after="0" w:line="240" w:lineRule="auto"/>
              <w:jc w:val="both"/>
              <w:rPr>
                <w:sz w:val="18"/>
              </w:rPr>
            </w:pPr>
            <w:r w:rsidRPr="00101FFC">
              <w:rPr>
                <w:sz w:val="18"/>
              </w:rPr>
              <w:t>4 | State Routes: SR 69, SR 89, SR 89A, SR 169</w:t>
            </w:r>
          </w:p>
        </w:tc>
      </w:tr>
      <w:tr w:rsidR="00636F46" w:rsidRPr="004D0795" w14:paraId="7EC8E31F"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2542582" w14:textId="77777777" w:rsidR="00636F46" w:rsidRPr="00101FFC" w:rsidRDefault="00636F46" w:rsidP="00020D20">
            <w:pPr>
              <w:spacing w:before="0" w:after="0" w:line="240" w:lineRule="auto"/>
              <w:jc w:val="both"/>
              <w:rPr>
                <w:sz w:val="18"/>
              </w:rPr>
            </w:pPr>
            <w:r w:rsidRPr="00101FFC">
              <w:rPr>
                <w:sz w:val="18"/>
              </w:rPr>
              <w:t>Transit</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12FB894" w14:textId="77777777" w:rsidR="00636F46" w:rsidRPr="00101FFC" w:rsidRDefault="00636F46" w:rsidP="00020D20">
            <w:pPr>
              <w:spacing w:before="0" w:after="0" w:line="240" w:lineRule="auto"/>
              <w:jc w:val="both"/>
              <w:rPr>
                <w:sz w:val="18"/>
              </w:rPr>
            </w:pPr>
            <w:r w:rsidRPr="00101FFC">
              <w:rPr>
                <w:sz w:val="18"/>
              </w:rPr>
              <w:t>Yes</w:t>
            </w:r>
          </w:p>
        </w:tc>
      </w:tr>
      <w:tr w:rsidR="00636F46" w:rsidRPr="004D0795" w14:paraId="6A914B1A"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BBE28E6" w14:textId="77777777" w:rsidR="00636F46" w:rsidRPr="00101FFC" w:rsidRDefault="00636F46" w:rsidP="00020D20">
            <w:pPr>
              <w:spacing w:before="0" w:after="0" w:line="240" w:lineRule="auto"/>
              <w:jc w:val="both"/>
              <w:rPr>
                <w:sz w:val="18"/>
              </w:rPr>
            </w:pPr>
            <w:r w:rsidRPr="00101FFC">
              <w:rPr>
                <w:sz w:val="18"/>
              </w:rPr>
              <w:t>Airport</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933FD82" w14:textId="77777777" w:rsidR="00636F46" w:rsidRPr="00101FFC" w:rsidRDefault="00636F46" w:rsidP="00020D20">
            <w:pPr>
              <w:spacing w:before="0" w:after="0" w:line="240" w:lineRule="auto"/>
              <w:jc w:val="both"/>
              <w:rPr>
                <w:sz w:val="18"/>
              </w:rPr>
            </w:pPr>
            <w:r w:rsidRPr="00101FFC">
              <w:rPr>
                <w:sz w:val="18"/>
              </w:rPr>
              <w:t>Yes</w:t>
            </w:r>
          </w:p>
        </w:tc>
      </w:tr>
      <w:tr w:rsidR="00636F46" w:rsidRPr="004D0795" w14:paraId="15623D37" w14:textId="77777777" w:rsidTr="00636F46">
        <w:trPr>
          <w:trHeight w:val="270"/>
        </w:trPr>
        <w:tc>
          <w:tcPr>
            <w:tcW w:w="22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2FB0D58" w14:textId="77777777" w:rsidR="00636F46" w:rsidRPr="00101FFC" w:rsidRDefault="00636F46">
            <w:pPr>
              <w:spacing w:before="0" w:after="0" w:line="240" w:lineRule="auto"/>
              <w:rPr>
                <w:sz w:val="18"/>
              </w:rPr>
            </w:pPr>
            <w:r w:rsidRPr="00101FFC">
              <w:rPr>
                <w:sz w:val="18"/>
              </w:rPr>
              <w:t>Air Quality Nonattainment or Maintenance</w:t>
            </w:r>
          </w:p>
        </w:tc>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43BCE32" w14:textId="77777777" w:rsidR="00636F46" w:rsidRPr="00101FFC" w:rsidRDefault="00636F46" w:rsidP="00020D20">
            <w:pPr>
              <w:spacing w:before="0" w:after="0" w:line="240" w:lineRule="auto"/>
              <w:jc w:val="both"/>
              <w:rPr>
                <w:sz w:val="18"/>
              </w:rPr>
            </w:pPr>
            <w:r w:rsidRPr="00101FFC">
              <w:rPr>
                <w:sz w:val="18"/>
              </w:rPr>
              <w:t>None</w:t>
            </w:r>
          </w:p>
        </w:tc>
      </w:tr>
    </w:tbl>
    <w:p w14:paraId="55969B58" w14:textId="77777777" w:rsidR="00023FEC" w:rsidRDefault="00023FEC" w:rsidP="00020D20">
      <w:pPr>
        <w:jc w:val="both"/>
      </w:pPr>
      <w:r>
        <w:br w:type="page"/>
      </w:r>
    </w:p>
    <w:bookmarkStart w:id="27" w:name="_Ref50023217"/>
    <w:bookmarkStart w:id="28" w:name="_Ref50023211"/>
    <w:p w14:paraId="38A178B1" w14:textId="77777777" w:rsidR="005070BF" w:rsidRPr="002F17FB" w:rsidRDefault="005070BF" w:rsidP="00020D20">
      <w:pPr>
        <w:pStyle w:val="BodyTextTitle"/>
        <w:jc w:val="both"/>
      </w:pPr>
      <w:r w:rsidRPr="005070BF">
        <w:rPr>
          <w:noProof/>
        </w:rPr>
        <mc:AlternateContent>
          <mc:Choice Requires="wps">
            <w:drawing>
              <wp:anchor distT="0" distB="0" distL="114300" distR="114300" simplePos="0" relativeHeight="251618638" behindDoc="0" locked="0" layoutInCell="1" allowOverlap="1" wp14:anchorId="1CD6876A" wp14:editId="075972F1">
                <wp:simplePos x="0" y="0"/>
                <wp:positionH relativeFrom="column">
                  <wp:posOffset>3446780</wp:posOffset>
                </wp:positionH>
                <wp:positionV relativeFrom="paragraph">
                  <wp:posOffset>319405</wp:posOffset>
                </wp:positionV>
                <wp:extent cx="2689860" cy="318770"/>
                <wp:effectExtent l="0" t="0" r="0" b="5080"/>
                <wp:wrapNone/>
                <wp:docPr id="1690911550" name="Text Box 1690911550"/>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2A26ACC" w14:textId="02A0862D" w:rsidR="00C6444C" w:rsidRPr="00101FFC" w:rsidRDefault="00C6444C" w:rsidP="005070BF">
                            <w:pPr>
                              <w:pStyle w:val="Heading4"/>
                            </w:pPr>
                            <w:r w:rsidRPr="00101FFC">
                              <w:t>Figure 1-</w:t>
                            </w:r>
                            <w:r>
                              <w:t>5</w:t>
                            </w:r>
                            <w:r w:rsidRPr="00101FFC">
                              <w:t xml:space="preserve"> | </w:t>
                            </w:r>
                            <w:r>
                              <w:t>FMPO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1CD6876A" id="Text Box 1690911550" o:spid="_x0000_s1045" type="#_x0000_t202" style="position:absolute;left:0;text-align:left;margin-left:271.4pt;margin-top:25.15pt;width:211.8pt;height:25.1pt;z-index:2516186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" filled="f" stroked="f" strokeweight="1pt">
                <v:textbox>
                  <w:txbxContent>
                    <w:p w14:paraId="42A26ACC" w14:textId="02A0862D" w:rsidR="00C6444C" w:rsidRPr="00101FFC" w:rsidRDefault="00C6444C" w:rsidP="005070BF">
                      <w:pPr>
                        <w:pStyle w:val="Heading4"/>
                      </w:pPr>
                      <w:r w:rsidRPr="00101FFC">
                        <w:t>Figure 1-</w:t>
                      </w:r>
                      <w:r>
                        <w:t>5</w:t>
                      </w:r>
                      <w:r w:rsidRPr="00101FFC">
                        <w:t xml:space="preserve"> | </w:t>
                      </w:r>
                      <w:r>
                        <w:t>FMPO Regional Area</w:t>
                      </w:r>
                    </w:p>
                  </w:txbxContent>
                </v:textbox>
              </v:shape>
            </w:pict>
          </mc:Fallback>
        </mc:AlternateContent>
      </w:r>
      <w:r>
        <w:t>Flagstaff Metropolitan Planning Organization</w:t>
      </w:r>
      <w:r w:rsidRPr="003707B0">
        <w:rPr>
          <w:noProof/>
        </w:rPr>
        <w:t xml:space="preserve"> </w:t>
      </w:r>
      <w:bookmarkEnd w:id="27"/>
      <w:r>
        <w:rPr>
          <w:noProof/>
        </w:rPr>
        <w:t>(FMPO)</w:t>
      </w:r>
    </w:p>
    <w:p w14:paraId="259FE09D" w14:textId="0BD60D33" w:rsidR="005070BF" w:rsidRDefault="005070BF" w:rsidP="00020D20">
      <w:pPr>
        <w:jc w:val="both"/>
        <w:rPr>
          <w:b/>
        </w:rPr>
      </w:pPr>
      <w:r w:rsidRPr="003707B0">
        <w:rPr>
          <w:noProof/>
        </w:rPr>
        <w:drawing>
          <wp:anchor distT="0" distB="0" distL="114300" distR="114300" simplePos="0" relativeHeight="251618637" behindDoc="0" locked="0" layoutInCell="1" allowOverlap="1" wp14:anchorId="74B633B8" wp14:editId="0D9B4CF0">
            <wp:simplePos x="0" y="0"/>
            <wp:positionH relativeFrom="column">
              <wp:posOffset>3505200</wp:posOffset>
            </wp:positionH>
            <wp:positionV relativeFrom="paragraph">
              <wp:posOffset>102235</wp:posOffset>
            </wp:positionV>
            <wp:extent cx="3143250" cy="3162300"/>
            <wp:effectExtent l="0" t="0" r="0" b="0"/>
            <wp:wrapSquare wrapText="bothSides"/>
            <wp:docPr id="816286120" name="Picture 81628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27" name="MetroPlan_Map.jpg"/>
                    <pic:cNvPicPr/>
                  </pic:nvPicPr>
                  <pic:blipFill rotWithShape="1">
                    <a:blip r:embed="rId84" cstate="hqprint">
                      <a:extLst>
                        <a:ext uri="{28A0092B-C50C-407E-A947-70E740481C1C}">
                          <a14:useLocalDpi xmlns:a14="http://schemas.microsoft.com/office/drawing/2010/main" val="0"/>
                        </a:ext>
                      </a:extLst>
                    </a:blip>
                    <a:srcRect l="5825" t="3412" r="2627" b="2181"/>
                    <a:stretch/>
                  </pic:blipFill>
                  <pic:spPr bwMode="auto">
                    <a:xfrm>
                      <a:off x="0" y="0"/>
                      <a:ext cx="3143250" cy="316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 Flagstaff Metropolitan Planning Organization</w:t>
      </w:r>
      <w:r w:rsidRPr="004D0795">
        <w:t xml:space="preserve"> is responsible for the planning, coordination, and integration of activities necessary to maintain a 3-C multiagency transportation planning program. Jurisdictions that make up </w:t>
      </w:r>
      <w:r>
        <w:t>FMPO</w:t>
      </w:r>
      <w:r w:rsidRPr="004D0795">
        <w:t xml:space="preserve"> include the city of Flagstaff, Coconino County, and ADOT. The </w:t>
      </w:r>
      <w:r>
        <w:t>FMPO</w:t>
      </w:r>
      <w:r w:rsidRPr="004D0795">
        <w:t xml:space="preserve"> bounda</w:t>
      </w:r>
      <w:r w:rsidR="002B3C61">
        <w:t>ry is shown in F</w:t>
      </w:r>
      <w:r w:rsidRPr="004D0795">
        <w:t>igure 1-</w:t>
      </w:r>
      <w:r w:rsidR="002B3C61">
        <w:t>5</w:t>
      </w:r>
      <w:r w:rsidRPr="004D0795">
        <w:t xml:space="preserve">. </w:t>
      </w:r>
      <w:r>
        <w:t>FMPO</w:t>
      </w:r>
      <w:r w:rsidRPr="004D0795">
        <w:t xml:space="preserve"> receives funding from federal, s</w:t>
      </w:r>
      <w:r>
        <w:t>tate, and local governments, and all these governmental agencies work</w:t>
      </w:r>
      <w:r w:rsidRPr="004D0795">
        <w:t xml:space="preserve"> closely </w:t>
      </w:r>
      <w:r>
        <w:t xml:space="preserve">together to </w:t>
      </w:r>
      <w:r w:rsidRPr="004D0795">
        <w:t>oversee the expenditure of federal transit funds. Each year, the MPO evaluates and approves proposed surface tran</w:t>
      </w:r>
      <w:r>
        <w:t>sportation improvement projects</w:t>
      </w:r>
      <w:r w:rsidR="00FA7F5B">
        <w:t>.</w:t>
      </w:r>
      <w:r>
        <w:t xml:space="preserve"> It also</w:t>
      </w:r>
      <w:r w:rsidRPr="004D0795">
        <w:t xml:space="preserve"> provides a forum for interagency cooperation and public input into how transportation funding is spent through </w:t>
      </w:r>
      <w:r w:rsidR="00FA7F5B">
        <w:t xml:space="preserve">a </w:t>
      </w:r>
      <w:r w:rsidRPr="004D0795">
        <w:t>collaborative decision making processes.</w:t>
      </w:r>
      <w:r w:rsidR="002B3C61">
        <w:t xml:space="preserve"> FMPO does business under the agency title MetroPlan.</w:t>
      </w:r>
    </w:p>
    <w:p w14:paraId="0F1F1379" w14:textId="77777777" w:rsidR="005070BF" w:rsidRDefault="005070BF" w:rsidP="00020D20">
      <w:pPr>
        <w:jc w:val="both"/>
      </w:pPr>
    </w:p>
    <w:p w14:paraId="363AD4A3" w14:textId="77777777" w:rsidR="005070BF" w:rsidRDefault="005070BF" w:rsidP="00020D20">
      <w:pPr>
        <w:jc w:val="both"/>
      </w:pPr>
    </w:p>
    <w:p w14:paraId="09FC41BB" w14:textId="36B2D415" w:rsidR="005070BF" w:rsidRDefault="005070BF" w:rsidP="00020D20">
      <w:pPr>
        <w:pStyle w:val="Heading4"/>
        <w:jc w:val="both"/>
      </w:pPr>
      <w:r>
        <w:rPr>
          <w:rFonts w:cstheme="minorHAnsi"/>
          <w:noProof/>
        </w:rPr>
        <mc:AlternateContent>
          <mc:Choice Requires="wps">
            <w:drawing>
              <wp:anchor distT="0" distB="0" distL="114300" distR="114300" simplePos="0" relativeHeight="251618640" behindDoc="0" locked="0" layoutInCell="1" allowOverlap="1" wp14:anchorId="334A44FC" wp14:editId="19E34E4F">
                <wp:simplePos x="0" y="0"/>
                <wp:positionH relativeFrom="column">
                  <wp:posOffset>5143500</wp:posOffset>
                </wp:positionH>
                <wp:positionV relativeFrom="paragraph">
                  <wp:posOffset>1809750</wp:posOffset>
                </wp:positionV>
                <wp:extent cx="1263650" cy="1647825"/>
                <wp:effectExtent l="76200" t="95250" r="69850" b="104775"/>
                <wp:wrapNone/>
                <wp:docPr id="1690911551" name="Text Box 1690911551"/>
                <wp:cNvGraphicFramePr/>
                <a:graphic xmlns:a="http://schemas.openxmlformats.org/drawingml/2006/main">
                  <a:graphicData uri="http://schemas.microsoft.com/office/word/2010/wordprocessingShape">
                    <wps:wsp>
                      <wps:cNvSpPr txBox="1"/>
                      <wps:spPr>
                        <a:xfrm>
                          <a:off x="0" y="0"/>
                          <a:ext cx="1263650" cy="1647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BE7F5E3" w14:textId="77777777" w:rsidR="00C6444C" w:rsidRDefault="00C6444C" w:rsidP="005070BF">
                            <w:pPr>
                              <w:jc w:val="center"/>
                            </w:pPr>
                            <w:r>
                              <w:rPr>
                                <w:noProof/>
                              </w:rPr>
                              <w:drawing>
                                <wp:inline distT="0" distB="0" distL="0" distR="0" wp14:anchorId="60A54559" wp14:editId="3F624943">
                                  <wp:extent cx="457200" cy="457200"/>
                                  <wp:effectExtent l="0" t="0" r="0" b="0"/>
                                  <wp:docPr id="200" name="Picture 200">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D1073E" w14:textId="77777777" w:rsidR="00C6444C" w:rsidRDefault="00C6444C" w:rsidP="005070BF">
                            <w:pPr>
                              <w:pStyle w:val="Calloutboxes"/>
                            </w:pPr>
                            <w:r>
                              <w:t>FMPO</w:t>
                            </w:r>
                          </w:p>
                          <w:p w14:paraId="3A0FA014" w14:textId="6348272A" w:rsidR="00C6444C" w:rsidRDefault="00C6444C" w:rsidP="005070BF">
                            <w:pPr>
                              <w:pStyle w:val="Calloutboxes"/>
                            </w:pPr>
                            <w:r>
                              <w:t>6 E. Aspen Ave., Ste. 200</w:t>
                            </w:r>
                          </w:p>
                          <w:p w14:paraId="047CEED8" w14:textId="77777777" w:rsidR="00C6444C" w:rsidRDefault="00C6444C" w:rsidP="005070BF">
                            <w:pPr>
                              <w:pStyle w:val="Calloutboxes"/>
                            </w:pPr>
                            <w:r>
                              <w:t xml:space="preserve"> Flagstaff, AZ 86001</w:t>
                            </w:r>
                          </w:p>
                          <w:p w14:paraId="47E38433" w14:textId="77777777" w:rsidR="00C6444C" w:rsidRDefault="00C6444C" w:rsidP="005070BF">
                            <w:pPr>
                              <w:pStyle w:val="Calloutboxes"/>
                            </w:pPr>
                            <w:r>
                              <w:t xml:space="preserve"> #: 928-266-1293</w:t>
                            </w:r>
                          </w:p>
                          <w:p w14:paraId="7E53670C" w14:textId="621366A7" w:rsidR="00C6444C" w:rsidRPr="00101FFC" w:rsidRDefault="00202C92" w:rsidP="00FA7F5B">
                            <w:pPr>
                              <w:pStyle w:val="Title"/>
                              <w:rPr>
                                <w:sz w:val="16"/>
                                <w:szCs w:val="16"/>
                              </w:rPr>
                            </w:pPr>
                            <w:hyperlink r:id="rId86" w:history="1">
                              <w:r w:rsidR="00C6444C">
                                <w:rPr>
                                  <w:rStyle w:val="Hyperlink"/>
                                  <w:rFonts w:ascii="Calibri" w:hAnsi="Calibri" w:cstheme="majorBidi"/>
                                  <w:i/>
                                  <w:iCs w:val="0"/>
                                  <w:color w:val="CE5B18"/>
                                  <w:u w:val="none"/>
                                </w:rPr>
                                <w:t>www.metroplanflg.org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4A44FC" id="Text Box 1690911551" o:spid="_x0000_s1046" type="#_x0000_t202" style="position:absolute;left:0;text-align:left;margin-left:405pt;margin-top:142.5pt;width:99.5pt;height:129.75pt;z-index:25161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" fillcolor="#f7f7f7" stroked="f" strokeweight=".5pt">
                <v:shadow on="t" type="perspective" color="black" opacity="26214f" offset="0,0" matrix="66847f,,,66847f"/>
                <v:textbox>
                  <w:txbxContent>
                    <w:p w14:paraId="6BE7F5E3" w14:textId="77777777" w:rsidR="00C6444C" w:rsidRDefault="00C6444C" w:rsidP="005070BF">
                      <w:pPr>
                        <w:jc w:val="center"/>
                      </w:pPr>
                      <w:r>
                        <w:rPr>
                          <w:noProof/>
                        </w:rPr>
                        <w:drawing>
                          <wp:inline distT="0" distB="0" distL="0" distR="0" wp14:anchorId="60A54559" wp14:editId="3F624943">
                            <wp:extent cx="457200" cy="457200"/>
                            <wp:effectExtent l="0" t="0" r="0" b="0"/>
                            <wp:docPr id="200" name="Picture 20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D1073E" w14:textId="77777777" w:rsidR="00C6444C" w:rsidRDefault="00C6444C" w:rsidP="005070BF">
                      <w:pPr>
                        <w:pStyle w:val="Calloutboxes"/>
                      </w:pPr>
                      <w:r>
                        <w:t>FMPO</w:t>
                      </w:r>
                    </w:p>
                    <w:p w14:paraId="3A0FA014" w14:textId="6348272A" w:rsidR="00C6444C" w:rsidRDefault="00C6444C" w:rsidP="005070BF">
                      <w:pPr>
                        <w:pStyle w:val="Calloutboxes"/>
                      </w:pPr>
                      <w:r>
                        <w:t>6 E. Aspen Ave., Ste. 200</w:t>
                      </w:r>
                    </w:p>
                    <w:p w14:paraId="047CEED8" w14:textId="77777777" w:rsidR="00C6444C" w:rsidRDefault="00C6444C" w:rsidP="005070BF">
                      <w:pPr>
                        <w:pStyle w:val="Calloutboxes"/>
                      </w:pPr>
                      <w:r>
                        <w:t xml:space="preserve"> Flagstaff, AZ 86001</w:t>
                      </w:r>
                    </w:p>
                    <w:p w14:paraId="47E38433" w14:textId="77777777" w:rsidR="00C6444C" w:rsidRDefault="00C6444C" w:rsidP="005070BF">
                      <w:pPr>
                        <w:pStyle w:val="Calloutboxes"/>
                      </w:pPr>
                      <w:r>
                        <w:t xml:space="preserve"> #: 928-266-1293</w:t>
                      </w:r>
                    </w:p>
                    <w:p w14:paraId="7E53670C" w14:textId="621366A7" w:rsidR="00C6444C" w:rsidRPr="00101FFC" w:rsidRDefault="00C6444C" w:rsidP="00FA7F5B">
                      <w:pPr>
                        <w:pStyle w:val="Title"/>
                        <w:rPr>
                          <w:sz w:val="16"/>
                          <w:szCs w:val="16"/>
                        </w:rPr>
                      </w:pPr>
                      <w:hyperlink r:id="rId88" w:history="1">
                        <w:r>
                          <w:rPr>
                            <w:rStyle w:val="Hyperlink"/>
                            <w:rFonts w:ascii="Calibri" w:hAnsi="Calibri" w:cstheme="majorBidi"/>
                            <w:i/>
                            <w:iCs w:val="0"/>
                            <w:color w:val="CE5B18"/>
                            <w:u w:val="none"/>
                          </w:rPr>
                          <w:t>www.metroplanflg.org</w:t>
                        </w:r>
                      </w:hyperlink>
                    </w:p>
                  </w:txbxContent>
                </v:textbox>
              </v:shape>
            </w:pict>
          </mc:Fallback>
        </mc:AlternateContent>
      </w:r>
      <w:r>
        <w:rPr>
          <w:noProof/>
        </w:rPr>
        <w:drawing>
          <wp:anchor distT="0" distB="0" distL="114300" distR="114300" simplePos="0" relativeHeight="251618639" behindDoc="0" locked="0" layoutInCell="1" allowOverlap="1" wp14:anchorId="54EB792A" wp14:editId="403FEC3D">
            <wp:simplePos x="0" y="0"/>
            <wp:positionH relativeFrom="column">
              <wp:posOffset>5191300</wp:posOffset>
            </wp:positionH>
            <wp:positionV relativeFrom="paragraph">
              <wp:posOffset>200025</wp:posOffset>
            </wp:positionV>
            <wp:extent cx="1142595" cy="1344136"/>
            <wp:effectExtent l="0" t="0" r="635" b="8890"/>
            <wp:wrapNone/>
            <wp:docPr id="816286123" name="Picture 81628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26" name="1_Map-FMPO REDUCED.jpg"/>
                    <pic:cNvPicPr/>
                  </pic:nvPicPr>
                  <pic:blipFill>
                    <a:blip r:embed="rId89" cstate="hqprint">
                      <a:extLst>
                        <a:ext uri="{28A0092B-C50C-407E-A947-70E740481C1C}">
                          <a14:useLocalDpi xmlns:a14="http://schemas.microsoft.com/office/drawing/2010/main" val="0"/>
                        </a:ext>
                      </a:extLst>
                    </a:blip>
                    <a:stretch>
                      <a:fillRect/>
                    </a:stretch>
                  </pic:blipFill>
                  <pic:spPr>
                    <a:xfrm>
                      <a:off x="0" y="0"/>
                      <a:ext cx="1142595" cy="1344136"/>
                    </a:xfrm>
                    <a:prstGeom prst="rect">
                      <a:avLst/>
                    </a:prstGeom>
                  </pic:spPr>
                </pic:pic>
              </a:graphicData>
            </a:graphic>
            <wp14:sizeRelH relativeFrom="page">
              <wp14:pctWidth>0</wp14:pctWidth>
            </wp14:sizeRelH>
            <wp14:sizeRelV relativeFrom="page">
              <wp14:pctHeight>0</wp14:pctHeight>
            </wp14:sizeRelV>
          </wp:anchor>
        </w:drawing>
      </w:r>
      <w:r w:rsidRPr="004D0795">
        <w:t>Table 1-</w:t>
      </w:r>
      <w:r>
        <w:t>7</w:t>
      </w:r>
      <w:r w:rsidRPr="004D0795">
        <w:t xml:space="preserve"> | </w:t>
      </w:r>
      <w:r>
        <w:t>FMPO</w:t>
      </w:r>
      <w:r w:rsidRPr="004D0795">
        <w:t xml:space="preserve"> Statistics</w:t>
      </w:r>
    </w:p>
    <w:tbl>
      <w:tblPr>
        <w:tblW w:w="0" w:type="auto"/>
        <w:tblInd w:w="-10" w:type="dxa"/>
        <w:tblLayout w:type="fixed"/>
        <w:tblCellMar>
          <w:left w:w="0" w:type="dxa"/>
          <w:right w:w="0" w:type="dxa"/>
        </w:tblCellMar>
        <w:tblLook w:val="0000" w:firstRow="0" w:lastRow="0" w:firstColumn="0" w:lastColumn="0" w:noHBand="0" w:noVBand="0"/>
      </w:tblPr>
      <w:tblGrid>
        <w:gridCol w:w="3330"/>
        <w:gridCol w:w="4590"/>
      </w:tblGrid>
      <w:tr w:rsidR="005070BF" w:rsidRPr="004D0795" w14:paraId="1489C16B" w14:textId="77777777" w:rsidTr="005070BF">
        <w:trPr>
          <w:trHeight w:val="20"/>
        </w:trPr>
        <w:tc>
          <w:tcPr>
            <w:tcW w:w="792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2D7249E6" w14:textId="2E26251F" w:rsidR="005070BF" w:rsidRPr="00AF6C09" w:rsidRDefault="005070BF">
            <w:pPr>
              <w:spacing w:before="0" w:after="0" w:line="240" w:lineRule="auto"/>
              <w:jc w:val="center"/>
              <w:rPr>
                <w:sz w:val="22"/>
              </w:rPr>
            </w:pPr>
            <w:r w:rsidRPr="00305638">
              <w:rPr>
                <w:sz w:val="22"/>
              </w:rPr>
              <w:t>Flagstaff Metropolitan Planning Organization</w:t>
            </w:r>
            <w:r>
              <w:rPr>
                <w:sz w:val="22"/>
              </w:rPr>
              <w:t xml:space="preserve"> – FMPO</w:t>
            </w:r>
          </w:p>
        </w:tc>
      </w:tr>
      <w:tr w:rsidR="005070BF" w:rsidRPr="004D0795" w14:paraId="42249ACC" w14:textId="77777777" w:rsidTr="005070BF">
        <w:trPr>
          <w:trHeight w:val="144"/>
        </w:trPr>
        <w:tc>
          <w:tcPr>
            <w:tcW w:w="333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03CDD694" w14:textId="77777777" w:rsidR="005070BF" w:rsidRPr="00101FFC" w:rsidRDefault="005070BF" w:rsidP="00020D20">
            <w:pPr>
              <w:spacing w:before="0" w:after="0" w:line="240" w:lineRule="auto"/>
              <w:jc w:val="both"/>
              <w:rPr>
                <w:sz w:val="18"/>
              </w:rPr>
            </w:pPr>
            <w:r w:rsidRPr="00101FFC">
              <w:rPr>
                <w:sz w:val="18"/>
              </w:rPr>
              <w:t>Year Established</w:t>
            </w:r>
          </w:p>
        </w:tc>
        <w:tc>
          <w:tcPr>
            <w:tcW w:w="459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0AADA1CB" w14:textId="77777777" w:rsidR="005070BF" w:rsidRPr="00101FFC" w:rsidRDefault="005070BF" w:rsidP="00020D20">
            <w:pPr>
              <w:spacing w:before="0" w:after="0" w:line="240" w:lineRule="auto"/>
              <w:jc w:val="both"/>
              <w:rPr>
                <w:sz w:val="18"/>
              </w:rPr>
            </w:pPr>
            <w:r w:rsidRPr="00101FFC">
              <w:rPr>
                <w:sz w:val="18"/>
              </w:rPr>
              <w:t>1996</w:t>
            </w:r>
          </w:p>
        </w:tc>
      </w:tr>
      <w:tr w:rsidR="005070BF" w:rsidRPr="004D0795" w14:paraId="6B41DCDC"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1536AD7" w14:textId="77777777" w:rsidR="005070BF" w:rsidRPr="00101FFC" w:rsidRDefault="005070BF" w:rsidP="00020D20">
            <w:pPr>
              <w:spacing w:before="0" w:after="0" w:line="240" w:lineRule="auto"/>
              <w:jc w:val="both"/>
              <w:rPr>
                <w:sz w:val="18"/>
              </w:rPr>
            </w:pPr>
            <w:r w:rsidRPr="00101FFC">
              <w:rPr>
                <w:sz w:val="18"/>
              </w:rPr>
              <w:t>Hosted/Independent MPO</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8366EB4" w14:textId="77777777" w:rsidR="005070BF" w:rsidRPr="00101FFC" w:rsidRDefault="005070BF" w:rsidP="00020D20">
            <w:pPr>
              <w:spacing w:before="0" w:after="0" w:line="240" w:lineRule="auto"/>
              <w:jc w:val="both"/>
              <w:rPr>
                <w:sz w:val="18"/>
              </w:rPr>
            </w:pPr>
            <w:r w:rsidRPr="00101FFC">
              <w:rPr>
                <w:sz w:val="18"/>
              </w:rPr>
              <w:t>Independent</w:t>
            </w:r>
          </w:p>
        </w:tc>
      </w:tr>
      <w:tr w:rsidR="005070BF" w:rsidRPr="004D0795" w14:paraId="1FA3477A"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E7CBF8B" w14:textId="77777777" w:rsidR="005070BF" w:rsidRPr="00101FFC" w:rsidRDefault="005070BF" w:rsidP="00020D20">
            <w:pPr>
              <w:spacing w:before="0" w:after="0" w:line="240" w:lineRule="auto"/>
              <w:jc w:val="both"/>
              <w:rPr>
                <w:sz w:val="18"/>
              </w:rPr>
            </w:pPr>
            <w:r w:rsidRPr="00101FFC">
              <w:rPr>
                <w:sz w:val="18"/>
              </w:rPr>
              <w:t>Land Area (sq. mi.)</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2CD0E1D" w14:textId="77777777" w:rsidR="005070BF" w:rsidRPr="00101FFC" w:rsidRDefault="005070BF" w:rsidP="00020D20">
            <w:pPr>
              <w:spacing w:before="0" w:after="0" w:line="240" w:lineRule="auto"/>
              <w:jc w:val="both"/>
              <w:rPr>
                <w:sz w:val="18"/>
              </w:rPr>
            </w:pPr>
            <w:r w:rsidRPr="00101FFC">
              <w:rPr>
                <w:sz w:val="18"/>
              </w:rPr>
              <w:t>525</w:t>
            </w:r>
          </w:p>
        </w:tc>
      </w:tr>
      <w:tr w:rsidR="005070BF" w:rsidRPr="004D0795" w14:paraId="0474E30C"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5F9DE19" w14:textId="77777777" w:rsidR="005070BF" w:rsidRPr="00101FFC" w:rsidRDefault="005070BF" w:rsidP="00020D20">
            <w:pPr>
              <w:spacing w:before="0" w:after="0" w:line="240" w:lineRule="auto"/>
              <w:jc w:val="both"/>
              <w:rPr>
                <w:sz w:val="18"/>
              </w:rPr>
            </w:pPr>
            <w:r w:rsidRPr="00101FFC">
              <w:rPr>
                <w:sz w:val="18"/>
              </w:rPr>
              <w:t>2018 Population</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DCA498F" w14:textId="77777777" w:rsidR="005070BF" w:rsidRPr="00101FFC" w:rsidRDefault="005070BF" w:rsidP="00020D20">
            <w:pPr>
              <w:spacing w:before="0" w:after="0" w:line="240" w:lineRule="auto"/>
              <w:jc w:val="both"/>
              <w:rPr>
                <w:sz w:val="18"/>
              </w:rPr>
            </w:pPr>
            <w:r w:rsidRPr="00101FFC">
              <w:rPr>
                <w:sz w:val="18"/>
              </w:rPr>
              <w:t>92,000</w:t>
            </w:r>
          </w:p>
        </w:tc>
      </w:tr>
      <w:tr w:rsidR="005070BF" w:rsidRPr="004D0795" w14:paraId="427A17C4"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336ECA6" w14:textId="77777777" w:rsidR="005070BF" w:rsidRPr="00101FFC" w:rsidRDefault="005070BF" w:rsidP="00020D20">
            <w:pPr>
              <w:spacing w:before="0" w:after="0" w:line="240" w:lineRule="auto"/>
              <w:jc w:val="both"/>
              <w:rPr>
                <w:sz w:val="18"/>
              </w:rPr>
            </w:pPr>
            <w:r w:rsidRPr="00101FFC">
              <w:rPr>
                <w:sz w:val="18"/>
              </w:rPr>
              <w:t>Counties</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D215301" w14:textId="77777777" w:rsidR="005070BF" w:rsidRPr="00101FFC" w:rsidRDefault="005070BF" w:rsidP="00020D20">
            <w:pPr>
              <w:spacing w:before="0" w:after="0" w:line="240" w:lineRule="auto"/>
              <w:jc w:val="both"/>
              <w:rPr>
                <w:sz w:val="18"/>
              </w:rPr>
            </w:pPr>
            <w:r w:rsidRPr="00101FFC">
              <w:rPr>
                <w:sz w:val="18"/>
              </w:rPr>
              <w:t>1 | Coconino</w:t>
            </w:r>
          </w:p>
        </w:tc>
      </w:tr>
      <w:tr w:rsidR="005070BF" w:rsidRPr="004D0795" w14:paraId="29A415D9"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0EEA234" w14:textId="77777777" w:rsidR="005070BF" w:rsidRPr="00101FFC" w:rsidRDefault="005070BF" w:rsidP="00020D20">
            <w:pPr>
              <w:spacing w:before="0" w:after="0" w:line="240" w:lineRule="auto"/>
              <w:jc w:val="both"/>
              <w:rPr>
                <w:sz w:val="18"/>
              </w:rPr>
            </w:pPr>
            <w:r w:rsidRPr="00101FFC">
              <w:rPr>
                <w:sz w:val="18"/>
              </w:rPr>
              <w:t>Number of Municipalities</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DD1833A" w14:textId="77777777" w:rsidR="005070BF" w:rsidRPr="00101FFC" w:rsidRDefault="005070BF" w:rsidP="00020D20">
            <w:pPr>
              <w:spacing w:before="0" w:after="0" w:line="240" w:lineRule="auto"/>
              <w:jc w:val="both"/>
              <w:rPr>
                <w:sz w:val="18"/>
              </w:rPr>
            </w:pPr>
            <w:r w:rsidRPr="00101FFC">
              <w:rPr>
                <w:sz w:val="18"/>
              </w:rPr>
              <w:t>1</w:t>
            </w:r>
          </w:p>
        </w:tc>
      </w:tr>
      <w:tr w:rsidR="005070BF" w:rsidRPr="004D0795" w14:paraId="2CEC7C82"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6E6EE24" w14:textId="77777777" w:rsidR="005070BF" w:rsidRPr="00101FFC" w:rsidRDefault="005070BF" w:rsidP="00020D20">
            <w:pPr>
              <w:spacing w:before="0" w:after="0" w:line="240" w:lineRule="auto"/>
              <w:jc w:val="both"/>
              <w:rPr>
                <w:sz w:val="18"/>
              </w:rPr>
            </w:pPr>
            <w:r w:rsidRPr="00101FFC">
              <w:rPr>
                <w:sz w:val="18"/>
              </w:rPr>
              <w:t>Tribal Partner Agencies</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44A996B" w14:textId="77777777" w:rsidR="005070BF" w:rsidRPr="00101FFC" w:rsidRDefault="005070BF" w:rsidP="00020D20">
            <w:pPr>
              <w:spacing w:before="0" w:after="0" w:line="240" w:lineRule="auto"/>
              <w:jc w:val="both"/>
              <w:rPr>
                <w:sz w:val="18"/>
              </w:rPr>
            </w:pPr>
            <w:r w:rsidRPr="00101FFC">
              <w:rPr>
                <w:sz w:val="18"/>
              </w:rPr>
              <w:t>N/A</w:t>
            </w:r>
          </w:p>
        </w:tc>
      </w:tr>
      <w:tr w:rsidR="005070BF" w:rsidRPr="004D0795" w14:paraId="7A67CF21"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7714A84" w14:textId="77777777" w:rsidR="005070BF" w:rsidRPr="00101FFC" w:rsidRDefault="005070BF" w:rsidP="00020D20">
            <w:pPr>
              <w:spacing w:before="0" w:after="0" w:line="240" w:lineRule="auto"/>
              <w:jc w:val="both"/>
              <w:rPr>
                <w:sz w:val="18"/>
              </w:rPr>
            </w:pPr>
            <w:r w:rsidRPr="00101FFC">
              <w:rPr>
                <w:sz w:val="18"/>
              </w:rPr>
              <w:t>Primary Travel Corridors</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04461C7" w14:textId="77777777" w:rsidR="005070BF" w:rsidRPr="00101FFC" w:rsidRDefault="005070BF" w:rsidP="00020D20">
            <w:pPr>
              <w:spacing w:before="0" w:after="0" w:line="240" w:lineRule="auto"/>
              <w:jc w:val="both"/>
              <w:rPr>
                <w:sz w:val="18"/>
              </w:rPr>
            </w:pPr>
            <w:r w:rsidRPr="00101FFC">
              <w:rPr>
                <w:sz w:val="18"/>
              </w:rPr>
              <w:t>6 | Interstate: I-17, I-40. US Routes: US 66, US 180. State Routes: SR 89, SR 89A.</w:t>
            </w:r>
          </w:p>
        </w:tc>
      </w:tr>
      <w:tr w:rsidR="005070BF" w:rsidRPr="004D0795" w14:paraId="2EEF82DA"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B821BE5" w14:textId="77777777" w:rsidR="005070BF" w:rsidRPr="00101FFC" w:rsidRDefault="005070BF" w:rsidP="00020D20">
            <w:pPr>
              <w:spacing w:before="0" w:after="0" w:line="240" w:lineRule="auto"/>
              <w:jc w:val="both"/>
              <w:rPr>
                <w:sz w:val="18"/>
              </w:rPr>
            </w:pPr>
            <w:r w:rsidRPr="00101FFC">
              <w:rPr>
                <w:sz w:val="18"/>
              </w:rPr>
              <w:t>Transit</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9752A95" w14:textId="77777777" w:rsidR="005070BF" w:rsidRPr="00101FFC" w:rsidRDefault="005070BF" w:rsidP="00020D20">
            <w:pPr>
              <w:spacing w:before="0" w:after="0" w:line="240" w:lineRule="auto"/>
              <w:jc w:val="both"/>
              <w:rPr>
                <w:sz w:val="18"/>
              </w:rPr>
            </w:pPr>
            <w:r w:rsidRPr="00101FFC">
              <w:rPr>
                <w:sz w:val="18"/>
              </w:rPr>
              <w:t>Yes</w:t>
            </w:r>
          </w:p>
        </w:tc>
      </w:tr>
      <w:tr w:rsidR="005070BF" w:rsidRPr="004D0795" w14:paraId="78DB1E8A"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57BAE2D" w14:textId="77777777" w:rsidR="005070BF" w:rsidRPr="00101FFC" w:rsidRDefault="005070BF" w:rsidP="00020D20">
            <w:pPr>
              <w:spacing w:before="0" w:after="0" w:line="240" w:lineRule="auto"/>
              <w:jc w:val="both"/>
              <w:rPr>
                <w:sz w:val="18"/>
              </w:rPr>
            </w:pPr>
            <w:r w:rsidRPr="00101FFC">
              <w:rPr>
                <w:sz w:val="18"/>
              </w:rPr>
              <w:t>Airport</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4D5CB0A" w14:textId="77777777" w:rsidR="005070BF" w:rsidRPr="00101FFC" w:rsidRDefault="005070BF" w:rsidP="00020D20">
            <w:pPr>
              <w:spacing w:before="0" w:after="0" w:line="240" w:lineRule="auto"/>
              <w:jc w:val="both"/>
              <w:rPr>
                <w:sz w:val="18"/>
              </w:rPr>
            </w:pPr>
            <w:r w:rsidRPr="00101FFC">
              <w:rPr>
                <w:sz w:val="18"/>
              </w:rPr>
              <w:t>Yes</w:t>
            </w:r>
          </w:p>
        </w:tc>
      </w:tr>
      <w:tr w:rsidR="005070BF" w:rsidRPr="004D0795" w14:paraId="40767E42" w14:textId="77777777" w:rsidTr="005070BF">
        <w:trPr>
          <w:trHeight w:val="144"/>
        </w:trPr>
        <w:tc>
          <w:tcPr>
            <w:tcW w:w="333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92F8128" w14:textId="77777777" w:rsidR="005070BF" w:rsidRPr="00101FFC" w:rsidRDefault="005070BF">
            <w:pPr>
              <w:spacing w:before="0" w:after="0" w:line="240" w:lineRule="auto"/>
              <w:rPr>
                <w:sz w:val="18"/>
              </w:rPr>
            </w:pPr>
            <w:r w:rsidRPr="00101FFC">
              <w:rPr>
                <w:sz w:val="18"/>
              </w:rPr>
              <w:t>Air Quality Nonattainment or Maintenance</w:t>
            </w:r>
          </w:p>
        </w:tc>
        <w:tc>
          <w:tcPr>
            <w:tcW w:w="45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7A9A18" w14:textId="77777777" w:rsidR="005070BF" w:rsidRPr="00101FFC" w:rsidRDefault="005070BF" w:rsidP="00020D20">
            <w:pPr>
              <w:spacing w:before="0" w:after="0" w:line="240" w:lineRule="auto"/>
              <w:jc w:val="both"/>
              <w:rPr>
                <w:sz w:val="18"/>
              </w:rPr>
            </w:pPr>
            <w:r w:rsidRPr="00101FFC">
              <w:rPr>
                <w:sz w:val="18"/>
              </w:rPr>
              <w:t>None</w:t>
            </w:r>
          </w:p>
        </w:tc>
      </w:tr>
    </w:tbl>
    <w:p w14:paraId="6606B0A3" w14:textId="77777777" w:rsidR="002E2882" w:rsidRDefault="002E2882" w:rsidP="00020D20">
      <w:r>
        <w:br w:type="page"/>
      </w:r>
    </w:p>
    <w:bookmarkStart w:id="29" w:name="_Ref57985530"/>
    <w:p w14:paraId="74D333C7" w14:textId="63B30654" w:rsidR="00636F46" w:rsidRPr="002F17FB" w:rsidRDefault="00636F46" w:rsidP="00020D20">
      <w:pPr>
        <w:pStyle w:val="BodyTextTitle"/>
      </w:pPr>
      <w:r w:rsidRPr="003707B0">
        <w:rPr>
          <w:noProof/>
        </w:rPr>
        <mc:AlternateContent>
          <mc:Choice Requires="wps">
            <w:drawing>
              <wp:anchor distT="0" distB="0" distL="114300" distR="114300" simplePos="0" relativeHeight="251618557" behindDoc="0" locked="0" layoutInCell="1" allowOverlap="1" wp14:anchorId="69BFCE5D" wp14:editId="6F56BB32">
                <wp:simplePos x="0" y="0"/>
                <wp:positionH relativeFrom="column">
                  <wp:posOffset>3376930</wp:posOffset>
                </wp:positionH>
                <wp:positionV relativeFrom="paragraph">
                  <wp:posOffset>274044</wp:posOffset>
                </wp:positionV>
                <wp:extent cx="2689860" cy="318770"/>
                <wp:effectExtent l="0" t="0" r="0" b="5080"/>
                <wp:wrapNone/>
                <wp:docPr id="1690911548" name="Text Box 1690911548"/>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C41EA37" w14:textId="1D55F0D5" w:rsidR="00C6444C" w:rsidRPr="00101FFC" w:rsidRDefault="00C6444C" w:rsidP="00636F46">
                            <w:pPr>
                              <w:pStyle w:val="Heading4"/>
                            </w:pPr>
                            <w:r w:rsidRPr="00101FFC">
                              <w:t>Figure 1-</w:t>
                            </w:r>
                            <w:r>
                              <w:t>6</w:t>
                            </w:r>
                            <w:r w:rsidRPr="00101FFC">
                              <w:t xml:space="preserve"> | </w:t>
                            </w:r>
                            <w:r>
                              <w:t>LHMPO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69BFCE5D" id="Text Box 1690911548" o:spid="_x0000_s1047" type="#_x0000_t202" style="position:absolute;margin-left:265.9pt;margin-top:21.6pt;width:211.8pt;height:25.1pt;z-index:2516185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" filled="f" stroked="f" strokeweight="1pt">
                <v:textbox>
                  <w:txbxContent>
                    <w:p w14:paraId="2C41EA37" w14:textId="1D55F0D5" w:rsidR="00C6444C" w:rsidRPr="00101FFC" w:rsidRDefault="00C6444C" w:rsidP="00636F46">
                      <w:pPr>
                        <w:pStyle w:val="Heading4"/>
                      </w:pPr>
                      <w:r w:rsidRPr="00101FFC">
                        <w:t>Figure 1-</w:t>
                      </w:r>
                      <w:r>
                        <w:t>6</w:t>
                      </w:r>
                      <w:r w:rsidRPr="00101FFC">
                        <w:t xml:space="preserve"> | </w:t>
                      </w:r>
                      <w:r>
                        <w:t>LHMPO Regional Area</w:t>
                      </w:r>
                    </w:p>
                  </w:txbxContent>
                </v:textbox>
              </v:shape>
            </w:pict>
          </mc:Fallback>
        </mc:AlternateContent>
      </w:r>
      <w:r w:rsidRPr="00E6302D">
        <w:t>Lake Havasu Metropolitan Planning Organization (LHMPO)</w:t>
      </w:r>
      <w:bookmarkEnd w:id="28"/>
      <w:bookmarkEnd w:id="29"/>
    </w:p>
    <w:p w14:paraId="65766076" w14:textId="22FC6B72" w:rsidR="00636F46" w:rsidRDefault="00636F46" w:rsidP="00020D20">
      <w:pPr>
        <w:jc w:val="both"/>
        <w:rPr>
          <w:b/>
        </w:rPr>
      </w:pPr>
      <w:r>
        <w:rPr>
          <w:b/>
          <w:noProof/>
        </w:rPr>
        <w:drawing>
          <wp:anchor distT="0" distB="0" distL="114300" distR="114300" simplePos="0" relativeHeight="251618573" behindDoc="0" locked="0" layoutInCell="1" allowOverlap="1" wp14:anchorId="4497F573" wp14:editId="6D58619A">
            <wp:simplePos x="0" y="0"/>
            <wp:positionH relativeFrom="column">
              <wp:posOffset>3488690</wp:posOffset>
            </wp:positionH>
            <wp:positionV relativeFrom="paragraph">
              <wp:posOffset>104775</wp:posOffset>
            </wp:positionV>
            <wp:extent cx="3080385" cy="2785110"/>
            <wp:effectExtent l="0" t="0" r="5715" b="0"/>
            <wp:wrapSquare wrapText="bothSides"/>
            <wp:docPr id="816286114" name="Picture 81628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1" name="1_Map2-LHMPO REDUCED.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80385" cy="2785110"/>
                    </a:xfrm>
                    <a:prstGeom prst="rect">
                      <a:avLst/>
                    </a:prstGeom>
                  </pic:spPr>
                </pic:pic>
              </a:graphicData>
            </a:graphic>
            <wp14:sizeRelH relativeFrom="page">
              <wp14:pctWidth>0</wp14:pctWidth>
            </wp14:sizeRelH>
            <wp14:sizeRelV relativeFrom="page">
              <wp14:pctHeight>0</wp14:pctHeight>
            </wp14:sizeRelV>
          </wp:anchor>
        </w:drawing>
      </w:r>
      <w:r w:rsidRPr="004D0795">
        <w:t>The Lake Havasu MPO is one of three new MPOs in Arizona. It is located in Mohave County in western Arizona, accessed by SR-95.</w:t>
      </w:r>
      <w:r w:rsidR="00DC0C98">
        <w:t xml:space="preserve"> </w:t>
      </w:r>
      <w:r w:rsidR="00DC0C98">
        <w:rPr>
          <w:rFonts w:cstheme="minorHAnsi"/>
          <w:noProof/>
        </w:rPr>
        <w:t>The LHMPO boundary is shown in Figure 1-6.</w:t>
      </w:r>
      <w:r w:rsidRPr="004D0795">
        <w:t xml:space="preserve"> Located along the Colorado River between Yuma and Bullhead City, Lake Havasu City attracts recreationalists, retirees, and vacationers. Throughout the year, the population fluctuates, much like many of the Arizona destinations during the fall, winter</w:t>
      </w:r>
      <w:r>
        <w:t>,</w:t>
      </w:r>
      <w:r w:rsidRPr="004D0795">
        <w:t xml:space="preserve"> and spring months</w:t>
      </w:r>
      <w:r>
        <w:t>.</w:t>
      </w:r>
      <w:r w:rsidRPr="00A86C2E">
        <w:rPr>
          <w:rFonts w:cstheme="minorHAnsi"/>
          <w:noProof/>
        </w:rPr>
        <w:t xml:space="preserve"> </w:t>
      </w:r>
    </w:p>
    <w:p w14:paraId="095F82C9" w14:textId="212A3165" w:rsidR="00636F46" w:rsidRDefault="00636F46" w:rsidP="00020D20">
      <w:pPr>
        <w:jc w:val="both"/>
      </w:pPr>
    </w:p>
    <w:p w14:paraId="30290C6C" w14:textId="4E88F60E" w:rsidR="00636F46" w:rsidRDefault="00636F46" w:rsidP="00020D20">
      <w:pPr>
        <w:jc w:val="both"/>
      </w:pPr>
    </w:p>
    <w:p w14:paraId="31CE55F0" w14:textId="050ED615" w:rsidR="00636F46" w:rsidRDefault="00636F46" w:rsidP="00020D20">
      <w:pPr>
        <w:jc w:val="both"/>
      </w:pPr>
    </w:p>
    <w:p w14:paraId="53C3B5B2" w14:textId="198765B8" w:rsidR="00636F46" w:rsidRDefault="00636F46" w:rsidP="00020D20">
      <w:pPr>
        <w:jc w:val="both"/>
      </w:pPr>
    </w:p>
    <w:p w14:paraId="161E61E1" w14:textId="77777777" w:rsidR="00636F46" w:rsidRDefault="00636F46" w:rsidP="00020D20">
      <w:pPr>
        <w:jc w:val="both"/>
      </w:pPr>
    </w:p>
    <w:p w14:paraId="269DC404" w14:textId="74B99FE8" w:rsidR="00636F46" w:rsidRDefault="00636F46" w:rsidP="00020D20">
      <w:pPr>
        <w:jc w:val="both"/>
      </w:pPr>
    </w:p>
    <w:p w14:paraId="0D7587AD" w14:textId="42D8D56B" w:rsidR="00636F46" w:rsidRPr="002776AA" w:rsidRDefault="002C1B60" w:rsidP="00020D20">
      <w:pPr>
        <w:pStyle w:val="Heading4"/>
        <w:jc w:val="both"/>
      </w:pPr>
      <w:r>
        <w:rPr>
          <w:noProof/>
        </w:rPr>
        <w:drawing>
          <wp:anchor distT="0" distB="0" distL="114300" distR="114300" simplePos="0" relativeHeight="251618578" behindDoc="0" locked="0" layoutInCell="1" allowOverlap="1" wp14:anchorId="71F91632" wp14:editId="72A53546">
            <wp:simplePos x="0" y="0"/>
            <wp:positionH relativeFrom="column">
              <wp:posOffset>4603115</wp:posOffset>
            </wp:positionH>
            <wp:positionV relativeFrom="paragraph">
              <wp:posOffset>592455</wp:posOffset>
            </wp:positionV>
            <wp:extent cx="1243330" cy="1462405"/>
            <wp:effectExtent l="0" t="0" r="0" b="4445"/>
            <wp:wrapSquare wrapText="bothSides"/>
            <wp:docPr id="816286119" name="Picture 81628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4" name="1_Map-LHMPO REDUCED.jpg"/>
                    <pic:cNvPicPr/>
                  </pic:nvPicPr>
                  <pic:blipFill>
                    <a:blip r:embed="rId91" cstate="hqprint">
                      <a:extLst>
                        <a:ext uri="{28A0092B-C50C-407E-A947-70E740481C1C}">
                          <a14:useLocalDpi xmlns:a14="http://schemas.microsoft.com/office/drawing/2010/main" val="0"/>
                        </a:ext>
                      </a:extLst>
                    </a:blip>
                    <a:stretch>
                      <a:fillRect/>
                    </a:stretch>
                  </pic:blipFill>
                  <pic:spPr>
                    <a:xfrm>
                      <a:off x="0" y="0"/>
                      <a:ext cx="1243330" cy="1462405"/>
                    </a:xfrm>
                    <a:prstGeom prst="rect">
                      <a:avLst/>
                    </a:prstGeom>
                  </pic:spPr>
                </pic:pic>
              </a:graphicData>
            </a:graphic>
            <wp14:sizeRelH relativeFrom="page">
              <wp14:pctWidth>0</wp14:pctWidth>
            </wp14:sizeRelH>
            <wp14:sizeRelV relativeFrom="page">
              <wp14:pctHeight>0</wp14:pctHeight>
            </wp14:sizeRelV>
          </wp:anchor>
        </w:drawing>
      </w:r>
      <w:r w:rsidR="00EA4B19">
        <w:rPr>
          <w:rFonts w:cstheme="minorHAnsi"/>
          <w:noProof/>
        </w:rPr>
        <mc:AlternateContent>
          <mc:Choice Requires="wps">
            <w:drawing>
              <wp:anchor distT="0" distB="0" distL="114300" distR="114300" simplePos="0" relativeHeight="251618586" behindDoc="1" locked="0" layoutInCell="1" allowOverlap="1" wp14:anchorId="42048135" wp14:editId="46F9A0A9">
                <wp:simplePos x="0" y="0"/>
                <wp:positionH relativeFrom="column">
                  <wp:posOffset>4561840</wp:posOffset>
                </wp:positionH>
                <wp:positionV relativeFrom="paragraph">
                  <wp:posOffset>2377440</wp:posOffset>
                </wp:positionV>
                <wp:extent cx="1381125" cy="1438275"/>
                <wp:effectExtent l="76200" t="95250" r="85725" b="104775"/>
                <wp:wrapTight wrapText="bothSides">
                  <wp:wrapPolygon edited="0">
                    <wp:start x="-1192" y="-1430"/>
                    <wp:lineTo x="-1192" y="22887"/>
                    <wp:lineTo x="22643" y="22887"/>
                    <wp:lineTo x="22643" y="-1430"/>
                    <wp:lineTo x="-1192" y="-1430"/>
                  </wp:wrapPolygon>
                </wp:wrapTight>
                <wp:docPr id="1690911549" name="Text Box 1690911549"/>
                <wp:cNvGraphicFramePr/>
                <a:graphic xmlns:a="http://schemas.openxmlformats.org/drawingml/2006/main">
                  <a:graphicData uri="http://schemas.microsoft.com/office/word/2010/wordprocessingShape">
                    <wps:wsp>
                      <wps:cNvSpPr txBox="1"/>
                      <wps:spPr>
                        <a:xfrm>
                          <a:off x="0" y="0"/>
                          <a:ext cx="1381125" cy="14382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FD420B8" w14:textId="77777777" w:rsidR="00C6444C" w:rsidRDefault="00C6444C" w:rsidP="00636F46">
                            <w:pPr>
                              <w:jc w:val="center"/>
                            </w:pPr>
                            <w:r>
                              <w:rPr>
                                <w:noProof/>
                              </w:rPr>
                              <w:drawing>
                                <wp:inline distT="0" distB="0" distL="0" distR="0" wp14:anchorId="2E540F9C" wp14:editId="69E7A86A">
                                  <wp:extent cx="457200" cy="457200"/>
                                  <wp:effectExtent l="0" t="0" r="0" b="0"/>
                                  <wp:docPr id="202" name="Picture 202">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7F7E75E" w14:textId="77777777" w:rsidR="00C6444C" w:rsidRDefault="00C6444C" w:rsidP="00636F46">
                            <w:pPr>
                              <w:pStyle w:val="Calloutboxes"/>
                            </w:pPr>
                            <w:r>
                              <w:t>LHMPO</w:t>
                            </w:r>
                          </w:p>
                          <w:p w14:paraId="5C73E7A6" w14:textId="77777777" w:rsidR="00C6444C" w:rsidRDefault="00C6444C" w:rsidP="00636F46">
                            <w:pPr>
                              <w:pStyle w:val="Calloutboxes"/>
                            </w:pPr>
                            <w:r>
                              <w:t>900 London Bridge Rd.</w:t>
                            </w:r>
                          </w:p>
                          <w:p w14:paraId="658AB7B9" w14:textId="77777777" w:rsidR="00C6444C" w:rsidRDefault="00C6444C" w:rsidP="00636F46">
                            <w:pPr>
                              <w:pStyle w:val="Calloutboxes"/>
                            </w:pPr>
                            <w:r>
                              <w:t>Lake Havasu City, AZ 86404 #: 928-854-0750</w:t>
                            </w:r>
                          </w:p>
                          <w:p w14:paraId="15B72E0B" w14:textId="77777777" w:rsidR="00C6444C" w:rsidRPr="00101FFC" w:rsidRDefault="00202C92" w:rsidP="00636F46">
                            <w:pPr>
                              <w:pStyle w:val="Title"/>
                              <w:rPr>
                                <w:sz w:val="16"/>
                                <w:szCs w:val="16"/>
                              </w:rPr>
                            </w:pPr>
                            <w:hyperlink r:id="rId93" w:history="1">
                              <w:r w:rsidR="00C6444C" w:rsidRPr="00101FFC">
                                <w:rPr>
                                  <w:rStyle w:val="Hyperlink"/>
                                  <w:rFonts w:ascii="Calibri" w:hAnsi="Calibri" w:cstheme="majorBidi"/>
                                  <w:i/>
                                  <w:iCs w:val="0"/>
                                  <w:color w:val="CE5B18"/>
                                  <w:u w:val="none"/>
                                </w:rPr>
                                <w:t>http://www.lhmpo.org/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048135" id="Text Box 1690911549" o:spid="_x0000_s1048" type="#_x0000_t202" style="position:absolute;left:0;text-align:left;margin-left:359.2pt;margin-top:187.2pt;width:108.75pt;height:113.25pt;z-index:-251697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" fillcolor="#f7f7f7" stroked="f" strokeweight=".5pt">
                <v:shadow on="t" type="perspective" color="black" opacity="26214f" offset="0,0" matrix="66847f,,,66847f"/>
                <v:textbox>
                  <w:txbxContent>
                    <w:p w14:paraId="0FD420B8" w14:textId="77777777" w:rsidR="00C6444C" w:rsidRDefault="00C6444C" w:rsidP="00636F46">
                      <w:pPr>
                        <w:jc w:val="center"/>
                      </w:pPr>
                      <w:r>
                        <w:rPr>
                          <w:noProof/>
                        </w:rPr>
                        <w:drawing>
                          <wp:inline distT="0" distB="0" distL="0" distR="0" wp14:anchorId="2E540F9C" wp14:editId="69E7A86A">
                            <wp:extent cx="457200" cy="457200"/>
                            <wp:effectExtent l="0" t="0" r="0" b="0"/>
                            <wp:docPr id="202" name="Picture 202">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7F7E75E" w14:textId="77777777" w:rsidR="00C6444C" w:rsidRDefault="00C6444C" w:rsidP="00636F46">
                      <w:pPr>
                        <w:pStyle w:val="Calloutboxes"/>
                      </w:pPr>
                      <w:r>
                        <w:t>LHMPO</w:t>
                      </w:r>
                    </w:p>
                    <w:p w14:paraId="5C73E7A6" w14:textId="77777777" w:rsidR="00C6444C" w:rsidRDefault="00C6444C" w:rsidP="00636F46">
                      <w:pPr>
                        <w:pStyle w:val="Calloutboxes"/>
                      </w:pPr>
                      <w:r>
                        <w:t>900 London Bridge Rd.</w:t>
                      </w:r>
                    </w:p>
                    <w:p w14:paraId="658AB7B9" w14:textId="77777777" w:rsidR="00C6444C" w:rsidRDefault="00C6444C" w:rsidP="00636F46">
                      <w:pPr>
                        <w:pStyle w:val="Calloutboxes"/>
                      </w:pPr>
                      <w:r>
                        <w:t>Lake Havasu City, AZ 86404 #: 928-854-0750</w:t>
                      </w:r>
                    </w:p>
                    <w:p w14:paraId="15B72E0B" w14:textId="77777777" w:rsidR="00C6444C" w:rsidRPr="00101FFC" w:rsidRDefault="00576D31" w:rsidP="00636F46">
                      <w:pPr>
                        <w:pStyle w:val="Title"/>
                        <w:rPr>
                          <w:sz w:val="16"/>
                          <w:szCs w:val="16"/>
                        </w:rPr>
                      </w:pPr>
                      <w:hyperlink r:id="rId95" w:history="1">
                        <w:r w:rsidR="00C6444C" w:rsidRPr="00101FFC">
                          <w:rPr>
                            <w:rStyle w:val="Hyperlink"/>
                            <w:rFonts w:ascii="Calibri" w:hAnsi="Calibri" w:cstheme="majorBidi"/>
                            <w:i/>
                            <w:iCs w:val="0"/>
                            <w:color w:val="CE5B18"/>
                            <w:u w:val="none"/>
                          </w:rPr>
                          <w:t>http://www.lhmpo.org/</w:t>
                        </w:r>
                      </w:hyperlink>
                    </w:p>
                  </w:txbxContent>
                </v:textbox>
                <w10:wrap type="tight"/>
              </v:shape>
            </w:pict>
          </mc:Fallback>
        </mc:AlternateContent>
      </w:r>
      <w:r w:rsidR="00636F46" w:rsidRPr="004D0795">
        <w:t>Table 1-</w:t>
      </w:r>
      <w:r w:rsidR="005070BF">
        <w:t>8</w:t>
      </w:r>
      <w:r w:rsidR="00636F46" w:rsidRPr="004D0795">
        <w:t xml:space="preserve"> | LHMPO Statistics</w:t>
      </w:r>
    </w:p>
    <w:tbl>
      <w:tblPr>
        <w:tblW w:w="0" w:type="auto"/>
        <w:tblInd w:w="-10" w:type="dxa"/>
        <w:tblLayout w:type="fixed"/>
        <w:tblCellMar>
          <w:left w:w="0" w:type="dxa"/>
          <w:right w:w="0" w:type="dxa"/>
        </w:tblCellMar>
        <w:tblLook w:val="0000" w:firstRow="0" w:lastRow="0" w:firstColumn="0" w:lastColumn="0" w:noHBand="0" w:noVBand="0"/>
      </w:tblPr>
      <w:tblGrid>
        <w:gridCol w:w="2540"/>
        <w:gridCol w:w="3580"/>
      </w:tblGrid>
      <w:tr w:rsidR="00636F46" w:rsidRPr="004D0795" w14:paraId="4399B7E7" w14:textId="77777777" w:rsidTr="00020D20">
        <w:trPr>
          <w:trHeight w:val="144"/>
        </w:trPr>
        <w:tc>
          <w:tcPr>
            <w:tcW w:w="612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70E2B07E" w14:textId="09874050" w:rsidR="00636F46" w:rsidRPr="00101FFC" w:rsidRDefault="00636F46">
            <w:pPr>
              <w:spacing w:before="0" w:after="0" w:line="240" w:lineRule="auto"/>
              <w:jc w:val="center"/>
              <w:rPr>
                <w:color w:val="323232"/>
                <w:sz w:val="22"/>
              </w:rPr>
            </w:pPr>
            <w:r w:rsidRPr="00101FFC">
              <w:rPr>
                <w:sz w:val="22"/>
              </w:rPr>
              <w:t xml:space="preserve">Lake Havasu Metropolitan Planning Organization </w:t>
            </w:r>
            <w:r w:rsidR="005070BF">
              <w:rPr>
                <w:sz w:val="22"/>
              </w:rPr>
              <w:t>–</w:t>
            </w:r>
            <w:r w:rsidRPr="00101FFC">
              <w:rPr>
                <w:sz w:val="22"/>
              </w:rPr>
              <w:t xml:space="preserve"> LHMPO</w:t>
            </w:r>
          </w:p>
        </w:tc>
      </w:tr>
      <w:tr w:rsidR="00636F46" w:rsidRPr="004D0795" w14:paraId="0FD108F7" w14:textId="77777777" w:rsidTr="00020D20">
        <w:trPr>
          <w:trHeight w:val="270"/>
        </w:trPr>
        <w:tc>
          <w:tcPr>
            <w:tcW w:w="254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7B30E292" w14:textId="77777777" w:rsidR="00636F46" w:rsidRPr="00101FFC" w:rsidRDefault="00636F46" w:rsidP="00020D20">
            <w:pPr>
              <w:spacing w:before="0" w:after="0" w:line="240" w:lineRule="auto"/>
              <w:jc w:val="both"/>
              <w:rPr>
                <w:sz w:val="18"/>
              </w:rPr>
            </w:pPr>
            <w:r w:rsidRPr="00101FFC">
              <w:rPr>
                <w:sz w:val="18"/>
              </w:rPr>
              <w:t>Year Established</w:t>
            </w:r>
          </w:p>
        </w:tc>
        <w:tc>
          <w:tcPr>
            <w:tcW w:w="358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1D70EA16" w14:textId="767FA4E2" w:rsidR="00636F46" w:rsidRPr="00101FFC" w:rsidRDefault="00636F46" w:rsidP="00020D20">
            <w:pPr>
              <w:spacing w:before="0" w:after="0" w:line="240" w:lineRule="auto"/>
              <w:jc w:val="both"/>
              <w:rPr>
                <w:sz w:val="18"/>
              </w:rPr>
            </w:pPr>
            <w:r w:rsidRPr="00101FFC">
              <w:rPr>
                <w:sz w:val="18"/>
              </w:rPr>
              <w:t>2013</w:t>
            </w:r>
          </w:p>
        </w:tc>
      </w:tr>
      <w:tr w:rsidR="00636F46" w:rsidRPr="004D0795" w14:paraId="0E1F5739"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1519D55" w14:textId="77777777" w:rsidR="00636F46" w:rsidRPr="00101FFC" w:rsidRDefault="00636F46" w:rsidP="00020D20">
            <w:pPr>
              <w:spacing w:before="0" w:after="0" w:line="240" w:lineRule="auto"/>
              <w:jc w:val="both"/>
              <w:rPr>
                <w:sz w:val="18"/>
              </w:rPr>
            </w:pPr>
            <w:r w:rsidRPr="00101FFC">
              <w:rPr>
                <w:sz w:val="18"/>
              </w:rPr>
              <w:t>Hosted/Independent MPO</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30DA929" w14:textId="77777777" w:rsidR="00636F46" w:rsidRPr="00101FFC" w:rsidRDefault="00636F46" w:rsidP="00020D20">
            <w:pPr>
              <w:spacing w:before="0" w:after="0" w:line="240" w:lineRule="auto"/>
              <w:jc w:val="both"/>
              <w:rPr>
                <w:sz w:val="18"/>
              </w:rPr>
            </w:pPr>
            <w:r w:rsidRPr="00101FFC">
              <w:rPr>
                <w:sz w:val="18"/>
              </w:rPr>
              <w:t>Hosted by Lake Havasu City</w:t>
            </w:r>
          </w:p>
        </w:tc>
      </w:tr>
      <w:tr w:rsidR="00636F46" w:rsidRPr="004D0795" w14:paraId="640F2BE2"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BA8E08F" w14:textId="77777777" w:rsidR="00636F46" w:rsidRPr="00101FFC" w:rsidRDefault="00636F46" w:rsidP="00020D20">
            <w:pPr>
              <w:spacing w:before="0" w:after="0" w:line="240" w:lineRule="auto"/>
              <w:jc w:val="both"/>
              <w:rPr>
                <w:sz w:val="18"/>
              </w:rPr>
            </w:pPr>
            <w:r w:rsidRPr="00101FFC">
              <w:rPr>
                <w:sz w:val="18"/>
              </w:rPr>
              <w:t>Land Area (sq. mi.)</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8BBB4AD" w14:textId="77777777" w:rsidR="00636F46" w:rsidRPr="00101FFC" w:rsidRDefault="00636F46" w:rsidP="00020D20">
            <w:pPr>
              <w:spacing w:before="0" w:after="0" w:line="240" w:lineRule="auto"/>
              <w:jc w:val="both"/>
              <w:rPr>
                <w:sz w:val="18"/>
              </w:rPr>
            </w:pPr>
            <w:r w:rsidRPr="00101FFC">
              <w:rPr>
                <w:sz w:val="18"/>
              </w:rPr>
              <w:t>101</w:t>
            </w:r>
          </w:p>
        </w:tc>
      </w:tr>
      <w:tr w:rsidR="00636F46" w:rsidRPr="004D0795" w14:paraId="47A79448"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513718B" w14:textId="77777777" w:rsidR="00636F46" w:rsidRPr="00101FFC" w:rsidRDefault="00636F46" w:rsidP="00020D20">
            <w:pPr>
              <w:spacing w:before="0" w:after="0" w:line="240" w:lineRule="auto"/>
              <w:jc w:val="both"/>
              <w:rPr>
                <w:sz w:val="18"/>
              </w:rPr>
            </w:pPr>
            <w:r w:rsidRPr="00101FFC">
              <w:rPr>
                <w:sz w:val="18"/>
              </w:rPr>
              <w:t>2010 Population</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5F79F50" w14:textId="77777777" w:rsidR="00636F46" w:rsidRPr="00101FFC" w:rsidRDefault="00636F46" w:rsidP="00020D20">
            <w:pPr>
              <w:spacing w:before="0" w:after="0" w:line="240" w:lineRule="auto"/>
              <w:jc w:val="both"/>
              <w:rPr>
                <w:sz w:val="18"/>
              </w:rPr>
            </w:pPr>
            <w:r w:rsidRPr="00101FFC">
              <w:rPr>
                <w:sz w:val="18"/>
              </w:rPr>
              <w:t>58,400</w:t>
            </w:r>
          </w:p>
        </w:tc>
      </w:tr>
      <w:tr w:rsidR="00636F46" w:rsidRPr="004D0795" w14:paraId="62B935E8"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2F06E4B" w14:textId="77777777" w:rsidR="00636F46" w:rsidRPr="00101FFC" w:rsidRDefault="00636F46" w:rsidP="00020D20">
            <w:pPr>
              <w:spacing w:before="0" w:after="0" w:line="240" w:lineRule="auto"/>
              <w:jc w:val="both"/>
              <w:rPr>
                <w:sz w:val="18"/>
              </w:rPr>
            </w:pPr>
            <w:r w:rsidRPr="00101FFC">
              <w:rPr>
                <w:sz w:val="18"/>
              </w:rPr>
              <w:t>Counties</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CC3E872" w14:textId="77777777" w:rsidR="00636F46" w:rsidRPr="00101FFC" w:rsidRDefault="00636F46" w:rsidP="00020D20">
            <w:pPr>
              <w:spacing w:before="0" w:after="0" w:line="240" w:lineRule="auto"/>
              <w:jc w:val="both"/>
              <w:rPr>
                <w:sz w:val="18"/>
              </w:rPr>
            </w:pPr>
            <w:r w:rsidRPr="00101FFC">
              <w:rPr>
                <w:sz w:val="18"/>
              </w:rPr>
              <w:t>1 | Mohave</w:t>
            </w:r>
          </w:p>
        </w:tc>
      </w:tr>
      <w:tr w:rsidR="00636F46" w:rsidRPr="004D0795" w14:paraId="109C70CE"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655E39D" w14:textId="77777777" w:rsidR="00636F46" w:rsidRPr="00101FFC" w:rsidRDefault="00636F46" w:rsidP="00020D20">
            <w:pPr>
              <w:spacing w:before="0" w:after="0" w:line="240" w:lineRule="auto"/>
              <w:jc w:val="both"/>
              <w:rPr>
                <w:sz w:val="18"/>
              </w:rPr>
            </w:pPr>
            <w:r w:rsidRPr="00101FFC">
              <w:rPr>
                <w:sz w:val="18"/>
              </w:rPr>
              <w:t>Number of Municipalities</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809F22C" w14:textId="77777777" w:rsidR="00636F46" w:rsidRPr="00101FFC" w:rsidRDefault="00636F46" w:rsidP="00020D20">
            <w:pPr>
              <w:spacing w:before="0" w:after="0" w:line="240" w:lineRule="auto"/>
              <w:jc w:val="both"/>
              <w:rPr>
                <w:sz w:val="18"/>
              </w:rPr>
            </w:pPr>
            <w:r w:rsidRPr="00101FFC">
              <w:rPr>
                <w:sz w:val="18"/>
              </w:rPr>
              <w:t>1</w:t>
            </w:r>
          </w:p>
        </w:tc>
      </w:tr>
      <w:tr w:rsidR="00636F46" w:rsidRPr="004D0795" w14:paraId="7F58977E"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CA05B1D" w14:textId="77777777" w:rsidR="00636F46" w:rsidRPr="00101FFC" w:rsidRDefault="00636F46" w:rsidP="00020D20">
            <w:pPr>
              <w:spacing w:before="0" w:after="0" w:line="240" w:lineRule="auto"/>
              <w:jc w:val="both"/>
              <w:rPr>
                <w:sz w:val="18"/>
              </w:rPr>
            </w:pPr>
            <w:r w:rsidRPr="00101FFC">
              <w:rPr>
                <w:sz w:val="18"/>
              </w:rPr>
              <w:t>Tribal Partner Agencies</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ED43DEE" w14:textId="77777777" w:rsidR="00636F46" w:rsidRPr="00101FFC" w:rsidRDefault="00636F46" w:rsidP="00020D20">
            <w:pPr>
              <w:spacing w:before="0" w:after="0" w:line="240" w:lineRule="auto"/>
              <w:jc w:val="both"/>
              <w:rPr>
                <w:sz w:val="18"/>
              </w:rPr>
            </w:pPr>
            <w:r w:rsidRPr="00101FFC">
              <w:rPr>
                <w:sz w:val="18"/>
              </w:rPr>
              <w:t>N/A</w:t>
            </w:r>
          </w:p>
        </w:tc>
      </w:tr>
      <w:tr w:rsidR="00636F46" w:rsidRPr="004D0795" w14:paraId="4D077AF8"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4B8BA48" w14:textId="77777777" w:rsidR="00636F46" w:rsidRPr="00101FFC" w:rsidRDefault="00636F46" w:rsidP="00020D20">
            <w:pPr>
              <w:spacing w:before="0" w:after="0" w:line="240" w:lineRule="auto"/>
              <w:jc w:val="both"/>
              <w:rPr>
                <w:sz w:val="18"/>
              </w:rPr>
            </w:pPr>
            <w:r w:rsidRPr="00101FFC">
              <w:rPr>
                <w:sz w:val="18"/>
              </w:rPr>
              <w:t>Primary Travel Corridors</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DCF1939" w14:textId="77777777" w:rsidR="00636F46" w:rsidRPr="00101FFC" w:rsidRDefault="00636F46" w:rsidP="00020D20">
            <w:pPr>
              <w:spacing w:before="0" w:after="0" w:line="240" w:lineRule="auto"/>
              <w:jc w:val="both"/>
              <w:rPr>
                <w:sz w:val="18"/>
              </w:rPr>
            </w:pPr>
            <w:r w:rsidRPr="00101FFC">
              <w:rPr>
                <w:sz w:val="18"/>
              </w:rPr>
              <w:t>1 | State Routes: SR 95</w:t>
            </w:r>
          </w:p>
        </w:tc>
      </w:tr>
      <w:tr w:rsidR="00636F46" w:rsidRPr="004D0795" w14:paraId="2B55EF30"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3055F13" w14:textId="77777777" w:rsidR="00636F46" w:rsidRPr="00101FFC" w:rsidRDefault="00636F46" w:rsidP="00020D20">
            <w:pPr>
              <w:spacing w:before="0" w:after="0" w:line="240" w:lineRule="auto"/>
              <w:jc w:val="both"/>
              <w:rPr>
                <w:sz w:val="18"/>
              </w:rPr>
            </w:pPr>
            <w:r w:rsidRPr="00101FFC">
              <w:rPr>
                <w:sz w:val="18"/>
              </w:rPr>
              <w:t>Transit</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01D33B7" w14:textId="34B2A7F2" w:rsidR="00636F46" w:rsidRPr="00101FFC" w:rsidRDefault="00E41595" w:rsidP="00020D20">
            <w:pPr>
              <w:spacing w:before="0" w:after="0" w:line="240" w:lineRule="auto"/>
              <w:jc w:val="both"/>
              <w:rPr>
                <w:sz w:val="18"/>
              </w:rPr>
            </w:pPr>
            <w:r>
              <w:rPr>
                <w:sz w:val="18"/>
              </w:rPr>
              <w:t>Yes</w:t>
            </w:r>
          </w:p>
        </w:tc>
      </w:tr>
      <w:tr w:rsidR="00636F46" w:rsidRPr="004D0795" w14:paraId="0ADC53BF"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AC5DA15" w14:textId="77777777" w:rsidR="00636F46" w:rsidRPr="00101FFC" w:rsidRDefault="00636F46" w:rsidP="00020D20">
            <w:pPr>
              <w:spacing w:before="0" w:after="0" w:line="240" w:lineRule="auto"/>
              <w:jc w:val="both"/>
              <w:rPr>
                <w:sz w:val="18"/>
              </w:rPr>
            </w:pPr>
            <w:r w:rsidRPr="00101FFC">
              <w:rPr>
                <w:sz w:val="18"/>
              </w:rPr>
              <w:t>Airport</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34C22B5" w14:textId="2077E855" w:rsidR="00636F46" w:rsidRPr="00101FFC" w:rsidRDefault="00E41595" w:rsidP="00020D20">
            <w:pPr>
              <w:spacing w:before="0" w:after="0" w:line="240" w:lineRule="auto"/>
              <w:jc w:val="both"/>
              <w:rPr>
                <w:sz w:val="18"/>
              </w:rPr>
            </w:pPr>
            <w:r>
              <w:rPr>
                <w:sz w:val="18"/>
              </w:rPr>
              <w:t>Yes</w:t>
            </w:r>
          </w:p>
        </w:tc>
      </w:tr>
      <w:tr w:rsidR="00636F46" w:rsidRPr="004D0795" w14:paraId="3AAA3DFA" w14:textId="77777777" w:rsidTr="00636F46">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1857FA2" w14:textId="77777777" w:rsidR="00636F46" w:rsidRPr="00101FFC" w:rsidRDefault="00636F46">
            <w:pPr>
              <w:spacing w:before="0" w:after="0" w:line="240" w:lineRule="auto"/>
              <w:rPr>
                <w:sz w:val="18"/>
              </w:rPr>
            </w:pPr>
            <w:r w:rsidRPr="00101FFC">
              <w:rPr>
                <w:sz w:val="18"/>
              </w:rPr>
              <w:t>Air Quality Nonattainment or Maintenance</w:t>
            </w:r>
          </w:p>
        </w:tc>
        <w:tc>
          <w:tcPr>
            <w:tcW w:w="35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97E3B00" w14:textId="77777777" w:rsidR="00636F46" w:rsidRPr="00101FFC" w:rsidRDefault="00636F46" w:rsidP="00020D20">
            <w:pPr>
              <w:spacing w:before="0" w:after="0" w:line="240" w:lineRule="auto"/>
              <w:jc w:val="both"/>
              <w:rPr>
                <w:sz w:val="18"/>
              </w:rPr>
            </w:pPr>
            <w:r w:rsidRPr="00101FFC">
              <w:rPr>
                <w:sz w:val="18"/>
              </w:rPr>
              <w:t>None</w:t>
            </w:r>
          </w:p>
        </w:tc>
      </w:tr>
    </w:tbl>
    <w:p w14:paraId="0B00E522" w14:textId="77777777" w:rsidR="00EA4B19" w:rsidRDefault="00EA4B19" w:rsidP="00020D20">
      <w:bookmarkStart w:id="30" w:name="_Ref50023222"/>
      <w:r>
        <w:br w:type="page"/>
      </w:r>
    </w:p>
    <w:bookmarkStart w:id="31" w:name="_Ref57985683"/>
    <w:p w14:paraId="6BB7CAC1" w14:textId="64ED9F30" w:rsidR="00636F46" w:rsidRPr="002F17FB" w:rsidRDefault="00636F46" w:rsidP="00020D20">
      <w:pPr>
        <w:pStyle w:val="BodyTextTitle"/>
        <w:rPr>
          <w:color w:val="auto"/>
        </w:rPr>
      </w:pPr>
      <w:r w:rsidRPr="003707B0">
        <w:rPr>
          <w:noProof/>
        </w:rPr>
        <mc:AlternateContent>
          <mc:Choice Requires="wps">
            <w:drawing>
              <wp:anchor distT="0" distB="0" distL="114300" distR="114300" simplePos="0" relativeHeight="251618559" behindDoc="0" locked="0" layoutInCell="1" allowOverlap="1" wp14:anchorId="07FE84EC" wp14:editId="71955253">
                <wp:simplePos x="0" y="0"/>
                <wp:positionH relativeFrom="column">
                  <wp:posOffset>3355340</wp:posOffset>
                </wp:positionH>
                <wp:positionV relativeFrom="paragraph">
                  <wp:posOffset>386715</wp:posOffset>
                </wp:positionV>
                <wp:extent cx="2689860" cy="318770"/>
                <wp:effectExtent l="0" t="0" r="0" b="5080"/>
                <wp:wrapNone/>
                <wp:docPr id="816286017" name="Text Box 816286017"/>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1664389" w14:textId="77777777" w:rsidR="00C6444C" w:rsidRPr="00101FFC" w:rsidRDefault="00C6444C" w:rsidP="00636F46">
                            <w:pPr>
                              <w:pStyle w:val="Heading4"/>
                            </w:pPr>
                            <w:r w:rsidRPr="00101FFC">
                              <w:t>Figure 1-</w:t>
                            </w:r>
                            <w:r>
                              <w:t>7</w:t>
                            </w:r>
                            <w:r w:rsidRPr="00101FFC">
                              <w:t xml:space="preserve"> |</w:t>
                            </w:r>
                            <w:r>
                              <w:t xml:space="preserve"> SCMPO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07FE84EC" id="Text Box 816286017" o:spid="_x0000_s1049" type="#_x0000_t202" style="position:absolute;margin-left:264.2pt;margin-top:30.45pt;width:211.8pt;height:25.1pt;z-index:2516185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" filled="f" stroked="f" strokeweight="1pt">
                <v:textbox>
                  <w:txbxContent>
                    <w:p w14:paraId="71664389" w14:textId="77777777" w:rsidR="00C6444C" w:rsidRPr="00101FFC" w:rsidRDefault="00C6444C" w:rsidP="00636F46">
                      <w:pPr>
                        <w:pStyle w:val="Heading4"/>
                      </w:pPr>
                      <w:r w:rsidRPr="00101FFC">
                        <w:t>Figure 1-</w:t>
                      </w:r>
                      <w:r>
                        <w:t>7</w:t>
                      </w:r>
                      <w:r w:rsidRPr="00101FFC">
                        <w:t xml:space="preserve"> |</w:t>
                      </w:r>
                      <w:r>
                        <w:t xml:space="preserve"> SCMPO Regional Area</w:t>
                      </w:r>
                    </w:p>
                  </w:txbxContent>
                </v:textbox>
              </v:shape>
            </w:pict>
          </mc:Fallback>
        </mc:AlternateContent>
      </w:r>
      <w:r w:rsidRPr="00E6302D">
        <w:t>Sun Corridor Metropolitan Planning Organization (SCMPO)</w:t>
      </w:r>
      <w:bookmarkEnd w:id="30"/>
      <w:bookmarkEnd w:id="31"/>
    </w:p>
    <w:p w14:paraId="04EA372B" w14:textId="26A313B7" w:rsidR="00636F46" w:rsidRDefault="00636F46" w:rsidP="00020D20">
      <w:pPr>
        <w:jc w:val="both"/>
        <w:rPr>
          <w:b/>
        </w:rPr>
      </w:pPr>
      <w:r>
        <w:rPr>
          <w:b/>
          <w:noProof/>
        </w:rPr>
        <w:drawing>
          <wp:anchor distT="0" distB="0" distL="114300" distR="114300" simplePos="0" relativeHeight="251618558" behindDoc="0" locked="0" layoutInCell="1" allowOverlap="1" wp14:anchorId="486919A4" wp14:editId="08843FAE">
            <wp:simplePos x="0" y="0"/>
            <wp:positionH relativeFrom="column">
              <wp:posOffset>2974358</wp:posOffset>
            </wp:positionH>
            <wp:positionV relativeFrom="paragraph">
              <wp:posOffset>152503</wp:posOffset>
            </wp:positionV>
            <wp:extent cx="3513101" cy="2700669"/>
            <wp:effectExtent l="0" t="0" r="0" b="4445"/>
            <wp:wrapSquare wrapText="bothSides"/>
            <wp:docPr id="816286126" name="Picture 81628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5" name="1_Map2-SCMPO REDUCED.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13101" cy="2700669"/>
                    </a:xfrm>
                    <a:prstGeom prst="rect">
                      <a:avLst/>
                    </a:prstGeom>
                  </pic:spPr>
                </pic:pic>
              </a:graphicData>
            </a:graphic>
            <wp14:sizeRelH relativeFrom="page">
              <wp14:pctWidth>0</wp14:pctWidth>
            </wp14:sizeRelH>
            <wp14:sizeRelV relativeFrom="page">
              <wp14:pctHeight>0</wp14:pctHeight>
            </wp14:sizeRelV>
          </wp:anchor>
        </w:drawing>
      </w:r>
      <w:r w:rsidRPr="00A879D9">
        <w:t xml:space="preserve">The Sun Corridor MPO is located in Pinal County, between the Phoenix and Tucson metropolitan areas. </w:t>
      </w:r>
      <w:r w:rsidR="00DC0C98">
        <w:t xml:space="preserve">The SCMPO boundary is shown in Figure 1-7. </w:t>
      </w:r>
      <w:r w:rsidRPr="00A879D9">
        <w:t xml:space="preserve">Casa Grande and some of the neighboring communities formed the Sun Corridor MPO to conduct transportation planning for </w:t>
      </w:r>
      <w:r w:rsidR="00007420">
        <w:t>this</w:t>
      </w:r>
      <w:r w:rsidRPr="00A879D9">
        <w:t xml:space="preserve"> region south of MAG in a rapidly developing area of Pinal County. Future planning efforts for I-10, I-8, the CANAMEX corridor, and the future North-South Freeway will play a critical role for the SCMPO</w:t>
      </w:r>
      <w:r>
        <w:t>.</w:t>
      </w:r>
    </w:p>
    <w:p w14:paraId="28531336" w14:textId="77777777" w:rsidR="00636F46" w:rsidRDefault="00636F46" w:rsidP="00020D20">
      <w:pPr>
        <w:jc w:val="both"/>
      </w:pPr>
    </w:p>
    <w:p w14:paraId="1614C700" w14:textId="77777777" w:rsidR="00636F46" w:rsidRDefault="00636F46" w:rsidP="00020D20">
      <w:pPr>
        <w:jc w:val="both"/>
      </w:pPr>
    </w:p>
    <w:p w14:paraId="3623104F" w14:textId="77777777" w:rsidR="00636F46" w:rsidRDefault="00636F46" w:rsidP="00020D20">
      <w:pPr>
        <w:jc w:val="both"/>
      </w:pPr>
    </w:p>
    <w:p w14:paraId="7A358136" w14:textId="77777777" w:rsidR="00636F46" w:rsidRDefault="00636F46" w:rsidP="00020D20">
      <w:pPr>
        <w:jc w:val="both"/>
      </w:pPr>
    </w:p>
    <w:p w14:paraId="71AADEA3" w14:textId="6C81E69F" w:rsidR="00636F46" w:rsidRDefault="002C1B60" w:rsidP="00020D20">
      <w:pPr>
        <w:pStyle w:val="Heading4"/>
        <w:jc w:val="both"/>
      </w:pPr>
      <w:r>
        <w:rPr>
          <w:noProof/>
        </w:rPr>
        <w:drawing>
          <wp:anchor distT="0" distB="0" distL="114300" distR="114300" simplePos="0" relativeHeight="251618560" behindDoc="0" locked="0" layoutInCell="1" allowOverlap="1" wp14:anchorId="4F4DD588" wp14:editId="548B9DB2">
            <wp:simplePos x="0" y="0"/>
            <wp:positionH relativeFrom="column">
              <wp:posOffset>5019675</wp:posOffset>
            </wp:positionH>
            <wp:positionV relativeFrom="paragraph">
              <wp:posOffset>480060</wp:posOffset>
            </wp:positionV>
            <wp:extent cx="1243330" cy="1462405"/>
            <wp:effectExtent l="0" t="0" r="0" b="4445"/>
            <wp:wrapSquare wrapText="bothSides"/>
            <wp:docPr id="816286135" name="Picture 81628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7" name="1_Map-SCMPO REDUCED.jpg"/>
                    <pic:cNvPicPr/>
                  </pic:nvPicPr>
                  <pic:blipFill>
                    <a:blip r:embed="rId97" cstate="hqprint">
                      <a:extLst>
                        <a:ext uri="{28A0092B-C50C-407E-A947-70E740481C1C}">
                          <a14:useLocalDpi xmlns:a14="http://schemas.microsoft.com/office/drawing/2010/main" val="0"/>
                        </a:ext>
                      </a:extLst>
                    </a:blip>
                    <a:stretch>
                      <a:fillRect/>
                    </a:stretch>
                  </pic:blipFill>
                  <pic:spPr>
                    <a:xfrm>
                      <a:off x="0" y="0"/>
                      <a:ext cx="1243330" cy="1462405"/>
                    </a:xfrm>
                    <a:prstGeom prst="rect">
                      <a:avLst/>
                    </a:prstGeom>
                  </pic:spPr>
                </pic:pic>
              </a:graphicData>
            </a:graphic>
            <wp14:sizeRelH relativeFrom="page">
              <wp14:pctWidth>0</wp14:pctWidth>
            </wp14:sizeRelH>
            <wp14:sizeRelV relativeFrom="page">
              <wp14:pctHeight>0</wp14:pctHeight>
            </wp14:sizeRelV>
          </wp:anchor>
        </w:drawing>
      </w:r>
      <w:r w:rsidR="00636F46">
        <w:rPr>
          <w:rFonts w:cstheme="minorHAnsi"/>
          <w:noProof/>
        </w:rPr>
        <mc:AlternateContent>
          <mc:Choice Requires="wps">
            <w:drawing>
              <wp:anchor distT="0" distB="0" distL="114300" distR="114300" simplePos="0" relativeHeight="251618587" behindDoc="1" locked="0" layoutInCell="1" allowOverlap="1" wp14:anchorId="217516AC" wp14:editId="0B2DAB4E">
                <wp:simplePos x="0" y="0"/>
                <wp:positionH relativeFrom="column">
                  <wp:posOffset>4904105</wp:posOffset>
                </wp:positionH>
                <wp:positionV relativeFrom="paragraph">
                  <wp:posOffset>2425065</wp:posOffset>
                </wp:positionV>
                <wp:extent cx="1368425" cy="1371600"/>
                <wp:effectExtent l="95250" t="95250" r="98425" b="95250"/>
                <wp:wrapTight wrapText="bothSides">
                  <wp:wrapPolygon edited="0">
                    <wp:start x="-902" y="-1500"/>
                    <wp:lineTo x="-1503" y="-900"/>
                    <wp:lineTo x="-1203" y="22800"/>
                    <wp:lineTo x="22552" y="22800"/>
                    <wp:lineTo x="22853" y="3900"/>
                    <wp:lineTo x="22252" y="-600"/>
                    <wp:lineTo x="22252" y="-1500"/>
                    <wp:lineTo x="-902" y="-1500"/>
                  </wp:wrapPolygon>
                </wp:wrapTight>
                <wp:docPr id="816286037" name="Text Box 816286037"/>
                <wp:cNvGraphicFramePr/>
                <a:graphic xmlns:a="http://schemas.openxmlformats.org/drawingml/2006/main">
                  <a:graphicData uri="http://schemas.microsoft.com/office/word/2010/wordprocessingShape">
                    <wps:wsp>
                      <wps:cNvSpPr txBox="1"/>
                      <wps:spPr>
                        <a:xfrm>
                          <a:off x="0" y="0"/>
                          <a:ext cx="1368425"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4CA3808" w14:textId="77777777" w:rsidR="00C6444C" w:rsidRDefault="00C6444C" w:rsidP="00636F46">
                            <w:pPr>
                              <w:jc w:val="center"/>
                            </w:pPr>
                            <w:r>
                              <w:rPr>
                                <w:noProof/>
                              </w:rPr>
                              <w:drawing>
                                <wp:inline distT="0" distB="0" distL="0" distR="0" wp14:anchorId="6A421AD7" wp14:editId="050C8B24">
                                  <wp:extent cx="457200" cy="457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CD492E8" w14:textId="77777777" w:rsidR="00C6444C" w:rsidRDefault="00C6444C" w:rsidP="00636F46">
                            <w:pPr>
                              <w:pStyle w:val="Calloutboxes"/>
                            </w:pPr>
                            <w:r>
                              <w:t>SCMPO</w:t>
                            </w:r>
                          </w:p>
                          <w:p w14:paraId="52147578" w14:textId="77777777" w:rsidR="00C6444C" w:rsidRDefault="00C6444C" w:rsidP="00636F46">
                            <w:pPr>
                              <w:pStyle w:val="Calloutboxes"/>
                            </w:pPr>
                            <w:r>
                              <w:t>211 N. Florence St, Ste. 103</w:t>
                            </w:r>
                          </w:p>
                          <w:p w14:paraId="75EB565B" w14:textId="77777777" w:rsidR="00C6444C" w:rsidRDefault="00C6444C" w:rsidP="00636F46">
                            <w:pPr>
                              <w:pStyle w:val="Calloutboxes"/>
                            </w:pPr>
                            <w:r>
                              <w:t>Casa Grande, AZ 85122</w:t>
                            </w:r>
                          </w:p>
                          <w:p w14:paraId="605CD220" w14:textId="77777777" w:rsidR="00C6444C" w:rsidRDefault="00C6444C" w:rsidP="00636F46">
                            <w:pPr>
                              <w:pStyle w:val="Calloutboxes"/>
                            </w:pPr>
                            <w:r>
                              <w:t>#: 520-705-5143</w:t>
                            </w:r>
                          </w:p>
                          <w:p w14:paraId="63F5F335" w14:textId="77777777" w:rsidR="00C6444C" w:rsidRPr="00101FFC" w:rsidRDefault="00202C92" w:rsidP="00636F46">
                            <w:pPr>
                              <w:pStyle w:val="Title"/>
                              <w:rPr>
                                <w:sz w:val="16"/>
                                <w:szCs w:val="16"/>
                              </w:rPr>
                            </w:pPr>
                            <w:hyperlink r:id="rId98" w:history="1">
                              <w:r w:rsidR="00C6444C" w:rsidRPr="00101FFC">
                                <w:rPr>
                                  <w:rStyle w:val="Hyperlink"/>
                                  <w:rFonts w:ascii="Calibri" w:hAnsi="Calibri" w:cstheme="majorBidi"/>
                                  <w:i/>
                                  <w:iCs w:val="0"/>
                                  <w:color w:val="CE5B18"/>
                                  <w:u w:val="none"/>
                                </w:rPr>
                                <w:t>https://scmpo.org/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7516AC" id="Text Box 816286037" o:spid="_x0000_s1050" type="#_x0000_t202" style="position:absolute;left:0;text-align:left;margin-left:386.15pt;margin-top:190.95pt;width:107.75pt;height:108pt;z-index:-251697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" fillcolor="#f7f7f7" stroked="f" strokeweight=".5pt">
                <v:shadow on="t" type="perspective" color="black" opacity="26214f" offset="0,0" matrix="66847f,,,66847f"/>
                <v:textbox>
                  <w:txbxContent>
                    <w:p w14:paraId="74CA3808" w14:textId="77777777" w:rsidR="00C6444C" w:rsidRDefault="00C6444C" w:rsidP="00636F46">
                      <w:pPr>
                        <w:jc w:val="center"/>
                      </w:pPr>
                      <w:r>
                        <w:rPr>
                          <w:noProof/>
                        </w:rPr>
                        <w:drawing>
                          <wp:inline distT="0" distB="0" distL="0" distR="0" wp14:anchorId="6A421AD7" wp14:editId="050C8B24">
                            <wp:extent cx="457200" cy="457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CD492E8" w14:textId="77777777" w:rsidR="00C6444C" w:rsidRDefault="00C6444C" w:rsidP="00636F46">
                      <w:pPr>
                        <w:pStyle w:val="Calloutboxes"/>
                      </w:pPr>
                      <w:r>
                        <w:t>SCMPO</w:t>
                      </w:r>
                    </w:p>
                    <w:p w14:paraId="52147578" w14:textId="77777777" w:rsidR="00C6444C" w:rsidRDefault="00C6444C" w:rsidP="00636F46">
                      <w:pPr>
                        <w:pStyle w:val="Calloutboxes"/>
                      </w:pPr>
                      <w:r>
                        <w:t>211 N. Florence St, Ste. 103</w:t>
                      </w:r>
                    </w:p>
                    <w:p w14:paraId="75EB565B" w14:textId="77777777" w:rsidR="00C6444C" w:rsidRDefault="00C6444C" w:rsidP="00636F46">
                      <w:pPr>
                        <w:pStyle w:val="Calloutboxes"/>
                      </w:pPr>
                      <w:r>
                        <w:t>Casa Grande, AZ 85122</w:t>
                      </w:r>
                    </w:p>
                    <w:p w14:paraId="605CD220" w14:textId="77777777" w:rsidR="00C6444C" w:rsidRDefault="00C6444C" w:rsidP="00636F46">
                      <w:pPr>
                        <w:pStyle w:val="Calloutboxes"/>
                      </w:pPr>
                      <w:r>
                        <w:t>#: 520-705-5143</w:t>
                      </w:r>
                    </w:p>
                    <w:p w14:paraId="63F5F335" w14:textId="77777777" w:rsidR="00C6444C" w:rsidRPr="00101FFC" w:rsidRDefault="00576D31" w:rsidP="00636F46">
                      <w:pPr>
                        <w:pStyle w:val="Title"/>
                        <w:rPr>
                          <w:sz w:val="16"/>
                          <w:szCs w:val="16"/>
                        </w:rPr>
                      </w:pPr>
                      <w:hyperlink r:id="rId99" w:history="1">
                        <w:r w:rsidR="00C6444C" w:rsidRPr="00101FFC">
                          <w:rPr>
                            <w:rStyle w:val="Hyperlink"/>
                            <w:rFonts w:ascii="Calibri" w:hAnsi="Calibri" w:cstheme="majorBidi"/>
                            <w:i/>
                            <w:iCs w:val="0"/>
                            <w:color w:val="CE5B18"/>
                            <w:u w:val="none"/>
                          </w:rPr>
                          <w:t>https://scmpo.org/</w:t>
                        </w:r>
                      </w:hyperlink>
                    </w:p>
                  </w:txbxContent>
                </v:textbox>
                <w10:wrap type="tight"/>
              </v:shape>
            </w:pict>
          </mc:Fallback>
        </mc:AlternateContent>
      </w:r>
      <w:r w:rsidR="00636F46">
        <w:t>Table 1-9</w:t>
      </w:r>
      <w:r w:rsidR="00636F46" w:rsidRPr="00A879D9">
        <w:t xml:space="preserve"> | SCMPO Statistics</w:t>
      </w:r>
    </w:p>
    <w:tbl>
      <w:tblPr>
        <w:tblW w:w="0" w:type="auto"/>
        <w:tblInd w:w="-10" w:type="dxa"/>
        <w:tblLayout w:type="fixed"/>
        <w:tblCellMar>
          <w:left w:w="0" w:type="dxa"/>
          <w:right w:w="0" w:type="dxa"/>
        </w:tblCellMar>
        <w:tblLook w:val="0000" w:firstRow="0" w:lastRow="0" w:firstColumn="0" w:lastColumn="0" w:noHBand="0" w:noVBand="0"/>
      </w:tblPr>
      <w:tblGrid>
        <w:gridCol w:w="3690"/>
        <w:gridCol w:w="3150"/>
      </w:tblGrid>
      <w:tr w:rsidR="00636F46" w:rsidRPr="00A879D9" w14:paraId="0D144012" w14:textId="77777777" w:rsidTr="00020D20">
        <w:trPr>
          <w:trHeight w:val="144"/>
        </w:trPr>
        <w:tc>
          <w:tcPr>
            <w:tcW w:w="684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432C1451" w14:textId="7FC4D7EF" w:rsidR="00636F46" w:rsidRPr="00101FFC" w:rsidRDefault="00636F46" w:rsidP="00020D20">
            <w:pPr>
              <w:spacing w:before="0" w:after="0" w:line="240" w:lineRule="auto"/>
              <w:jc w:val="center"/>
              <w:rPr>
                <w:color w:val="323232"/>
                <w:sz w:val="22"/>
              </w:rPr>
            </w:pPr>
            <w:r w:rsidRPr="00101FFC">
              <w:rPr>
                <w:sz w:val="22"/>
              </w:rPr>
              <w:t>Sun Corridor Metr</w:t>
            </w:r>
            <w:r w:rsidR="005070BF">
              <w:rPr>
                <w:sz w:val="22"/>
              </w:rPr>
              <w:t>opolitan Planning Organization –</w:t>
            </w:r>
            <w:r w:rsidRPr="00101FFC">
              <w:rPr>
                <w:sz w:val="22"/>
              </w:rPr>
              <w:t xml:space="preserve"> SCMPO</w:t>
            </w:r>
          </w:p>
        </w:tc>
      </w:tr>
      <w:tr w:rsidR="00636F46" w:rsidRPr="00A879D9" w14:paraId="30D69EAF" w14:textId="77777777" w:rsidTr="00020D20">
        <w:trPr>
          <w:trHeight w:val="270"/>
        </w:trPr>
        <w:tc>
          <w:tcPr>
            <w:tcW w:w="369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5CEAA171" w14:textId="77777777" w:rsidR="00636F46" w:rsidRPr="00101FFC" w:rsidRDefault="00636F46" w:rsidP="00020D20">
            <w:pPr>
              <w:spacing w:before="0" w:after="0" w:line="240" w:lineRule="auto"/>
              <w:jc w:val="both"/>
              <w:rPr>
                <w:sz w:val="18"/>
              </w:rPr>
            </w:pPr>
            <w:r w:rsidRPr="00101FFC">
              <w:rPr>
                <w:sz w:val="18"/>
              </w:rPr>
              <w:t>Year Established</w:t>
            </w:r>
          </w:p>
        </w:tc>
        <w:tc>
          <w:tcPr>
            <w:tcW w:w="315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30406104" w14:textId="77777777" w:rsidR="00636F46" w:rsidRPr="00101FFC" w:rsidRDefault="00636F46" w:rsidP="00020D20">
            <w:pPr>
              <w:spacing w:before="0" w:after="0" w:line="240" w:lineRule="auto"/>
              <w:jc w:val="both"/>
              <w:rPr>
                <w:sz w:val="18"/>
              </w:rPr>
            </w:pPr>
            <w:r w:rsidRPr="00101FFC">
              <w:rPr>
                <w:sz w:val="18"/>
              </w:rPr>
              <w:t>2013</w:t>
            </w:r>
          </w:p>
        </w:tc>
      </w:tr>
      <w:tr w:rsidR="00636F46" w:rsidRPr="00A879D9" w14:paraId="4EDCA56A"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4927D4F" w14:textId="77777777" w:rsidR="00636F46" w:rsidRPr="00101FFC" w:rsidRDefault="00636F46" w:rsidP="00020D20">
            <w:pPr>
              <w:spacing w:before="0" w:after="0" w:line="240" w:lineRule="auto"/>
              <w:jc w:val="both"/>
              <w:rPr>
                <w:sz w:val="18"/>
              </w:rPr>
            </w:pPr>
            <w:r w:rsidRPr="00101FFC">
              <w:rPr>
                <w:sz w:val="18"/>
              </w:rPr>
              <w:t>Hosted/Independent MPO</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2DE2274" w14:textId="77777777" w:rsidR="00636F46" w:rsidRPr="00101FFC" w:rsidRDefault="00636F46" w:rsidP="00020D20">
            <w:pPr>
              <w:spacing w:before="0" w:after="0" w:line="240" w:lineRule="auto"/>
              <w:jc w:val="both"/>
              <w:rPr>
                <w:sz w:val="18"/>
              </w:rPr>
            </w:pPr>
            <w:r w:rsidRPr="00101FFC">
              <w:rPr>
                <w:sz w:val="18"/>
              </w:rPr>
              <w:t>Hosted by City of Casa Grande</w:t>
            </w:r>
          </w:p>
        </w:tc>
      </w:tr>
      <w:tr w:rsidR="00636F46" w:rsidRPr="00A879D9" w14:paraId="1A2A7CEB"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05C72D5" w14:textId="77777777" w:rsidR="00636F46" w:rsidRPr="00101FFC" w:rsidRDefault="00636F46" w:rsidP="00020D20">
            <w:pPr>
              <w:spacing w:before="0" w:after="0" w:line="240" w:lineRule="auto"/>
              <w:jc w:val="both"/>
              <w:rPr>
                <w:sz w:val="18"/>
              </w:rPr>
            </w:pPr>
            <w:r w:rsidRPr="00101FFC">
              <w:rPr>
                <w:sz w:val="18"/>
              </w:rPr>
              <w:t>Land Area (sq. mi.)</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5AE48C4" w14:textId="77777777" w:rsidR="00636F46" w:rsidRPr="00101FFC" w:rsidRDefault="00636F46" w:rsidP="00020D20">
            <w:pPr>
              <w:spacing w:before="0" w:after="0" w:line="240" w:lineRule="auto"/>
              <w:jc w:val="both"/>
              <w:rPr>
                <w:sz w:val="18"/>
              </w:rPr>
            </w:pPr>
            <w:r w:rsidRPr="00101FFC">
              <w:rPr>
                <w:sz w:val="18"/>
              </w:rPr>
              <w:t>1,155</w:t>
            </w:r>
          </w:p>
        </w:tc>
      </w:tr>
      <w:tr w:rsidR="00636F46" w:rsidRPr="00A879D9" w14:paraId="3FC74452"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B07048E" w14:textId="77777777" w:rsidR="00636F46" w:rsidRPr="00101FFC" w:rsidRDefault="00636F46" w:rsidP="00020D20">
            <w:pPr>
              <w:spacing w:before="0" w:after="0" w:line="240" w:lineRule="auto"/>
              <w:jc w:val="both"/>
              <w:rPr>
                <w:sz w:val="18"/>
              </w:rPr>
            </w:pPr>
            <w:r w:rsidRPr="00101FFC">
              <w:rPr>
                <w:sz w:val="18"/>
              </w:rPr>
              <w:t>2018 Population</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746BCD7" w14:textId="77777777" w:rsidR="00636F46" w:rsidRPr="00101FFC" w:rsidRDefault="00636F46" w:rsidP="00020D20">
            <w:pPr>
              <w:spacing w:before="0" w:after="0" w:line="240" w:lineRule="auto"/>
              <w:jc w:val="both"/>
              <w:rPr>
                <w:sz w:val="18"/>
              </w:rPr>
            </w:pPr>
            <w:r w:rsidRPr="00101FFC">
              <w:rPr>
                <w:sz w:val="18"/>
              </w:rPr>
              <w:t>127,960</w:t>
            </w:r>
          </w:p>
        </w:tc>
      </w:tr>
      <w:tr w:rsidR="00636F46" w:rsidRPr="00A879D9" w14:paraId="34F9FBFB"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A94CAD0" w14:textId="77777777" w:rsidR="00636F46" w:rsidRPr="00101FFC" w:rsidRDefault="00636F46" w:rsidP="00020D20">
            <w:pPr>
              <w:spacing w:before="0" w:after="0" w:line="240" w:lineRule="auto"/>
              <w:jc w:val="both"/>
              <w:rPr>
                <w:sz w:val="18"/>
              </w:rPr>
            </w:pPr>
            <w:r w:rsidRPr="00101FFC">
              <w:rPr>
                <w:sz w:val="18"/>
              </w:rPr>
              <w:t>Counties</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9358347" w14:textId="77777777" w:rsidR="00636F46" w:rsidRPr="00101FFC" w:rsidRDefault="00636F46" w:rsidP="00020D20">
            <w:pPr>
              <w:spacing w:before="0" w:after="0" w:line="240" w:lineRule="auto"/>
              <w:jc w:val="both"/>
              <w:rPr>
                <w:sz w:val="18"/>
              </w:rPr>
            </w:pPr>
            <w:r w:rsidRPr="00101FFC">
              <w:rPr>
                <w:sz w:val="18"/>
              </w:rPr>
              <w:t>1 | Pinal</w:t>
            </w:r>
          </w:p>
        </w:tc>
      </w:tr>
      <w:tr w:rsidR="00636F46" w:rsidRPr="00A879D9" w14:paraId="1BA1200E"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544A712" w14:textId="77777777" w:rsidR="00636F46" w:rsidRPr="00101FFC" w:rsidRDefault="00636F46" w:rsidP="00020D20">
            <w:pPr>
              <w:spacing w:before="0" w:after="0" w:line="240" w:lineRule="auto"/>
              <w:jc w:val="both"/>
              <w:rPr>
                <w:sz w:val="18"/>
              </w:rPr>
            </w:pPr>
            <w:r w:rsidRPr="00101FFC">
              <w:rPr>
                <w:sz w:val="18"/>
              </w:rPr>
              <w:t>Number of Municipalities</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5CA440A" w14:textId="77777777" w:rsidR="00636F46" w:rsidRPr="00101FFC" w:rsidRDefault="00636F46" w:rsidP="00020D20">
            <w:pPr>
              <w:spacing w:before="0" w:after="0" w:line="240" w:lineRule="auto"/>
              <w:jc w:val="both"/>
              <w:rPr>
                <w:sz w:val="18"/>
              </w:rPr>
            </w:pPr>
            <w:r w:rsidRPr="00101FFC">
              <w:rPr>
                <w:sz w:val="18"/>
              </w:rPr>
              <w:t xml:space="preserve">3 </w:t>
            </w:r>
          </w:p>
        </w:tc>
      </w:tr>
      <w:tr w:rsidR="00636F46" w:rsidRPr="00A879D9" w14:paraId="2B81B940"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F578C8F" w14:textId="77777777" w:rsidR="00636F46" w:rsidRPr="00101FFC" w:rsidRDefault="00636F46" w:rsidP="00020D20">
            <w:pPr>
              <w:spacing w:before="0" w:after="0" w:line="240" w:lineRule="auto"/>
              <w:jc w:val="both"/>
              <w:rPr>
                <w:sz w:val="18"/>
              </w:rPr>
            </w:pPr>
            <w:r w:rsidRPr="00101FFC">
              <w:rPr>
                <w:sz w:val="18"/>
              </w:rPr>
              <w:t>Tribal Partner Agencies</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CB80AC4" w14:textId="77777777" w:rsidR="00636F46" w:rsidRPr="00101FFC" w:rsidRDefault="00636F46" w:rsidP="00020D20">
            <w:pPr>
              <w:spacing w:before="0" w:after="0" w:line="240" w:lineRule="auto"/>
              <w:jc w:val="both"/>
              <w:rPr>
                <w:sz w:val="18"/>
              </w:rPr>
            </w:pPr>
            <w:r w:rsidRPr="00101FFC">
              <w:rPr>
                <w:sz w:val="18"/>
              </w:rPr>
              <w:t>N/A</w:t>
            </w:r>
          </w:p>
        </w:tc>
      </w:tr>
      <w:tr w:rsidR="00636F46" w:rsidRPr="00A879D9" w14:paraId="6176CF5E"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AACA0FF" w14:textId="77777777" w:rsidR="00636F46" w:rsidRPr="00101FFC" w:rsidRDefault="00636F46" w:rsidP="00020D20">
            <w:pPr>
              <w:spacing w:before="0" w:after="0" w:line="240" w:lineRule="auto"/>
              <w:jc w:val="both"/>
              <w:rPr>
                <w:sz w:val="18"/>
              </w:rPr>
            </w:pPr>
            <w:r w:rsidRPr="00101FFC">
              <w:rPr>
                <w:sz w:val="18"/>
              </w:rPr>
              <w:t>Primary Travel Corridors</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BA91AD2" w14:textId="77777777" w:rsidR="00636F46" w:rsidRPr="00101FFC" w:rsidRDefault="00636F46" w:rsidP="00020D20">
            <w:pPr>
              <w:spacing w:before="0" w:after="0" w:line="240" w:lineRule="auto"/>
              <w:jc w:val="both"/>
              <w:rPr>
                <w:sz w:val="18"/>
              </w:rPr>
            </w:pPr>
            <w:r w:rsidRPr="00101FFC">
              <w:rPr>
                <w:sz w:val="18"/>
              </w:rPr>
              <w:t>4 | Interstates: 1-8, 1-10. State Routes: SR 79, SR 84, SR 87, SR 387.</w:t>
            </w:r>
          </w:p>
        </w:tc>
      </w:tr>
      <w:tr w:rsidR="00636F46" w:rsidRPr="00A879D9" w14:paraId="28A2D6A9"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5FE2443" w14:textId="77777777" w:rsidR="00636F46" w:rsidRPr="00101FFC" w:rsidRDefault="00636F46" w:rsidP="00020D20">
            <w:pPr>
              <w:spacing w:before="0" w:after="0" w:line="240" w:lineRule="auto"/>
              <w:jc w:val="both"/>
              <w:rPr>
                <w:sz w:val="18"/>
              </w:rPr>
            </w:pPr>
            <w:r w:rsidRPr="00101FFC">
              <w:rPr>
                <w:sz w:val="18"/>
              </w:rPr>
              <w:t>Transit</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1C1F363" w14:textId="77777777" w:rsidR="00636F46" w:rsidRPr="00101FFC" w:rsidRDefault="00636F46" w:rsidP="00020D20">
            <w:pPr>
              <w:spacing w:before="0" w:after="0" w:line="240" w:lineRule="auto"/>
              <w:jc w:val="both"/>
              <w:rPr>
                <w:sz w:val="18"/>
              </w:rPr>
            </w:pPr>
            <w:r w:rsidRPr="00101FFC">
              <w:rPr>
                <w:sz w:val="18"/>
              </w:rPr>
              <w:t>Yes</w:t>
            </w:r>
          </w:p>
        </w:tc>
      </w:tr>
      <w:tr w:rsidR="00636F46" w:rsidRPr="00A879D9" w14:paraId="7F1496A2"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A11E5FE" w14:textId="77777777" w:rsidR="00636F46" w:rsidRPr="00101FFC" w:rsidRDefault="00636F46" w:rsidP="00020D20">
            <w:pPr>
              <w:spacing w:before="0" w:after="0" w:line="240" w:lineRule="auto"/>
              <w:jc w:val="both"/>
              <w:rPr>
                <w:sz w:val="18"/>
              </w:rPr>
            </w:pPr>
            <w:r w:rsidRPr="00101FFC">
              <w:rPr>
                <w:sz w:val="18"/>
              </w:rPr>
              <w:t>Airport</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BB0F785" w14:textId="77777777" w:rsidR="00636F46" w:rsidRPr="00101FFC" w:rsidRDefault="00636F46" w:rsidP="00020D20">
            <w:pPr>
              <w:spacing w:before="0" w:after="0" w:line="240" w:lineRule="auto"/>
              <w:jc w:val="both"/>
              <w:rPr>
                <w:sz w:val="18"/>
              </w:rPr>
            </w:pPr>
            <w:r w:rsidRPr="00101FFC">
              <w:rPr>
                <w:sz w:val="18"/>
              </w:rPr>
              <w:t>Yes</w:t>
            </w:r>
          </w:p>
        </w:tc>
      </w:tr>
      <w:tr w:rsidR="00636F46" w:rsidRPr="00A879D9" w14:paraId="19CDC9DD" w14:textId="77777777" w:rsidTr="00636F46">
        <w:trPr>
          <w:trHeight w:val="270"/>
        </w:trPr>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3E3C5A7" w14:textId="77777777" w:rsidR="00636F46" w:rsidRPr="00101FFC" w:rsidRDefault="00636F46">
            <w:pPr>
              <w:spacing w:before="0" w:after="0" w:line="240" w:lineRule="auto"/>
              <w:rPr>
                <w:sz w:val="18"/>
              </w:rPr>
            </w:pPr>
            <w:r w:rsidRPr="00101FFC">
              <w:rPr>
                <w:sz w:val="18"/>
              </w:rPr>
              <w:t>Air Quality Nonattainment or Maintenance</w:t>
            </w:r>
          </w:p>
        </w:tc>
        <w:tc>
          <w:tcPr>
            <w:tcW w:w="31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4227ACC" w14:textId="77777777" w:rsidR="00636F46" w:rsidRPr="00101FFC" w:rsidRDefault="00202C92" w:rsidP="00020D20">
            <w:pPr>
              <w:spacing w:before="0" w:after="0" w:line="240" w:lineRule="auto"/>
              <w:jc w:val="both"/>
              <w:rPr>
                <w:sz w:val="18"/>
              </w:rPr>
            </w:pPr>
            <w:hyperlink r:id="rId100" w:history="1">
              <w:r w:rsidR="00636F46" w:rsidRPr="00101FFC">
                <w:rPr>
                  <w:sz w:val="18"/>
                </w:rPr>
                <w:t>PM10</w:t>
              </w:r>
            </w:hyperlink>
          </w:p>
        </w:tc>
      </w:tr>
    </w:tbl>
    <w:p w14:paraId="2DD7306E" w14:textId="77777777" w:rsidR="00EA4B19" w:rsidRDefault="00EA4B19" w:rsidP="00020D20">
      <w:bookmarkStart w:id="32" w:name="_Ref50023229"/>
      <w:r>
        <w:br w:type="page"/>
      </w:r>
    </w:p>
    <w:bookmarkStart w:id="33" w:name="_Ref57985758"/>
    <w:p w14:paraId="06C5F064" w14:textId="3F2948B5" w:rsidR="00636F46" w:rsidRPr="002F17FB" w:rsidRDefault="00636F46" w:rsidP="00020D20">
      <w:pPr>
        <w:pStyle w:val="BodyTextTitle"/>
        <w:rPr>
          <w:color w:val="auto"/>
        </w:rPr>
      </w:pPr>
      <w:r w:rsidRPr="003707B0">
        <w:rPr>
          <w:noProof/>
        </w:rPr>
        <mc:AlternateContent>
          <mc:Choice Requires="wps">
            <w:drawing>
              <wp:anchor distT="0" distB="0" distL="114300" distR="114300" simplePos="0" relativeHeight="251618562" behindDoc="0" locked="0" layoutInCell="1" allowOverlap="1" wp14:anchorId="0B61A1E3" wp14:editId="7211898D">
                <wp:simplePos x="0" y="0"/>
                <wp:positionH relativeFrom="column">
                  <wp:posOffset>4347210</wp:posOffset>
                </wp:positionH>
                <wp:positionV relativeFrom="paragraph">
                  <wp:posOffset>355600</wp:posOffset>
                </wp:positionV>
                <wp:extent cx="2689860" cy="318770"/>
                <wp:effectExtent l="0" t="0" r="0" b="5080"/>
                <wp:wrapNone/>
                <wp:docPr id="816286039" name="Text Box 816286039"/>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D42A02C" w14:textId="77777777" w:rsidR="00C6444C" w:rsidRPr="00101FFC" w:rsidRDefault="00C6444C" w:rsidP="00636F46">
                            <w:pPr>
                              <w:pStyle w:val="Heading4"/>
                            </w:pPr>
                            <w:r w:rsidRPr="00101FFC">
                              <w:t>Figure 1-</w:t>
                            </w:r>
                            <w:r>
                              <w:t>8</w:t>
                            </w:r>
                            <w:r w:rsidRPr="00101FFC">
                              <w:t xml:space="preserve"> |</w:t>
                            </w:r>
                            <w:r>
                              <w:t xml:space="preserve"> SVMPO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0B61A1E3" id="Text Box 816286039" o:spid="_x0000_s1051" type="#_x0000_t202" style="position:absolute;margin-left:342.3pt;margin-top:28pt;width:211.8pt;height:25.1pt;z-index:2516185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" filled="f" stroked="f" strokeweight="1pt">
                <v:textbox>
                  <w:txbxContent>
                    <w:p w14:paraId="4D42A02C" w14:textId="77777777" w:rsidR="00C6444C" w:rsidRPr="00101FFC" w:rsidRDefault="00C6444C" w:rsidP="00636F46">
                      <w:pPr>
                        <w:pStyle w:val="Heading4"/>
                      </w:pPr>
                      <w:r w:rsidRPr="00101FFC">
                        <w:t>Figure 1-</w:t>
                      </w:r>
                      <w:r>
                        <w:t>8</w:t>
                      </w:r>
                      <w:r w:rsidRPr="00101FFC">
                        <w:t xml:space="preserve"> |</w:t>
                      </w:r>
                      <w:r>
                        <w:t xml:space="preserve"> SVMPO Regional Area</w:t>
                      </w:r>
                    </w:p>
                  </w:txbxContent>
                </v:textbox>
              </v:shape>
            </w:pict>
          </mc:Fallback>
        </mc:AlternateContent>
      </w:r>
      <w:r w:rsidRPr="00E6302D">
        <w:t>Sierra Vista Metropolitan Planning Organization (SVMPO)</w:t>
      </w:r>
      <w:bookmarkEnd w:id="32"/>
      <w:bookmarkEnd w:id="33"/>
    </w:p>
    <w:p w14:paraId="72A3DC48" w14:textId="06283B9E" w:rsidR="00636F46" w:rsidRDefault="00636F46" w:rsidP="00020D20">
      <w:pPr>
        <w:jc w:val="both"/>
        <w:rPr>
          <w:b/>
        </w:rPr>
      </w:pPr>
      <w:r>
        <w:rPr>
          <w:b/>
          <w:noProof/>
        </w:rPr>
        <w:drawing>
          <wp:anchor distT="0" distB="0" distL="114300" distR="114300" simplePos="0" relativeHeight="251618561" behindDoc="0" locked="0" layoutInCell="1" allowOverlap="1" wp14:anchorId="0F7E34B4" wp14:editId="25D6EB99">
            <wp:simplePos x="0" y="0"/>
            <wp:positionH relativeFrom="column">
              <wp:posOffset>4343400</wp:posOffset>
            </wp:positionH>
            <wp:positionV relativeFrom="paragraph">
              <wp:posOffset>92710</wp:posOffset>
            </wp:positionV>
            <wp:extent cx="2244725" cy="3189605"/>
            <wp:effectExtent l="0" t="0" r="3175" b="0"/>
            <wp:wrapSquare wrapText="bothSides"/>
            <wp:docPr id="816286142" name="Picture 81628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8" name="1_Map2-SVMPO REDUCED.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44725" cy="3189605"/>
                    </a:xfrm>
                    <a:prstGeom prst="rect">
                      <a:avLst/>
                    </a:prstGeom>
                  </pic:spPr>
                </pic:pic>
              </a:graphicData>
            </a:graphic>
            <wp14:sizeRelH relativeFrom="page">
              <wp14:pctWidth>0</wp14:pctWidth>
            </wp14:sizeRelH>
            <wp14:sizeRelV relativeFrom="page">
              <wp14:pctHeight>0</wp14:pctHeight>
            </wp14:sizeRelV>
          </wp:anchor>
        </w:drawing>
      </w:r>
      <w:r w:rsidRPr="004D0795">
        <w:t xml:space="preserve">The Sierra Vista MPO is one of three new MPOs in Arizona. Sierra Vista is located in Cochise County, </w:t>
      </w:r>
      <w:r>
        <w:t xml:space="preserve">from the </w:t>
      </w:r>
      <w:r w:rsidRPr="004D0795">
        <w:t>Arizona/Mexico border</w:t>
      </w:r>
      <w:r>
        <w:t xml:space="preserve"> in the south to 8 miles north of the SR 82/90 intersection.</w:t>
      </w:r>
      <w:r w:rsidR="00DC0C98">
        <w:t xml:space="preserve"> The SVMPO boundary is shown in Figure 1-8.</w:t>
      </w:r>
      <w:r>
        <w:t xml:space="preserve"> It is</w:t>
      </w:r>
      <w:r w:rsidRPr="004D0795">
        <w:t xml:space="preserve"> approximately </w:t>
      </w:r>
      <w:r>
        <w:t>30</w:t>
      </w:r>
      <w:r w:rsidRPr="004D0795">
        <w:t xml:space="preserve"> miles</w:t>
      </w:r>
      <w:r>
        <w:t xml:space="preserve"> east of the Nogales Port of Entry and 30 miles west </w:t>
      </w:r>
      <w:r w:rsidRPr="004D0795">
        <w:t>from the Douglas Port of Entry. State Route 90 provides access to Interstate 10 to the north, State Route 92 to the south provides access to Douglas</w:t>
      </w:r>
      <w:r>
        <w:t>, and State Route 82 provides access southwest to the Nogales Port of Entry</w:t>
      </w:r>
      <w:r w:rsidRPr="004D0795">
        <w:t xml:space="preserve">. </w:t>
      </w:r>
      <w:r>
        <w:t xml:space="preserve">The MPO includes the Fort Huachuca Army Base. </w:t>
      </w:r>
      <w:r w:rsidRPr="004D0795">
        <w:t>The lands east and west of Sierra Vista include the San Pedro Riparian National Conservation Area and the Coronado National Forest, respectively.</w:t>
      </w:r>
    </w:p>
    <w:p w14:paraId="13469997" w14:textId="77777777" w:rsidR="00636F46" w:rsidRDefault="00636F46" w:rsidP="00020D20">
      <w:pPr>
        <w:jc w:val="both"/>
      </w:pPr>
    </w:p>
    <w:p w14:paraId="167EEAD5" w14:textId="77777777" w:rsidR="00636F46" w:rsidRDefault="00636F46" w:rsidP="00020D20">
      <w:pPr>
        <w:jc w:val="both"/>
      </w:pPr>
    </w:p>
    <w:p w14:paraId="1E03B0F7" w14:textId="77777777" w:rsidR="00636F46" w:rsidRDefault="00636F46" w:rsidP="00020D20">
      <w:pPr>
        <w:jc w:val="both"/>
      </w:pPr>
    </w:p>
    <w:p w14:paraId="0EA8C76E" w14:textId="77777777" w:rsidR="00636F46" w:rsidRDefault="00636F46" w:rsidP="00020D20">
      <w:pPr>
        <w:jc w:val="both"/>
      </w:pPr>
    </w:p>
    <w:p w14:paraId="7BF77650" w14:textId="7EAC1360" w:rsidR="00636F46" w:rsidRDefault="00007420" w:rsidP="00020D20">
      <w:pPr>
        <w:pStyle w:val="Heading4"/>
        <w:jc w:val="both"/>
      </w:pPr>
      <w:r>
        <w:rPr>
          <w:b/>
          <w:noProof/>
        </w:rPr>
        <w:drawing>
          <wp:anchor distT="0" distB="0" distL="114300" distR="114300" simplePos="0" relativeHeight="251618579" behindDoc="0" locked="0" layoutInCell="1" allowOverlap="1" wp14:anchorId="601DA20A" wp14:editId="41190C59">
            <wp:simplePos x="0" y="0"/>
            <wp:positionH relativeFrom="column">
              <wp:posOffset>4545330</wp:posOffset>
            </wp:positionH>
            <wp:positionV relativeFrom="paragraph">
              <wp:posOffset>482600</wp:posOffset>
            </wp:positionV>
            <wp:extent cx="1243330" cy="1462405"/>
            <wp:effectExtent l="0" t="0" r="0" b="4445"/>
            <wp:wrapSquare wrapText="bothSides"/>
            <wp:docPr id="816286161" name="Picture 81628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39" name="1_Map-SVMPO REDUCED.jpg"/>
                    <pic:cNvPicPr/>
                  </pic:nvPicPr>
                  <pic:blipFill>
                    <a:blip r:embed="rId102" cstate="hqprint">
                      <a:extLst>
                        <a:ext uri="{28A0092B-C50C-407E-A947-70E740481C1C}">
                          <a14:useLocalDpi xmlns:a14="http://schemas.microsoft.com/office/drawing/2010/main" val="0"/>
                        </a:ext>
                      </a:extLst>
                    </a:blip>
                    <a:stretch>
                      <a:fillRect/>
                    </a:stretch>
                  </pic:blipFill>
                  <pic:spPr>
                    <a:xfrm>
                      <a:off x="0" y="0"/>
                      <a:ext cx="1243330" cy="1462405"/>
                    </a:xfrm>
                    <a:prstGeom prst="rect">
                      <a:avLst/>
                    </a:prstGeom>
                  </pic:spPr>
                </pic:pic>
              </a:graphicData>
            </a:graphic>
            <wp14:sizeRelH relativeFrom="page">
              <wp14:pctWidth>0</wp14:pctWidth>
            </wp14:sizeRelH>
            <wp14:sizeRelV relativeFrom="page">
              <wp14:pctHeight>0</wp14:pctHeight>
            </wp14:sizeRelV>
          </wp:anchor>
        </w:drawing>
      </w:r>
      <w:r w:rsidR="00636F46" w:rsidRPr="004D0795">
        <w:t>Table 1-10 | SVMPO Statistics</w:t>
      </w:r>
    </w:p>
    <w:tbl>
      <w:tblPr>
        <w:tblpPr w:leftFromText="180" w:rightFromText="180" w:vertAnchor="text" w:tblpY="1"/>
        <w:tblOverlap w:val="never"/>
        <w:tblW w:w="0" w:type="auto"/>
        <w:tblLayout w:type="fixed"/>
        <w:tblCellMar>
          <w:left w:w="0" w:type="dxa"/>
          <w:right w:w="0" w:type="dxa"/>
        </w:tblCellMar>
        <w:tblLook w:val="0000" w:firstRow="0" w:lastRow="0" w:firstColumn="0" w:lastColumn="0" w:noHBand="0" w:noVBand="0"/>
      </w:tblPr>
      <w:tblGrid>
        <w:gridCol w:w="2540"/>
        <w:gridCol w:w="3670"/>
      </w:tblGrid>
      <w:tr w:rsidR="00636F46" w:rsidRPr="004D0795" w14:paraId="38F79EE7" w14:textId="77777777" w:rsidTr="00020D20">
        <w:trPr>
          <w:trHeight w:val="20"/>
        </w:trPr>
        <w:tc>
          <w:tcPr>
            <w:tcW w:w="621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5F82D378" w14:textId="133B7EAE" w:rsidR="00636F46" w:rsidRPr="00101FFC" w:rsidRDefault="00636F46" w:rsidP="00020D20">
            <w:pPr>
              <w:spacing w:before="0" w:after="0" w:line="240" w:lineRule="auto"/>
              <w:jc w:val="center"/>
              <w:rPr>
                <w:sz w:val="22"/>
              </w:rPr>
            </w:pPr>
            <w:r w:rsidRPr="00101FFC">
              <w:rPr>
                <w:sz w:val="22"/>
              </w:rPr>
              <w:t>Sierra Vista Metr</w:t>
            </w:r>
            <w:r w:rsidR="005070BF">
              <w:rPr>
                <w:sz w:val="22"/>
              </w:rPr>
              <w:t>opolitan Planning Organization –</w:t>
            </w:r>
            <w:r w:rsidRPr="00101FFC">
              <w:rPr>
                <w:sz w:val="22"/>
              </w:rPr>
              <w:t xml:space="preserve"> SVMPO</w:t>
            </w:r>
          </w:p>
        </w:tc>
      </w:tr>
      <w:tr w:rsidR="00636F46" w:rsidRPr="004D0795" w14:paraId="7CD67F0A" w14:textId="77777777" w:rsidTr="00020D20">
        <w:trPr>
          <w:trHeight w:val="270"/>
        </w:trPr>
        <w:tc>
          <w:tcPr>
            <w:tcW w:w="254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0E97C482" w14:textId="77777777" w:rsidR="00636F46" w:rsidRPr="00101FFC" w:rsidRDefault="00636F46" w:rsidP="00020D20">
            <w:pPr>
              <w:spacing w:before="0" w:after="0" w:line="240" w:lineRule="auto"/>
              <w:jc w:val="both"/>
              <w:rPr>
                <w:sz w:val="18"/>
                <w:szCs w:val="18"/>
              </w:rPr>
            </w:pPr>
            <w:r w:rsidRPr="00101FFC">
              <w:rPr>
                <w:sz w:val="18"/>
                <w:szCs w:val="18"/>
              </w:rPr>
              <w:t>Year Established</w:t>
            </w:r>
          </w:p>
        </w:tc>
        <w:tc>
          <w:tcPr>
            <w:tcW w:w="367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6F5A78BB" w14:textId="77777777" w:rsidR="00636F46" w:rsidRPr="00101FFC" w:rsidRDefault="00636F46" w:rsidP="00020D20">
            <w:pPr>
              <w:spacing w:before="0" w:after="0" w:line="240" w:lineRule="auto"/>
              <w:jc w:val="both"/>
              <w:rPr>
                <w:sz w:val="18"/>
                <w:szCs w:val="18"/>
              </w:rPr>
            </w:pPr>
            <w:r w:rsidRPr="00101FFC">
              <w:rPr>
                <w:sz w:val="18"/>
                <w:szCs w:val="18"/>
              </w:rPr>
              <w:t>2013</w:t>
            </w:r>
          </w:p>
        </w:tc>
      </w:tr>
      <w:tr w:rsidR="00636F46" w:rsidRPr="004D0795" w14:paraId="140F8602"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BD48C0E" w14:textId="77777777" w:rsidR="00636F46" w:rsidRPr="00101FFC" w:rsidRDefault="00636F46" w:rsidP="00020D20">
            <w:pPr>
              <w:spacing w:before="0" w:after="0" w:line="240" w:lineRule="auto"/>
              <w:jc w:val="both"/>
              <w:rPr>
                <w:sz w:val="18"/>
                <w:szCs w:val="18"/>
              </w:rPr>
            </w:pPr>
            <w:r w:rsidRPr="00101FFC">
              <w:rPr>
                <w:sz w:val="18"/>
                <w:szCs w:val="18"/>
              </w:rPr>
              <w:t>Hosted/Independent MPO</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40DE4CE" w14:textId="77777777" w:rsidR="00636F46" w:rsidRPr="00101FFC" w:rsidRDefault="00636F46" w:rsidP="00020D20">
            <w:pPr>
              <w:spacing w:before="0" w:after="0" w:line="240" w:lineRule="auto"/>
              <w:jc w:val="both"/>
              <w:rPr>
                <w:sz w:val="18"/>
                <w:szCs w:val="18"/>
              </w:rPr>
            </w:pPr>
            <w:r w:rsidRPr="00101FFC">
              <w:rPr>
                <w:sz w:val="18"/>
                <w:szCs w:val="18"/>
              </w:rPr>
              <w:t>Hosted</w:t>
            </w:r>
          </w:p>
        </w:tc>
      </w:tr>
      <w:tr w:rsidR="00636F46" w:rsidRPr="004D0795" w14:paraId="6B4E8764"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8D4E319" w14:textId="77777777" w:rsidR="00636F46" w:rsidRPr="00101FFC" w:rsidRDefault="00636F46" w:rsidP="00020D20">
            <w:pPr>
              <w:spacing w:before="0" w:after="0" w:line="240" w:lineRule="auto"/>
              <w:jc w:val="both"/>
              <w:rPr>
                <w:sz w:val="18"/>
                <w:szCs w:val="18"/>
              </w:rPr>
            </w:pPr>
            <w:r w:rsidRPr="00101FFC">
              <w:rPr>
                <w:sz w:val="18"/>
                <w:szCs w:val="18"/>
              </w:rPr>
              <w:t>Land Area (sq. mi.)</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A18FA7E" w14:textId="77777777" w:rsidR="00636F46" w:rsidRPr="00101FFC" w:rsidRDefault="00636F46" w:rsidP="00020D20">
            <w:pPr>
              <w:spacing w:before="0" w:after="0" w:line="240" w:lineRule="auto"/>
              <w:jc w:val="both"/>
              <w:rPr>
                <w:sz w:val="18"/>
                <w:szCs w:val="18"/>
              </w:rPr>
            </w:pPr>
            <w:r w:rsidRPr="00101FFC">
              <w:rPr>
                <w:sz w:val="18"/>
                <w:szCs w:val="18"/>
              </w:rPr>
              <w:t>614</w:t>
            </w:r>
          </w:p>
        </w:tc>
      </w:tr>
      <w:tr w:rsidR="00636F46" w:rsidRPr="004D0795" w14:paraId="500486B5"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EACFC71" w14:textId="77777777" w:rsidR="00636F46" w:rsidRPr="00101FFC" w:rsidRDefault="00636F46" w:rsidP="00020D20">
            <w:pPr>
              <w:spacing w:before="0" w:after="0" w:line="240" w:lineRule="auto"/>
              <w:jc w:val="both"/>
              <w:rPr>
                <w:sz w:val="18"/>
                <w:szCs w:val="18"/>
              </w:rPr>
            </w:pPr>
            <w:r w:rsidRPr="00101FFC">
              <w:rPr>
                <w:sz w:val="18"/>
                <w:szCs w:val="18"/>
              </w:rPr>
              <w:t>2018 Population Estimate</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D5D514C" w14:textId="77777777" w:rsidR="00636F46" w:rsidRPr="00101FFC" w:rsidRDefault="00636F46" w:rsidP="00020D20">
            <w:pPr>
              <w:spacing w:before="0" w:after="0" w:line="240" w:lineRule="auto"/>
              <w:jc w:val="both"/>
              <w:rPr>
                <w:sz w:val="18"/>
                <w:szCs w:val="18"/>
              </w:rPr>
            </w:pPr>
            <w:r w:rsidRPr="00101FFC">
              <w:rPr>
                <w:sz w:val="18"/>
                <w:szCs w:val="18"/>
              </w:rPr>
              <w:t>70,446</w:t>
            </w:r>
          </w:p>
        </w:tc>
      </w:tr>
      <w:tr w:rsidR="00636F46" w:rsidRPr="004D0795" w14:paraId="4705F720"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8B0AD23" w14:textId="77777777" w:rsidR="00636F46" w:rsidRPr="00101FFC" w:rsidRDefault="00636F46" w:rsidP="00020D20">
            <w:pPr>
              <w:spacing w:before="0" w:after="0" w:line="240" w:lineRule="auto"/>
              <w:jc w:val="both"/>
              <w:rPr>
                <w:sz w:val="18"/>
                <w:szCs w:val="18"/>
              </w:rPr>
            </w:pPr>
            <w:r w:rsidRPr="00101FFC">
              <w:rPr>
                <w:sz w:val="18"/>
                <w:szCs w:val="18"/>
              </w:rPr>
              <w:t>Counties</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CEEFA53" w14:textId="77777777" w:rsidR="00636F46" w:rsidRPr="00101FFC" w:rsidRDefault="00636F46" w:rsidP="00020D20">
            <w:pPr>
              <w:spacing w:before="0" w:after="0" w:line="240" w:lineRule="auto"/>
              <w:jc w:val="both"/>
              <w:rPr>
                <w:sz w:val="18"/>
                <w:szCs w:val="18"/>
              </w:rPr>
            </w:pPr>
            <w:r w:rsidRPr="00101FFC">
              <w:rPr>
                <w:sz w:val="18"/>
                <w:szCs w:val="18"/>
              </w:rPr>
              <w:t>1 | Cochise</w:t>
            </w:r>
          </w:p>
        </w:tc>
      </w:tr>
      <w:tr w:rsidR="00636F46" w:rsidRPr="004D0795" w14:paraId="22DA13CD"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AE67093" w14:textId="77777777" w:rsidR="00636F46" w:rsidRPr="00101FFC" w:rsidRDefault="00636F46" w:rsidP="00020D20">
            <w:pPr>
              <w:spacing w:before="0" w:after="0" w:line="240" w:lineRule="auto"/>
              <w:jc w:val="both"/>
              <w:rPr>
                <w:sz w:val="18"/>
                <w:szCs w:val="18"/>
              </w:rPr>
            </w:pPr>
            <w:r w:rsidRPr="00101FFC">
              <w:rPr>
                <w:sz w:val="18"/>
                <w:szCs w:val="18"/>
              </w:rPr>
              <w:t>Number of Municipalities</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5798B1A" w14:textId="77777777" w:rsidR="00636F46" w:rsidRPr="00101FFC" w:rsidRDefault="00636F46" w:rsidP="00020D20">
            <w:pPr>
              <w:spacing w:before="0" w:after="0" w:line="240" w:lineRule="auto"/>
              <w:jc w:val="both"/>
              <w:rPr>
                <w:sz w:val="18"/>
                <w:szCs w:val="18"/>
              </w:rPr>
            </w:pPr>
            <w:r w:rsidRPr="00101FFC">
              <w:rPr>
                <w:sz w:val="18"/>
                <w:szCs w:val="18"/>
              </w:rPr>
              <w:t>2</w:t>
            </w:r>
          </w:p>
        </w:tc>
      </w:tr>
      <w:tr w:rsidR="00636F46" w:rsidRPr="004D0795" w14:paraId="793ED80E"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3367185" w14:textId="77777777" w:rsidR="00636F46" w:rsidRPr="00101FFC" w:rsidRDefault="00636F46" w:rsidP="00020D20">
            <w:pPr>
              <w:spacing w:before="0" w:after="0" w:line="240" w:lineRule="auto"/>
              <w:jc w:val="both"/>
              <w:rPr>
                <w:sz w:val="18"/>
                <w:szCs w:val="18"/>
              </w:rPr>
            </w:pPr>
            <w:r w:rsidRPr="00101FFC">
              <w:rPr>
                <w:sz w:val="18"/>
                <w:szCs w:val="18"/>
              </w:rPr>
              <w:t>Tribal Partner Agencies</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AADD12E" w14:textId="77777777" w:rsidR="00636F46" w:rsidRPr="00101FFC" w:rsidRDefault="00636F46" w:rsidP="00020D20">
            <w:pPr>
              <w:spacing w:before="0" w:after="0" w:line="240" w:lineRule="auto"/>
              <w:jc w:val="both"/>
              <w:rPr>
                <w:sz w:val="18"/>
                <w:szCs w:val="18"/>
              </w:rPr>
            </w:pPr>
            <w:r w:rsidRPr="00101FFC">
              <w:rPr>
                <w:sz w:val="18"/>
                <w:szCs w:val="18"/>
              </w:rPr>
              <w:t>N/A</w:t>
            </w:r>
          </w:p>
        </w:tc>
      </w:tr>
      <w:tr w:rsidR="00636F46" w:rsidRPr="004D0795" w14:paraId="40FF1FA2"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AF38526" w14:textId="77777777" w:rsidR="00636F46" w:rsidRPr="00101FFC" w:rsidRDefault="00636F46" w:rsidP="00020D20">
            <w:pPr>
              <w:spacing w:before="0" w:after="0" w:line="240" w:lineRule="auto"/>
              <w:jc w:val="both"/>
              <w:rPr>
                <w:sz w:val="18"/>
                <w:szCs w:val="18"/>
              </w:rPr>
            </w:pPr>
            <w:r w:rsidRPr="00101FFC">
              <w:rPr>
                <w:sz w:val="18"/>
                <w:szCs w:val="18"/>
              </w:rPr>
              <w:t>Primary Travel Corridors</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B47EA94" w14:textId="77777777" w:rsidR="00636F46" w:rsidRPr="00101FFC" w:rsidRDefault="00636F46" w:rsidP="00020D20">
            <w:pPr>
              <w:spacing w:before="0" w:after="0" w:line="240" w:lineRule="auto"/>
              <w:jc w:val="both"/>
              <w:rPr>
                <w:sz w:val="18"/>
                <w:szCs w:val="18"/>
              </w:rPr>
            </w:pPr>
            <w:r w:rsidRPr="00101FFC">
              <w:rPr>
                <w:sz w:val="18"/>
                <w:szCs w:val="18"/>
              </w:rPr>
              <w:t>3 | State Routes: SR 82, SR 90, SR 92</w:t>
            </w:r>
          </w:p>
        </w:tc>
      </w:tr>
      <w:tr w:rsidR="00636F46" w:rsidRPr="004D0795" w14:paraId="41550922"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66D6B09" w14:textId="77777777" w:rsidR="00636F46" w:rsidRPr="00101FFC" w:rsidRDefault="00636F46" w:rsidP="00020D20">
            <w:pPr>
              <w:spacing w:before="0" w:after="0" w:line="240" w:lineRule="auto"/>
              <w:jc w:val="both"/>
              <w:rPr>
                <w:sz w:val="18"/>
                <w:szCs w:val="18"/>
              </w:rPr>
            </w:pPr>
            <w:r w:rsidRPr="00101FFC">
              <w:rPr>
                <w:sz w:val="18"/>
                <w:szCs w:val="18"/>
              </w:rPr>
              <w:t>Transit</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B0024C" w14:textId="77777777" w:rsidR="00636F46" w:rsidRPr="00101FFC" w:rsidRDefault="00636F46" w:rsidP="00020D20">
            <w:pPr>
              <w:spacing w:before="0" w:after="0" w:line="240" w:lineRule="auto"/>
              <w:jc w:val="both"/>
              <w:rPr>
                <w:sz w:val="18"/>
                <w:szCs w:val="18"/>
              </w:rPr>
            </w:pPr>
            <w:r w:rsidRPr="00101FFC">
              <w:rPr>
                <w:sz w:val="18"/>
                <w:szCs w:val="18"/>
              </w:rPr>
              <w:t>Yes</w:t>
            </w:r>
          </w:p>
        </w:tc>
      </w:tr>
      <w:tr w:rsidR="00636F46" w:rsidRPr="004D0795" w14:paraId="4E9142BD"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64C2A00" w14:textId="77777777" w:rsidR="00636F46" w:rsidRPr="00101FFC" w:rsidRDefault="00636F46" w:rsidP="00020D20">
            <w:pPr>
              <w:spacing w:before="0" w:after="0" w:line="240" w:lineRule="auto"/>
              <w:jc w:val="both"/>
              <w:rPr>
                <w:sz w:val="18"/>
                <w:szCs w:val="18"/>
              </w:rPr>
            </w:pPr>
            <w:r w:rsidRPr="00101FFC">
              <w:rPr>
                <w:sz w:val="18"/>
                <w:szCs w:val="18"/>
              </w:rPr>
              <w:t>Airport</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2F43B3B" w14:textId="77777777" w:rsidR="00636F46" w:rsidRPr="00101FFC" w:rsidRDefault="00636F46" w:rsidP="00020D20">
            <w:pPr>
              <w:spacing w:before="0" w:after="0" w:line="240" w:lineRule="auto"/>
              <w:jc w:val="both"/>
              <w:rPr>
                <w:sz w:val="18"/>
                <w:szCs w:val="18"/>
              </w:rPr>
            </w:pPr>
            <w:r w:rsidRPr="00101FFC">
              <w:rPr>
                <w:sz w:val="18"/>
                <w:szCs w:val="18"/>
              </w:rPr>
              <w:t>Yes</w:t>
            </w:r>
          </w:p>
        </w:tc>
      </w:tr>
      <w:tr w:rsidR="00636F46" w:rsidRPr="004D0795" w14:paraId="0F0BAA3E" w14:textId="77777777" w:rsidTr="00020D20">
        <w:trPr>
          <w:trHeight w:val="270"/>
        </w:trPr>
        <w:tc>
          <w:tcPr>
            <w:tcW w:w="254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5BA339D" w14:textId="77777777" w:rsidR="00636F46" w:rsidRPr="00101FFC" w:rsidRDefault="00636F46" w:rsidP="00121C12">
            <w:pPr>
              <w:spacing w:before="0" w:after="0" w:line="240" w:lineRule="auto"/>
              <w:rPr>
                <w:sz w:val="18"/>
                <w:szCs w:val="18"/>
              </w:rPr>
            </w:pPr>
            <w:r w:rsidRPr="00101FFC">
              <w:rPr>
                <w:sz w:val="18"/>
                <w:szCs w:val="18"/>
              </w:rPr>
              <w:t>Air Quality Nonattainment or Maintenance</w:t>
            </w:r>
          </w:p>
        </w:tc>
        <w:tc>
          <w:tcPr>
            <w:tcW w:w="367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35AD78A" w14:textId="77777777" w:rsidR="00636F46" w:rsidRPr="00101FFC" w:rsidRDefault="00636F46" w:rsidP="00020D20">
            <w:pPr>
              <w:spacing w:before="0" w:after="0" w:line="240" w:lineRule="auto"/>
              <w:jc w:val="both"/>
              <w:rPr>
                <w:sz w:val="18"/>
                <w:szCs w:val="18"/>
              </w:rPr>
            </w:pPr>
            <w:r w:rsidRPr="00101FFC">
              <w:rPr>
                <w:sz w:val="18"/>
                <w:szCs w:val="18"/>
              </w:rPr>
              <w:t>None</w:t>
            </w:r>
          </w:p>
        </w:tc>
      </w:tr>
    </w:tbl>
    <w:p w14:paraId="4D8ECF95" w14:textId="2A7038FF" w:rsidR="00636F46" w:rsidRDefault="002C1B6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ajorBidi"/>
          <w:b/>
          <w:color w:val="012768"/>
          <w:sz w:val="40"/>
          <w:szCs w:val="32"/>
        </w:rPr>
      </w:pPr>
      <w:r>
        <w:rPr>
          <w:rFonts w:cstheme="minorHAnsi"/>
          <w:noProof/>
        </w:rPr>
        <mc:AlternateContent>
          <mc:Choice Requires="wps">
            <w:drawing>
              <wp:anchor distT="0" distB="0" distL="114300" distR="114300" simplePos="0" relativeHeight="251618588" behindDoc="1" locked="0" layoutInCell="1" allowOverlap="1" wp14:anchorId="02437C2A" wp14:editId="78FB7BE9">
                <wp:simplePos x="0" y="0"/>
                <wp:positionH relativeFrom="column">
                  <wp:posOffset>4542790</wp:posOffset>
                </wp:positionH>
                <wp:positionV relativeFrom="paragraph">
                  <wp:posOffset>1961515</wp:posOffset>
                </wp:positionV>
                <wp:extent cx="1263650" cy="1597025"/>
                <wp:effectExtent l="76200" t="95250" r="69850" b="98425"/>
                <wp:wrapTight wrapText="bothSides">
                  <wp:wrapPolygon edited="0">
                    <wp:start x="-1303" y="-1288"/>
                    <wp:lineTo x="-1303" y="22674"/>
                    <wp:lineTo x="22468" y="22674"/>
                    <wp:lineTo x="22468" y="-1288"/>
                    <wp:lineTo x="-1303" y="-1288"/>
                  </wp:wrapPolygon>
                </wp:wrapTight>
                <wp:docPr id="816286047" name="Text Box 816286047"/>
                <wp:cNvGraphicFramePr/>
                <a:graphic xmlns:a="http://schemas.openxmlformats.org/drawingml/2006/main">
                  <a:graphicData uri="http://schemas.microsoft.com/office/word/2010/wordprocessingShape">
                    <wps:wsp>
                      <wps:cNvSpPr txBox="1"/>
                      <wps:spPr>
                        <a:xfrm>
                          <a:off x="0" y="0"/>
                          <a:ext cx="1263650" cy="15970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B94F2CC" w14:textId="77777777" w:rsidR="00C6444C" w:rsidRDefault="00C6444C" w:rsidP="00636F46">
                            <w:pPr>
                              <w:jc w:val="center"/>
                            </w:pPr>
                            <w:r>
                              <w:rPr>
                                <w:noProof/>
                              </w:rPr>
                              <w:drawing>
                                <wp:inline distT="0" distB="0" distL="0" distR="0" wp14:anchorId="24A83652" wp14:editId="6438BA0F">
                                  <wp:extent cx="457200" cy="457200"/>
                                  <wp:effectExtent l="0" t="0" r="0" b="0"/>
                                  <wp:docPr id="209" name="Picture 209">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C3328B0" w14:textId="77777777" w:rsidR="00C6444C" w:rsidRDefault="00C6444C" w:rsidP="00636F46">
                            <w:pPr>
                              <w:pStyle w:val="Calloutboxes"/>
                            </w:pPr>
                            <w:r>
                              <w:t>SVMPO</w:t>
                            </w:r>
                          </w:p>
                          <w:p w14:paraId="01ACEB11" w14:textId="77777777" w:rsidR="00C6444C" w:rsidRDefault="00C6444C" w:rsidP="00636F46">
                            <w:pPr>
                              <w:pStyle w:val="Calloutboxes"/>
                            </w:pPr>
                            <w:r>
                              <w:t>410 Giulio Cesare Ave.</w:t>
                            </w:r>
                          </w:p>
                          <w:p w14:paraId="61C299DB" w14:textId="77777777" w:rsidR="00C6444C" w:rsidRDefault="00C6444C" w:rsidP="00636F46">
                            <w:pPr>
                              <w:pStyle w:val="Calloutboxes"/>
                            </w:pPr>
                            <w:r>
                              <w:t>Sierra Vista, AZ 85635</w:t>
                            </w:r>
                          </w:p>
                          <w:p w14:paraId="019546A0" w14:textId="77777777" w:rsidR="00C6444C" w:rsidRDefault="00C6444C" w:rsidP="00636F46">
                            <w:pPr>
                              <w:pStyle w:val="Calloutboxes"/>
                            </w:pPr>
                            <w:r>
                              <w:t>#: 520-515-8525</w:t>
                            </w:r>
                          </w:p>
                          <w:p w14:paraId="56C306FF" w14:textId="77777777" w:rsidR="00C6444C" w:rsidRPr="00101FFC" w:rsidRDefault="00202C92" w:rsidP="00636F46">
                            <w:pPr>
                              <w:pStyle w:val="Title"/>
                              <w:rPr>
                                <w:sz w:val="16"/>
                                <w:szCs w:val="16"/>
                              </w:rPr>
                            </w:pPr>
                            <w:hyperlink r:id="rId104" w:history="1">
                              <w:r w:rsidR="00C6444C" w:rsidRPr="00101FFC">
                                <w:rPr>
                                  <w:rStyle w:val="Hyperlink"/>
                                  <w:rFonts w:ascii="Calibri" w:hAnsi="Calibri" w:cstheme="majorBidi"/>
                                  <w:i/>
                                  <w:iCs w:val="0"/>
                                  <w:color w:val="CE5B18"/>
                                  <w:u w:val="none"/>
                                </w:rPr>
                                <w:t>https://www.sierravistaaz.gov/department/index.php?structureid=318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437C2A" id="Text Box 816286047" o:spid="_x0000_s1052" type="#_x0000_t202" style="position:absolute;left:0;text-align:left;margin-left:357.7pt;margin-top:154.45pt;width:99.5pt;height:125.75pt;z-index:-251697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" fillcolor="#f7f7f7" stroked="f" strokeweight=".5pt">
                <v:shadow on="t" type="perspective" color="black" opacity="26214f" offset="0,0" matrix="66847f,,,66847f"/>
                <v:textbox>
                  <w:txbxContent>
                    <w:p w14:paraId="0B94F2CC" w14:textId="77777777" w:rsidR="00C6444C" w:rsidRDefault="00C6444C" w:rsidP="00636F46">
                      <w:pPr>
                        <w:jc w:val="center"/>
                      </w:pPr>
                      <w:r>
                        <w:rPr>
                          <w:noProof/>
                        </w:rPr>
                        <w:drawing>
                          <wp:inline distT="0" distB="0" distL="0" distR="0" wp14:anchorId="24A83652" wp14:editId="6438BA0F">
                            <wp:extent cx="457200" cy="457200"/>
                            <wp:effectExtent l="0" t="0" r="0" b="0"/>
                            <wp:docPr id="209" name="Picture 209">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C3328B0" w14:textId="77777777" w:rsidR="00C6444C" w:rsidRDefault="00C6444C" w:rsidP="00636F46">
                      <w:pPr>
                        <w:pStyle w:val="Calloutboxes"/>
                      </w:pPr>
                      <w:r>
                        <w:t>SVMPO</w:t>
                      </w:r>
                    </w:p>
                    <w:p w14:paraId="01ACEB11" w14:textId="77777777" w:rsidR="00C6444C" w:rsidRDefault="00C6444C" w:rsidP="00636F46">
                      <w:pPr>
                        <w:pStyle w:val="Calloutboxes"/>
                      </w:pPr>
                      <w:r>
                        <w:t>410 Giulio Cesare Ave.</w:t>
                      </w:r>
                    </w:p>
                    <w:p w14:paraId="61C299DB" w14:textId="77777777" w:rsidR="00C6444C" w:rsidRDefault="00C6444C" w:rsidP="00636F46">
                      <w:pPr>
                        <w:pStyle w:val="Calloutboxes"/>
                      </w:pPr>
                      <w:r>
                        <w:t>Sierra Vista, AZ 85635</w:t>
                      </w:r>
                    </w:p>
                    <w:p w14:paraId="019546A0" w14:textId="77777777" w:rsidR="00C6444C" w:rsidRDefault="00C6444C" w:rsidP="00636F46">
                      <w:pPr>
                        <w:pStyle w:val="Calloutboxes"/>
                      </w:pPr>
                      <w:r>
                        <w:t>#: 520-515-8525</w:t>
                      </w:r>
                    </w:p>
                    <w:p w14:paraId="56C306FF" w14:textId="77777777" w:rsidR="00C6444C" w:rsidRPr="00101FFC" w:rsidRDefault="00576D31" w:rsidP="00636F46">
                      <w:pPr>
                        <w:pStyle w:val="Title"/>
                        <w:rPr>
                          <w:sz w:val="16"/>
                          <w:szCs w:val="16"/>
                        </w:rPr>
                      </w:pPr>
                      <w:hyperlink r:id="rId106" w:history="1">
                        <w:r w:rsidR="00C6444C" w:rsidRPr="00101FFC">
                          <w:rPr>
                            <w:rStyle w:val="Hyperlink"/>
                            <w:rFonts w:ascii="Calibri" w:hAnsi="Calibri" w:cstheme="majorBidi"/>
                            <w:i/>
                            <w:iCs w:val="0"/>
                            <w:color w:val="CE5B18"/>
                            <w:u w:val="none"/>
                          </w:rPr>
                          <w:t>https://www.sierravistaaz.gov/department/index.php?structureid=318</w:t>
                        </w:r>
                      </w:hyperlink>
                    </w:p>
                  </w:txbxContent>
                </v:textbox>
                <w10:wrap type="tight"/>
              </v:shape>
            </w:pict>
          </mc:Fallback>
        </mc:AlternateContent>
      </w:r>
      <w:r w:rsidR="00636F46">
        <w:br w:type="page"/>
      </w:r>
    </w:p>
    <w:bookmarkStart w:id="34" w:name="_Ref50023233"/>
    <w:p w14:paraId="7ABE76C5" w14:textId="77777777" w:rsidR="00636F46" w:rsidRPr="002F17FB" w:rsidRDefault="00636F46" w:rsidP="00020D20">
      <w:pPr>
        <w:pStyle w:val="BodyTextTitle"/>
        <w:jc w:val="both"/>
        <w:rPr>
          <w:color w:val="auto"/>
        </w:rPr>
      </w:pPr>
      <w:r w:rsidRPr="003707B0">
        <w:rPr>
          <w:noProof/>
        </w:rPr>
        <mc:AlternateContent>
          <mc:Choice Requires="wps">
            <w:drawing>
              <wp:anchor distT="0" distB="0" distL="114300" distR="114300" simplePos="0" relativeHeight="251618564" behindDoc="0" locked="0" layoutInCell="1" allowOverlap="1" wp14:anchorId="482FA632" wp14:editId="62CD81B8">
                <wp:simplePos x="0" y="0"/>
                <wp:positionH relativeFrom="column">
                  <wp:posOffset>3784600</wp:posOffset>
                </wp:positionH>
                <wp:positionV relativeFrom="paragraph">
                  <wp:posOffset>389255</wp:posOffset>
                </wp:positionV>
                <wp:extent cx="2689860" cy="318770"/>
                <wp:effectExtent l="0" t="0" r="0" b="5080"/>
                <wp:wrapNone/>
                <wp:docPr id="204" name="Text Box 204"/>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F46BC38" w14:textId="77777777" w:rsidR="00C6444C" w:rsidRPr="00101FFC" w:rsidRDefault="00C6444C" w:rsidP="00636F46">
                            <w:pPr>
                              <w:pStyle w:val="Heading4"/>
                              <w:spacing w:before="0" w:after="0" w:line="240" w:lineRule="auto"/>
                            </w:pPr>
                            <w:r w:rsidRPr="00101FFC">
                              <w:t>Figure 1-</w:t>
                            </w:r>
                            <w:r>
                              <w:t>9</w:t>
                            </w:r>
                            <w:r w:rsidRPr="00101FFC">
                              <w:t xml:space="preserve"> |</w:t>
                            </w:r>
                            <w:r>
                              <w:t xml:space="preserve"> YMPO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482FA632" id="Text Box 204" o:spid="_x0000_s1053" type="#_x0000_t202" style="position:absolute;left:0;text-align:left;margin-left:298pt;margin-top:30.65pt;width:211.8pt;height:25.1pt;z-index:2516185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" filled="f" stroked="f" strokeweight="1pt">
                <v:textbox>
                  <w:txbxContent>
                    <w:p w14:paraId="6F46BC38" w14:textId="77777777" w:rsidR="00C6444C" w:rsidRPr="00101FFC" w:rsidRDefault="00C6444C" w:rsidP="00636F46">
                      <w:pPr>
                        <w:pStyle w:val="Heading4"/>
                        <w:spacing w:before="0" w:after="0" w:line="240" w:lineRule="auto"/>
                      </w:pPr>
                      <w:r w:rsidRPr="00101FFC">
                        <w:t>Figure 1-</w:t>
                      </w:r>
                      <w:r>
                        <w:t>9</w:t>
                      </w:r>
                      <w:r w:rsidRPr="00101FFC">
                        <w:t xml:space="preserve"> |</w:t>
                      </w:r>
                      <w:r>
                        <w:t xml:space="preserve"> YMPO Regional Area</w:t>
                      </w:r>
                    </w:p>
                  </w:txbxContent>
                </v:textbox>
              </v:shape>
            </w:pict>
          </mc:Fallback>
        </mc:AlternateContent>
      </w:r>
      <w:r w:rsidRPr="003707B0">
        <w:t>Yuma Metropolitan Planning Organization (YMPO)</w:t>
      </w:r>
      <w:bookmarkEnd w:id="34"/>
    </w:p>
    <w:p w14:paraId="77DF5621" w14:textId="2FA332BD" w:rsidR="00636F46" w:rsidRPr="004D0795" w:rsidRDefault="00636F46" w:rsidP="00020D20">
      <w:pPr>
        <w:jc w:val="both"/>
      </w:pPr>
      <w:r>
        <w:rPr>
          <w:noProof/>
        </w:rPr>
        <w:drawing>
          <wp:anchor distT="0" distB="0" distL="114300" distR="114300" simplePos="0" relativeHeight="251618563" behindDoc="0" locked="0" layoutInCell="1" allowOverlap="1" wp14:anchorId="2B8F4501" wp14:editId="00F6553A">
            <wp:simplePos x="0" y="0"/>
            <wp:positionH relativeFrom="column">
              <wp:posOffset>3866515</wp:posOffset>
            </wp:positionH>
            <wp:positionV relativeFrom="paragraph">
              <wp:posOffset>144780</wp:posOffset>
            </wp:positionV>
            <wp:extent cx="2529205" cy="3364865"/>
            <wp:effectExtent l="0" t="0" r="4445" b="6985"/>
            <wp:wrapSquare wrapText="bothSides"/>
            <wp:docPr id="816286167" name="Picture 81628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42" name="1_Map2-YMPO REDUCED.jpg"/>
                    <pic:cNvPicPr/>
                  </pic:nvPicPr>
                  <pic:blipFill rotWithShape="1">
                    <a:blip r:embed="rId107" cstate="hqprint">
                      <a:extLst>
                        <a:ext uri="{28A0092B-C50C-407E-A947-70E740481C1C}">
                          <a14:useLocalDpi xmlns:a14="http://schemas.microsoft.com/office/drawing/2010/main" val="0"/>
                        </a:ext>
                      </a:extLst>
                    </a:blip>
                    <a:srcRect l="4824" t="2420"/>
                    <a:stretch/>
                  </pic:blipFill>
                  <pic:spPr bwMode="auto">
                    <a:xfrm>
                      <a:off x="0" y="0"/>
                      <a:ext cx="2529205" cy="336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w:t>
      </w:r>
      <w:r w:rsidRPr="004D0795">
        <w:t>Y</w:t>
      </w:r>
      <w:r>
        <w:t xml:space="preserve">uma </w:t>
      </w:r>
      <w:r w:rsidRPr="004D0795">
        <w:t>M</w:t>
      </w:r>
      <w:r>
        <w:t>P</w:t>
      </w:r>
      <w:r w:rsidRPr="004D0795">
        <w:t>O is the leader for coordinating regional transportation and land-use planning with innovative communication and solutions in Yuma County. The jurisdictions that compose the YMPO are: the cities of Yuma, Somerton, and San Luis; Yuma County; the town of Wellton; Cocopah Indian Tribe; and ADOT. The YMPO planning area also includes the Winterhaven community in Imperial County, California, across the Colorado River from the city of Yuma. Although Winterhaven and the Fort Yuma Indian Reservation (Quechan Tribe) are within the YMPO planning boundaries, they are not members of YMPO’s Technical Advisory Committee</w:t>
      </w:r>
      <w:r w:rsidR="00DB7EF5">
        <w:t xml:space="preserve"> (TAC)</w:t>
      </w:r>
      <w:r w:rsidRPr="004D0795">
        <w:t xml:space="preserve"> or the Executive Boar</w:t>
      </w:r>
      <w:r w:rsidR="00DC0C98">
        <w:t>d. YMPO’s boundary is shown in F</w:t>
      </w:r>
      <w:r w:rsidRPr="004D0795">
        <w:t>igure 1-9.</w:t>
      </w:r>
    </w:p>
    <w:p w14:paraId="4DF825DA" w14:textId="2ECFECBB" w:rsidR="00636F46" w:rsidRDefault="00636F46" w:rsidP="00020D20">
      <w:pPr>
        <w:jc w:val="both"/>
      </w:pPr>
      <w:r w:rsidRPr="004D0795">
        <w:t>The YMPO area experiences a major influx of part-time residents each year</w:t>
      </w:r>
      <w:r w:rsidR="00D639CA">
        <w:t xml:space="preserve"> including, migrant workers, winter visitors, and military officials</w:t>
      </w:r>
      <w:r w:rsidRPr="004D0795">
        <w:t xml:space="preserve">. Additionally, YMPO experiences border traffic including </w:t>
      </w:r>
      <w:r w:rsidR="00D639CA">
        <w:t>migrant workers, day laborers,</w:t>
      </w:r>
      <w:r w:rsidRPr="004D0795">
        <w:t xml:space="preserve"> freight traffic</w:t>
      </w:r>
      <w:r w:rsidR="00D639CA">
        <w:t>, visitors, and those crossing the border on bicycle or on foot</w:t>
      </w:r>
      <w:r w:rsidRPr="004D0795">
        <w:t>. These factors create unique challenges for the planning, operation, and maintenance of the transportation system.</w:t>
      </w:r>
    </w:p>
    <w:p w14:paraId="43D0EB65" w14:textId="77777777" w:rsidR="00636F46" w:rsidRPr="00101FFC" w:rsidRDefault="00636F46" w:rsidP="00020D20">
      <w:pPr>
        <w:jc w:val="both"/>
        <w:rPr>
          <w:b/>
        </w:rPr>
      </w:pPr>
    </w:p>
    <w:p w14:paraId="40E35B4E" w14:textId="18FA730D" w:rsidR="00636F46" w:rsidRDefault="002C1B60" w:rsidP="00020D20">
      <w:pPr>
        <w:pStyle w:val="Heading4"/>
        <w:jc w:val="both"/>
      </w:pPr>
      <w:r>
        <w:rPr>
          <w:rFonts w:cstheme="minorHAnsi"/>
          <w:noProof/>
        </w:rPr>
        <mc:AlternateContent>
          <mc:Choice Requires="wps">
            <w:drawing>
              <wp:anchor distT="0" distB="0" distL="114300" distR="114300" simplePos="0" relativeHeight="251618589" behindDoc="0" locked="0" layoutInCell="1" allowOverlap="1" wp14:anchorId="4C39C33E" wp14:editId="05303C55">
                <wp:simplePos x="0" y="0"/>
                <wp:positionH relativeFrom="column">
                  <wp:posOffset>5155565</wp:posOffset>
                </wp:positionH>
                <wp:positionV relativeFrom="paragraph">
                  <wp:posOffset>2054860</wp:posOffset>
                </wp:positionV>
                <wp:extent cx="1263650" cy="1419225"/>
                <wp:effectExtent l="76200" t="95250" r="69850" b="104775"/>
                <wp:wrapNone/>
                <wp:docPr id="206" name="Text Box 206"/>
                <wp:cNvGraphicFramePr/>
                <a:graphic xmlns:a="http://schemas.openxmlformats.org/drawingml/2006/main">
                  <a:graphicData uri="http://schemas.microsoft.com/office/word/2010/wordprocessingShape">
                    <wps:wsp>
                      <wps:cNvSpPr txBox="1"/>
                      <wps:spPr>
                        <a:xfrm>
                          <a:off x="0" y="0"/>
                          <a:ext cx="1263650" cy="14192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9262743" w14:textId="77777777" w:rsidR="00C6444C" w:rsidRDefault="00C6444C" w:rsidP="00636F46">
                            <w:pPr>
                              <w:jc w:val="center"/>
                            </w:pPr>
                            <w:r>
                              <w:rPr>
                                <w:noProof/>
                              </w:rPr>
                              <w:drawing>
                                <wp:inline distT="0" distB="0" distL="0" distR="0" wp14:anchorId="7FD8F110" wp14:editId="40A4DDE3">
                                  <wp:extent cx="457200" cy="457200"/>
                                  <wp:effectExtent l="0" t="0" r="0" b="0"/>
                                  <wp:docPr id="211" name="Picture 211">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7BD31DF" w14:textId="77777777" w:rsidR="00C6444C" w:rsidRDefault="00C6444C" w:rsidP="00636F46">
                            <w:pPr>
                              <w:pStyle w:val="Calloutboxes"/>
                            </w:pPr>
                            <w:r>
                              <w:t>YMPO</w:t>
                            </w:r>
                          </w:p>
                          <w:p w14:paraId="402F0DA8" w14:textId="77777777" w:rsidR="00C6444C" w:rsidRDefault="00C6444C" w:rsidP="00636F46">
                            <w:pPr>
                              <w:pStyle w:val="Calloutboxes"/>
                            </w:pPr>
                            <w:r>
                              <w:t>502 S. Orange Ave.</w:t>
                            </w:r>
                          </w:p>
                          <w:p w14:paraId="682BB11B" w14:textId="77777777" w:rsidR="00C6444C" w:rsidRDefault="00C6444C" w:rsidP="00636F46">
                            <w:pPr>
                              <w:pStyle w:val="Calloutboxes"/>
                            </w:pPr>
                            <w:r>
                              <w:t>Yuma, AZ 85364</w:t>
                            </w:r>
                          </w:p>
                          <w:p w14:paraId="6F365928" w14:textId="77777777" w:rsidR="00C6444C" w:rsidRDefault="00C6444C" w:rsidP="00636F46">
                            <w:pPr>
                              <w:pStyle w:val="Calloutboxes"/>
                            </w:pPr>
                            <w:r>
                              <w:t>#: 928-783-8911</w:t>
                            </w:r>
                          </w:p>
                          <w:p w14:paraId="13075982" w14:textId="77777777" w:rsidR="00C6444C" w:rsidRPr="00101FFC" w:rsidRDefault="00202C92" w:rsidP="00636F46">
                            <w:pPr>
                              <w:pStyle w:val="Title"/>
                              <w:rPr>
                                <w:sz w:val="16"/>
                                <w:szCs w:val="16"/>
                              </w:rPr>
                            </w:pPr>
                            <w:hyperlink r:id="rId109" w:history="1">
                              <w:r w:rsidR="00C6444C" w:rsidRPr="00101FFC">
                                <w:rPr>
                                  <w:rStyle w:val="Hyperlink"/>
                                  <w:rFonts w:ascii="Calibri" w:hAnsi="Calibri" w:cstheme="majorBidi"/>
                                  <w:i/>
                                  <w:iCs w:val="0"/>
                                  <w:color w:val="CE5B18"/>
                                  <w:u w:val="none"/>
                                </w:rPr>
                                <w:t>https://ympo.org/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39C33E" id="Text Box 206" o:spid="_x0000_s1054" type="#_x0000_t202" style="position:absolute;left:0;text-align:left;margin-left:405.95pt;margin-top:161.8pt;width:99.5pt;height:111.75pt;z-index:251618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" fillcolor="#f7f7f7" stroked="f" strokeweight=".5pt">
                <v:shadow on="t" type="perspective" color="black" opacity="26214f" offset="0,0" matrix="66847f,,,66847f"/>
                <v:textbox>
                  <w:txbxContent>
                    <w:p w14:paraId="79262743" w14:textId="77777777" w:rsidR="00C6444C" w:rsidRDefault="00C6444C" w:rsidP="00636F46">
                      <w:pPr>
                        <w:jc w:val="center"/>
                      </w:pPr>
                      <w:r>
                        <w:rPr>
                          <w:noProof/>
                        </w:rPr>
                        <w:drawing>
                          <wp:inline distT="0" distB="0" distL="0" distR="0" wp14:anchorId="7FD8F110" wp14:editId="40A4DDE3">
                            <wp:extent cx="457200" cy="457200"/>
                            <wp:effectExtent l="0" t="0" r="0" b="0"/>
                            <wp:docPr id="211" name="Picture 211">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7BD31DF" w14:textId="77777777" w:rsidR="00C6444C" w:rsidRDefault="00C6444C" w:rsidP="00636F46">
                      <w:pPr>
                        <w:pStyle w:val="Calloutboxes"/>
                      </w:pPr>
                      <w:r>
                        <w:t>YMPO</w:t>
                      </w:r>
                    </w:p>
                    <w:p w14:paraId="402F0DA8" w14:textId="77777777" w:rsidR="00C6444C" w:rsidRDefault="00C6444C" w:rsidP="00636F46">
                      <w:pPr>
                        <w:pStyle w:val="Calloutboxes"/>
                      </w:pPr>
                      <w:r>
                        <w:t>502 S. Orange Ave.</w:t>
                      </w:r>
                    </w:p>
                    <w:p w14:paraId="682BB11B" w14:textId="77777777" w:rsidR="00C6444C" w:rsidRDefault="00C6444C" w:rsidP="00636F46">
                      <w:pPr>
                        <w:pStyle w:val="Calloutboxes"/>
                      </w:pPr>
                      <w:r>
                        <w:t>Yuma, AZ 85364</w:t>
                      </w:r>
                    </w:p>
                    <w:p w14:paraId="6F365928" w14:textId="77777777" w:rsidR="00C6444C" w:rsidRDefault="00C6444C" w:rsidP="00636F46">
                      <w:pPr>
                        <w:pStyle w:val="Calloutboxes"/>
                      </w:pPr>
                      <w:r>
                        <w:t>#: 928-783-8911</w:t>
                      </w:r>
                    </w:p>
                    <w:p w14:paraId="13075982" w14:textId="77777777" w:rsidR="00C6444C" w:rsidRPr="00101FFC" w:rsidRDefault="00576D31" w:rsidP="00636F46">
                      <w:pPr>
                        <w:pStyle w:val="Title"/>
                        <w:rPr>
                          <w:sz w:val="16"/>
                          <w:szCs w:val="16"/>
                        </w:rPr>
                      </w:pPr>
                      <w:hyperlink r:id="rId111" w:history="1">
                        <w:r w:rsidR="00C6444C" w:rsidRPr="00101FFC">
                          <w:rPr>
                            <w:rStyle w:val="Hyperlink"/>
                            <w:rFonts w:ascii="Calibri" w:hAnsi="Calibri" w:cstheme="majorBidi"/>
                            <w:i/>
                            <w:iCs w:val="0"/>
                            <w:color w:val="CE5B18"/>
                            <w:u w:val="none"/>
                          </w:rPr>
                          <w:t>https://ympo.org/</w:t>
                        </w:r>
                      </w:hyperlink>
                    </w:p>
                  </w:txbxContent>
                </v:textbox>
              </v:shape>
            </w:pict>
          </mc:Fallback>
        </mc:AlternateContent>
      </w:r>
      <w:r w:rsidR="00AB73E9">
        <w:rPr>
          <w:noProof/>
        </w:rPr>
        <w:drawing>
          <wp:anchor distT="0" distB="0" distL="114300" distR="114300" simplePos="0" relativeHeight="251618565" behindDoc="0" locked="0" layoutInCell="1" allowOverlap="1" wp14:anchorId="3639772F" wp14:editId="26874D71">
            <wp:simplePos x="0" y="0"/>
            <wp:positionH relativeFrom="column">
              <wp:posOffset>5156554</wp:posOffset>
            </wp:positionH>
            <wp:positionV relativeFrom="paragraph">
              <wp:posOffset>331470</wp:posOffset>
            </wp:positionV>
            <wp:extent cx="1243330" cy="1462405"/>
            <wp:effectExtent l="0" t="0" r="0" b="4445"/>
            <wp:wrapNone/>
            <wp:docPr id="816286169" name="Picture 81628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44" name="1_Map-YMPO REDUCED.jpg"/>
                    <pic:cNvPicPr/>
                  </pic:nvPicPr>
                  <pic:blipFill>
                    <a:blip r:embed="rId112" cstate="hqprint">
                      <a:extLst>
                        <a:ext uri="{28A0092B-C50C-407E-A947-70E740481C1C}">
                          <a14:useLocalDpi xmlns:a14="http://schemas.microsoft.com/office/drawing/2010/main" val="0"/>
                        </a:ext>
                      </a:extLst>
                    </a:blip>
                    <a:stretch>
                      <a:fillRect/>
                    </a:stretch>
                  </pic:blipFill>
                  <pic:spPr>
                    <a:xfrm>
                      <a:off x="0" y="0"/>
                      <a:ext cx="1243330" cy="1462405"/>
                    </a:xfrm>
                    <a:prstGeom prst="rect">
                      <a:avLst/>
                    </a:prstGeom>
                  </pic:spPr>
                </pic:pic>
              </a:graphicData>
            </a:graphic>
            <wp14:sizeRelH relativeFrom="page">
              <wp14:pctWidth>0</wp14:pctWidth>
            </wp14:sizeRelH>
            <wp14:sizeRelV relativeFrom="page">
              <wp14:pctHeight>0</wp14:pctHeight>
            </wp14:sizeRelV>
          </wp:anchor>
        </w:drawing>
      </w:r>
      <w:r w:rsidR="00636F46" w:rsidRPr="004D0795">
        <w:t>Table 1-11 | YMPO Statistics</w:t>
      </w:r>
    </w:p>
    <w:tbl>
      <w:tblPr>
        <w:tblW w:w="0" w:type="auto"/>
        <w:tblInd w:w="-10" w:type="dxa"/>
        <w:tblLayout w:type="fixed"/>
        <w:tblCellMar>
          <w:left w:w="0" w:type="dxa"/>
          <w:right w:w="0" w:type="dxa"/>
        </w:tblCellMar>
        <w:tblLook w:val="0000" w:firstRow="0" w:lastRow="0" w:firstColumn="0" w:lastColumn="0" w:noHBand="0" w:noVBand="0"/>
      </w:tblPr>
      <w:tblGrid>
        <w:gridCol w:w="3510"/>
        <w:gridCol w:w="4410"/>
      </w:tblGrid>
      <w:tr w:rsidR="00636F46" w:rsidRPr="004D0795" w14:paraId="4A8F94FC" w14:textId="77777777" w:rsidTr="00020D20">
        <w:trPr>
          <w:trHeight w:val="247"/>
        </w:trPr>
        <w:tc>
          <w:tcPr>
            <w:tcW w:w="792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6D32A277" w14:textId="489F5CA8" w:rsidR="00636F46" w:rsidRPr="00101FFC" w:rsidRDefault="00636F46">
            <w:pPr>
              <w:spacing w:before="0" w:after="0" w:line="240" w:lineRule="auto"/>
              <w:jc w:val="center"/>
              <w:rPr>
                <w:sz w:val="22"/>
              </w:rPr>
            </w:pPr>
            <w:r w:rsidRPr="00101FFC">
              <w:rPr>
                <w:sz w:val="22"/>
              </w:rPr>
              <w:t>Yuma Metr</w:t>
            </w:r>
            <w:r w:rsidR="005070BF">
              <w:rPr>
                <w:sz w:val="22"/>
              </w:rPr>
              <w:t>opolitan Planning Organization –</w:t>
            </w:r>
            <w:r w:rsidRPr="00101FFC">
              <w:rPr>
                <w:sz w:val="22"/>
              </w:rPr>
              <w:t xml:space="preserve"> YMPO</w:t>
            </w:r>
          </w:p>
        </w:tc>
      </w:tr>
      <w:tr w:rsidR="00636F46" w:rsidRPr="004D0795" w14:paraId="28D99CFA" w14:textId="77777777" w:rsidTr="00020D20">
        <w:trPr>
          <w:trHeight w:val="184"/>
        </w:trPr>
        <w:tc>
          <w:tcPr>
            <w:tcW w:w="351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015354CD" w14:textId="77777777" w:rsidR="00636F46" w:rsidRPr="00101FFC" w:rsidRDefault="00636F46" w:rsidP="00020D20">
            <w:pPr>
              <w:spacing w:before="0" w:after="0" w:line="240" w:lineRule="auto"/>
              <w:jc w:val="both"/>
              <w:rPr>
                <w:color w:val="000000"/>
                <w:sz w:val="18"/>
              </w:rPr>
            </w:pPr>
            <w:r w:rsidRPr="00101FFC">
              <w:rPr>
                <w:sz w:val="18"/>
              </w:rPr>
              <w:t>Year Established</w:t>
            </w:r>
          </w:p>
        </w:tc>
        <w:tc>
          <w:tcPr>
            <w:tcW w:w="441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74E8FA5C" w14:textId="77777777" w:rsidR="00636F46" w:rsidRPr="00101FFC" w:rsidRDefault="00636F46" w:rsidP="00020D20">
            <w:pPr>
              <w:spacing w:before="0" w:after="0" w:line="240" w:lineRule="auto"/>
              <w:jc w:val="both"/>
              <w:rPr>
                <w:color w:val="000000"/>
                <w:sz w:val="18"/>
              </w:rPr>
            </w:pPr>
            <w:r w:rsidRPr="00101FFC">
              <w:rPr>
                <w:sz w:val="18"/>
                <w:u w:color="FF0000"/>
              </w:rPr>
              <w:t>1983</w:t>
            </w:r>
          </w:p>
        </w:tc>
      </w:tr>
      <w:tr w:rsidR="00636F46" w:rsidRPr="004D0795" w14:paraId="68E2066D"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F67E415" w14:textId="77777777" w:rsidR="00636F46" w:rsidRPr="00101FFC" w:rsidRDefault="00636F46" w:rsidP="00020D20">
            <w:pPr>
              <w:spacing w:before="0" w:after="0" w:line="240" w:lineRule="auto"/>
              <w:jc w:val="both"/>
              <w:rPr>
                <w:color w:val="000000"/>
                <w:sz w:val="18"/>
              </w:rPr>
            </w:pPr>
            <w:r w:rsidRPr="00101FFC">
              <w:rPr>
                <w:sz w:val="18"/>
              </w:rPr>
              <w:t>Hosted/Independent MPO</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FA5DB7D" w14:textId="77777777" w:rsidR="00636F46" w:rsidRPr="00101FFC" w:rsidRDefault="00636F46" w:rsidP="00020D20">
            <w:pPr>
              <w:spacing w:before="0" w:after="0" w:line="240" w:lineRule="auto"/>
              <w:jc w:val="both"/>
              <w:rPr>
                <w:color w:val="000000"/>
                <w:sz w:val="18"/>
              </w:rPr>
            </w:pPr>
            <w:r w:rsidRPr="00101FFC">
              <w:rPr>
                <w:sz w:val="18"/>
                <w:u w:color="FF0000"/>
              </w:rPr>
              <w:t>Independent</w:t>
            </w:r>
          </w:p>
        </w:tc>
      </w:tr>
      <w:tr w:rsidR="00636F46" w:rsidRPr="004D0795" w14:paraId="7EE6A8CD"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77AD23D" w14:textId="77777777" w:rsidR="00636F46" w:rsidRPr="00101FFC" w:rsidRDefault="00636F46" w:rsidP="00020D20">
            <w:pPr>
              <w:spacing w:before="0" w:after="0" w:line="240" w:lineRule="auto"/>
              <w:jc w:val="both"/>
              <w:rPr>
                <w:color w:val="000000"/>
                <w:sz w:val="18"/>
              </w:rPr>
            </w:pPr>
            <w:r w:rsidRPr="00101FFC">
              <w:rPr>
                <w:sz w:val="18"/>
                <w:u w:color="FF0000"/>
              </w:rPr>
              <w:t>Land Area (sq. mi.)</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DE03F3B" w14:textId="77777777" w:rsidR="00636F46" w:rsidRPr="00101FFC" w:rsidRDefault="00636F46" w:rsidP="00020D20">
            <w:pPr>
              <w:spacing w:before="0" w:after="0" w:line="240" w:lineRule="auto"/>
              <w:jc w:val="both"/>
              <w:rPr>
                <w:color w:val="000000"/>
                <w:sz w:val="18"/>
              </w:rPr>
            </w:pPr>
            <w:r w:rsidRPr="00101FFC">
              <w:rPr>
                <w:sz w:val="18"/>
                <w:u w:color="FF0000"/>
              </w:rPr>
              <w:t>5,519</w:t>
            </w:r>
          </w:p>
        </w:tc>
      </w:tr>
      <w:tr w:rsidR="00636F46" w:rsidRPr="004D0795" w14:paraId="79E4A899"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1E6AFAA" w14:textId="77777777" w:rsidR="00636F46" w:rsidRPr="00101FFC" w:rsidRDefault="00636F46" w:rsidP="00020D20">
            <w:pPr>
              <w:spacing w:before="0" w:after="0" w:line="240" w:lineRule="auto"/>
              <w:jc w:val="both"/>
              <w:rPr>
                <w:color w:val="000000"/>
                <w:sz w:val="18"/>
              </w:rPr>
            </w:pPr>
            <w:r w:rsidRPr="00101FFC">
              <w:rPr>
                <w:sz w:val="18"/>
              </w:rPr>
              <w:t>2018 Population</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9EDFBE1" w14:textId="3F6322DF" w:rsidR="00636F46" w:rsidRPr="00101FFC" w:rsidRDefault="00636F46" w:rsidP="00020D20">
            <w:pPr>
              <w:spacing w:before="0" w:after="0" w:line="240" w:lineRule="auto"/>
              <w:jc w:val="both"/>
              <w:rPr>
                <w:color w:val="000000"/>
                <w:sz w:val="18"/>
              </w:rPr>
            </w:pPr>
            <w:r w:rsidRPr="00101FFC">
              <w:rPr>
                <w:sz w:val="18"/>
                <w:u w:color="FF0000"/>
              </w:rPr>
              <w:t>21</w:t>
            </w:r>
            <w:r w:rsidR="00D639CA">
              <w:rPr>
                <w:sz w:val="18"/>
                <w:u w:color="FF0000"/>
              </w:rPr>
              <w:t>1,612</w:t>
            </w:r>
          </w:p>
        </w:tc>
      </w:tr>
      <w:tr w:rsidR="00636F46" w:rsidRPr="004D0795" w14:paraId="78B61D58"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424E8D2" w14:textId="77777777" w:rsidR="00636F46" w:rsidRPr="00101FFC" w:rsidRDefault="00636F46" w:rsidP="00020D20">
            <w:pPr>
              <w:spacing w:before="0" w:after="0" w:line="240" w:lineRule="auto"/>
              <w:jc w:val="both"/>
              <w:rPr>
                <w:color w:val="000000"/>
                <w:sz w:val="18"/>
              </w:rPr>
            </w:pPr>
            <w:r w:rsidRPr="00101FFC">
              <w:rPr>
                <w:sz w:val="18"/>
                <w:u w:color="FF0000"/>
              </w:rPr>
              <w:t>Counties</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704A837" w14:textId="77777777" w:rsidR="00636F46" w:rsidRPr="00101FFC" w:rsidRDefault="00636F46" w:rsidP="00020D20">
            <w:pPr>
              <w:spacing w:before="0" w:after="0" w:line="240" w:lineRule="auto"/>
              <w:jc w:val="both"/>
              <w:rPr>
                <w:color w:val="000000"/>
                <w:sz w:val="18"/>
              </w:rPr>
            </w:pPr>
            <w:r w:rsidRPr="00101FFC">
              <w:rPr>
                <w:sz w:val="18"/>
                <w:u w:color="FF0000"/>
              </w:rPr>
              <w:t>1 | Yuma</w:t>
            </w:r>
          </w:p>
        </w:tc>
      </w:tr>
      <w:tr w:rsidR="00636F46" w:rsidRPr="004D0795" w14:paraId="1FDA73F5"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D90B13A" w14:textId="77777777" w:rsidR="00636F46" w:rsidRPr="00101FFC" w:rsidRDefault="00636F46" w:rsidP="00020D20">
            <w:pPr>
              <w:spacing w:before="0" w:after="0" w:line="240" w:lineRule="auto"/>
              <w:jc w:val="both"/>
              <w:rPr>
                <w:color w:val="000000"/>
                <w:sz w:val="18"/>
              </w:rPr>
            </w:pPr>
            <w:r w:rsidRPr="00101FFC">
              <w:rPr>
                <w:sz w:val="18"/>
              </w:rPr>
              <w:t>Number of Municipalities</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2EBEC71" w14:textId="77777777" w:rsidR="00636F46" w:rsidRPr="00101FFC" w:rsidRDefault="00636F46" w:rsidP="00020D20">
            <w:pPr>
              <w:spacing w:before="0" w:after="0" w:line="240" w:lineRule="auto"/>
              <w:jc w:val="both"/>
              <w:rPr>
                <w:color w:val="000000"/>
                <w:sz w:val="18"/>
              </w:rPr>
            </w:pPr>
            <w:r w:rsidRPr="00101FFC">
              <w:rPr>
                <w:sz w:val="18"/>
                <w:u w:color="FF0000"/>
              </w:rPr>
              <w:t xml:space="preserve">4 </w:t>
            </w:r>
          </w:p>
        </w:tc>
      </w:tr>
      <w:tr w:rsidR="00636F46" w:rsidRPr="004D0795" w14:paraId="7BD1263A"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A9F4DBB" w14:textId="77777777" w:rsidR="00636F46" w:rsidRPr="00101FFC" w:rsidRDefault="00636F46" w:rsidP="00020D20">
            <w:pPr>
              <w:spacing w:before="0" w:after="0" w:line="240" w:lineRule="auto"/>
              <w:jc w:val="both"/>
              <w:rPr>
                <w:color w:val="000000"/>
                <w:sz w:val="18"/>
              </w:rPr>
            </w:pPr>
            <w:r w:rsidRPr="00101FFC">
              <w:rPr>
                <w:sz w:val="18"/>
                <w:u w:color="FF0000"/>
              </w:rPr>
              <w:t>Tribal Partner Agencies</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C75BC99" w14:textId="77777777" w:rsidR="00636F46" w:rsidRPr="00101FFC" w:rsidRDefault="00636F46" w:rsidP="00020D20">
            <w:pPr>
              <w:spacing w:before="0" w:after="0" w:line="240" w:lineRule="auto"/>
              <w:jc w:val="both"/>
              <w:rPr>
                <w:color w:val="000000"/>
                <w:sz w:val="18"/>
              </w:rPr>
            </w:pPr>
            <w:r w:rsidRPr="00101FFC">
              <w:rPr>
                <w:sz w:val="18"/>
                <w:u w:color="FF0000"/>
              </w:rPr>
              <w:t>2 | Cocopah Indian Tribe, Quechan Tribe of the Fort Yuma Indian Reservation</w:t>
            </w:r>
          </w:p>
        </w:tc>
      </w:tr>
      <w:tr w:rsidR="00636F46" w:rsidRPr="004D0795" w14:paraId="42D55342"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1B46799" w14:textId="77777777" w:rsidR="00636F46" w:rsidRPr="00101FFC" w:rsidRDefault="00636F46" w:rsidP="00020D20">
            <w:pPr>
              <w:spacing w:before="0" w:after="0" w:line="240" w:lineRule="auto"/>
              <w:jc w:val="both"/>
              <w:rPr>
                <w:color w:val="000000"/>
                <w:sz w:val="18"/>
              </w:rPr>
            </w:pPr>
            <w:r w:rsidRPr="00101FFC">
              <w:rPr>
                <w:sz w:val="18"/>
                <w:u w:color="FF0000"/>
              </w:rPr>
              <w:t>Primary Travel Corridors</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0F71B0C" w14:textId="77777777" w:rsidR="00636F46" w:rsidRPr="00101FFC" w:rsidRDefault="00636F46" w:rsidP="00020D20">
            <w:pPr>
              <w:spacing w:before="0" w:after="0" w:line="240" w:lineRule="auto"/>
              <w:jc w:val="both"/>
              <w:rPr>
                <w:color w:val="000000"/>
                <w:sz w:val="18"/>
              </w:rPr>
            </w:pPr>
            <w:r w:rsidRPr="00101FFC">
              <w:rPr>
                <w:sz w:val="18"/>
                <w:u w:color="FF0000"/>
              </w:rPr>
              <w:t>3 | Interstate: I-8. US Highway: US 95. State Route: SR 195</w:t>
            </w:r>
          </w:p>
        </w:tc>
      </w:tr>
      <w:tr w:rsidR="00636F46" w:rsidRPr="004D0795" w14:paraId="0EE771BF"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CE7D1CA" w14:textId="77777777" w:rsidR="00636F46" w:rsidRPr="00101FFC" w:rsidRDefault="00636F46" w:rsidP="00020D20">
            <w:pPr>
              <w:spacing w:before="0" w:after="0" w:line="240" w:lineRule="auto"/>
              <w:jc w:val="both"/>
              <w:rPr>
                <w:color w:val="000000"/>
                <w:sz w:val="18"/>
              </w:rPr>
            </w:pPr>
            <w:r w:rsidRPr="00101FFC">
              <w:rPr>
                <w:sz w:val="18"/>
                <w:u w:color="FF0000"/>
              </w:rPr>
              <w:t>Transit</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467D873" w14:textId="77777777" w:rsidR="00636F46" w:rsidRPr="00101FFC" w:rsidRDefault="00636F46" w:rsidP="00020D20">
            <w:pPr>
              <w:spacing w:before="0" w:after="0" w:line="240" w:lineRule="auto"/>
              <w:jc w:val="both"/>
              <w:rPr>
                <w:color w:val="000000"/>
                <w:sz w:val="18"/>
              </w:rPr>
            </w:pPr>
            <w:r w:rsidRPr="00101FFC">
              <w:rPr>
                <w:sz w:val="18"/>
                <w:u w:color="FF0000"/>
              </w:rPr>
              <w:t>Yes</w:t>
            </w:r>
          </w:p>
        </w:tc>
      </w:tr>
      <w:tr w:rsidR="00636F46" w:rsidRPr="004D0795" w14:paraId="5DABE441"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003682E" w14:textId="77777777" w:rsidR="00636F46" w:rsidRPr="00101FFC" w:rsidRDefault="00636F46" w:rsidP="00020D20">
            <w:pPr>
              <w:spacing w:before="0" w:after="0" w:line="240" w:lineRule="auto"/>
              <w:jc w:val="both"/>
              <w:rPr>
                <w:color w:val="000000"/>
                <w:sz w:val="18"/>
              </w:rPr>
            </w:pPr>
            <w:r w:rsidRPr="00101FFC">
              <w:rPr>
                <w:sz w:val="18"/>
                <w:u w:color="FF0000"/>
              </w:rPr>
              <w:t>Airport</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DC08499" w14:textId="77777777" w:rsidR="00636F46" w:rsidRPr="00101FFC" w:rsidRDefault="00636F46" w:rsidP="00020D20">
            <w:pPr>
              <w:spacing w:before="0" w:after="0" w:line="240" w:lineRule="auto"/>
              <w:jc w:val="both"/>
              <w:rPr>
                <w:color w:val="000000"/>
                <w:sz w:val="18"/>
              </w:rPr>
            </w:pPr>
            <w:r w:rsidRPr="00101FFC">
              <w:rPr>
                <w:sz w:val="18"/>
                <w:u w:color="FF0000"/>
              </w:rPr>
              <w:t>Yes</w:t>
            </w:r>
          </w:p>
        </w:tc>
      </w:tr>
      <w:tr w:rsidR="00636F46" w:rsidRPr="004D0795" w14:paraId="646F0337" w14:textId="77777777" w:rsidTr="00636F46">
        <w:trPr>
          <w:trHeight w:val="184"/>
        </w:trPr>
        <w:tc>
          <w:tcPr>
            <w:tcW w:w="35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660896D" w14:textId="77777777" w:rsidR="00636F46" w:rsidRPr="00101FFC" w:rsidRDefault="00636F46">
            <w:pPr>
              <w:spacing w:before="0" w:after="0" w:line="240" w:lineRule="auto"/>
              <w:rPr>
                <w:color w:val="000000"/>
                <w:sz w:val="18"/>
              </w:rPr>
            </w:pPr>
            <w:r w:rsidRPr="00101FFC">
              <w:rPr>
                <w:sz w:val="18"/>
                <w:u w:color="FF0000"/>
              </w:rPr>
              <w:t>Air Quality Nonattainment of Maintenance</w:t>
            </w:r>
          </w:p>
        </w:tc>
        <w:tc>
          <w:tcPr>
            <w:tcW w:w="441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084DF15" w14:textId="77777777" w:rsidR="00636F46" w:rsidRPr="00101FFC" w:rsidRDefault="00636F46" w:rsidP="00020D20">
            <w:pPr>
              <w:spacing w:before="0" w:after="0" w:line="240" w:lineRule="auto"/>
              <w:jc w:val="both"/>
              <w:rPr>
                <w:sz w:val="18"/>
              </w:rPr>
            </w:pPr>
            <w:r w:rsidRPr="00101FFC">
              <w:rPr>
                <w:sz w:val="18"/>
              </w:rPr>
              <w:t xml:space="preserve">Ozone (8 hr), </w:t>
            </w:r>
            <w:hyperlink r:id="rId113" w:history="1">
              <w:r w:rsidRPr="00101FFC">
                <w:rPr>
                  <w:rStyle w:val="Hyperlink"/>
                  <w:rFonts w:asciiTheme="minorHAnsi" w:hAnsiTheme="minorHAnsi" w:cstheme="majorBidi"/>
                  <w:i w:val="0"/>
                  <w:color w:val="auto"/>
                  <w:sz w:val="18"/>
                  <w:szCs w:val="20"/>
                  <w:u w:val="none"/>
                </w:rPr>
                <w:t>PM10</w:t>
              </w:r>
            </w:hyperlink>
          </w:p>
        </w:tc>
      </w:tr>
    </w:tbl>
    <w:bookmarkStart w:id="35" w:name="_Ref50019227"/>
    <w:p w14:paraId="11DB45FA" w14:textId="4251AFE7" w:rsidR="00636F46" w:rsidRDefault="00636F46" w:rsidP="00020D20">
      <w:pPr>
        <w:pStyle w:val="Heading2"/>
        <w:rPr>
          <w:b w:val="0"/>
        </w:rPr>
        <w:sectPr w:rsidR="00636F46" w:rsidSect="00020D20">
          <w:pgSz w:w="12240" w:h="15840"/>
          <w:pgMar w:top="1080" w:right="1080" w:bottom="1080" w:left="1080" w:header="1152" w:footer="720" w:gutter="0"/>
          <w:pgNumType w:chapStyle="1"/>
          <w:cols w:space="1152"/>
          <w:docGrid w:linePitch="360"/>
        </w:sectPr>
      </w:pPr>
      <w:r>
        <w:rPr>
          <w:rFonts w:cstheme="minorHAnsi"/>
          <w:noProof/>
        </w:rPr>
        <mc:AlternateContent>
          <mc:Choice Requires="wps">
            <w:drawing>
              <wp:anchor distT="0" distB="0" distL="114300" distR="114300" simplePos="0" relativeHeight="251618590" behindDoc="1" locked="0" layoutInCell="1" allowOverlap="1" wp14:anchorId="2BC881E0" wp14:editId="2FB2AEBE">
                <wp:simplePos x="0" y="0"/>
                <wp:positionH relativeFrom="column">
                  <wp:posOffset>5167630</wp:posOffset>
                </wp:positionH>
                <wp:positionV relativeFrom="paragraph">
                  <wp:posOffset>137422</wp:posOffset>
                </wp:positionV>
                <wp:extent cx="1263650" cy="1259205"/>
                <wp:effectExtent l="76200" t="76200" r="69850" b="74295"/>
                <wp:wrapTight wrapText="bothSides">
                  <wp:wrapPolygon edited="0">
                    <wp:start x="-977" y="-1307"/>
                    <wp:lineTo x="-1303" y="-980"/>
                    <wp:lineTo x="-1303" y="22548"/>
                    <wp:lineTo x="22468" y="22548"/>
                    <wp:lineTo x="22468" y="4248"/>
                    <wp:lineTo x="22143" y="-654"/>
                    <wp:lineTo x="22143" y="-1307"/>
                    <wp:lineTo x="-977" y="-1307"/>
                  </wp:wrapPolygon>
                </wp:wrapTight>
                <wp:docPr id="210" name="Text Box 210"/>
                <wp:cNvGraphicFramePr/>
                <a:graphic xmlns:a="http://schemas.openxmlformats.org/drawingml/2006/main">
                  <a:graphicData uri="http://schemas.microsoft.com/office/word/2010/wordprocessingShape">
                    <wps:wsp>
                      <wps:cNvSpPr txBox="1"/>
                      <wps:spPr>
                        <a:xfrm>
                          <a:off x="0" y="0"/>
                          <a:ext cx="1263650" cy="12592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FE116AC" w14:textId="77777777" w:rsidR="00C6444C" w:rsidRDefault="00C6444C" w:rsidP="00636F46">
                            <w:pPr>
                              <w:jc w:val="center"/>
                            </w:pPr>
                            <w:r>
                              <w:rPr>
                                <w:noProof/>
                              </w:rPr>
                              <w:drawing>
                                <wp:inline distT="0" distB="0" distL="0" distR="0" wp14:anchorId="3D64631C" wp14:editId="4F3B0376">
                                  <wp:extent cx="457200" cy="457200"/>
                                  <wp:effectExtent l="0" t="0" r="0" b="0"/>
                                  <wp:docPr id="1690912480" name="Picture 169091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92F89B8" w14:textId="77777777" w:rsidR="00C6444C" w:rsidRPr="00885508" w:rsidRDefault="00C6444C" w:rsidP="00636F46">
                            <w:pPr>
                              <w:pStyle w:val="Calloutboxes"/>
                            </w:pPr>
                            <w:r>
                              <w:t>Funding for COG programs and projects are described in chapter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C881E0" id="Text Box 210" o:spid="_x0000_s1055" type="#_x0000_t202" style="position:absolute;left:0;text-align:left;margin-left:406.9pt;margin-top:10.8pt;width:99.5pt;height:99.15pt;z-index:-251697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" fillcolor="#f7f7f7" stroked="f" strokeweight=".5pt">
                <v:shadow on="t" type="perspective" color="black" opacity="26214f" offset="0,0" matrix="66847f,,,66847f"/>
                <v:textbox>
                  <w:txbxContent>
                    <w:p w14:paraId="0FE116AC" w14:textId="77777777" w:rsidR="00C6444C" w:rsidRDefault="00C6444C" w:rsidP="00636F46">
                      <w:pPr>
                        <w:jc w:val="center"/>
                      </w:pPr>
                      <w:r>
                        <w:rPr>
                          <w:noProof/>
                        </w:rPr>
                        <w:drawing>
                          <wp:inline distT="0" distB="0" distL="0" distR="0" wp14:anchorId="3D64631C" wp14:editId="4F3B0376">
                            <wp:extent cx="457200" cy="457200"/>
                            <wp:effectExtent l="0" t="0" r="0" b="0"/>
                            <wp:docPr id="1690912480" name="Picture 169091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92F89B8" w14:textId="77777777" w:rsidR="00C6444C" w:rsidRPr="00885508" w:rsidRDefault="00C6444C" w:rsidP="00636F46">
                      <w:pPr>
                        <w:pStyle w:val="Calloutboxes"/>
                      </w:pPr>
                      <w:r>
                        <w:t>Funding for COG programs and projects are described in chapter 10.</w:t>
                      </w:r>
                    </w:p>
                  </w:txbxContent>
                </v:textbox>
                <w10:wrap type="tight"/>
              </v:shape>
            </w:pict>
          </mc:Fallback>
        </mc:AlternateContent>
      </w:r>
      <w:r>
        <w:rPr>
          <w:noProof/>
        </w:rPr>
        <mc:AlternateContent>
          <mc:Choice Requires="wpg">
            <w:drawing>
              <wp:anchor distT="0" distB="0" distL="114300" distR="114300" simplePos="0" relativeHeight="251618597" behindDoc="0" locked="0" layoutInCell="1" allowOverlap="1" wp14:anchorId="02145EF9" wp14:editId="74E67C89">
                <wp:simplePos x="0" y="0"/>
                <wp:positionH relativeFrom="column">
                  <wp:posOffset>-2540</wp:posOffset>
                </wp:positionH>
                <wp:positionV relativeFrom="paragraph">
                  <wp:posOffset>422910</wp:posOffset>
                </wp:positionV>
                <wp:extent cx="2771775" cy="1819275"/>
                <wp:effectExtent l="95250" t="95250" r="104775" b="104775"/>
                <wp:wrapSquare wrapText="bothSides"/>
                <wp:docPr id="214" name="Group 214"/>
                <wp:cNvGraphicFramePr/>
                <a:graphic xmlns:a="http://schemas.openxmlformats.org/drawingml/2006/main">
                  <a:graphicData uri="http://schemas.microsoft.com/office/word/2010/wordprocessingGroup">
                    <wpg:wgp>
                      <wpg:cNvGrpSpPr/>
                      <wpg:grpSpPr>
                        <a:xfrm>
                          <a:off x="0" y="0"/>
                          <a:ext cx="2771775" cy="1819275"/>
                          <a:chOff x="0" y="0"/>
                          <a:chExt cx="2771775" cy="1683301"/>
                        </a:xfrm>
                      </wpg:grpSpPr>
                      <wps:wsp>
                        <wps:cNvPr id="217" name="Text Box 217"/>
                        <wps:cNvSpPr txBox="1"/>
                        <wps:spPr>
                          <a:xfrm>
                            <a:off x="0" y="0"/>
                            <a:ext cx="2771775" cy="1683301"/>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2FF183E0" w14:textId="77777777" w:rsidTr="00636F46">
                                <w:trPr>
                                  <w:trHeight w:val="358"/>
                                </w:trPr>
                                <w:tc>
                                  <w:tcPr>
                                    <w:tcW w:w="3394" w:type="dxa"/>
                                    <w:shd w:val="clear" w:color="auto" w:fill="auto"/>
                                  </w:tcPr>
                                  <w:p w14:paraId="26009AFD" w14:textId="77777777" w:rsidR="00C6444C" w:rsidRPr="00101FFC" w:rsidRDefault="00C6444C">
                                    <w:pPr>
                                      <w:pStyle w:val="Calloutboxes"/>
                                      <w:rPr>
                                        <w:color w:val="012768"/>
                                      </w:rPr>
                                    </w:pPr>
                                  </w:p>
                                </w:tc>
                                <w:tc>
                                  <w:tcPr>
                                    <w:tcW w:w="1106" w:type="dxa"/>
                                    <w:shd w:val="clear" w:color="auto" w:fill="auto"/>
                                  </w:tcPr>
                                  <w:p w14:paraId="00469C94" w14:textId="77777777" w:rsidR="00C6444C" w:rsidRPr="00101FFC" w:rsidRDefault="00C6444C" w:rsidP="00D30138">
                                    <w:pPr>
                                      <w:pStyle w:val="Calloutboxes"/>
                                      <w:jc w:val="left"/>
                                      <w:rPr>
                                        <w:color w:val="FFFFFF" w:themeColor="background1"/>
                                        <w:sz w:val="24"/>
                                        <w:szCs w:val="24"/>
                                      </w:rPr>
                                    </w:pPr>
                                  </w:p>
                                </w:tc>
                              </w:tr>
                              <w:tr w:rsidR="00C6444C" w14:paraId="0EA3929C" w14:textId="77777777" w:rsidTr="00636F46">
                                <w:trPr>
                                  <w:trHeight w:val="2521"/>
                                </w:trPr>
                                <w:tc>
                                  <w:tcPr>
                                    <w:tcW w:w="4500" w:type="dxa"/>
                                    <w:gridSpan w:val="2"/>
                                    <w:vAlign w:val="center"/>
                                  </w:tcPr>
                                  <w:p w14:paraId="5F5D055C" w14:textId="26E79D8E" w:rsidR="00C6444C" w:rsidRPr="001847F0" w:rsidRDefault="00C6444C" w:rsidP="00636F46">
                                    <w:pPr>
                                      <w:pStyle w:val="Calloutboxes"/>
                                    </w:pPr>
                                    <w:r>
                                      <w:t>A COG is a regional body with voluntary membership that provides a forum for regional transportation planning, collaboration, and decision making in regions comprising several counties with a total contiguously urbanized population of less than 50,000. COGs work with ADOT and other partners to facilitate cross-agency regional transportation discussions and develop transportation plans and programs for their regions as outlined in the GRT and the Work Program (WP). Arizona has four COGs. The COGs are the primary communications channel between ADOT and the rural local governments.</w:t>
                                    </w:r>
                                  </w:p>
                                </w:tc>
                              </w:tr>
                            </w:tbl>
                            <w:p w14:paraId="343C2BA3" w14:textId="77777777" w:rsidR="00C6444C" w:rsidRPr="00347D6E" w:rsidRDefault="00C6444C" w:rsidP="00636F46">
                              <w:pPr>
                                <w:pStyle w:val="Calloutboxes"/>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20" name="Group 220"/>
                        <wpg:cNvGrpSpPr/>
                        <wpg:grpSpPr>
                          <a:xfrm>
                            <a:off x="0" y="0"/>
                            <a:ext cx="2771775" cy="361315"/>
                            <a:chOff x="11875" y="29688"/>
                            <a:chExt cx="2772410" cy="456764"/>
                          </a:xfrm>
                        </wpg:grpSpPr>
                        <wps:wsp>
                          <wps:cNvPr id="1690911552" name="Rectangle 1690911552"/>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1553" name="Text Box 1690911553"/>
                          <wps:cNvSpPr txBox="1"/>
                          <wps:spPr>
                            <a:xfrm>
                              <a:off x="65323" y="29688"/>
                              <a:ext cx="2714509" cy="426646"/>
                            </a:xfrm>
                            <a:prstGeom prst="rect">
                              <a:avLst/>
                            </a:prstGeom>
                            <a:noFill/>
                            <a:ln w="6350">
                              <a:noFill/>
                            </a:ln>
                            <a:effectLst/>
                          </wps:spPr>
                          <wps:txbx>
                            <w:txbxContent>
                              <w:p w14:paraId="0126BB09" w14:textId="77777777" w:rsidR="00C6444C" w:rsidRPr="00101FFC" w:rsidRDefault="00C6444C" w:rsidP="00636F46">
                                <w:pPr>
                                  <w:jc w:val="center"/>
                                  <w:rPr>
                                    <w:color w:val="FFFFFF" w:themeColor="background1"/>
                                    <w:sz w:val="24"/>
                                  </w:rPr>
                                </w:pPr>
                                <w:r w:rsidRPr="00101FFC">
                                  <w:rPr>
                                    <w:color w:val="FFFFFF" w:themeColor="background1"/>
                                    <w:sz w:val="24"/>
                                  </w:rPr>
                                  <w:t>COG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2145EF9" id="Group 214" o:spid="_x0000_s1056" style="position:absolute;left:0;text-align:left;margin-left:-.2pt;margin-top:33.3pt;width:218.25pt;height:143.25pt;z-index:251618597;mso-height-relative:margin" coordsize="27717,16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">
                <v:shape id="Text Box 217" o:spid="_x0000_s1057" type="#_x0000_t202" style="position:absolute;width:27717;height:16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2FF183E0" w14:textId="77777777" w:rsidTr="00636F46">
                          <w:trPr>
                            <w:trHeight w:val="358"/>
                          </w:trPr>
                          <w:tc>
                            <w:tcPr>
                              <w:tcW w:w="3394" w:type="dxa"/>
                              <w:shd w:val="clear" w:color="auto" w:fill="auto"/>
                            </w:tcPr>
                            <w:p w14:paraId="26009AFD" w14:textId="77777777" w:rsidR="00C6444C" w:rsidRPr="00101FFC" w:rsidRDefault="00C6444C">
                              <w:pPr>
                                <w:pStyle w:val="Calloutboxes"/>
                                <w:rPr>
                                  <w:color w:val="012768"/>
                                </w:rPr>
                              </w:pPr>
                            </w:p>
                          </w:tc>
                          <w:tc>
                            <w:tcPr>
                              <w:tcW w:w="1106" w:type="dxa"/>
                              <w:shd w:val="clear" w:color="auto" w:fill="auto"/>
                            </w:tcPr>
                            <w:p w14:paraId="00469C94" w14:textId="77777777" w:rsidR="00C6444C" w:rsidRPr="00101FFC" w:rsidRDefault="00C6444C" w:rsidP="00D30138">
                              <w:pPr>
                                <w:pStyle w:val="Calloutboxes"/>
                                <w:jc w:val="left"/>
                                <w:rPr>
                                  <w:color w:val="FFFFFF" w:themeColor="background1"/>
                                  <w:sz w:val="24"/>
                                  <w:szCs w:val="24"/>
                                </w:rPr>
                              </w:pPr>
                            </w:p>
                          </w:tc>
                        </w:tr>
                        <w:tr w:rsidR="00C6444C" w14:paraId="0EA3929C" w14:textId="77777777" w:rsidTr="00636F46">
                          <w:trPr>
                            <w:trHeight w:val="2521"/>
                          </w:trPr>
                          <w:tc>
                            <w:tcPr>
                              <w:tcW w:w="4500" w:type="dxa"/>
                              <w:gridSpan w:val="2"/>
                              <w:vAlign w:val="center"/>
                            </w:tcPr>
                            <w:p w14:paraId="5F5D055C" w14:textId="26E79D8E" w:rsidR="00C6444C" w:rsidRPr="001847F0" w:rsidRDefault="00C6444C" w:rsidP="00636F46">
                              <w:pPr>
                                <w:pStyle w:val="Calloutboxes"/>
                              </w:pPr>
                              <w:r>
                                <w:t>A COG is a regional body with voluntary membership that provides a forum for regional transportation planning, collaboration, and decision making in regions comprising several counties with a total contiguously urbanized population of less than 50,000. COGs work with ADOT and other partners to facilitate cross-agency regional transportation discussions and develop transportation plans and programs for their regions as outlined in the GRT and the Work Program (WP). Arizona has four COGs. The COGs are the primary communications channel between ADOT and the rural local governments.</w:t>
                              </w:r>
                            </w:p>
                          </w:tc>
                        </w:tr>
                      </w:tbl>
                      <w:p w14:paraId="343C2BA3" w14:textId="77777777" w:rsidR="00C6444C" w:rsidRPr="00347D6E" w:rsidRDefault="00C6444C" w:rsidP="00636F46">
                        <w:pPr>
                          <w:pStyle w:val="Calloutboxes"/>
                          <w:jc w:val="left"/>
                        </w:pPr>
                      </w:p>
                    </w:txbxContent>
                  </v:textbox>
                </v:shape>
                <v:group id="Group 220" o:spid="_x0000_s1058" style="position:absolute;width:27717;height:3613"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ect id="Rectangle 1690911552" o:spid="_x0000_s1059"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" fillcolor="#012768" strokecolor="#1f4d78 [1604]" strokeweight="1pt"/>
                  <v:shape id="Text Box 1690911553" o:spid="_x0000_s1060" type="#_x0000_t202" style="position:absolute;left:653;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" filled="f" stroked="f" strokeweight=".5pt">
                    <v:textbox>
                      <w:txbxContent>
                        <w:p w14:paraId="0126BB09" w14:textId="77777777" w:rsidR="00C6444C" w:rsidRPr="00101FFC" w:rsidRDefault="00C6444C" w:rsidP="00636F46">
                          <w:pPr>
                            <w:jc w:val="center"/>
                            <w:rPr>
                              <w:color w:val="FFFFFF" w:themeColor="background1"/>
                              <w:sz w:val="24"/>
                            </w:rPr>
                          </w:pPr>
                          <w:r w:rsidRPr="00101FFC">
                            <w:rPr>
                              <w:color w:val="FFFFFF" w:themeColor="background1"/>
                              <w:sz w:val="24"/>
                            </w:rPr>
                            <w:t>COG</w:t>
                          </w:r>
                        </w:p>
                      </w:txbxContent>
                    </v:textbox>
                  </v:shape>
                </v:group>
                <w10:wrap type="square"/>
              </v:group>
            </w:pict>
          </mc:Fallback>
        </mc:AlternateContent>
      </w:r>
      <w:r>
        <w:t>1</w:t>
      </w:r>
      <w:r w:rsidRPr="004D0795">
        <w:t>.</w:t>
      </w:r>
      <w:r w:rsidR="00B609E9">
        <w:t>7</w:t>
      </w:r>
      <w:r w:rsidRPr="004D0795">
        <w:t xml:space="preserve"> | COUNCILS OF GOVERNMENTS</w:t>
      </w:r>
      <w:bookmarkEnd w:id="35"/>
    </w:p>
    <w:p w14:paraId="24183800" w14:textId="28E5EE16" w:rsidR="00636F46" w:rsidRDefault="00636F46" w:rsidP="00020D20">
      <w:pPr>
        <w:pStyle w:val="Heading3"/>
        <w:jc w:val="both"/>
      </w:pPr>
      <w:bookmarkStart w:id="36" w:name="_Ref50019244"/>
      <w:r w:rsidRPr="004D0795">
        <w:t>1.</w:t>
      </w:r>
      <w:r w:rsidR="00B609E9">
        <w:t>7</w:t>
      </w:r>
      <w:r w:rsidRPr="004D0795">
        <w:t>.1 | Structure</w:t>
      </w:r>
      <w:bookmarkEnd w:id="36"/>
    </w:p>
    <w:p w14:paraId="502929F9" w14:textId="59B2FD7C" w:rsidR="00636F46" w:rsidRPr="004D0795" w:rsidRDefault="00636F46" w:rsidP="00020D20">
      <w:pPr>
        <w:jc w:val="both"/>
      </w:pPr>
      <w:r w:rsidRPr="004D0795">
        <w:t>Through Executive Order 70-2, planning boundaries were established by Governor Jack Williams in 1970 in response to federal planning requirements and to achieve uniformity in various planning areas.</w:t>
      </w:r>
      <w:r w:rsidRPr="002B0DA1">
        <w:rPr>
          <w:rFonts w:cstheme="minorHAnsi"/>
        </w:rPr>
        <w:t xml:space="preserve"> </w:t>
      </w:r>
      <w:r w:rsidRPr="004D0795">
        <w:t xml:space="preserve"> Arizona’s four COGs formed within these planning boundaries as voluntary associations. In rural areas of Arizona, the COGs perform transportation planning services and also provide direct service functions, such as operating the Area Agency on Aging, Head Start programs, and employment programs. </w:t>
      </w:r>
    </w:p>
    <w:p w14:paraId="563C045B" w14:textId="1A91320E" w:rsidR="00636F46" w:rsidRPr="004D0795" w:rsidRDefault="00636F46" w:rsidP="00020D20">
      <w:pPr>
        <w:pStyle w:val="Heading3"/>
        <w:jc w:val="both"/>
      </w:pPr>
      <w:bookmarkStart w:id="37" w:name="_Ref50019250"/>
      <w:r w:rsidRPr="004D0795">
        <w:t>1.</w:t>
      </w:r>
      <w:r w:rsidR="00B609E9">
        <w:t>7</w:t>
      </w:r>
      <w:r w:rsidRPr="004D0795">
        <w:t>.2 | Funding</w:t>
      </w:r>
      <w:bookmarkEnd w:id="37"/>
    </w:p>
    <w:p w14:paraId="577FFB29" w14:textId="588BC5B7" w:rsidR="00636F46" w:rsidRPr="004D0795" w:rsidRDefault="00636F46" w:rsidP="00020D20">
      <w:pPr>
        <w:jc w:val="both"/>
        <w:rPr>
          <w:b/>
        </w:rPr>
      </w:pPr>
      <w:r w:rsidRPr="004D0795">
        <w:t>Funding for COGs typically comes from federal, state, and local governments. ADOT</w:t>
      </w:r>
      <w:r w:rsidR="00E0678B">
        <w:t xml:space="preserve"> discretionary funds, including </w:t>
      </w:r>
      <w:r w:rsidRPr="004D0795">
        <w:t>SPR and</w:t>
      </w:r>
      <w:r w:rsidR="00E0678B">
        <w:t xml:space="preserve"> </w:t>
      </w:r>
      <w:r w:rsidR="00265722" w:rsidRPr="004D0795">
        <w:t>ST</w:t>
      </w:r>
      <w:r w:rsidR="00265722">
        <w:t xml:space="preserve">BG </w:t>
      </w:r>
      <w:r w:rsidRPr="004D0795">
        <w:t>funds are distributed to COGs and can be used for operating expenses and transportation projects based upon ADOT approval, and included in the WP.</w:t>
      </w:r>
      <w:r>
        <w:t xml:space="preserve"> </w:t>
      </w:r>
    </w:p>
    <w:p w14:paraId="63D34782" w14:textId="3FA7A42A" w:rsidR="00636F46" w:rsidRPr="004D0795" w:rsidRDefault="00636F46" w:rsidP="00020D20">
      <w:pPr>
        <w:pStyle w:val="Heading3"/>
        <w:jc w:val="both"/>
      </w:pPr>
      <w:bookmarkStart w:id="38" w:name="_Ref50019275"/>
      <w:r w:rsidRPr="004D0795">
        <w:t>1.</w:t>
      </w:r>
      <w:r w:rsidR="00B609E9">
        <w:t>7</w:t>
      </w:r>
      <w:r w:rsidRPr="004D0795">
        <w:t>.3 | Products</w:t>
      </w:r>
      <w:bookmarkEnd w:id="38"/>
    </w:p>
    <w:p w14:paraId="3B6B2A7B" w14:textId="77777777" w:rsidR="00636F46" w:rsidRPr="004D0795" w:rsidRDefault="00636F46" w:rsidP="00020D20">
      <w:pPr>
        <w:jc w:val="both"/>
      </w:pPr>
      <w:r w:rsidRPr="004D0795">
        <w:t xml:space="preserve">Each COG is responsible for producing and completing the following: </w:t>
      </w:r>
    </w:p>
    <w:p w14:paraId="19498BE0" w14:textId="77777777" w:rsidR="00636F46" w:rsidRPr="004D0795" w:rsidRDefault="00636F46" w:rsidP="00020D20">
      <w:pPr>
        <w:pStyle w:val="Body-Bullets"/>
        <w:jc w:val="both"/>
      </w:pPr>
      <w:r w:rsidRPr="004D0795">
        <w:t>Work Program (WP)</w:t>
      </w:r>
    </w:p>
    <w:p w14:paraId="3587C606" w14:textId="77777777" w:rsidR="00636F46" w:rsidRPr="004D0795" w:rsidRDefault="00636F46" w:rsidP="00020D20">
      <w:pPr>
        <w:pStyle w:val="Body-Bullets"/>
        <w:jc w:val="both"/>
      </w:pPr>
      <w:r w:rsidRPr="004D0795">
        <w:t>Transportation Improvement Program (TIP)</w:t>
      </w:r>
    </w:p>
    <w:p w14:paraId="34C4B01E" w14:textId="77777777" w:rsidR="00636F46" w:rsidRPr="004D0795" w:rsidRDefault="00636F46" w:rsidP="00020D20">
      <w:pPr>
        <w:pStyle w:val="Body-Bullets"/>
        <w:jc w:val="both"/>
      </w:pPr>
      <w:r w:rsidRPr="004D0795">
        <w:t>Public Participation Plan</w:t>
      </w:r>
    </w:p>
    <w:p w14:paraId="78A543DD" w14:textId="77777777" w:rsidR="00636F46" w:rsidRPr="004D0795" w:rsidRDefault="00636F46" w:rsidP="00020D20">
      <w:pPr>
        <w:pStyle w:val="Body-Bullets"/>
        <w:jc w:val="both"/>
      </w:pPr>
      <w:r w:rsidRPr="004D0795">
        <w:t>Title VI Plan</w:t>
      </w:r>
    </w:p>
    <w:p w14:paraId="772974BC" w14:textId="77777777" w:rsidR="00636F46" w:rsidRPr="004D0795" w:rsidRDefault="00636F46" w:rsidP="00020D20">
      <w:pPr>
        <w:pStyle w:val="Body-Bullets"/>
        <w:jc w:val="both"/>
      </w:pPr>
      <w:r w:rsidRPr="004D0795">
        <w:t>Regional Coordination Plan</w:t>
      </w:r>
    </w:p>
    <w:p w14:paraId="0C704F74" w14:textId="38FE0361" w:rsidR="00636F46" w:rsidRPr="004D0795" w:rsidRDefault="00636F46" w:rsidP="00020D20">
      <w:pPr>
        <w:pStyle w:val="Heading3"/>
        <w:jc w:val="both"/>
      </w:pPr>
      <w:bookmarkStart w:id="39" w:name="_Ref50019280"/>
      <w:r w:rsidRPr="004D0795">
        <w:t>1.</w:t>
      </w:r>
      <w:r w:rsidR="00B609E9">
        <w:t>7</w:t>
      </w:r>
      <w:r w:rsidRPr="004D0795">
        <w:t>.4 | COGs in Arizona</w:t>
      </w:r>
      <w:bookmarkEnd w:id="39"/>
    </w:p>
    <w:p w14:paraId="4BA4D20F" w14:textId="752EB396" w:rsidR="00636F46" w:rsidRDefault="00636F46" w:rsidP="00020D20">
      <w:pPr>
        <w:jc w:val="both"/>
      </w:pPr>
      <w:r w:rsidRPr="004D0795">
        <w:t>Outside of MPO and TMA boundaries, COGs serve rural sections of the state. There are four COGs in Arizona</w:t>
      </w:r>
      <w:r w:rsidR="00C11E83">
        <w:t xml:space="preserve"> outside of the TMAs and MPOs</w:t>
      </w:r>
      <w:r w:rsidRPr="004D0795">
        <w:t xml:space="preserve"> including </w:t>
      </w:r>
      <w:r w:rsidRPr="00101FFC">
        <w:rPr>
          <w:b/>
        </w:rPr>
        <w:t>Central Arizona Governments</w:t>
      </w:r>
      <w:r w:rsidRPr="004D0795">
        <w:t xml:space="preserve"> (CAG), </w:t>
      </w:r>
      <w:r w:rsidRPr="00101FFC">
        <w:rPr>
          <w:b/>
        </w:rPr>
        <w:t>Northern Arizona Council of Governments</w:t>
      </w:r>
      <w:r w:rsidRPr="004D0795">
        <w:t xml:space="preserve"> (NACOG), </w:t>
      </w:r>
      <w:r w:rsidRPr="00101FFC">
        <w:rPr>
          <w:b/>
        </w:rPr>
        <w:t>South Eastern Arizona Governments Organization</w:t>
      </w:r>
      <w:r w:rsidRPr="004D0795">
        <w:t xml:space="preserve"> (SEAGO), and </w:t>
      </w:r>
      <w:r w:rsidRPr="00101FFC">
        <w:rPr>
          <w:b/>
        </w:rPr>
        <w:t>Western Arizona Council of Governments</w:t>
      </w:r>
      <w:r w:rsidRPr="004D0795">
        <w:t xml:space="preserve"> (WACOG).</w:t>
      </w:r>
    </w:p>
    <w:p w14:paraId="0D1B56C7" w14:textId="77777777" w:rsidR="00636F46" w:rsidRDefault="00636F46" w:rsidP="00020D20">
      <w:pPr>
        <w:jc w:val="both"/>
      </w:pPr>
    </w:p>
    <w:p w14:paraId="6CDCD526" w14:textId="77777777" w:rsidR="00636F46" w:rsidRDefault="00636F46" w:rsidP="00020D20">
      <w:pPr>
        <w:jc w:val="both"/>
        <w:sectPr w:rsidR="00636F46" w:rsidSect="000C5731">
          <w:type w:val="continuous"/>
          <w:pgSz w:w="12240" w:h="15840"/>
          <w:pgMar w:top="1080" w:right="1080" w:bottom="1080" w:left="1080" w:header="1152" w:footer="720" w:gutter="0"/>
          <w:cols w:num="2" w:space="1152"/>
          <w:docGrid w:linePitch="360"/>
        </w:sectPr>
      </w:pPr>
    </w:p>
    <w:p w14:paraId="6EEA103B" w14:textId="77777777" w:rsidR="00636F46" w:rsidRDefault="00636F46" w:rsidP="00020D20">
      <w:pPr>
        <w:pStyle w:val="Heading1"/>
        <w:jc w:val="both"/>
        <w:rPr>
          <w:b w:val="0"/>
        </w:rPr>
        <w:sectPr w:rsidR="00636F46" w:rsidSect="000C46FA">
          <w:type w:val="continuous"/>
          <w:pgSz w:w="12240" w:h="15840"/>
          <w:pgMar w:top="1080" w:right="1080" w:bottom="1080" w:left="1080" w:header="1152" w:footer="720" w:gutter="0"/>
          <w:cols w:space="1152"/>
          <w:docGrid w:linePitch="360"/>
        </w:sectPr>
      </w:pPr>
    </w:p>
    <w:bookmarkStart w:id="40" w:name="_Ref50023323"/>
    <w:p w14:paraId="247DAA56" w14:textId="7006E0E0" w:rsidR="00636F46" w:rsidRDefault="00C95B0B" w:rsidP="00020D20">
      <w:pPr>
        <w:pStyle w:val="BodyTextTitle"/>
        <w:jc w:val="both"/>
      </w:pPr>
      <w:r w:rsidRPr="003707B0">
        <w:rPr>
          <w:noProof/>
        </w:rPr>
        <mc:AlternateContent>
          <mc:Choice Requires="wps">
            <w:drawing>
              <wp:anchor distT="0" distB="0" distL="114300" distR="114300" simplePos="0" relativeHeight="251618600" behindDoc="0" locked="0" layoutInCell="1" allowOverlap="1" wp14:anchorId="34265F09" wp14:editId="49447D3B">
                <wp:simplePos x="0" y="0"/>
                <wp:positionH relativeFrom="column">
                  <wp:posOffset>3824605</wp:posOffset>
                </wp:positionH>
                <wp:positionV relativeFrom="paragraph">
                  <wp:posOffset>274955</wp:posOffset>
                </wp:positionV>
                <wp:extent cx="2689860" cy="318770"/>
                <wp:effectExtent l="0" t="0" r="0" b="5080"/>
                <wp:wrapNone/>
                <wp:docPr id="1690911554" name="Text Box 1690911554"/>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61A425" w14:textId="77777777" w:rsidR="00C6444C" w:rsidRPr="00101FFC" w:rsidRDefault="00C6444C" w:rsidP="00636F46">
                            <w:pPr>
                              <w:pStyle w:val="Heading4"/>
                            </w:pPr>
                            <w:r w:rsidRPr="00101FFC">
                              <w:t>Figure 1-</w:t>
                            </w:r>
                            <w:r>
                              <w:t>10</w:t>
                            </w:r>
                            <w:r w:rsidRPr="00101FFC">
                              <w:t xml:space="preserve"> |</w:t>
                            </w:r>
                            <w:r>
                              <w:t xml:space="preserve"> CAG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34265F09" id="Text Box 1690911554" o:spid="_x0000_s1061" type="#_x0000_t202" style="position:absolute;left:0;text-align:left;margin-left:301.15pt;margin-top:21.65pt;width:211.8pt;height:25.1pt;z-index:251618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" filled="f" stroked="f" strokeweight="1pt">
                <v:textbox>
                  <w:txbxContent>
                    <w:p w14:paraId="0661A425" w14:textId="77777777" w:rsidR="00C6444C" w:rsidRPr="00101FFC" w:rsidRDefault="00C6444C" w:rsidP="00636F46">
                      <w:pPr>
                        <w:pStyle w:val="Heading4"/>
                      </w:pPr>
                      <w:r w:rsidRPr="00101FFC">
                        <w:t>Figure 1-</w:t>
                      </w:r>
                      <w:r>
                        <w:t>10</w:t>
                      </w:r>
                      <w:r w:rsidRPr="00101FFC">
                        <w:t xml:space="preserve"> |</w:t>
                      </w:r>
                      <w:r>
                        <w:t xml:space="preserve"> CAG Regional Area</w:t>
                      </w:r>
                    </w:p>
                  </w:txbxContent>
                </v:textbox>
              </v:shape>
            </w:pict>
          </mc:Fallback>
        </mc:AlternateContent>
      </w:r>
      <w:r w:rsidR="00636F46" w:rsidRPr="00E6302D">
        <w:t>Central Arizona Governments (CAG</w:t>
      </w:r>
      <w:r>
        <w:t>)</w:t>
      </w:r>
      <w:bookmarkEnd w:id="40"/>
    </w:p>
    <w:p w14:paraId="03FC654F" w14:textId="77040CDB" w:rsidR="00636F46" w:rsidRPr="004D0795" w:rsidRDefault="00AB73E9" w:rsidP="00020D20">
      <w:pPr>
        <w:jc w:val="both"/>
      </w:pPr>
      <w:r>
        <w:rPr>
          <w:rFonts w:cstheme="minorHAnsi"/>
          <w:noProof/>
        </w:rPr>
        <mc:AlternateContent>
          <mc:Choice Requires="wps">
            <w:drawing>
              <wp:anchor distT="0" distB="0" distL="114300" distR="114300" simplePos="0" relativeHeight="251618591" behindDoc="0" locked="0" layoutInCell="1" allowOverlap="1" wp14:anchorId="32DB38AA" wp14:editId="6385206A">
                <wp:simplePos x="0" y="0"/>
                <wp:positionH relativeFrom="column">
                  <wp:posOffset>41910</wp:posOffset>
                </wp:positionH>
                <wp:positionV relativeFrom="paragraph">
                  <wp:posOffset>1538605</wp:posOffset>
                </wp:positionV>
                <wp:extent cx="1333500" cy="1371600"/>
                <wp:effectExtent l="95250" t="95250" r="95250" b="95250"/>
                <wp:wrapNone/>
                <wp:docPr id="1690911555" name="Text Box 1690911555"/>
                <wp:cNvGraphicFramePr/>
                <a:graphic xmlns:a="http://schemas.openxmlformats.org/drawingml/2006/main">
                  <a:graphicData uri="http://schemas.microsoft.com/office/word/2010/wordprocessingShape">
                    <wps:wsp>
                      <wps:cNvSpPr txBox="1"/>
                      <wps:spPr>
                        <a:xfrm>
                          <a:off x="0" y="0"/>
                          <a:ext cx="133350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C3DC1F9" w14:textId="77777777" w:rsidR="00C6444C" w:rsidRDefault="00C6444C" w:rsidP="00636F46">
                            <w:pPr>
                              <w:jc w:val="center"/>
                            </w:pPr>
                            <w:r>
                              <w:rPr>
                                <w:noProof/>
                              </w:rPr>
                              <w:drawing>
                                <wp:inline distT="0" distB="0" distL="0" distR="0" wp14:anchorId="576AAFD7" wp14:editId="32E8A219">
                                  <wp:extent cx="457200" cy="457200"/>
                                  <wp:effectExtent l="0" t="0" r="0" b="0"/>
                                  <wp:docPr id="1690912481" name="Picture 1690912481">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847401B" w14:textId="77777777" w:rsidR="00C6444C" w:rsidRDefault="00C6444C" w:rsidP="00636F46">
                            <w:pPr>
                              <w:pStyle w:val="Calloutboxes"/>
                            </w:pPr>
                            <w:r>
                              <w:t>CAG</w:t>
                            </w:r>
                          </w:p>
                          <w:p w14:paraId="30730CB3" w14:textId="77777777" w:rsidR="00C6444C" w:rsidRDefault="00C6444C" w:rsidP="00636F46">
                            <w:pPr>
                              <w:pStyle w:val="Calloutboxes"/>
                            </w:pPr>
                            <w:r>
                              <w:t>2540 Apache Trail</w:t>
                            </w:r>
                          </w:p>
                          <w:p w14:paraId="48BAEE0B" w14:textId="77777777" w:rsidR="00C6444C" w:rsidRDefault="00C6444C" w:rsidP="00636F46">
                            <w:pPr>
                              <w:pStyle w:val="Calloutboxes"/>
                            </w:pPr>
                            <w:r>
                              <w:t>Apache Junction, AZ 85120</w:t>
                            </w:r>
                          </w:p>
                          <w:p w14:paraId="464AEC9E" w14:textId="77777777" w:rsidR="00C6444C" w:rsidRDefault="00C6444C" w:rsidP="00636F46">
                            <w:pPr>
                              <w:pStyle w:val="Calloutboxes"/>
                            </w:pPr>
                            <w:r>
                              <w:t>#: 480-474-9300</w:t>
                            </w:r>
                          </w:p>
                          <w:p w14:paraId="43645452" w14:textId="77777777" w:rsidR="00C6444C" w:rsidRPr="00101FFC" w:rsidRDefault="00202C92" w:rsidP="00636F46">
                            <w:pPr>
                              <w:pStyle w:val="Title"/>
                              <w:rPr>
                                <w:sz w:val="16"/>
                                <w:szCs w:val="16"/>
                              </w:rPr>
                            </w:pPr>
                            <w:hyperlink r:id="rId115" w:history="1">
                              <w:r w:rsidR="00C6444C" w:rsidRPr="00101FFC">
                                <w:rPr>
                                  <w:rStyle w:val="Hyperlink"/>
                                  <w:rFonts w:ascii="Calibri" w:hAnsi="Calibri" w:cstheme="majorBidi"/>
                                  <w:i/>
                                  <w:iCs w:val="0"/>
                                  <w:color w:val="CE5B18"/>
                                  <w:u w:val="none"/>
                                </w:rPr>
                                <w:t>http://www.cagaz.org/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DB38AA" id="Text Box 1690911555" o:spid="_x0000_s1062" type="#_x0000_t202" style="position:absolute;left:0;text-align:left;margin-left:3.3pt;margin-top:121.15pt;width:105pt;height:108pt;z-index:25161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" fillcolor="#f7f7f7" stroked="f" strokeweight=".5pt">
                <v:shadow on="t" type="perspective" color="black" opacity="26214f" offset="0,0" matrix="66847f,,,66847f"/>
                <v:textbox>
                  <w:txbxContent>
                    <w:p w14:paraId="1C3DC1F9" w14:textId="77777777" w:rsidR="00C6444C" w:rsidRDefault="00C6444C" w:rsidP="00636F46">
                      <w:pPr>
                        <w:jc w:val="center"/>
                      </w:pPr>
                      <w:r>
                        <w:rPr>
                          <w:noProof/>
                        </w:rPr>
                        <w:drawing>
                          <wp:inline distT="0" distB="0" distL="0" distR="0" wp14:anchorId="576AAFD7" wp14:editId="32E8A219">
                            <wp:extent cx="457200" cy="457200"/>
                            <wp:effectExtent l="0" t="0" r="0" b="0"/>
                            <wp:docPr id="1690912481" name="Picture 1690912481">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847401B" w14:textId="77777777" w:rsidR="00C6444C" w:rsidRDefault="00C6444C" w:rsidP="00636F46">
                      <w:pPr>
                        <w:pStyle w:val="Calloutboxes"/>
                      </w:pPr>
                      <w:r>
                        <w:t>CAG</w:t>
                      </w:r>
                    </w:p>
                    <w:p w14:paraId="30730CB3" w14:textId="77777777" w:rsidR="00C6444C" w:rsidRDefault="00C6444C" w:rsidP="00636F46">
                      <w:pPr>
                        <w:pStyle w:val="Calloutboxes"/>
                      </w:pPr>
                      <w:r>
                        <w:t>2540 Apache Trail</w:t>
                      </w:r>
                    </w:p>
                    <w:p w14:paraId="48BAEE0B" w14:textId="77777777" w:rsidR="00C6444C" w:rsidRDefault="00C6444C" w:rsidP="00636F46">
                      <w:pPr>
                        <w:pStyle w:val="Calloutboxes"/>
                      </w:pPr>
                      <w:r>
                        <w:t>Apache Junction, AZ 85120</w:t>
                      </w:r>
                    </w:p>
                    <w:p w14:paraId="464AEC9E" w14:textId="77777777" w:rsidR="00C6444C" w:rsidRDefault="00C6444C" w:rsidP="00636F46">
                      <w:pPr>
                        <w:pStyle w:val="Calloutboxes"/>
                      </w:pPr>
                      <w:r>
                        <w:t>#: 480-474-9300</w:t>
                      </w:r>
                    </w:p>
                    <w:p w14:paraId="43645452" w14:textId="77777777" w:rsidR="00C6444C" w:rsidRPr="00101FFC" w:rsidRDefault="00576D31" w:rsidP="00636F46">
                      <w:pPr>
                        <w:pStyle w:val="Title"/>
                        <w:rPr>
                          <w:sz w:val="16"/>
                          <w:szCs w:val="16"/>
                        </w:rPr>
                      </w:pPr>
                      <w:hyperlink r:id="rId117" w:history="1">
                        <w:r w:rsidR="00C6444C" w:rsidRPr="00101FFC">
                          <w:rPr>
                            <w:rStyle w:val="Hyperlink"/>
                            <w:rFonts w:ascii="Calibri" w:hAnsi="Calibri" w:cstheme="majorBidi"/>
                            <w:i/>
                            <w:iCs w:val="0"/>
                            <w:color w:val="CE5B18"/>
                            <w:u w:val="none"/>
                          </w:rPr>
                          <w:t>http://www.cagaz.org/</w:t>
                        </w:r>
                      </w:hyperlink>
                    </w:p>
                  </w:txbxContent>
                </v:textbox>
              </v:shape>
            </w:pict>
          </mc:Fallback>
        </mc:AlternateContent>
      </w:r>
      <w:r>
        <w:rPr>
          <w:noProof/>
        </w:rPr>
        <w:drawing>
          <wp:anchor distT="0" distB="0" distL="114300" distR="114300" simplePos="0" relativeHeight="251618582" behindDoc="0" locked="0" layoutInCell="1" allowOverlap="1" wp14:anchorId="332CE88B" wp14:editId="05397680">
            <wp:simplePos x="0" y="0"/>
            <wp:positionH relativeFrom="column">
              <wp:posOffset>1469286</wp:posOffset>
            </wp:positionH>
            <wp:positionV relativeFrom="paragraph">
              <wp:posOffset>1538605</wp:posOffset>
            </wp:positionV>
            <wp:extent cx="1132840" cy="1333500"/>
            <wp:effectExtent l="0" t="0" r="0" b="0"/>
            <wp:wrapNone/>
            <wp:docPr id="816286171" name="Picture 81628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47" name="1_Map-CAG REDUCED.jpg"/>
                    <pic:cNvPicPr/>
                  </pic:nvPicPr>
                  <pic:blipFill>
                    <a:blip r:embed="rId118" cstate="hqprint">
                      <a:extLst>
                        <a:ext uri="{28A0092B-C50C-407E-A947-70E740481C1C}">
                          <a14:useLocalDpi xmlns:a14="http://schemas.microsoft.com/office/drawing/2010/main" val="0"/>
                        </a:ext>
                      </a:extLst>
                    </a:blip>
                    <a:stretch>
                      <a:fillRect/>
                    </a:stretch>
                  </pic:blipFill>
                  <pic:spPr>
                    <a:xfrm>
                      <a:off x="0" y="0"/>
                      <a:ext cx="1132840" cy="1333500"/>
                    </a:xfrm>
                    <a:prstGeom prst="rect">
                      <a:avLst/>
                    </a:prstGeom>
                  </pic:spPr>
                </pic:pic>
              </a:graphicData>
            </a:graphic>
            <wp14:sizeRelH relativeFrom="page">
              <wp14:pctWidth>0</wp14:pctWidth>
            </wp14:sizeRelH>
            <wp14:sizeRelV relativeFrom="page">
              <wp14:pctHeight>0</wp14:pctHeight>
            </wp14:sizeRelV>
          </wp:anchor>
        </w:drawing>
      </w:r>
      <w:r w:rsidR="00636F46">
        <w:rPr>
          <w:noProof/>
        </w:rPr>
        <w:drawing>
          <wp:anchor distT="0" distB="0" distL="114300" distR="114300" simplePos="0" relativeHeight="251618580" behindDoc="0" locked="0" layoutInCell="1" allowOverlap="1" wp14:anchorId="645DAB48" wp14:editId="0883C6DF">
            <wp:simplePos x="0" y="0"/>
            <wp:positionH relativeFrom="column">
              <wp:posOffset>3800475</wp:posOffset>
            </wp:positionH>
            <wp:positionV relativeFrom="paragraph">
              <wp:posOffset>52705</wp:posOffset>
            </wp:positionV>
            <wp:extent cx="2705100" cy="3202940"/>
            <wp:effectExtent l="0" t="0" r="0" b="0"/>
            <wp:wrapSquare wrapText="bothSides"/>
            <wp:docPr id="816286173" name="Picture 81628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45" name="1_Map2-CAG Side Map.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05100" cy="3202940"/>
                    </a:xfrm>
                    <a:prstGeom prst="rect">
                      <a:avLst/>
                    </a:prstGeom>
                    <a:ln>
                      <a:noFill/>
                    </a:ln>
                  </pic:spPr>
                </pic:pic>
              </a:graphicData>
            </a:graphic>
            <wp14:sizeRelH relativeFrom="page">
              <wp14:pctWidth>0</wp14:pctWidth>
            </wp14:sizeRelH>
            <wp14:sizeRelV relativeFrom="page">
              <wp14:pctHeight>0</wp14:pctHeight>
            </wp14:sizeRelV>
          </wp:anchor>
        </w:drawing>
      </w:r>
      <w:r w:rsidR="00636F46" w:rsidRPr="004D0795">
        <w:t>C</w:t>
      </w:r>
      <w:r w:rsidR="00636F46">
        <w:t xml:space="preserve">entral </w:t>
      </w:r>
      <w:r w:rsidR="00636F46" w:rsidRPr="004D0795">
        <w:t>A</w:t>
      </w:r>
      <w:r w:rsidR="00636F46">
        <w:t xml:space="preserve">rizona </w:t>
      </w:r>
      <w:r w:rsidR="00636F46" w:rsidRPr="004D0795">
        <w:t>G</w:t>
      </w:r>
      <w:r w:rsidR="00636F46">
        <w:t>overnments</w:t>
      </w:r>
      <w:r w:rsidR="00636F46" w:rsidRPr="004D0795">
        <w:t xml:space="preserve"> is a COG that serves as the regional planning agency for the rural portions of Pinal and Gila counties, which together comprise approximately 10,170 square miles in southern central Arizona. CAG’s member agencies include the two counties, 17 municipalities, and </w:t>
      </w:r>
      <w:r w:rsidR="00636F46">
        <w:t>five</w:t>
      </w:r>
      <w:r w:rsidR="00636F46" w:rsidRPr="004D0795">
        <w:t xml:space="preserve"> Native American nations: the Ak-Chin Indian Community, the Gila River Indian Community, the San Carlos Apache </w:t>
      </w:r>
      <w:r w:rsidR="00636F46">
        <w:t>Nation, the Tohono O’odham Nation, and the White Mountain Apache Tribe</w:t>
      </w:r>
      <w:r w:rsidR="00DC0C98">
        <w:t>. CAG’s boundary is shown in F</w:t>
      </w:r>
      <w:r w:rsidR="00636F46" w:rsidRPr="004D0795">
        <w:t xml:space="preserve">igure 1-10. </w:t>
      </w:r>
    </w:p>
    <w:p w14:paraId="04C746CB" w14:textId="77777777" w:rsidR="00636F46" w:rsidRDefault="00636F46" w:rsidP="00020D20">
      <w:pPr>
        <w:jc w:val="both"/>
      </w:pPr>
    </w:p>
    <w:p w14:paraId="6BF38AF9" w14:textId="77777777" w:rsidR="00636F46" w:rsidRDefault="00636F46" w:rsidP="00020D20">
      <w:pPr>
        <w:jc w:val="both"/>
      </w:pPr>
    </w:p>
    <w:p w14:paraId="79275941" w14:textId="77777777" w:rsidR="00636F46" w:rsidRDefault="00636F46" w:rsidP="00020D20">
      <w:pPr>
        <w:jc w:val="both"/>
      </w:pPr>
      <w:r>
        <w:rPr>
          <w:b/>
          <w:noProof/>
        </w:rPr>
        <w:drawing>
          <wp:anchor distT="0" distB="0" distL="114300" distR="114300" simplePos="0" relativeHeight="251618581" behindDoc="0" locked="0" layoutInCell="1" allowOverlap="1" wp14:anchorId="0282B73F" wp14:editId="42711F98">
            <wp:simplePos x="0" y="0"/>
            <wp:positionH relativeFrom="column">
              <wp:posOffset>2596669</wp:posOffset>
            </wp:positionH>
            <wp:positionV relativeFrom="paragraph">
              <wp:posOffset>125730</wp:posOffset>
            </wp:positionV>
            <wp:extent cx="1222549" cy="1088390"/>
            <wp:effectExtent l="0" t="0" r="0" b="0"/>
            <wp:wrapNone/>
            <wp:docPr id="816286272" name="Picture 81628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46" name="1_Map2-CAG Legend.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224593" cy="1090210"/>
                    </a:xfrm>
                    <a:prstGeom prst="rect">
                      <a:avLst/>
                    </a:prstGeom>
                  </pic:spPr>
                </pic:pic>
              </a:graphicData>
            </a:graphic>
            <wp14:sizeRelH relativeFrom="page">
              <wp14:pctWidth>0</wp14:pctWidth>
            </wp14:sizeRelH>
            <wp14:sizeRelV relativeFrom="page">
              <wp14:pctHeight>0</wp14:pctHeight>
            </wp14:sizeRelV>
          </wp:anchor>
        </w:drawing>
      </w:r>
    </w:p>
    <w:p w14:paraId="75981AE8" w14:textId="77777777" w:rsidR="00636F46" w:rsidRDefault="00636F46" w:rsidP="00020D20">
      <w:pPr>
        <w:jc w:val="both"/>
      </w:pPr>
    </w:p>
    <w:p w14:paraId="674D1FB4" w14:textId="77777777" w:rsidR="00636F46" w:rsidRDefault="00636F46" w:rsidP="00020D20">
      <w:pPr>
        <w:jc w:val="both"/>
      </w:pPr>
    </w:p>
    <w:p w14:paraId="14C62C1D" w14:textId="77777777" w:rsidR="00636F46" w:rsidRPr="00101FFC" w:rsidRDefault="00636F46" w:rsidP="00020D20">
      <w:pPr>
        <w:jc w:val="both"/>
        <w:rPr>
          <w:b/>
        </w:rPr>
      </w:pPr>
    </w:p>
    <w:p w14:paraId="11970158" w14:textId="77777777" w:rsidR="00636F46" w:rsidRPr="00960690" w:rsidRDefault="00636F46" w:rsidP="00020D20">
      <w:pPr>
        <w:pStyle w:val="Heading4"/>
        <w:jc w:val="both"/>
      </w:pPr>
      <w:r w:rsidRPr="004D0795">
        <w:t>Table 1-12 | CAG Statistics</w:t>
      </w:r>
    </w:p>
    <w:tbl>
      <w:tblPr>
        <w:tblW w:w="10170" w:type="dxa"/>
        <w:tblInd w:w="-10" w:type="dxa"/>
        <w:tblLayout w:type="fixed"/>
        <w:tblCellMar>
          <w:left w:w="0" w:type="dxa"/>
          <w:right w:w="0" w:type="dxa"/>
        </w:tblCellMar>
        <w:tblLook w:val="0000" w:firstRow="0" w:lastRow="0" w:firstColumn="0" w:lastColumn="0" w:noHBand="0" w:noVBand="0"/>
      </w:tblPr>
      <w:tblGrid>
        <w:gridCol w:w="3420"/>
        <w:gridCol w:w="6750"/>
      </w:tblGrid>
      <w:tr w:rsidR="00636F46" w:rsidRPr="004D0795" w14:paraId="59163DF6" w14:textId="77777777" w:rsidTr="00020D20">
        <w:trPr>
          <w:trHeight w:val="20"/>
        </w:trPr>
        <w:tc>
          <w:tcPr>
            <w:tcW w:w="1017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691B5845" w14:textId="06D1CCBC" w:rsidR="00636F46" w:rsidRPr="00101FFC" w:rsidRDefault="00636F46">
            <w:pPr>
              <w:spacing w:before="0" w:after="0" w:line="240" w:lineRule="auto"/>
              <w:jc w:val="center"/>
              <w:rPr>
                <w:color w:val="323232"/>
                <w:sz w:val="22"/>
              </w:rPr>
            </w:pPr>
            <w:r w:rsidRPr="00101FFC">
              <w:rPr>
                <w:sz w:val="22"/>
              </w:rPr>
              <w:t xml:space="preserve">Central Arizona Governments </w:t>
            </w:r>
            <w:r w:rsidR="005070BF">
              <w:rPr>
                <w:sz w:val="22"/>
              </w:rPr>
              <w:t>–</w:t>
            </w:r>
            <w:r w:rsidRPr="00101FFC">
              <w:rPr>
                <w:sz w:val="22"/>
              </w:rPr>
              <w:t xml:space="preserve"> CAG</w:t>
            </w:r>
          </w:p>
        </w:tc>
      </w:tr>
      <w:tr w:rsidR="00636F46" w:rsidRPr="004D0795" w14:paraId="198D511D" w14:textId="77777777" w:rsidTr="00020D20">
        <w:trPr>
          <w:trHeight w:val="20"/>
        </w:trPr>
        <w:tc>
          <w:tcPr>
            <w:tcW w:w="342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4553D99D" w14:textId="77777777" w:rsidR="00636F46" w:rsidRPr="00101FFC" w:rsidRDefault="00636F46" w:rsidP="00020D20">
            <w:pPr>
              <w:spacing w:before="0" w:after="0" w:line="240" w:lineRule="auto"/>
              <w:jc w:val="both"/>
              <w:rPr>
                <w:sz w:val="18"/>
              </w:rPr>
            </w:pPr>
            <w:r w:rsidRPr="00101FFC">
              <w:rPr>
                <w:sz w:val="18"/>
              </w:rPr>
              <w:t>Year Established</w:t>
            </w:r>
          </w:p>
        </w:tc>
        <w:tc>
          <w:tcPr>
            <w:tcW w:w="675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3CD02E4F" w14:textId="77777777" w:rsidR="00636F46" w:rsidRPr="00101FFC" w:rsidRDefault="00636F46" w:rsidP="00020D20">
            <w:pPr>
              <w:spacing w:before="0" w:after="0" w:line="240" w:lineRule="auto"/>
              <w:jc w:val="both"/>
              <w:rPr>
                <w:sz w:val="18"/>
              </w:rPr>
            </w:pPr>
            <w:r w:rsidRPr="00101FFC">
              <w:rPr>
                <w:sz w:val="18"/>
              </w:rPr>
              <w:t>1970</w:t>
            </w:r>
          </w:p>
        </w:tc>
      </w:tr>
      <w:tr w:rsidR="00636F46" w:rsidRPr="004D0795" w14:paraId="1A88724F"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D6D72CA" w14:textId="77777777" w:rsidR="00636F46" w:rsidRPr="00101FFC" w:rsidRDefault="00636F46" w:rsidP="00020D20">
            <w:pPr>
              <w:spacing w:before="0" w:after="0" w:line="240" w:lineRule="auto"/>
              <w:jc w:val="both"/>
              <w:rPr>
                <w:sz w:val="18"/>
              </w:rPr>
            </w:pPr>
            <w:r w:rsidRPr="00101FFC">
              <w:rPr>
                <w:sz w:val="18"/>
              </w:rPr>
              <w:t>Hosted/Independent COG</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AD9A47F" w14:textId="77777777" w:rsidR="00636F46" w:rsidRPr="00101FFC" w:rsidRDefault="00636F46" w:rsidP="00020D20">
            <w:pPr>
              <w:spacing w:before="0" w:after="0" w:line="240" w:lineRule="auto"/>
              <w:jc w:val="both"/>
              <w:rPr>
                <w:sz w:val="18"/>
              </w:rPr>
            </w:pPr>
            <w:r w:rsidRPr="00101FFC">
              <w:rPr>
                <w:sz w:val="18"/>
              </w:rPr>
              <w:t>Independent</w:t>
            </w:r>
          </w:p>
        </w:tc>
      </w:tr>
      <w:tr w:rsidR="00636F46" w:rsidRPr="004D0795" w14:paraId="16EAE618"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8AAFCB9" w14:textId="77777777" w:rsidR="00636F46" w:rsidRPr="00101FFC" w:rsidRDefault="00636F46" w:rsidP="00020D20">
            <w:pPr>
              <w:spacing w:before="0" w:after="0" w:line="240" w:lineRule="auto"/>
              <w:jc w:val="both"/>
              <w:rPr>
                <w:sz w:val="18"/>
              </w:rPr>
            </w:pPr>
            <w:r w:rsidRPr="00101FFC">
              <w:rPr>
                <w:sz w:val="18"/>
              </w:rPr>
              <w:t>Land Area (sq. mi.)</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2ADF708" w14:textId="77777777" w:rsidR="00636F46" w:rsidRPr="00101FFC" w:rsidRDefault="00636F46" w:rsidP="00020D20">
            <w:pPr>
              <w:spacing w:before="0" w:after="0" w:line="240" w:lineRule="auto"/>
              <w:jc w:val="both"/>
              <w:rPr>
                <w:sz w:val="18"/>
              </w:rPr>
            </w:pPr>
            <w:r w:rsidRPr="00101FFC">
              <w:rPr>
                <w:sz w:val="18"/>
              </w:rPr>
              <w:t>7,586</w:t>
            </w:r>
          </w:p>
        </w:tc>
      </w:tr>
      <w:tr w:rsidR="00636F46" w:rsidRPr="004D0795" w14:paraId="02F83C74"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C89E7AE" w14:textId="77777777" w:rsidR="00636F46" w:rsidRPr="00101FFC" w:rsidRDefault="00636F46" w:rsidP="00020D20">
            <w:pPr>
              <w:spacing w:before="0" w:after="0" w:line="240" w:lineRule="auto"/>
              <w:jc w:val="both"/>
              <w:rPr>
                <w:sz w:val="18"/>
              </w:rPr>
            </w:pPr>
            <w:r w:rsidRPr="00101FFC">
              <w:rPr>
                <w:sz w:val="18"/>
              </w:rPr>
              <w:t>2018 Population Estimate</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189EA8E" w14:textId="77777777" w:rsidR="00636F46" w:rsidRPr="00101FFC" w:rsidRDefault="00636F46" w:rsidP="00020D20">
            <w:pPr>
              <w:spacing w:before="0" w:after="0" w:line="240" w:lineRule="auto"/>
              <w:jc w:val="both"/>
              <w:rPr>
                <w:sz w:val="18"/>
              </w:rPr>
            </w:pPr>
            <w:r>
              <w:rPr>
                <w:sz w:val="18"/>
              </w:rPr>
              <w:t>187,442</w:t>
            </w:r>
          </w:p>
        </w:tc>
      </w:tr>
      <w:tr w:rsidR="00636F46" w:rsidRPr="004D0795" w14:paraId="5D1ACF72"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833F314" w14:textId="77777777" w:rsidR="00636F46" w:rsidRPr="00101FFC" w:rsidRDefault="00636F46" w:rsidP="00020D20">
            <w:pPr>
              <w:spacing w:before="0" w:after="0" w:line="240" w:lineRule="auto"/>
              <w:jc w:val="both"/>
              <w:rPr>
                <w:sz w:val="18"/>
              </w:rPr>
            </w:pPr>
            <w:r w:rsidRPr="00101FFC">
              <w:rPr>
                <w:sz w:val="18"/>
              </w:rPr>
              <w:t>Counties</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C00FDF0" w14:textId="77777777" w:rsidR="00636F46" w:rsidRPr="00101FFC" w:rsidRDefault="00636F46" w:rsidP="00020D20">
            <w:pPr>
              <w:spacing w:before="0" w:after="0" w:line="240" w:lineRule="auto"/>
              <w:jc w:val="both"/>
              <w:rPr>
                <w:sz w:val="18"/>
              </w:rPr>
            </w:pPr>
            <w:r w:rsidRPr="00101FFC">
              <w:rPr>
                <w:sz w:val="18"/>
              </w:rPr>
              <w:t>2 | Pinal, Gila</w:t>
            </w:r>
          </w:p>
        </w:tc>
      </w:tr>
      <w:tr w:rsidR="00636F46" w:rsidRPr="004D0795" w14:paraId="664AFDFE"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8952F37" w14:textId="77777777" w:rsidR="00636F46" w:rsidRPr="00101FFC" w:rsidRDefault="00636F46" w:rsidP="00020D20">
            <w:pPr>
              <w:spacing w:before="0" w:after="0" w:line="240" w:lineRule="auto"/>
              <w:jc w:val="both"/>
              <w:rPr>
                <w:sz w:val="18"/>
              </w:rPr>
            </w:pPr>
            <w:r w:rsidRPr="00101FFC">
              <w:rPr>
                <w:sz w:val="18"/>
              </w:rPr>
              <w:t>Number of Municipalities</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E4132EA" w14:textId="77777777" w:rsidR="00636F46" w:rsidRPr="00101FFC" w:rsidRDefault="00636F46" w:rsidP="00020D20">
            <w:pPr>
              <w:spacing w:before="0" w:after="0" w:line="240" w:lineRule="auto"/>
              <w:jc w:val="both"/>
              <w:rPr>
                <w:sz w:val="18"/>
              </w:rPr>
            </w:pPr>
            <w:r w:rsidRPr="00101FFC">
              <w:rPr>
                <w:sz w:val="18"/>
              </w:rPr>
              <w:t>17</w:t>
            </w:r>
          </w:p>
        </w:tc>
      </w:tr>
      <w:tr w:rsidR="00636F46" w:rsidRPr="004D0795" w14:paraId="6ADD9DFE"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5FEE1F2" w14:textId="77777777" w:rsidR="00636F46" w:rsidRPr="00101FFC" w:rsidRDefault="00636F46" w:rsidP="00020D20">
            <w:pPr>
              <w:spacing w:before="0" w:after="0" w:line="240" w:lineRule="auto"/>
              <w:jc w:val="both"/>
              <w:rPr>
                <w:sz w:val="18"/>
              </w:rPr>
            </w:pPr>
            <w:r w:rsidRPr="00101FFC">
              <w:rPr>
                <w:sz w:val="18"/>
              </w:rPr>
              <w:t>Tribal Partner Agencies</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2EF799" w14:textId="77777777" w:rsidR="00636F46" w:rsidRPr="00101FFC" w:rsidRDefault="00636F46" w:rsidP="00020D20">
            <w:pPr>
              <w:spacing w:before="0" w:after="0" w:line="240" w:lineRule="auto"/>
              <w:jc w:val="both"/>
              <w:rPr>
                <w:sz w:val="18"/>
              </w:rPr>
            </w:pPr>
            <w:r w:rsidRPr="00101FFC">
              <w:rPr>
                <w:sz w:val="18"/>
              </w:rPr>
              <w:t>5 | Ak-Chin Indian Community, Gila River Indian Community, San Carlos Apache Nation, Tohono O’odham Nation, and White Mountain Apache Tribe</w:t>
            </w:r>
          </w:p>
        </w:tc>
      </w:tr>
      <w:tr w:rsidR="00636F46" w:rsidRPr="004D0795" w14:paraId="3565BC17"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3030B63" w14:textId="77777777" w:rsidR="00636F46" w:rsidRPr="00101FFC" w:rsidRDefault="00636F46" w:rsidP="00020D20">
            <w:pPr>
              <w:spacing w:before="0" w:after="0" w:line="240" w:lineRule="auto"/>
              <w:jc w:val="both"/>
              <w:rPr>
                <w:sz w:val="18"/>
              </w:rPr>
            </w:pPr>
            <w:r w:rsidRPr="00101FFC">
              <w:rPr>
                <w:sz w:val="18"/>
              </w:rPr>
              <w:t>Primary Travel Corridors</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6D8C762" w14:textId="77777777" w:rsidR="00636F46" w:rsidRPr="00101FFC" w:rsidRDefault="00636F46" w:rsidP="00020D20">
            <w:pPr>
              <w:spacing w:before="0" w:after="0" w:line="240" w:lineRule="auto"/>
              <w:jc w:val="both"/>
              <w:rPr>
                <w:sz w:val="18"/>
              </w:rPr>
            </w:pPr>
            <w:r w:rsidRPr="00101FFC">
              <w:rPr>
                <w:sz w:val="18"/>
              </w:rPr>
              <w:t>8 | US Routes: US 60, US70. State Routes: SR 77, SR 79, SR 87, SR 177, SR 188, SR 260.</w:t>
            </w:r>
          </w:p>
        </w:tc>
      </w:tr>
      <w:tr w:rsidR="00636F46" w:rsidRPr="004D0795" w14:paraId="2463D7E9"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AED8EC2" w14:textId="77777777" w:rsidR="00636F46" w:rsidRPr="00101FFC" w:rsidRDefault="00636F46" w:rsidP="00020D20">
            <w:pPr>
              <w:spacing w:before="0" w:after="0" w:line="240" w:lineRule="auto"/>
              <w:jc w:val="both"/>
              <w:rPr>
                <w:sz w:val="18"/>
              </w:rPr>
            </w:pPr>
            <w:r w:rsidRPr="00101FFC">
              <w:rPr>
                <w:sz w:val="18"/>
              </w:rPr>
              <w:t>Transit</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68A5822" w14:textId="77777777" w:rsidR="00636F46" w:rsidRPr="00101FFC" w:rsidRDefault="00636F46" w:rsidP="00020D20">
            <w:pPr>
              <w:spacing w:before="0" w:after="0" w:line="240" w:lineRule="auto"/>
              <w:jc w:val="both"/>
              <w:rPr>
                <w:sz w:val="18"/>
              </w:rPr>
            </w:pPr>
            <w:r w:rsidRPr="00101FFC">
              <w:rPr>
                <w:sz w:val="18"/>
              </w:rPr>
              <w:t>Yes</w:t>
            </w:r>
          </w:p>
        </w:tc>
      </w:tr>
      <w:tr w:rsidR="00636F46" w:rsidRPr="004D0795" w14:paraId="48BDA515"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55ECB08" w14:textId="77777777" w:rsidR="00636F46" w:rsidRPr="00101FFC" w:rsidRDefault="00636F46" w:rsidP="00020D20">
            <w:pPr>
              <w:spacing w:before="0" w:after="0" w:line="240" w:lineRule="auto"/>
              <w:jc w:val="both"/>
              <w:rPr>
                <w:sz w:val="18"/>
              </w:rPr>
            </w:pPr>
            <w:r w:rsidRPr="00101FFC">
              <w:rPr>
                <w:sz w:val="18"/>
              </w:rPr>
              <w:t>Airport</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09FAD06" w14:textId="77777777" w:rsidR="00636F46" w:rsidRPr="00101FFC" w:rsidRDefault="00636F46" w:rsidP="00020D20">
            <w:pPr>
              <w:spacing w:before="0" w:after="0" w:line="240" w:lineRule="auto"/>
              <w:jc w:val="both"/>
              <w:rPr>
                <w:sz w:val="18"/>
              </w:rPr>
            </w:pPr>
            <w:r w:rsidRPr="00101FFC">
              <w:rPr>
                <w:sz w:val="18"/>
              </w:rPr>
              <w:t>Yes</w:t>
            </w:r>
          </w:p>
        </w:tc>
      </w:tr>
      <w:tr w:rsidR="00636F46" w:rsidRPr="004D0795" w14:paraId="4F8A9158" w14:textId="77777777" w:rsidTr="00636F46">
        <w:trPr>
          <w:trHeight w:val="20"/>
        </w:trPr>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E72F1AB" w14:textId="77777777" w:rsidR="00636F46" w:rsidRPr="00101FFC" w:rsidRDefault="00636F46">
            <w:pPr>
              <w:spacing w:before="0" w:after="0" w:line="240" w:lineRule="auto"/>
              <w:rPr>
                <w:sz w:val="18"/>
              </w:rPr>
            </w:pPr>
            <w:r w:rsidRPr="00101FFC">
              <w:rPr>
                <w:sz w:val="18"/>
              </w:rPr>
              <w:t>Air Quality Nonattainment or Maintenance</w:t>
            </w:r>
          </w:p>
        </w:tc>
        <w:tc>
          <w:tcPr>
            <w:tcW w:w="67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AADFB33" w14:textId="77777777" w:rsidR="00636F46" w:rsidRPr="00101FFC" w:rsidRDefault="00636F46" w:rsidP="00020D20">
            <w:pPr>
              <w:spacing w:before="0" w:after="0" w:line="240" w:lineRule="auto"/>
              <w:jc w:val="both"/>
              <w:rPr>
                <w:sz w:val="18"/>
              </w:rPr>
            </w:pPr>
            <w:r w:rsidRPr="00101FFC">
              <w:rPr>
                <w:sz w:val="18"/>
              </w:rPr>
              <w:t>Lead, PM10, Sulfur Dioxide</w:t>
            </w:r>
          </w:p>
        </w:tc>
      </w:tr>
    </w:tbl>
    <w:p w14:paraId="11F6B131" w14:textId="77777777" w:rsidR="00636F46" w:rsidRDefault="00636F46"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pPr>
      <w:r>
        <w:br w:type="page"/>
      </w:r>
    </w:p>
    <w:bookmarkStart w:id="41" w:name="_Ref50023327"/>
    <w:p w14:paraId="3FF85E92" w14:textId="77777777" w:rsidR="00636F46" w:rsidRPr="002F17FB" w:rsidRDefault="00636F46" w:rsidP="00020D20">
      <w:pPr>
        <w:pStyle w:val="BodyTextTitle"/>
        <w:jc w:val="both"/>
        <w:rPr>
          <w:color w:val="auto"/>
        </w:rPr>
      </w:pPr>
      <w:r w:rsidRPr="003707B0">
        <w:rPr>
          <w:noProof/>
        </w:rPr>
        <mc:AlternateContent>
          <mc:Choice Requires="wps">
            <w:drawing>
              <wp:anchor distT="0" distB="0" distL="114300" distR="114300" simplePos="0" relativeHeight="251618568" behindDoc="0" locked="0" layoutInCell="1" allowOverlap="1" wp14:anchorId="3F7C75FA" wp14:editId="08D5E81C">
                <wp:simplePos x="0" y="0"/>
                <wp:positionH relativeFrom="column">
                  <wp:posOffset>3693795</wp:posOffset>
                </wp:positionH>
                <wp:positionV relativeFrom="paragraph">
                  <wp:posOffset>298450</wp:posOffset>
                </wp:positionV>
                <wp:extent cx="2689860" cy="318770"/>
                <wp:effectExtent l="0" t="0" r="0" b="5080"/>
                <wp:wrapNone/>
                <wp:docPr id="1690911556" name="Text Box 1690911556"/>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19F6E81" w14:textId="77777777" w:rsidR="00C6444C" w:rsidRPr="00101FFC" w:rsidRDefault="00C6444C" w:rsidP="00636F46">
                            <w:pPr>
                              <w:pStyle w:val="Heading4"/>
                            </w:pPr>
                            <w:r w:rsidRPr="00101FFC">
                              <w:t>Figure 1-</w:t>
                            </w:r>
                            <w:r>
                              <w:t>11</w:t>
                            </w:r>
                            <w:r w:rsidRPr="00101FFC">
                              <w:t xml:space="preserve"> |</w:t>
                            </w:r>
                            <w:r>
                              <w:t xml:space="preserve"> NACOG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3F7C75FA" id="Text Box 1690911556" o:spid="_x0000_s1063" type="#_x0000_t202" style="position:absolute;left:0;text-align:left;margin-left:290.85pt;margin-top:23.5pt;width:211.8pt;height:25.1pt;z-index:251618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" filled="f" stroked="f" strokeweight="1pt">
                <v:textbox>
                  <w:txbxContent>
                    <w:p w14:paraId="219F6E81" w14:textId="77777777" w:rsidR="00C6444C" w:rsidRPr="00101FFC" w:rsidRDefault="00C6444C" w:rsidP="00636F46">
                      <w:pPr>
                        <w:pStyle w:val="Heading4"/>
                      </w:pPr>
                      <w:r w:rsidRPr="00101FFC">
                        <w:t>Figure 1-</w:t>
                      </w:r>
                      <w:r>
                        <w:t>11</w:t>
                      </w:r>
                      <w:r w:rsidRPr="00101FFC">
                        <w:t xml:space="preserve"> |</w:t>
                      </w:r>
                      <w:r>
                        <w:t xml:space="preserve"> NACOG Regional Area</w:t>
                      </w:r>
                    </w:p>
                  </w:txbxContent>
                </v:textbox>
              </v:shape>
            </w:pict>
          </mc:Fallback>
        </mc:AlternateContent>
      </w:r>
      <w:r w:rsidRPr="00E6302D">
        <w:t>Northern Arizona Council of Governments (NACOG)</w:t>
      </w:r>
      <w:bookmarkEnd w:id="41"/>
    </w:p>
    <w:p w14:paraId="3650E29A" w14:textId="6AA41A34" w:rsidR="00636F46" w:rsidRDefault="00636F46" w:rsidP="00020D20">
      <w:pPr>
        <w:jc w:val="both"/>
        <w:rPr>
          <w:b/>
        </w:rPr>
      </w:pPr>
      <w:r>
        <w:rPr>
          <w:noProof/>
        </w:rPr>
        <w:drawing>
          <wp:anchor distT="0" distB="0" distL="114300" distR="114300" simplePos="0" relativeHeight="251618583" behindDoc="0" locked="0" layoutInCell="1" allowOverlap="1" wp14:anchorId="77DC6F4A" wp14:editId="11361E24">
            <wp:simplePos x="0" y="0"/>
            <wp:positionH relativeFrom="column">
              <wp:posOffset>2274623</wp:posOffset>
            </wp:positionH>
            <wp:positionV relativeFrom="paragraph">
              <wp:posOffset>1671956</wp:posOffset>
            </wp:positionV>
            <wp:extent cx="1149932" cy="1352550"/>
            <wp:effectExtent l="0" t="0" r="0" b="0"/>
            <wp:wrapNone/>
            <wp:docPr id="816286274" name="Picture 81628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51" name="1_Map-NACOG REDUCED.jpg"/>
                    <pic:cNvPicPr/>
                  </pic:nvPicPr>
                  <pic:blipFill>
                    <a:blip r:embed="rId121" cstate="hqprint">
                      <a:extLst>
                        <a:ext uri="{28A0092B-C50C-407E-A947-70E740481C1C}">
                          <a14:useLocalDpi xmlns:a14="http://schemas.microsoft.com/office/drawing/2010/main" val="0"/>
                        </a:ext>
                      </a:extLst>
                    </a:blip>
                    <a:stretch>
                      <a:fillRect/>
                    </a:stretch>
                  </pic:blipFill>
                  <pic:spPr>
                    <a:xfrm>
                      <a:off x="0" y="0"/>
                      <a:ext cx="1152787" cy="1355909"/>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rPr>
        <mc:AlternateContent>
          <mc:Choice Requires="wps">
            <w:drawing>
              <wp:anchor distT="0" distB="0" distL="114300" distR="114300" simplePos="0" relativeHeight="251618592" behindDoc="0" locked="0" layoutInCell="1" allowOverlap="1" wp14:anchorId="32C78E27" wp14:editId="642F05BF">
                <wp:simplePos x="0" y="0"/>
                <wp:positionH relativeFrom="column">
                  <wp:posOffset>28575</wp:posOffset>
                </wp:positionH>
                <wp:positionV relativeFrom="paragraph">
                  <wp:posOffset>1671955</wp:posOffset>
                </wp:positionV>
                <wp:extent cx="1943100" cy="1352550"/>
                <wp:effectExtent l="76200" t="95250" r="95250" b="95250"/>
                <wp:wrapNone/>
                <wp:docPr id="1690911557" name="Text Box 1690911557"/>
                <wp:cNvGraphicFramePr/>
                <a:graphic xmlns:a="http://schemas.openxmlformats.org/drawingml/2006/main">
                  <a:graphicData uri="http://schemas.microsoft.com/office/word/2010/wordprocessingShape">
                    <wps:wsp>
                      <wps:cNvSpPr txBox="1"/>
                      <wps:spPr>
                        <a:xfrm>
                          <a:off x="0" y="0"/>
                          <a:ext cx="1943100" cy="13525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3B79C9F" w14:textId="77777777" w:rsidR="00C6444C" w:rsidRDefault="00C6444C" w:rsidP="00636F46">
                            <w:pPr>
                              <w:jc w:val="center"/>
                            </w:pPr>
                            <w:r>
                              <w:rPr>
                                <w:noProof/>
                              </w:rPr>
                              <w:drawing>
                                <wp:inline distT="0" distB="0" distL="0" distR="0" wp14:anchorId="24DDD20B" wp14:editId="6CCFB201">
                                  <wp:extent cx="457200" cy="457200"/>
                                  <wp:effectExtent l="0" t="0" r="0" b="0"/>
                                  <wp:docPr id="1690912497" name="Picture 1690912497">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6005E66" w14:textId="77777777" w:rsidR="00C6444C" w:rsidRDefault="00C6444C" w:rsidP="00636F46">
                            <w:pPr>
                              <w:pStyle w:val="Calloutboxes"/>
                            </w:pPr>
                            <w:r>
                              <w:t>NACOG</w:t>
                            </w:r>
                          </w:p>
                          <w:p w14:paraId="27323258" w14:textId="77777777" w:rsidR="00C6444C" w:rsidRDefault="00C6444C" w:rsidP="00636F46">
                            <w:pPr>
                              <w:pStyle w:val="Calloutboxes"/>
                            </w:pPr>
                            <w:r>
                              <w:t>119 E. Aspen Ave.</w:t>
                            </w:r>
                          </w:p>
                          <w:p w14:paraId="4BC211CA" w14:textId="77777777" w:rsidR="00C6444C" w:rsidRDefault="00C6444C" w:rsidP="00636F46">
                            <w:pPr>
                              <w:pStyle w:val="Calloutboxes"/>
                            </w:pPr>
                            <w:r>
                              <w:t>Flagstaff, AZ 86001</w:t>
                            </w:r>
                          </w:p>
                          <w:p w14:paraId="6F315895" w14:textId="77777777" w:rsidR="00C6444C" w:rsidRDefault="00C6444C" w:rsidP="00636F46">
                            <w:pPr>
                              <w:pStyle w:val="Calloutboxes"/>
                            </w:pPr>
                            <w:r>
                              <w:t>#: 928-774-1895</w:t>
                            </w:r>
                          </w:p>
                          <w:p w14:paraId="5320430A" w14:textId="77777777" w:rsidR="00C6444C" w:rsidRPr="00101FFC" w:rsidRDefault="00202C92" w:rsidP="00636F46">
                            <w:pPr>
                              <w:pStyle w:val="Title"/>
                              <w:rPr>
                                <w:sz w:val="16"/>
                                <w:szCs w:val="16"/>
                              </w:rPr>
                            </w:pPr>
                            <w:hyperlink r:id="rId123" w:history="1">
                              <w:r w:rsidR="00C6444C" w:rsidRPr="00101FFC">
                                <w:rPr>
                                  <w:rStyle w:val="Hyperlink"/>
                                  <w:rFonts w:ascii="Calibri" w:hAnsi="Calibri" w:cstheme="majorBidi"/>
                                  <w:i/>
                                  <w:iCs w:val="0"/>
                                  <w:color w:val="CE5B18"/>
                                  <w:u w:val="none"/>
                                </w:rPr>
                                <w:t>https://www.nacog.org/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C78E27" id="Text Box 1690911557" o:spid="_x0000_s1064" type="#_x0000_t202" style="position:absolute;left:0;text-align:left;margin-left:2.25pt;margin-top:131.65pt;width:153pt;height:106.5pt;z-index:2516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" fillcolor="#f7f7f7" stroked="f" strokeweight=".5pt">
                <v:shadow on="t" type="perspective" color="black" opacity="26214f" offset="0,0" matrix="66847f,,,66847f"/>
                <v:textbox>
                  <w:txbxContent>
                    <w:p w14:paraId="63B79C9F" w14:textId="77777777" w:rsidR="00C6444C" w:rsidRDefault="00C6444C" w:rsidP="00636F46">
                      <w:pPr>
                        <w:jc w:val="center"/>
                      </w:pPr>
                      <w:r>
                        <w:rPr>
                          <w:noProof/>
                        </w:rPr>
                        <w:drawing>
                          <wp:inline distT="0" distB="0" distL="0" distR="0" wp14:anchorId="24DDD20B" wp14:editId="6CCFB201">
                            <wp:extent cx="457200" cy="457200"/>
                            <wp:effectExtent l="0" t="0" r="0" b="0"/>
                            <wp:docPr id="1690912497" name="Picture 1690912497">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6005E66" w14:textId="77777777" w:rsidR="00C6444C" w:rsidRDefault="00C6444C" w:rsidP="00636F46">
                      <w:pPr>
                        <w:pStyle w:val="Calloutboxes"/>
                      </w:pPr>
                      <w:r>
                        <w:t>NACOG</w:t>
                      </w:r>
                    </w:p>
                    <w:p w14:paraId="27323258" w14:textId="77777777" w:rsidR="00C6444C" w:rsidRDefault="00C6444C" w:rsidP="00636F46">
                      <w:pPr>
                        <w:pStyle w:val="Calloutboxes"/>
                      </w:pPr>
                      <w:r>
                        <w:t>119 E. Aspen Ave.</w:t>
                      </w:r>
                    </w:p>
                    <w:p w14:paraId="4BC211CA" w14:textId="77777777" w:rsidR="00C6444C" w:rsidRDefault="00C6444C" w:rsidP="00636F46">
                      <w:pPr>
                        <w:pStyle w:val="Calloutboxes"/>
                      </w:pPr>
                      <w:r>
                        <w:t>Flagstaff, AZ 86001</w:t>
                      </w:r>
                    </w:p>
                    <w:p w14:paraId="6F315895" w14:textId="77777777" w:rsidR="00C6444C" w:rsidRDefault="00C6444C" w:rsidP="00636F46">
                      <w:pPr>
                        <w:pStyle w:val="Calloutboxes"/>
                      </w:pPr>
                      <w:r>
                        <w:t>#: 928-774-1895</w:t>
                      </w:r>
                    </w:p>
                    <w:p w14:paraId="5320430A" w14:textId="77777777" w:rsidR="00C6444C" w:rsidRPr="00101FFC" w:rsidRDefault="00576D31" w:rsidP="00636F46">
                      <w:pPr>
                        <w:pStyle w:val="Title"/>
                        <w:rPr>
                          <w:sz w:val="16"/>
                          <w:szCs w:val="16"/>
                        </w:rPr>
                      </w:pPr>
                      <w:hyperlink r:id="rId125" w:history="1">
                        <w:r w:rsidR="00C6444C" w:rsidRPr="00101FFC">
                          <w:rPr>
                            <w:rStyle w:val="Hyperlink"/>
                            <w:rFonts w:ascii="Calibri" w:hAnsi="Calibri" w:cstheme="majorBidi"/>
                            <w:i/>
                            <w:iCs w:val="0"/>
                            <w:color w:val="CE5B18"/>
                            <w:u w:val="none"/>
                          </w:rPr>
                          <w:t>https://www.nacog.org/</w:t>
                        </w:r>
                      </w:hyperlink>
                    </w:p>
                  </w:txbxContent>
                </v:textbox>
              </v:shape>
            </w:pict>
          </mc:Fallback>
        </mc:AlternateContent>
      </w:r>
      <w:r>
        <w:rPr>
          <w:b/>
          <w:noProof/>
        </w:rPr>
        <w:drawing>
          <wp:anchor distT="0" distB="0" distL="114300" distR="114300" simplePos="0" relativeHeight="251618566" behindDoc="0" locked="0" layoutInCell="1" allowOverlap="1" wp14:anchorId="5941837F" wp14:editId="7AFC52D7">
            <wp:simplePos x="0" y="0"/>
            <wp:positionH relativeFrom="column">
              <wp:posOffset>3695700</wp:posOffset>
            </wp:positionH>
            <wp:positionV relativeFrom="paragraph">
              <wp:posOffset>81280</wp:posOffset>
            </wp:positionV>
            <wp:extent cx="2790825" cy="2597150"/>
            <wp:effectExtent l="0" t="0" r="9525" b="0"/>
            <wp:wrapSquare wrapText="bothSides"/>
            <wp:docPr id="816286276" name="Picture 81628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49" name="1_Map2-NACOG REDUCED.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90825" cy="2597150"/>
                    </a:xfrm>
                    <a:prstGeom prst="rect">
                      <a:avLst/>
                    </a:prstGeom>
                  </pic:spPr>
                </pic:pic>
              </a:graphicData>
            </a:graphic>
            <wp14:sizeRelH relativeFrom="page">
              <wp14:pctWidth>0</wp14:pctWidth>
            </wp14:sizeRelH>
            <wp14:sizeRelV relativeFrom="page">
              <wp14:pctHeight>0</wp14:pctHeight>
            </wp14:sizeRelV>
          </wp:anchor>
        </w:drawing>
      </w:r>
      <w:r w:rsidRPr="00E47DD9">
        <w:t>N</w:t>
      </w:r>
      <w:r>
        <w:t xml:space="preserve">orthern </w:t>
      </w:r>
      <w:r w:rsidRPr="00E47DD9">
        <w:t>A</w:t>
      </w:r>
      <w:r>
        <w:t xml:space="preserve">rizona </w:t>
      </w:r>
      <w:r w:rsidRPr="00E47DD9">
        <w:t>C</w:t>
      </w:r>
      <w:r>
        <w:t xml:space="preserve">ouncil of </w:t>
      </w:r>
      <w:r w:rsidRPr="00E47DD9">
        <w:t>G</w:t>
      </w:r>
      <w:r>
        <w:t>overnments</w:t>
      </w:r>
      <w:r w:rsidRPr="00E47DD9">
        <w:t xml:space="preserve"> is a nonprofit membership corporation that represents rural local governments within the four Arizona counties of Apache, Coconino, Navajo, and Yavapai. This vast four-county region covers approximately 48,000 square miles and had a combined population of 318,375 in the 2010 Census. Thus, it encompasses about 42 percent of Arizona’s area but accounts for only 8 percent of the state’s population</w:t>
      </w:r>
      <w:r w:rsidR="00DC0C98">
        <w:t>. NACOG’s boundary is shown in F</w:t>
      </w:r>
      <w:r w:rsidRPr="00E47DD9">
        <w:t>igure 1-11</w:t>
      </w:r>
      <w:r>
        <w:t>.</w:t>
      </w:r>
      <w:r w:rsidRPr="00E47DD9">
        <w:t xml:space="preserve"> NACOG’s member jurisdictions include the four counties, 22 municipalities, and seven Native American tribes.</w:t>
      </w:r>
    </w:p>
    <w:p w14:paraId="5812066F" w14:textId="77777777" w:rsidR="00636F46" w:rsidRDefault="00636F46" w:rsidP="00020D20">
      <w:pPr>
        <w:jc w:val="both"/>
      </w:pPr>
    </w:p>
    <w:p w14:paraId="468DBE05" w14:textId="77777777" w:rsidR="00636F46" w:rsidRPr="00B2166F" w:rsidRDefault="00636F46" w:rsidP="00020D20">
      <w:pPr>
        <w:jc w:val="both"/>
      </w:pPr>
    </w:p>
    <w:p w14:paraId="46BF9CA9" w14:textId="77777777" w:rsidR="00636F46" w:rsidRDefault="00636F46" w:rsidP="00020D20">
      <w:pPr>
        <w:jc w:val="both"/>
      </w:pPr>
    </w:p>
    <w:p w14:paraId="3FE9C6E0" w14:textId="77777777" w:rsidR="00636F46" w:rsidRDefault="00636F46" w:rsidP="00020D20">
      <w:pPr>
        <w:jc w:val="both"/>
      </w:pPr>
      <w:r>
        <w:rPr>
          <w:b/>
          <w:noProof/>
        </w:rPr>
        <w:drawing>
          <wp:anchor distT="0" distB="0" distL="114300" distR="114300" simplePos="0" relativeHeight="251618567" behindDoc="0" locked="0" layoutInCell="1" allowOverlap="1" wp14:anchorId="613CB604" wp14:editId="3D02F5DF">
            <wp:simplePos x="0" y="0"/>
            <wp:positionH relativeFrom="column">
              <wp:posOffset>3810000</wp:posOffset>
            </wp:positionH>
            <wp:positionV relativeFrom="paragraph">
              <wp:posOffset>120015</wp:posOffset>
            </wp:positionV>
            <wp:extent cx="2476500" cy="576580"/>
            <wp:effectExtent l="0" t="0" r="0" b="0"/>
            <wp:wrapSquare wrapText="bothSides"/>
            <wp:docPr id="1690911776" name="Picture 169091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5950" name="1_Map2-NACOG REDUCED Legend.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76500" cy="576580"/>
                    </a:xfrm>
                    <a:prstGeom prst="rect">
                      <a:avLst/>
                    </a:prstGeom>
                  </pic:spPr>
                </pic:pic>
              </a:graphicData>
            </a:graphic>
            <wp14:sizeRelH relativeFrom="page">
              <wp14:pctWidth>0</wp14:pctWidth>
            </wp14:sizeRelH>
            <wp14:sizeRelV relativeFrom="page">
              <wp14:pctHeight>0</wp14:pctHeight>
            </wp14:sizeRelV>
          </wp:anchor>
        </w:drawing>
      </w:r>
    </w:p>
    <w:p w14:paraId="067F6428" w14:textId="77777777" w:rsidR="00636F46" w:rsidRPr="00101FFC" w:rsidRDefault="00636F46" w:rsidP="00020D20">
      <w:pPr>
        <w:jc w:val="both"/>
        <w:rPr>
          <w:sz w:val="4"/>
        </w:rPr>
      </w:pPr>
    </w:p>
    <w:p w14:paraId="603211C5" w14:textId="77777777" w:rsidR="00636F46" w:rsidRPr="00101FFC" w:rsidRDefault="00636F46" w:rsidP="00020D20">
      <w:pPr>
        <w:jc w:val="both"/>
        <w:rPr>
          <w:sz w:val="10"/>
        </w:rPr>
      </w:pPr>
    </w:p>
    <w:p w14:paraId="7BE09817" w14:textId="77777777" w:rsidR="00636F46" w:rsidRPr="00685BB2" w:rsidRDefault="00636F46" w:rsidP="00020D20">
      <w:pPr>
        <w:pStyle w:val="Heading4"/>
        <w:jc w:val="both"/>
      </w:pPr>
      <w:r w:rsidRPr="00E47DD9">
        <w:t>Table 1-13 | NACOG Statistics</w:t>
      </w:r>
    </w:p>
    <w:tbl>
      <w:tblPr>
        <w:tblW w:w="10530" w:type="dxa"/>
        <w:tblInd w:w="-10" w:type="dxa"/>
        <w:tblLayout w:type="fixed"/>
        <w:tblCellMar>
          <w:left w:w="0" w:type="dxa"/>
          <w:right w:w="0" w:type="dxa"/>
        </w:tblCellMar>
        <w:tblLook w:val="0000" w:firstRow="0" w:lastRow="0" w:firstColumn="0" w:lastColumn="0" w:noHBand="0" w:noVBand="0"/>
      </w:tblPr>
      <w:tblGrid>
        <w:gridCol w:w="2880"/>
        <w:gridCol w:w="7650"/>
      </w:tblGrid>
      <w:tr w:rsidR="00636F46" w:rsidRPr="00E47DD9" w14:paraId="5D4C199F" w14:textId="77777777" w:rsidTr="00020D20">
        <w:trPr>
          <w:trHeight w:val="20"/>
        </w:trPr>
        <w:tc>
          <w:tcPr>
            <w:tcW w:w="1053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7237AF47" w14:textId="4397C956" w:rsidR="00636F46" w:rsidRPr="00101FFC" w:rsidRDefault="00636F46">
            <w:pPr>
              <w:spacing w:before="0" w:after="0" w:line="240" w:lineRule="auto"/>
              <w:jc w:val="center"/>
              <w:rPr>
                <w:color w:val="323232"/>
                <w:sz w:val="22"/>
              </w:rPr>
            </w:pPr>
            <w:r w:rsidRPr="00101FFC">
              <w:rPr>
                <w:sz w:val="22"/>
              </w:rPr>
              <w:t xml:space="preserve">Northern </w:t>
            </w:r>
            <w:r w:rsidR="005070BF">
              <w:rPr>
                <w:sz w:val="22"/>
              </w:rPr>
              <w:t>Arizona Council of Governments –</w:t>
            </w:r>
            <w:r w:rsidRPr="00101FFC">
              <w:rPr>
                <w:sz w:val="22"/>
              </w:rPr>
              <w:t xml:space="preserve"> NACOG</w:t>
            </w:r>
          </w:p>
        </w:tc>
      </w:tr>
      <w:tr w:rsidR="00636F46" w:rsidRPr="00E47DD9" w14:paraId="5D3A20FC" w14:textId="77777777" w:rsidTr="00020D20">
        <w:trPr>
          <w:trHeight w:val="20"/>
        </w:trPr>
        <w:tc>
          <w:tcPr>
            <w:tcW w:w="288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4B7FD914" w14:textId="77777777" w:rsidR="00636F46" w:rsidRPr="00101FFC" w:rsidRDefault="00636F46" w:rsidP="00020D20">
            <w:pPr>
              <w:spacing w:before="0" w:after="0" w:line="240" w:lineRule="auto"/>
              <w:jc w:val="both"/>
              <w:rPr>
                <w:sz w:val="18"/>
              </w:rPr>
            </w:pPr>
            <w:r w:rsidRPr="00101FFC">
              <w:rPr>
                <w:sz w:val="18"/>
              </w:rPr>
              <w:t>Year Established</w:t>
            </w:r>
          </w:p>
        </w:tc>
        <w:tc>
          <w:tcPr>
            <w:tcW w:w="765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02B7B8D3" w14:textId="77777777" w:rsidR="00636F46" w:rsidRPr="00101FFC" w:rsidRDefault="00636F46" w:rsidP="00020D20">
            <w:pPr>
              <w:spacing w:before="0" w:after="0" w:line="240" w:lineRule="auto"/>
              <w:jc w:val="both"/>
              <w:rPr>
                <w:sz w:val="18"/>
              </w:rPr>
            </w:pPr>
            <w:r w:rsidRPr="00101FFC">
              <w:rPr>
                <w:sz w:val="18"/>
              </w:rPr>
              <w:t>1975</w:t>
            </w:r>
          </w:p>
        </w:tc>
      </w:tr>
      <w:tr w:rsidR="00636F46" w:rsidRPr="00E47DD9" w14:paraId="4F8115CE"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A105571" w14:textId="77777777" w:rsidR="00636F46" w:rsidRPr="00101FFC" w:rsidRDefault="00636F46" w:rsidP="00020D20">
            <w:pPr>
              <w:spacing w:before="0" w:after="0" w:line="240" w:lineRule="auto"/>
              <w:jc w:val="both"/>
              <w:rPr>
                <w:sz w:val="18"/>
              </w:rPr>
            </w:pPr>
            <w:r w:rsidRPr="00101FFC">
              <w:rPr>
                <w:sz w:val="18"/>
              </w:rPr>
              <w:t>Hosted/Independent COG</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FAA9E1F" w14:textId="77777777" w:rsidR="00636F46" w:rsidRPr="00101FFC" w:rsidRDefault="00636F46" w:rsidP="00020D20">
            <w:pPr>
              <w:spacing w:before="0" w:after="0" w:line="240" w:lineRule="auto"/>
              <w:jc w:val="both"/>
              <w:rPr>
                <w:sz w:val="18"/>
              </w:rPr>
            </w:pPr>
            <w:r w:rsidRPr="00101FFC">
              <w:rPr>
                <w:sz w:val="18"/>
              </w:rPr>
              <w:t>Independent</w:t>
            </w:r>
          </w:p>
        </w:tc>
      </w:tr>
      <w:tr w:rsidR="00636F46" w:rsidRPr="00E47DD9" w14:paraId="332C6ED5"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CABF4F9" w14:textId="77777777" w:rsidR="00636F46" w:rsidRPr="00101FFC" w:rsidRDefault="00636F46" w:rsidP="00020D20">
            <w:pPr>
              <w:spacing w:before="0" w:after="0" w:line="240" w:lineRule="auto"/>
              <w:jc w:val="both"/>
              <w:rPr>
                <w:sz w:val="18"/>
              </w:rPr>
            </w:pPr>
            <w:r w:rsidRPr="00101FFC">
              <w:rPr>
                <w:sz w:val="18"/>
              </w:rPr>
              <w:t>Land Area (sq. mi.)</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BE1DEC8" w14:textId="77777777" w:rsidR="00636F46" w:rsidRPr="00101FFC" w:rsidRDefault="00636F46" w:rsidP="00020D20">
            <w:pPr>
              <w:spacing w:before="0" w:after="0" w:line="240" w:lineRule="auto"/>
              <w:jc w:val="both"/>
              <w:rPr>
                <w:sz w:val="18"/>
              </w:rPr>
            </w:pPr>
            <w:r w:rsidRPr="00101FFC">
              <w:rPr>
                <w:sz w:val="18"/>
              </w:rPr>
              <w:t>47,046</w:t>
            </w:r>
          </w:p>
        </w:tc>
      </w:tr>
      <w:tr w:rsidR="00636F46" w:rsidRPr="00E47DD9" w14:paraId="2F6763ED"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AA4A27E" w14:textId="77777777" w:rsidR="00636F46" w:rsidRPr="00101FFC" w:rsidRDefault="00636F46" w:rsidP="00020D20">
            <w:pPr>
              <w:spacing w:before="0" w:after="0" w:line="240" w:lineRule="auto"/>
              <w:jc w:val="both"/>
              <w:rPr>
                <w:sz w:val="18"/>
              </w:rPr>
            </w:pPr>
            <w:r w:rsidRPr="00101FFC">
              <w:rPr>
                <w:sz w:val="18"/>
              </w:rPr>
              <w:t>2018 Population</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8FA8FB2" w14:textId="77777777" w:rsidR="00636F46" w:rsidRPr="00101FFC" w:rsidRDefault="00636F46" w:rsidP="00020D20">
            <w:pPr>
              <w:spacing w:before="0" w:after="0" w:line="240" w:lineRule="auto"/>
              <w:jc w:val="both"/>
              <w:rPr>
                <w:sz w:val="18"/>
              </w:rPr>
            </w:pPr>
            <w:r w:rsidRPr="00101FFC">
              <w:rPr>
                <w:sz w:val="18"/>
              </w:rPr>
              <w:t>329,786</w:t>
            </w:r>
          </w:p>
        </w:tc>
      </w:tr>
      <w:tr w:rsidR="00636F46" w:rsidRPr="00E47DD9" w14:paraId="159828BA"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C7140C8" w14:textId="77777777" w:rsidR="00636F46" w:rsidRPr="00101FFC" w:rsidRDefault="00636F46" w:rsidP="00020D20">
            <w:pPr>
              <w:spacing w:before="0" w:after="0" w:line="240" w:lineRule="auto"/>
              <w:jc w:val="both"/>
              <w:rPr>
                <w:sz w:val="18"/>
              </w:rPr>
            </w:pPr>
            <w:r w:rsidRPr="00101FFC">
              <w:rPr>
                <w:sz w:val="18"/>
              </w:rPr>
              <w:t>Counties</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FCF0FA7" w14:textId="77777777" w:rsidR="00636F46" w:rsidRPr="00101FFC" w:rsidRDefault="00636F46" w:rsidP="00020D20">
            <w:pPr>
              <w:spacing w:before="0" w:after="0" w:line="240" w:lineRule="auto"/>
              <w:jc w:val="both"/>
              <w:rPr>
                <w:sz w:val="18"/>
              </w:rPr>
            </w:pPr>
            <w:r w:rsidRPr="00101FFC">
              <w:rPr>
                <w:sz w:val="18"/>
              </w:rPr>
              <w:t>4 | Apache, Coconino, Navajo, Yavapai</w:t>
            </w:r>
          </w:p>
        </w:tc>
      </w:tr>
      <w:tr w:rsidR="00636F46" w:rsidRPr="00E47DD9" w14:paraId="5453895C"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95F1DBF" w14:textId="77777777" w:rsidR="00636F46" w:rsidRPr="00101FFC" w:rsidRDefault="00636F46" w:rsidP="00020D20">
            <w:pPr>
              <w:spacing w:before="0" w:after="0" w:line="240" w:lineRule="auto"/>
              <w:jc w:val="both"/>
              <w:rPr>
                <w:sz w:val="18"/>
              </w:rPr>
            </w:pPr>
            <w:r w:rsidRPr="00101FFC">
              <w:rPr>
                <w:sz w:val="18"/>
              </w:rPr>
              <w:t>Number of Municipalities</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104E861" w14:textId="77777777" w:rsidR="00636F46" w:rsidRPr="00101FFC" w:rsidRDefault="00636F46" w:rsidP="00020D20">
            <w:pPr>
              <w:spacing w:before="0" w:after="0" w:line="240" w:lineRule="auto"/>
              <w:jc w:val="both"/>
              <w:rPr>
                <w:sz w:val="18"/>
              </w:rPr>
            </w:pPr>
            <w:r w:rsidRPr="00101FFC">
              <w:rPr>
                <w:sz w:val="18"/>
              </w:rPr>
              <w:t>22</w:t>
            </w:r>
          </w:p>
        </w:tc>
      </w:tr>
      <w:tr w:rsidR="00636F46" w:rsidRPr="00E47DD9" w14:paraId="7ECE37BE"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3C96A23" w14:textId="77777777" w:rsidR="00636F46" w:rsidRPr="00101FFC" w:rsidRDefault="00636F46" w:rsidP="00020D20">
            <w:pPr>
              <w:spacing w:before="0" w:after="0" w:line="240" w:lineRule="auto"/>
              <w:jc w:val="both"/>
              <w:rPr>
                <w:sz w:val="18"/>
              </w:rPr>
            </w:pPr>
            <w:r w:rsidRPr="00101FFC">
              <w:rPr>
                <w:sz w:val="18"/>
              </w:rPr>
              <w:t>Tribal Partner Agencies</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0F980C8" w14:textId="77777777" w:rsidR="00636F46" w:rsidRPr="00101FFC" w:rsidRDefault="00636F46" w:rsidP="00020D20">
            <w:pPr>
              <w:spacing w:before="0" w:after="0" w:line="240" w:lineRule="auto"/>
              <w:jc w:val="both"/>
              <w:rPr>
                <w:sz w:val="18"/>
              </w:rPr>
            </w:pPr>
            <w:r w:rsidRPr="00101FFC">
              <w:rPr>
                <w:sz w:val="18"/>
              </w:rPr>
              <w:t>7 | Navajo Nation, Hopi Tribe, Havasupai Tribe, Hualapai Tribe, Kaibab Band of Paiute Indians, White Mountain Apache Tribe, Pueblo of Zuni</w:t>
            </w:r>
          </w:p>
        </w:tc>
      </w:tr>
      <w:tr w:rsidR="00636F46" w:rsidRPr="00E47DD9" w14:paraId="5BA6C3A5"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83D71FB" w14:textId="77777777" w:rsidR="00636F46" w:rsidRPr="00101FFC" w:rsidRDefault="00636F46" w:rsidP="00020D20">
            <w:pPr>
              <w:spacing w:before="0" w:after="0" w:line="240" w:lineRule="auto"/>
              <w:jc w:val="both"/>
              <w:rPr>
                <w:sz w:val="18"/>
              </w:rPr>
            </w:pPr>
            <w:r w:rsidRPr="00101FFC">
              <w:rPr>
                <w:sz w:val="18"/>
              </w:rPr>
              <w:t>Primary Travel Corridors</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84A763C" w14:textId="77777777" w:rsidR="00636F46" w:rsidRPr="00101FFC" w:rsidRDefault="00636F46" w:rsidP="00020D20">
            <w:pPr>
              <w:spacing w:before="0" w:after="0" w:line="240" w:lineRule="auto"/>
              <w:jc w:val="both"/>
              <w:rPr>
                <w:sz w:val="18"/>
              </w:rPr>
            </w:pPr>
            <w:r w:rsidRPr="00101FFC">
              <w:rPr>
                <w:sz w:val="18"/>
              </w:rPr>
              <w:t>10 | Interstates: I-40, I-17. US Routes: US 60, US 163, US 180. State Routes: SR 64, SR 73, SR 77, SR 98, SR 260.</w:t>
            </w:r>
          </w:p>
        </w:tc>
      </w:tr>
      <w:tr w:rsidR="00636F46" w:rsidRPr="00E47DD9" w14:paraId="7CFA897B"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7AC87DB" w14:textId="77777777" w:rsidR="00636F46" w:rsidRPr="00101FFC" w:rsidRDefault="00636F46" w:rsidP="00020D20">
            <w:pPr>
              <w:spacing w:before="0" w:after="0" w:line="240" w:lineRule="auto"/>
              <w:jc w:val="both"/>
              <w:rPr>
                <w:sz w:val="18"/>
              </w:rPr>
            </w:pPr>
            <w:r w:rsidRPr="00101FFC">
              <w:rPr>
                <w:sz w:val="18"/>
              </w:rPr>
              <w:t>Transit</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0E49A27" w14:textId="77777777" w:rsidR="00636F46" w:rsidRPr="00101FFC" w:rsidRDefault="00636F46" w:rsidP="00020D20">
            <w:pPr>
              <w:spacing w:before="0" w:after="0" w:line="240" w:lineRule="auto"/>
              <w:jc w:val="both"/>
              <w:rPr>
                <w:sz w:val="18"/>
              </w:rPr>
            </w:pPr>
            <w:r w:rsidRPr="00101FFC">
              <w:rPr>
                <w:sz w:val="18"/>
              </w:rPr>
              <w:t>Yes</w:t>
            </w:r>
          </w:p>
        </w:tc>
      </w:tr>
      <w:tr w:rsidR="00636F46" w:rsidRPr="00E47DD9" w14:paraId="4D5317DC"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279202E" w14:textId="77777777" w:rsidR="00636F46" w:rsidRPr="00101FFC" w:rsidRDefault="00636F46" w:rsidP="00020D20">
            <w:pPr>
              <w:spacing w:before="0" w:after="0" w:line="240" w:lineRule="auto"/>
              <w:jc w:val="both"/>
              <w:rPr>
                <w:sz w:val="18"/>
              </w:rPr>
            </w:pPr>
            <w:r w:rsidRPr="00101FFC">
              <w:rPr>
                <w:sz w:val="18"/>
              </w:rPr>
              <w:t>Airport</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BD45F26" w14:textId="77777777" w:rsidR="00636F46" w:rsidRPr="00101FFC" w:rsidRDefault="00636F46" w:rsidP="00020D20">
            <w:pPr>
              <w:spacing w:before="0" w:after="0" w:line="240" w:lineRule="auto"/>
              <w:jc w:val="both"/>
              <w:rPr>
                <w:sz w:val="18"/>
              </w:rPr>
            </w:pPr>
            <w:r w:rsidRPr="00101FFC">
              <w:rPr>
                <w:sz w:val="18"/>
              </w:rPr>
              <w:t>Yes</w:t>
            </w:r>
          </w:p>
        </w:tc>
      </w:tr>
      <w:tr w:rsidR="00636F46" w:rsidRPr="00E47DD9" w14:paraId="7C73C98B" w14:textId="77777777" w:rsidTr="00636F46">
        <w:trPr>
          <w:trHeight w:val="20"/>
        </w:trPr>
        <w:tc>
          <w:tcPr>
            <w:tcW w:w="28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7C731DC" w14:textId="77777777" w:rsidR="00636F46" w:rsidRPr="00101FFC" w:rsidRDefault="00636F46">
            <w:pPr>
              <w:spacing w:before="0" w:after="0" w:line="240" w:lineRule="auto"/>
              <w:rPr>
                <w:sz w:val="18"/>
              </w:rPr>
            </w:pPr>
            <w:r w:rsidRPr="00101FFC">
              <w:rPr>
                <w:sz w:val="18"/>
              </w:rPr>
              <w:t>Air Quality Nonattainment or Maintenance</w:t>
            </w:r>
          </w:p>
        </w:tc>
        <w:tc>
          <w:tcPr>
            <w:tcW w:w="765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FD07DB7" w14:textId="77777777" w:rsidR="00636F46" w:rsidRPr="00101FFC" w:rsidRDefault="00636F46" w:rsidP="00020D20">
            <w:pPr>
              <w:spacing w:before="0" w:after="0" w:line="240" w:lineRule="auto"/>
              <w:jc w:val="both"/>
              <w:rPr>
                <w:sz w:val="18"/>
              </w:rPr>
            </w:pPr>
            <w:r w:rsidRPr="00101FFC">
              <w:rPr>
                <w:sz w:val="18"/>
              </w:rPr>
              <w:t>None</w:t>
            </w:r>
          </w:p>
        </w:tc>
      </w:tr>
    </w:tbl>
    <w:p w14:paraId="4773E625" w14:textId="77777777" w:rsidR="00EA4B19" w:rsidRDefault="00EA4B19" w:rsidP="00020D20">
      <w:bookmarkStart w:id="42" w:name="_Ref50023332"/>
      <w:r>
        <w:br w:type="page"/>
      </w:r>
    </w:p>
    <w:bookmarkStart w:id="43" w:name="_Ref57985867"/>
    <w:p w14:paraId="0107C147" w14:textId="3929FB72" w:rsidR="00636F46" w:rsidRPr="002F17FB" w:rsidRDefault="00636F46" w:rsidP="00020D20">
      <w:pPr>
        <w:pStyle w:val="BodyTextTitle"/>
        <w:rPr>
          <w:color w:val="auto"/>
        </w:rPr>
      </w:pPr>
      <w:r w:rsidRPr="003707B0">
        <w:rPr>
          <w:noProof/>
        </w:rPr>
        <mc:AlternateContent>
          <mc:Choice Requires="wps">
            <w:drawing>
              <wp:anchor distT="0" distB="0" distL="114300" distR="114300" simplePos="0" relativeHeight="251618571" behindDoc="0" locked="0" layoutInCell="1" allowOverlap="1" wp14:anchorId="64BC48E8" wp14:editId="359F37EA">
                <wp:simplePos x="0" y="0"/>
                <wp:positionH relativeFrom="column">
                  <wp:posOffset>2689860</wp:posOffset>
                </wp:positionH>
                <wp:positionV relativeFrom="paragraph">
                  <wp:posOffset>410416</wp:posOffset>
                </wp:positionV>
                <wp:extent cx="2689860" cy="318770"/>
                <wp:effectExtent l="0" t="0" r="0" b="5080"/>
                <wp:wrapNone/>
                <wp:docPr id="1690911558" name="Text Box 1690911558"/>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6ECD189" w14:textId="77777777" w:rsidR="00C6444C" w:rsidRPr="00101FFC" w:rsidRDefault="00C6444C" w:rsidP="00636F46">
                            <w:pPr>
                              <w:pStyle w:val="Heading4"/>
                            </w:pPr>
                            <w:r w:rsidRPr="00101FFC">
                              <w:t>Figure 1-</w:t>
                            </w:r>
                            <w:r>
                              <w:t>12</w:t>
                            </w:r>
                            <w:r w:rsidRPr="00101FFC">
                              <w:t xml:space="preserve"> |</w:t>
                            </w:r>
                            <w:r>
                              <w:t xml:space="preserve"> SEAGO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64BC48E8" id="Text Box 1690911558" o:spid="_x0000_s1065" type="#_x0000_t202" style="position:absolute;margin-left:211.8pt;margin-top:32.3pt;width:211.8pt;height:25.1pt;z-index:2516185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" filled="f" stroked="f" strokeweight="1pt">
                <v:textbox>
                  <w:txbxContent>
                    <w:p w14:paraId="76ECD189" w14:textId="77777777" w:rsidR="00C6444C" w:rsidRPr="00101FFC" w:rsidRDefault="00C6444C" w:rsidP="00636F46">
                      <w:pPr>
                        <w:pStyle w:val="Heading4"/>
                      </w:pPr>
                      <w:r w:rsidRPr="00101FFC">
                        <w:t>Figure 1-</w:t>
                      </w:r>
                      <w:r>
                        <w:t>12</w:t>
                      </w:r>
                      <w:r w:rsidRPr="00101FFC">
                        <w:t xml:space="preserve"> |</w:t>
                      </w:r>
                      <w:r>
                        <w:t xml:space="preserve"> SEAGO Regional Area</w:t>
                      </w:r>
                    </w:p>
                  </w:txbxContent>
                </v:textbox>
              </v:shape>
            </w:pict>
          </mc:Fallback>
        </mc:AlternateContent>
      </w:r>
      <w:r w:rsidRPr="00E6302D">
        <w:t xml:space="preserve">Southeastern Arizona </w:t>
      </w:r>
      <w:r w:rsidRPr="004D5079">
        <w:t>Governments Organization (SEAGO)</w:t>
      </w:r>
      <w:bookmarkEnd w:id="42"/>
      <w:bookmarkEnd w:id="43"/>
    </w:p>
    <w:p w14:paraId="218E63F0" w14:textId="0E753ABC" w:rsidR="00636F46" w:rsidRDefault="00636F46" w:rsidP="00020D20">
      <w:pPr>
        <w:jc w:val="both"/>
        <w:rPr>
          <w:b/>
        </w:rPr>
      </w:pPr>
      <w:r>
        <w:rPr>
          <w:b/>
          <w:noProof/>
        </w:rPr>
        <w:drawing>
          <wp:anchor distT="0" distB="0" distL="114300" distR="114300" simplePos="0" relativeHeight="251618569" behindDoc="1" locked="0" layoutInCell="1" allowOverlap="1" wp14:anchorId="5EF397BE" wp14:editId="3830E5EC">
            <wp:simplePos x="0" y="0"/>
            <wp:positionH relativeFrom="column">
              <wp:posOffset>2601595</wp:posOffset>
            </wp:positionH>
            <wp:positionV relativeFrom="paragraph">
              <wp:posOffset>56515</wp:posOffset>
            </wp:positionV>
            <wp:extent cx="3804920" cy="3338195"/>
            <wp:effectExtent l="0" t="0" r="5080" b="0"/>
            <wp:wrapSquare wrapText="bothSides"/>
            <wp:docPr id="1690911777" name="Picture 169091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_Map2-SEAGO REDUCED.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804920" cy="3338195"/>
                    </a:xfrm>
                    <a:prstGeom prst="rect">
                      <a:avLst/>
                    </a:prstGeom>
                  </pic:spPr>
                </pic:pic>
              </a:graphicData>
            </a:graphic>
            <wp14:sizeRelH relativeFrom="page">
              <wp14:pctWidth>0</wp14:pctWidth>
            </wp14:sizeRelH>
            <wp14:sizeRelV relativeFrom="page">
              <wp14:pctHeight>0</wp14:pctHeight>
            </wp14:sizeRelV>
          </wp:anchor>
        </w:drawing>
      </w:r>
      <w:r w:rsidRPr="00E47DD9">
        <w:t>S</w:t>
      </w:r>
      <w:r>
        <w:t>outh Eastern Arizona Governments Organization</w:t>
      </w:r>
      <w:r w:rsidRPr="00E47DD9">
        <w:t xml:space="preserve"> is a rural regional planning agency for the area consisting of Cochise, Graham, Greenlee, and Santa Cruz counties. Its 19-member jurisdictions include the four counties, 14 municipalities, and the San Carlos Apache Tribe. The SEAGO region, as shown in </w:t>
      </w:r>
      <w:r w:rsidR="00DC0C98">
        <w:t>F</w:t>
      </w:r>
      <w:r w:rsidRPr="00E47DD9">
        <w:t>igure 1-12, has a combined area of 13,946 square miles.</w:t>
      </w:r>
    </w:p>
    <w:p w14:paraId="6E9CA8EE" w14:textId="77777777" w:rsidR="00636F46" w:rsidRDefault="00636F46" w:rsidP="00020D20">
      <w:pPr>
        <w:jc w:val="both"/>
      </w:pPr>
    </w:p>
    <w:p w14:paraId="0B09A764" w14:textId="77777777" w:rsidR="00636F46" w:rsidRDefault="00636F46" w:rsidP="00020D20">
      <w:pPr>
        <w:jc w:val="both"/>
      </w:pPr>
    </w:p>
    <w:p w14:paraId="0C675902" w14:textId="77777777" w:rsidR="00636F46" w:rsidRDefault="00636F46" w:rsidP="00020D20">
      <w:pPr>
        <w:jc w:val="both"/>
      </w:pPr>
    </w:p>
    <w:p w14:paraId="73CE659C" w14:textId="77777777" w:rsidR="00636F46" w:rsidRDefault="00636F46" w:rsidP="00020D20">
      <w:pPr>
        <w:jc w:val="both"/>
      </w:pPr>
    </w:p>
    <w:p w14:paraId="501D013D" w14:textId="77777777" w:rsidR="00636F46" w:rsidRDefault="00636F46" w:rsidP="00020D20">
      <w:pPr>
        <w:jc w:val="both"/>
      </w:pPr>
    </w:p>
    <w:p w14:paraId="03C56CD6" w14:textId="77777777" w:rsidR="00636F46" w:rsidRDefault="00636F46" w:rsidP="00020D20">
      <w:pPr>
        <w:jc w:val="both"/>
      </w:pPr>
    </w:p>
    <w:p w14:paraId="47ED01E4" w14:textId="77777777" w:rsidR="00636F46" w:rsidRPr="00A4319C" w:rsidRDefault="00636F46" w:rsidP="00020D20">
      <w:pPr>
        <w:pStyle w:val="Heading4"/>
        <w:jc w:val="both"/>
      </w:pPr>
      <w:r>
        <w:rPr>
          <w:rFonts w:cstheme="minorHAnsi"/>
          <w:noProof/>
        </w:rPr>
        <mc:AlternateContent>
          <mc:Choice Requires="wps">
            <w:drawing>
              <wp:anchor distT="0" distB="0" distL="114300" distR="114300" simplePos="0" relativeHeight="251618593" behindDoc="0" locked="0" layoutInCell="1" allowOverlap="1" wp14:anchorId="284746E4" wp14:editId="46F16760">
                <wp:simplePos x="0" y="0"/>
                <wp:positionH relativeFrom="column">
                  <wp:posOffset>4714875</wp:posOffset>
                </wp:positionH>
                <wp:positionV relativeFrom="paragraph">
                  <wp:posOffset>2391409</wp:posOffset>
                </wp:positionV>
                <wp:extent cx="1343025" cy="1438275"/>
                <wp:effectExtent l="76200" t="95250" r="85725" b="104775"/>
                <wp:wrapNone/>
                <wp:docPr id="1690911559" name="Text Box 1690911559"/>
                <wp:cNvGraphicFramePr/>
                <a:graphic xmlns:a="http://schemas.openxmlformats.org/drawingml/2006/main">
                  <a:graphicData uri="http://schemas.microsoft.com/office/word/2010/wordprocessingShape">
                    <wps:wsp>
                      <wps:cNvSpPr txBox="1"/>
                      <wps:spPr>
                        <a:xfrm>
                          <a:off x="0" y="0"/>
                          <a:ext cx="1343025" cy="14382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681BC61" w14:textId="77777777" w:rsidR="00C6444C" w:rsidRDefault="00C6444C" w:rsidP="00636F46">
                            <w:pPr>
                              <w:jc w:val="center"/>
                            </w:pPr>
                            <w:r>
                              <w:rPr>
                                <w:noProof/>
                              </w:rPr>
                              <w:drawing>
                                <wp:inline distT="0" distB="0" distL="0" distR="0" wp14:anchorId="1FDF12BD" wp14:editId="4BDE911C">
                                  <wp:extent cx="457200" cy="457200"/>
                                  <wp:effectExtent l="0" t="0" r="0" b="0"/>
                                  <wp:docPr id="1690912498" name="Picture 1690912498">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A248904" w14:textId="77777777" w:rsidR="00C6444C" w:rsidRDefault="00C6444C" w:rsidP="00636F46">
                            <w:pPr>
                              <w:pStyle w:val="Calloutboxes"/>
                            </w:pPr>
                            <w:r>
                              <w:t>SEAGO</w:t>
                            </w:r>
                          </w:p>
                          <w:p w14:paraId="36A925A3" w14:textId="77777777" w:rsidR="00C6444C" w:rsidRDefault="00C6444C" w:rsidP="00636F46">
                            <w:pPr>
                              <w:pStyle w:val="Calloutboxes"/>
                            </w:pPr>
                            <w:r>
                              <w:t>1403 W. Hwy. 92</w:t>
                            </w:r>
                          </w:p>
                          <w:p w14:paraId="1215A720" w14:textId="77777777" w:rsidR="00C6444C" w:rsidRDefault="00C6444C" w:rsidP="00636F46">
                            <w:pPr>
                              <w:pStyle w:val="Calloutboxes"/>
                            </w:pPr>
                            <w:r>
                              <w:t>Bisbee, AZ 85603</w:t>
                            </w:r>
                          </w:p>
                          <w:p w14:paraId="63B91FFC" w14:textId="77777777" w:rsidR="00C6444C" w:rsidRDefault="00C6444C" w:rsidP="00636F46">
                            <w:pPr>
                              <w:pStyle w:val="Calloutboxes"/>
                            </w:pPr>
                            <w:r>
                              <w:t>#: 520-432-5301</w:t>
                            </w:r>
                          </w:p>
                          <w:p w14:paraId="500CEA93" w14:textId="77777777" w:rsidR="00C6444C" w:rsidRPr="00101FFC" w:rsidRDefault="00202C92" w:rsidP="00636F46">
                            <w:pPr>
                              <w:pStyle w:val="Title"/>
                              <w:rPr>
                                <w:sz w:val="16"/>
                                <w:szCs w:val="16"/>
                              </w:rPr>
                            </w:pPr>
                            <w:hyperlink r:id="rId130" w:history="1">
                              <w:r w:rsidR="00C6444C" w:rsidRPr="00101FFC">
                                <w:rPr>
                                  <w:rStyle w:val="Hyperlink"/>
                                  <w:rFonts w:ascii="Calibri" w:hAnsi="Calibri" w:cstheme="majorBidi"/>
                                  <w:i/>
                                  <w:iCs w:val="0"/>
                                  <w:color w:val="CE5B18"/>
                                  <w:u w:val="none"/>
                                </w:rPr>
                                <w:t>https://www.seago.org/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4746E4" id="Text Box 1690911559" o:spid="_x0000_s1066" type="#_x0000_t202" style="position:absolute;left:0;text-align:left;margin-left:371.25pt;margin-top:188.3pt;width:105.75pt;height:113.25pt;z-index:251618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" fillcolor="#f7f7f7" stroked="f" strokeweight=".5pt">
                <v:shadow on="t" type="perspective" color="black" opacity="26214f" offset="0,0" matrix="66847f,,,66847f"/>
                <v:textbox>
                  <w:txbxContent>
                    <w:p w14:paraId="1681BC61" w14:textId="77777777" w:rsidR="00C6444C" w:rsidRDefault="00C6444C" w:rsidP="00636F46">
                      <w:pPr>
                        <w:jc w:val="center"/>
                      </w:pPr>
                      <w:r>
                        <w:rPr>
                          <w:noProof/>
                        </w:rPr>
                        <w:drawing>
                          <wp:inline distT="0" distB="0" distL="0" distR="0" wp14:anchorId="1FDF12BD" wp14:editId="4BDE911C">
                            <wp:extent cx="457200" cy="457200"/>
                            <wp:effectExtent l="0" t="0" r="0" b="0"/>
                            <wp:docPr id="1690912498" name="Picture 1690912498">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A248904" w14:textId="77777777" w:rsidR="00C6444C" w:rsidRDefault="00C6444C" w:rsidP="00636F46">
                      <w:pPr>
                        <w:pStyle w:val="Calloutboxes"/>
                      </w:pPr>
                      <w:r>
                        <w:t>SEAGO</w:t>
                      </w:r>
                    </w:p>
                    <w:p w14:paraId="36A925A3" w14:textId="77777777" w:rsidR="00C6444C" w:rsidRDefault="00C6444C" w:rsidP="00636F46">
                      <w:pPr>
                        <w:pStyle w:val="Calloutboxes"/>
                      </w:pPr>
                      <w:r>
                        <w:t>1403 W. Hwy. 92</w:t>
                      </w:r>
                    </w:p>
                    <w:p w14:paraId="1215A720" w14:textId="77777777" w:rsidR="00C6444C" w:rsidRDefault="00C6444C" w:rsidP="00636F46">
                      <w:pPr>
                        <w:pStyle w:val="Calloutboxes"/>
                      </w:pPr>
                      <w:r>
                        <w:t>Bisbee, AZ 85603</w:t>
                      </w:r>
                    </w:p>
                    <w:p w14:paraId="63B91FFC" w14:textId="77777777" w:rsidR="00C6444C" w:rsidRDefault="00C6444C" w:rsidP="00636F46">
                      <w:pPr>
                        <w:pStyle w:val="Calloutboxes"/>
                      </w:pPr>
                      <w:r>
                        <w:t>#: 520-432-5301</w:t>
                      </w:r>
                    </w:p>
                    <w:p w14:paraId="500CEA93" w14:textId="77777777" w:rsidR="00C6444C" w:rsidRPr="00101FFC" w:rsidRDefault="00576D31" w:rsidP="00636F46">
                      <w:pPr>
                        <w:pStyle w:val="Title"/>
                        <w:rPr>
                          <w:sz w:val="16"/>
                          <w:szCs w:val="16"/>
                        </w:rPr>
                      </w:pPr>
                      <w:hyperlink r:id="rId132" w:history="1">
                        <w:r w:rsidR="00C6444C" w:rsidRPr="00101FFC">
                          <w:rPr>
                            <w:rStyle w:val="Hyperlink"/>
                            <w:rFonts w:ascii="Calibri" w:hAnsi="Calibri" w:cstheme="majorBidi"/>
                            <w:i/>
                            <w:iCs w:val="0"/>
                            <w:color w:val="CE5B18"/>
                            <w:u w:val="none"/>
                          </w:rPr>
                          <w:t>https://www.seago.org/</w:t>
                        </w:r>
                      </w:hyperlink>
                    </w:p>
                  </w:txbxContent>
                </v:textbox>
              </v:shape>
            </w:pict>
          </mc:Fallback>
        </mc:AlternateContent>
      </w:r>
      <w:r>
        <w:rPr>
          <w:noProof/>
        </w:rPr>
        <w:drawing>
          <wp:anchor distT="0" distB="0" distL="114300" distR="114300" simplePos="0" relativeHeight="251618570" behindDoc="0" locked="0" layoutInCell="1" allowOverlap="1" wp14:anchorId="6A43CC29" wp14:editId="3617A325">
            <wp:simplePos x="0" y="0"/>
            <wp:positionH relativeFrom="column">
              <wp:posOffset>4667609</wp:posOffset>
            </wp:positionH>
            <wp:positionV relativeFrom="paragraph">
              <wp:posOffset>492760</wp:posOffset>
            </wp:positionV>
            <wp:extent cx="1343025" cy="1579667"/>
            <wp:effectExtent l="0" t="0" r="0" b="1905"/>
            <wp:wrapNone/>
            <wp:docPr id="1690911778" name="Picture 169091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_Map-SEAGO REDUCED.jpg"/>
                    <pic:cNvPicPr/>
                  </pic:nvPicPr>
                  <pic:blipFill>
                    <a:blip r:embed="rId133" cstate="hqprint">
                      <a:extLst>
                        <a:ext uri="{28A0092B-C50C-407E-A947-70E740481C1C}">
                          <a14:useLocalDpi xmlns:a14="http://schemas.microsoft.com/office/drawing/2010/main" val="0"/>
                        </a:ext>
                      </a:extLst>
                    </a:blip>
                    <a:stretch>
                      <a:fillRect/>
                    </a:stretch>
                  </pic:blipFill>
                  <pic:spPr>
                    <a:xfrm>
                      <a:off x="0" y="0"/>
                      <a:ext cx="1343025" cy="1579667"/>
                    </a:xfrm>
                    <a:prstGeom prst="rect">
                      <a:avLst/>
                    </a:prstGeom>
                  </pic:spPr>
                </pic:pic>
              </a:graphicData>
            </a:graphic>
            <wp14:sizeRelH relativeFrom="page">
              <wp14:pctWidth>0</wp14:pctWidth>
            </wp14:sizeRelH>
            <wp14:sizeRelV relativeFrom="page">
              <wp14:pctHeight>0</wp14:pctHeight>
            </wp14:sizeRelV>
          </wp:anchor>
        </w:drawing>
      </w:r>
      <w:r w:rsidRPr="00E47DD9">
        <w:t>Table 1-14 | SEAGO Statistics</w:t>
      </w:r>
    </w:p>
    <w:tbl>
      <w:tblPr>
        <w:tblW w:w="0" w:type="auto"/>
        <w:tblInd w:w="-10" w:type="dxa"/>
        <w:tblLayout w:type="fixed"/>
        <w:tblCellMar>
          <w:left w:w="0" w:type="dxa"/>
          <w:right w:w="0" w:type="dxa"/>
        </w:tblCellMar>
        <w:tblLook w:val="0000" w:firstRow="0" w:lastRow="0" w:firstColumn="0" w:lastColumn="0" w:noHBand="0" w:noVBand="0"/>
      </w:tblPr>
      <w:tblGrid>
        <w:gridCol w:w="3060"/>
        <w:gridCol w:w="3690"/>
      </w:tblGrid>
      <w:tr w:rsidR="00636F46" w:rsidRPr="00E47DD9" w14:paraId="2A1292DC" w14:textId="77777777" w:rsidTr="00020D20">
        <w:trPr>
          <w:trHeight w:val="20"/>
        </w:trPr>
        <w:tc>
          <w:tcPr>
            <w:tcW w:w="675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6A6E71D9" w14:textId="72A9D1EE" w:rsidR="00636F46" w:rsidRPr="00101FFC" w:rsidRDefault="00636F46">
            <w:pPr>
              <w:spacing w:before="0" w:after="0" w:line="240" w:lineRule="auto"/>
              <w:jc w:val="center"/>
              <w:rPr>
                <w:sz w:val="22"/>
              </w:rPr>
            </w:pPr>
            <w:r w:rsidRPr="00101FFC">
              <w:rPr>
                <w:sz w:val="22"/>
              </w:rPr>
              <w:t xml:space="preserve">Southeastern Arizona Governments Organization </w:t>
            </w:r>
            <w:r w:rsidR="005070BF">
              <w:rPr>
                <w:sz w:val="22"/>
              </w:rPr>
              <w:t>–</w:t>
            </w:r>
            <w:r w:rsidRPr="00101FFC">
              <w:rPr>
                <w:sz w:val="22"/>
              </w:rPr>
              <w:t xml:space="preserve"> SEAGO</w:t>
            </w:r>
          </w:p>
        </w:tc>
      </w:tr>
      <w:tr w:rsidR="00636F46" w:rsidRPr="00E47DD9" w14:paraId="18539002" w14:textId="77777777" w:rsidTr="00020D20">
        <w:trPr>
          <w:trHeight w:val="144"/>
        </w:trPr>
        <w:tc>
          <w:tcPr>
            <w:tcW w:w="306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2598D385" w14:textId="77777777" w:rsidR="00636F46" w:rsidRPr="00101FFC" w:rsidRDefault="00636F46" w:rsidP="00020D20">
            <w:pPr>
              <w:spacing w:before="0" w:after="0" w:line="240" w:lineRule="auto"/>
              <w:jc w:val="both"/>
              <w:rPr>
                <w:sz w:val="18"/>
              </w:rPr>
            </w:pPr>
            <w:r w:rsidRPr="00101FFC">
              <w:rPr>
                <w:sz w:val="18"/>
              </w:rPr>
              <w:t>Year Established</w:t>
            </w:r>
          </w:p>
        </w:tc>
        <w:tc>
          <w:tcPr>
            <w:tcW w:w="369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72F767BC" w14:textId="77777777" w:rsidR="00636F46" w:rsidRPr="00101FFC" w:rsidRDefault="00636F46" w:rsidP="00020D20">
            <w:pPr>
              <w:spacing w:before="0" w:after="0" w:line="240" w:lineRule="auto"/>
              <w:jc w:val="both"/>
              <w:rPr>
                <w:sz w:val="18"/>
              </w:rPr>
            </w:pPr>
            <w:r w:rsidRPr="00101FFC">
              <w:rPr>
                <w:sz w:val="18"/>
              </w:rPr>
              <w:t>1972</w:t>
            </w:r>
          </w:p>
        </w:tc>
      </w:tr>
      <w:tr w:rsidR="00636F46" w:rsidRPr="00E47DD9" w14:paraId="212246B7"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8C8682E" w14:textId="77777777" w:rsidR="00636F46" w:rsidRPr="00101FFC" w:rsidRDefault="00636F46" w:rsidP="00020D20">
            <w:pPr>
              <w:spacing w:before="0" w:after="0" w:line="240" w:lineRule="auto"/>
              <w:jc w:val="both"/>
              <w:rPr>
                <w:sz w:val="18"/>
              </w:rPr>
            </w:pPr>
            <w:r w:rsidRPr="00101FFC">
              <w:rPr>
                <w:sz w:val="18"/>
              </w:rPr>
              <w:t>Hosted/Independent MPO</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B51832E" w14:textId="77777777" w:rsidR="00636F46" w:rsidRPr="00101FFC" w:rsidRDefault="00636F46" w:rsidP="00020D20">
            <w:pPr>
              <w:spacing w:before="0" w:after="0" w:line="240" w:lineRule="auto"/>
              <w:jc w:val="both"/>
              <w:rPr>
                <w:sz w:val="18"/>
              </w:rPr>
            </w:pPr>
            <w:r w:rsidRPr="00101FFC">
              <w:rPr>
                <w:sz w:val="18"/>
              </w:rPr>
              <w:t>Hosted by City of Bisbee</w:t>
            </w:r>
          </w:p>
        </w:tc>
      </w:tr>
      <w:tr w:rsidR="00636F46" w:rsidRPr="00E47DD9" w14:paraId="46712837"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D814EE7" w14:textId="77777777" w:rsidR="00636F46" w:rsidRPr="00101FFC" w:rsidRDefault="00636F46" w:rsidP="00020D20">
            <w:pPr>
              <w:spacing w:before="0" w:after="0" w:line="240" w:lineRule="auto"/>
              <w:jc w:val="both"/>
              <w:rPr>
                <w:sz w:val="18"/>
              </w:rPr>
            </w:pPr>
            <w:r w:rsidRPr="00101FFC">
              <w:rPr>
                <w:sz w:val="18"/>
              </w:rPr>
              <w:t>Land Area (sq. mi.)</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4BCB4CF" w14:textId="77777777" w:rsidR="00636F46" w:rsidRPr="00101FFC" w:rsidRDefault="00636F46" w:rsidP="00020D20">
            <w:pPr>
              <w:spacing w:before="0" w:after="0" w:line="240" w:lineRule="auto"/>
              <w:jc w:val="both"/>
              <w:rPr>
                <w:sz w:val="18"/>
              </w:rPr>
            </w:pPr>
            <w:r w:rsidRPr="00101FFC">
              <w:rPr>
                <w:sz w:val="18"/>
              </w:rPr>
              <w:t>13,346</w:t>
            </w:r>
          </w:p>
        </w:tc>
      </w:tr>
      <w:tr w:rsidR="00636F46" w:rsidRPr="00E47DD9" w14:paraId="4F493248"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20969A" w14:textId="77777777" w:rsidR="00636F46" w:rsidRPr="00101FFC" w:rsidRDefault="00636F46" w:rsidP="00020D20">
            <w:pPr>
              <w:spacing w:before="0" w:after="0" w:line="240" w:lineRule="auto"/>
              <w:jc w:val="both"/>
              <w:rPr>
                <w:sz w:val="18"/>
              </w:rPr>
            </w:pPr>
            <w:r w:rsidRPr="00101FFC">
              <w:rPr>
                <w:sz w:val="18"/>
              </w:rPr>
              <w:t>2018 Population</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33E7CDE" w14:textId="77777777" w:rsidR="00636F46" w:rsidRPr="00101FFC" w:rsidRDefault="00636F46" w:rsidP="00020D20">
            <w:pPr>
              <w:spacing w:before="0" w:after="0" w:line="240" w:lineRule="auto"/>
              <w:jc w:val="both"/>
              <w:rPr>
                <w:sz w:val="18"/>
              </w:rPr>
            </w:pPr>
            <w:r w:rsidRPr="00101FFC">
              <w:rPr>
                <w:sz w:val="18"/>
              </w:rPr>
              <w:t>150,309</w:t>
            </w:r>
          </w:p>
        </w:tc>
      </w:tr>
      <w:tr w:rsidR="00636F46" w:rsidRPr="00E47DD9" w14:paraId="43D44D21"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61AC1A2" w14:textId="77777777" w:rsidR="00636F46" w:rsidRPr="00101FFC" w:rsidRDefault="00636F46" w:rsidP="00020D20">
            <w:pPr>
              <w:spacing w:before="0" w:after="0" w:line="240" w:lineRule="auto"/>
              <w:jc w:val="both"/>
              <w:rPr>
                <w:sz w:val="18"/>
              </w:rPr>
            </w:pPr>
            <w:r w:rsidRPr="00101FFC">
              <w:rPr>
                <w:sz w:val="18"/>
              </w:rPr>
              <w:t>Counties</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B8336A7" w14:textId="77777777" w:rsidR="00636F46" w:rsidRPr="00101FFC" w:rsidRDefault="00636F46" w:rsidP="00020D20">
            <w:pPr>
              <w:spacing w:before="0" w:after="0" w:line="240" w:lineRule="auto"/>
              <w:jc w:val="both"/>
              <w:rPr>
                <w:sz w:val="18"/>
              </w:rPr>
            </w:pPr>
            <w:r w:rsidRPr="00101FFC">
              <w:rPr>
                <w:sz w:val="18"/>
              </w:rPr>
              <w:t>4 | Cochise, Graham, Greenlee, Santa Cruz</w:t>
            </w:r>
          </w:p>
        </w:tc>
      </w:tr>
      <w:tr w:rsidR="00636F46" w:rsidRPr="00E47DD9" w14:paraId="0BDCCE85"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29FC820" w14:textId="77777777" w:rsidR="00636F46" w:rsidRPr="00101FFC" w:rsidRDefault="00636F46" w:rsidP="00020D20">
            <w:pPr>
              <w:spacing w:before="0" w:after="0" w:line="240" w:lineRule="auto"/>
              <w:jc w:val="both"/>
              <w:rPr>
                <w:sz w:val="18"/>
              </w:rPr>
            </w:pPr>
            <w:r w:rsidRPr="00101FFC">
              <w:rPr>
                <w:sz w:val="18"/>
              </w:rPr>
              <w:t>Number of Municipalities</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6CD4500" w14:textId="77777777" w:rsidR="00636F46" w:rsidRPr="00101FFC" w:rsidRDefault="00636F46" w:rsidP="00020D20">
            <w:pPr>
              <w:spacing w:before="0" w:after="0" w:line="240" w:lineRule="auto"/>
              <w:jc w:val="both"/>
              <w:rPr>
                <w:sz w:val="18"/>
              </w:rPr>
            </w:pPr>
            <w:r w:rsidRPr="00101FFC">
              <w:rPr>
                <w:sz w:val="18"/>
              </w:rPr>
              <w:t>14</w:t>
            </w:r>
          </w:p>
        </w:tc>
      </w:tr>
      <w:tr w:rsidR="00636F46" w:rsidRPr="00E47DD9" w14:paraId="6D7C5D27"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0EB7CAA" w14:textId="77777777" w:rsidR="00636F46" w:rsidRPr="00101FFC" w:rsidRDefault="00636F46" w:rsidP="00020D20">
            <w:pPr>
              <w:spacing w:before="0" w:after="0" w:line="240" w:lineRule="auto"/>
              <w:jc w:val="both"/>
              <w:rPr>
                <w:sz w:val="18"/>
              </w:rPr>
            </w:pPr>
            <w:r w:rsidRPr="00101FFC">
              <w:rPr>
                <w:sz w:val="18"/>
              </w:rPr>
              <w:t>Tribal Partner Agencies</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51A5003" w14:textId="77777777" w:rsidR="00636F46" w:rsidRPr="00101FFC" w:rsidRDefault="00636F46" w:rsidP="00020D20">
            <w:pPr>
              <w:spacing w:before="0" w:after="0" w:line="240" w:lineRule="auto"/>
              <w:jc w:val="both"/>
              <w:rPr>
                <w:sz w:val="18"/>
              </w:rPr>
            </w:pPr>
            <w:r w:rsidRPr="00101FFC">
              <w:rPr>
                <w:sz w:val="18"/>
              </w:rPr>
              <w:t>1 | San Carlos Apache Nation</w:t>
            </w:r>
          </w:p>
        </w:tc>
      </w:tr>
      <w:tr w:rsidR="00636F46" w:rsidRPr="00E47DD9" w14:paraId="6C46CCBA"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70E87BE" w14:textId="77777777" w:rsidR="00636F46" w:rsidRPr="00101FFC" w:rsidRDefault="00636F46" w:rsidP="00020D20">
            <w:pPr>
              <w:spacing w:before="0" w:after="0" w:line="240" w:lineRule="auto"/>
              <w:jc w:val="both"/>
              <w:rPr>
                <w:sz w:val="18"/>
              </w:rPr>
            </w:pPr>
            <w:r w:rsidRPr="00101FFC">
              <w:rPr>
                <w:sz w:val="18"/>
              </w:rPr>
              <w:t>Primary Travel Corridors</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37A777C" w14:textId="77777777" w:rsidR="00636F46" w:rsidRPr="00101FFC" w:rsidRDefault="00636F46" w:rsidP="00020D20">
            <w:pPr>
              <w:spacing w:before="0" w:after="0" w:line="240" w:lineRule="auto"/>
              <w:jc w:val="both"/>
              <w:rPr>
                <w:sz w:val="18"/>
              </w:rPr>
            </w:pPr>
            <w:r w:rsidRPr="00101FFC">
              <w:rPr>
                <w:sz w:val="18"/>
              </w:rPr>
              <w:t>13 | Interstates: I-10, I-19. US Routes: US 70. State Routes: SR 90, SR 92, SR 80, SR 191</w:t>
            </w:r>
          </w:p>
        </w:tc>
      </w:tr>
      <w:tr w:rsidR="00636F46" w:rsidRPr="00E47DD9" w14:paraId="50017344"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328DEFF" w14:textId="77777777" w:rsidR="00636F46" w:rsidRPr="00101FFC" w:rsidRDefault="00636F46" w:rsidP="00020D20">
            <w:pPr>
              <w:spacing w:before="0" w:after="0" w:line="240" w:lineRule="auto"/>
              <w:jc w:val="both"/>
              <w:rPr>
                <w:sz w:val="18"/>
              </w:rPr>
            </w:pPr>
            <w:r w:rsidRPr="00101FFC">
              <w:rPr>
                <w:sz w:val="18"/>
              </w:rPr>
              <w:t>Transit</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1FFDE57" w14:textId="77777777" w:rsidR="00636F46" w:rsidRPr="00101FFC" w:rsidRDefault="00636F46" w:rsidP="00020D20">
            <w:pPr>
              <w:spacing w:before="0" w:after="0" w:line="240" w:lineRule="auto"/>
              <w:jc w:val="both"/>
              <w:rPr>
                <w:sz w:val="18"/>
              </w:rPr>
            </w:pPr>
            <w:r w:rsidRPr="00101FFC">
              <w:rPr>
                <w:sz w:val="18"/>
              </w:rPr>
              <w:t>Yes</w:t>
            </w:r>
          </w:p>
        </w:tc>
      </w:tr>
      <w:tr w:rsidR="00636F46" w:rsidRPr="00E47DD9" w14:paraId="6DC1B71A"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2AFD25E" w14:textId="77777777" w:rsidR="00636F46" w:rsidRPr="00101FFC" w:rsidRDefault="00636F46" w:rsidP="00020D20">
            <w:pPr>
              <w:spacing w:before="0" w:after="0" w:line="240" w:lineRule="auto"/>
              <w:jc w:val="both"/>
              <w:rPr>
                <w:sz w:val="18"/>
              </w:rPr>
            </w:pPr>
            <w:r w:rsidRPr="00101FFC">
              <w:rPr>
                <w:sz w:val="18"/>
              </w:rPr>
              <w:t>Airport</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E2648C0" w14:textId="77777777" w:rsidR="00636F46" w:rsidRPr="00101FFC" w:rsidRDefault="00636F46" w:rsidP="00020D20">
            <w:pPr>
              <w:spacing w:before="0" w:after="0" w:line="240" w:lineRule="auto"/>
              <w:jc w:val="both"/>
              <w:rPr>
                <w:sz w:val="18"/>
              </w:rPr>
            </w:pPr>
            <w:r w:rsidRPr="00101FFC">
              <w:rPr>
                <w:sz w:val="18"/>
              </w:rPr>
              <w:t>Yes</w:t>
            </w:r>
          </w:p>
        </w:tc>
      </w:tr>
      <w:tr w:rsidR="00636F46" w:rsidRPr="00E47DD9" w14:paraId="1EC9ECAF" w14:textId="77777777" w:rsidTr="00636F46">
        <w:trPr>
          <w:trHeight w:val="144"/>
        </w:trPr>
        <w:tc>
          <w:tcPr>
            <w:tcW w:w="30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B9A59FB" w14:textId="77777777" w:rsidR="00636F46" w:rsidRPr="00101FFC" w:rsidRDefault="00636F46">
            <w:pPr>
              <w:spacing w:before="0" w:after="0" w:line="240" w:lineRule="auto"/>
              <w:rPr>
                <w:sz w:val="18"/>
              </w:rPr>
            </w:pPr>
            <w:r w:rsidRPr="00101FFC">
              <w:rPr>
                <w:sz w:val="18"/>
              </w:rPr>
              <w:t>Air Quality Nonattainment or Maintenance</w:t>
            </w:r>
          </w:p>
        </w:tc>
        <w:tc>
          <w:tcPr>
            <w:tcW w:w="36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B7ABDA3" w14:textId="77777777" w:rsidR="00636F46" w:rsidRPr="00101FFC" w:rsidRDefault="00636F46" w:rsidP="00020D20">
            <w:pPr>
              <w:spacing w:before="0" w:after="0" w:line="240" w:lineRule="auto"/>
              <w:jc w:val="both"/>
              <w:rPr>
                <w:sz w:val="18"/>
              </w:rPr>
            </w:pPr>
            <w:r w:rsidRPr="00101FFC">
              <w:rPr>
                <w:sz w:val="18"/>
              </w:rPr>
              <w:t>PM10, PM2.5, Sulfur Dioxide</w:t>
            </w:r>
          </w:p>
        </w:tc>
      </w:tr>
    </w:tbl>
    <w:p w14:paraId="54FA8C3F" w14:textId="77777777" w:rsidR="00EA4B19" w:rsidRDefault="00EA4B19" w:rsidP="00020D20">
      <w:bookmarkStart w:id="44" w:name="_Ref50023337"/>
      <w:r>
        <w:br w:type="page"/>
      </w:r>
    </w:p>
    <w:bookmarkStart w:id="45" w:name="_Ref57985922"/>
    <w:p w14:paraId="4389C094" w14:textId="0B866279" w:rsidR="00636F46" w:rsidRPr="002F17FB" w:rsidRDefault="00636F46" w:rsidP="00020D20">
      <w:pPr>
        <w:pStyle w:val="BodyTextTitle"/>
        <w:rPr>
          <w:color w:val="auto"/>
        </w:rPr>
      </w:pPr>
      <w:r w:rsidRPr="003707B0">
        <w:rPr>
          <w:noProof/>
        </w:rPr>
        <mc:AlternateContent>
          <mc:Choice Requires="wps">
            <w:drawing>
              <wp:anchor distT="0" distB="0" distL="114300" distR="114300" simplePos="0" relativeHeight="251618572" behindDoc="0" locked="0" layoutInCell="1" allowOverlap="1" wp14:anchorId="748BE51A" wp14:editId="43DA910B">
                <wp:simplePos x="0" y="0"/>
                <wp:positionH relativeFrom="column">
                  <wp:posOffset>4295376</wp:posOffset>
                </wp:positionH>
                <wp:positionV relativeFrom="paragraph">
                  <wp:posOffset>271987</wp:posOffset>
                </wp:positionV>
                <wp:extent cx="2689860" cy="318770"/>
                <wp:effectExtent l="0" t="0" r="0" b="5080"/>
                <wp:wrapNone/>
                <wp:docPr id="1690911560" name="Text Box 1690911560"/>
                <wp:cNvGraphicFramePr/>
                <a:graphic xmlns:a="http://schemas.openxmlformats.org/drawingml/2006/main">
                  <a:graphicData uri="http://schemas.microsoft.com/office/word/2010/wordprocessingShape">
                    <wps:wsp>
                      <wps:cNvSpPr txBox="1"/>
                      <wps:spPr>
                        <a:xfrm>
                          <a:off x="0" y="0"/>
                          <a:ext cx="268986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471BEB5" w14:textId="77777777" w:rsidR="00C6444C" w:rsidRPr="00101FFC" w:rsidRDefault="00C6444C" w:rsidP="00636F46">
                            <w:pPr>
                              <w:pStyle w:val="Heading4"/>
                            </w:pPr>
                            <w:r w:rsidRPr="00101FFC">
                              <w:t>Figure 1-</w:t>
                            </w:r>
                            <w:r>
                              <w:t>13</w:t>
                            </w:r>
                            <w:r w:rsidRPr="00101FFC">
                              <w:t xml:space="preserve"> |</w:t>
                            </w:r>
                            <w:r>
                              <w:t xml:space="preserve"> WACOG Regional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chemeClr val="bg1"/>
                          </a:contourClr>
                        </a:sp3d>
                      </wps:bodyPr>
                    </wps:wsp>
                  </a:graphicData>
                </a:graphic>
                <wp14:sizeRelV relativeFrom="margin">
                  <wp14:pctHeight>0</wp14:pctHeight>
                </wp14:sizeRelV>
              </wp:anchor>
            </w:drawing>
          </mc:Choice>
          <mc:Fallback>
            <w:pict>
              <v:shape w14:anchorId="748BE51A" id="Text Box 1690911560" o:spid="_x0000_s1067" type="#_x0000_t202" style="position:absolute;margin-left:338.2pt;margin-top:21.4pt;width:211.8pt;height:25.1pt;z-index:2516185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" filled="f" stroked="f" strokeweight="1pt">
                <v:textbox>
                  <w:txbxContent>
                    <w:p w14:paraId="3471BEB5" w14:textId="77777777" w:rsidR="00C6444C" w:rsidRPr="00101FFC" w:rsidRDefault="00C6444C" w:rsidP="00636F46">
                      <w:pPr>
                        <w:pStyle w:val="Heading4"/>
                      </w:pPr>
                      <w:r w:rsidRPr="00101FFC">
                        <w:t>Figure 1-</w:t>
                      </w:r>
                      <w:r>
                        <w:t>13</w:t>
                      </w:r>
                      <w:r w:rsidRPr="00101FFC">
                        <w:t xml:space="preserve"> |</w:t>
                      </w:r>
                      <w:r>
                        <w:t xml:space="preserve"> WACOG Regional Area</w:t>
                      </w:r>
                    </w:p>
                  </w:txbxContent>
                </v:textbox>
              </v:shape>
            </w:pict>
          </mc:Fallback>
        </mc:AlternateContent>
      </w:r>
      <w:r w:rsidRPr="003707B0">
        <w:t>Western Arizona Council of Governments (WACOG)</w:t>
      </w:r>
      <w:bookmarkEnd w:id="44"/>
      <w:bookmarkEnd w:id="45"/>
    </w:p>
    <w:p w14:paraId="16ADC0CA" w14:textId="77777777" w:rsidR="00636F46" w:rsidRPr="001F69C4" w:rsidRDefault="00636F46" w:rsidP="00020D20">
      <w:pPr>
        <w:jc w:val="both"/>
      </w:pPr>
      <w:r>
        <w:rPr>
          <w:b/>
          <w:noProof/>
        </w:rPr>
        <w:drawing>
          <wp:anchor distT="0" distB="0" distL="114300" distR="114300" simplePos="0" relativeHeight="251618584" behindDoc="0" locked="0" layoutInCell="1" allowOverlap="1" wp14:anchorId="16FAF262" wp14:editId="32FB1B3A">
            <wp:simplePos x="0" y="0"/>
            <wp:positionH relativeFrom="column">
              <wp:posOffset>4386580</wp:posOffset>
            </wp:positionH>
            <wp:positionV relativeFrom="paragraph">
              <wp:posOffset>65405</wp:posOffset>
            </wp:positionV>
            <wp:extent cx="2063750" cy="3987165"/>
            <wp:effectExtent l="0" t="0" r="0" b="0"/>
            <wp:wrapSquare wrapText="bothSides"/>
            <wp:docPr id="1690911779" name="Picture 169091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_Map2-WACOG REDUCED.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63750" cy="3987165"/>
                    </a:xfrm>
                    <a:prstGeom prst="rect">
                      <a:avLst/>
                    </a:prstGeom>
                  </pic:spPr>
                </pic:pic>
              </a:graphicData>
            </a:graphic>
            <wp14:sizeRelH relativeFrom="page">
              <wp14:pctWidth>0</wp14:pctWidth>
            </wp14:sizeRelH>
            <wp14:sizeRelV relativeFrom="page">
              <wp14:pctHeight>0</wp14:pctHeight>
            </wp14:sizeRelV>
          </wp:anchor>
        </w:drawing>
      </w:r>
      <w:r w:rsidRPr="001F69C4">
        <w:t>W</w:t>
      </w:r>
      <w:r>
        <w:t xml:space="preserve">estern </w:t>
      </w:r>
      <w:r w:rsidRPr="001F69C4">
        <w:t>A</w:t>
      </w:r>
      <w:r>
        <w:t xml:space="preserve">rizona </w:t>
      </w:r>
      <w:r w:rsidRPr="001F69C4">
        <w:t>C</w:t>
      </w:r>
      <w:r>
        <w:t xml:space="preserve">ouncil of </w:t>
      </w:r>
      <w:r w:rsidRPr="001F69C4">
        <w:t>G</w:t>
      </w:r>
      <w:r>
        <w:t>overnments</w:t>
      </w:r>
      <w:r w:rsidRPr="001F69C4">
        <w:t xml:space="preserve"> is a voluntary association of rural local governments serving La Paz, Mohave, and Yuma counties, which total about 23,500 square miles, or 20 percent of the state’s total area, whereas the region’s population of 165,172 residents in 2010 represented only 6.5 percent of Arizona’s population. WACOG’s member entities include three counties and 10 municipalities. WACOG’s boundary is shown in figure 1-13. </w:t>
      </w:r>
    </w:p>
    <w:p w14:paraId="22C9C2C0" w14:textId="3AC12A47" w:rsidR="00636F46" w:rsidRDefault="00636F46" w:rsidP="00020D20">
      <w:pPr>
        <w:jc w:val="both"/>
      </w:pPr>
      <w:r w:rsidRPr="001F69C4">
        <w:t>The WACOG planning area is bordered by the Colorado River, California</w:t>
      </w:r>
      <w:r>
        <w:t>,</w:t>
      </w:r>
      <w:r w:rsidRPr="001F69C4">
        <w:t xml:space="preserve"> and Nevada to the west, by Utah to the north, and by Mexico to the south. Some cities along the Mexican border and other YMPO member cities have experienced significant growth. Additionally, the winter visitor population adds over 100,000 additional temporary residents to Yuma County. </w:t>
      </w:r>
    </w:p>
    <w:p w14:paraId="1F7FB8F7" w14:textId="5A170D2F" w:rsidR="002C1B60" w:rsidRDefault="002C1B60" w:rsidP="00020D20">
      <w:pPr>
        <w:jc w:val="both"/>
        <w:rPr>
          <w:b/>
        </w:rPr>
      </w:pPr>
    </w:p>
    <w:p w14:paraId="4161B2F8" w14:textId="77777777" w:rsidR="002C1B60" w:rsidRDefault="002C1B60" w:rsidP="00020D20">
      <w:pPr>
        <w:jc w:val="both"/>
        <w:rPr>
          <w:b/>
        </w:rPr>
      </w:pPr>
    </w:p>
    <w:p w14:paraId="31411086" w14:textId="1AF45F41" w:rsidR="00636F46" w:rsidRPr="00920CE2" w:rsidRDefault="002C1B60" w:rsidP="00020D20">
      <w:pPr>
        <w:pStyle w:val="Heading4"/>
        <w:jc w:val="both"/>
      </w:pPr>
      <w:r>
        <w:rPr>
          <w:noProof/>
        </w:rPr>
        <w:drawing>
          <wp:anchor distT="0" distB="0" distL="114300" distR="114300" simplePos="0" relativeHeight="251618585" behindDoc="0" locked="0" layoutInCell="1" allowOverlap="1" wp14:anchorId="05A3F7BE" wp14:editId="66505DCE">
            <wp:simplePos x="0" y="0"/>
            <wp:positionH relativeFrom="column">
              <wp:posOffset>4772025</wp:posOffset>
            </wp:positionH>
            <wp:positionV relativeFrom="paragraph">
              <wp:posOffset>1446530</wp:posOffset>
            </wp:positionV>
            <wp:extent cx="1105662" cy="1300480"/>
            <wp:effectExtent l="0" t="0" r="0" b="0"/>
            <wp:wrapNone/>
            <wp:docPr id="1690911780" name="Picture 169091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_Map-WACOG REDUCED.jpg"/>
                    <pic:cNvPicPr/>
                  </pic:nvPicPr>
                  <pic:blipFill>
                    <a:blip r:embed="rId135" cstate="hqprint">
                      <a:extLst>
                        <a:ext uri="{28A0092B-C50C-407E-A947-70E740481C1C}">
                          <a14:useLocalDpi xmlns:a14="http://schemas.microsoft.com/office/drawing/2010/main" val="0"/>
                        </a:ext>
                      </a:extLst>
                    </a:blip>
                    <a:stretch>
                      <a:fillRect/>
                    </a:stretch>
                  </pic:blipFill>
                  <pic:spPr>
                    <a:xfrm>
                      <a:off x="0" y="0"/>
                      <a:ext cx="1105662" cy="130048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rPr>
        <mc:AlternateContent>
          <mc:Choice Requires="wps">
            <w:drawing>
              <wp:anchor distT="0" distB="0" distL="114300" distR="114300" simplePos="0" relativeHeight="251618594" behindDoc="1" locked="0" layoutInCell="1" allowOverlap="1" wp14:anchorId="62FF2315" wp14:editId="342B8A98">
                <wp:simplePos x="0" y="0"/>
                <wp:positionH relativeFrom="column">
                  <wp:posOffset>4705350</wp:posOffset>
                </wp:positionH>
                <wp:positionV relativeFrom="paragraph">
                  <wp:posOffset>2825750</wp:posOffset>
                </wp:positionV>
                <wp:extent cx="1238250" cy="1390650"/>
                <wp:effectExtent l="76200" t="95250" r="76200" b="95250"/>
                <wp:wrapTight wrapText="bothSides">
                  <wp:wrapPolygon edited="0">
                    <wp:start x="-997" y="-1479"/>
                    <wp:lineTo x="-1329" y="-888"/>
                    <wp:lineTo x="-1329" y="22784"/>
                    <wp:lineTo x="22597" y="22784"/>
                    <wp:lineTo x="22597" y="3847"/>
                    <wp:lineTo x="22265" y="-592"/>
                    <wp:lineTo x="22265" y="-1479"/>
                    <wp:lineTo x="-997" y="-1479"/>
                  </wp:wrapPolygon>
                </wp:wrapTight>
                <wp:docPr id="1690911561" name="Text Box 1690911561"/>
                <wp:cNvGraphicFramePr/>
                <a:graphic xmlns:a="http://schemas.openxmlformats.org/drawingml/2006/main">
                  <a:graphicData uri="http://schemas.microsoft.com/office/word/2010/wordprocessingShape">
                    <wps:wsp>
                      <wps:cNvSpPr txBox="1"/>
                      <wps:spPr>
                        <a:xfrm>
                          <a:off x="0" y="0"/>
                          <a:ext cx="1238250" cy="13906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DDA76EB" w14:textId="77777777" w:rsidR="00C6444C" w:rsidRDefault="00C6444C" w:rsidP="00636F46">
                            <w:pPr>
                              <w:jc w:val="center"/>
                            </w:pPr>
                            <w:r>
                              <w:rPr>
                                <w:noProof/>
                              </w:rPr>
                              <w:drawing>
                                <wp:inline distT="0" distB="0" distL="0" distR="0" wp14:anchorId="4367912A" wp14:editId="7738C2BC">
                                  <wp:extent cx="457200" cy="457200"/>
                                  <wp:effectExtent l="0" t="0" r="0" b="0"/>
                                  <wp:docPr id="1690912509" name="Picture 1690912509">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1110011" w14:textId="77777777" w:rsidR="00C6444C" w:rsidRDefault="00C6444C" w:rsidP="00636F46">
                            <w:pPr>
                              <w:pStyle w:val="Calloutboxes"/>
                            </w:pPr>
                            <w:r>
                              <w:t>WACOG</w:t>
                            </w:r>
                          </w:p>
                          <w:p w14:paraId="143C7F32" w14:textId="77777777" w:rsidR="00C6444C" w:rsidRDefault="00C6444C" w:rsidP="00636F46">
                            <w:pPr>
                              <w:pStyle w:val="Calloutboxes"/>
                            </w:pPr>
                            <w:r>
                              <w:t>208 N. 4th St.</w:t>
                            </w:r>
                          </w:p>
                          <w:p w14:paraId="6FE84DAB" w14:textId="77777777" w:rsidR="00C6444C" w:rsidRDefault="00C6444C" w:rsidP="00636F46">
                            <w:pPr>
                              <w:pStyle w:val="Calloutboxes"/>
                            </w:pPr>
                            <w:r>
                              <w:t>Kingman, AZ 86401</w:t>
                            </w:r>
                          </w:p>
                          <w:p w14:paraId="3DF89547" w14:textId="77777777" w:rsidR="00C6444C" w:rsidRDefault="00C6444C" w:rsidP="00636F46">
                            <w:pPr>
                              <w:pStyle w:val="Calloutboxes"/>
                            </w:pPr>
                            <w:r>
                              <w:t>#: 928-753-6247</w:t>
                            </w:r>
                          </w:p>
                          <w:p w14:paraId="04839DE3" w14:textId="77777777" w:rsidR="00C6444C" w:rsidRPr="00101FFC" w:rsidRDefault="00202C92" w:rsidP="00636F46">
                            <w:pPr>
                              <w:pStyle w:val="Title"/>
                              <w:rPr>
                                <w:sz w:val="16"/>
                                <w:szCs w:val="16"/>
                              </w:rPr>
                            </w:pPr>
                            <w:hyperlink r:id="rId137" w:history="1">
                              <w:r w:rsidR="00C6444C" w:rsidRPr="00101FFC">
                                <w:rPr>
                                  <w:rStyle w:val="Hyperlink"/>
                                  <w:rFonts w:ascii="Calibri" w:hAnsi="Calibri" w:cstheme="majorBidi"/>
                                  <w:i/>
                                  <w:iCs w:val="0"/>
                                  <w:color w:val="CE5B18"/>
                                  <w:u w:val="none"/>
                                </w:rPr>
                                <w:t>https://www.wacog.com/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FF2315" id="Text Box 1690911561" o:spid="_x0000_s1068" type="#_x0000_t202" style="position:absolute;left:0;text-align:left;margin-left:370.5pt;margin-top:222.5pt;width:97.5pt;height:109.5pt;z-index:-251697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" fillcolor="#f7f7f7" stroked="f" strokeweight=".5pt">
                <v:shadow on="t" type="perspective" color="black" opacity="26214f" offset="0,0" matrix="66847f,,,66847f"/>
                <v:textbox>
                  <w:txbxContent>
                    <w:p w14:paraId="4DDA76EB" w14:textId="77777777" w:rsidR="00C6444C" w:rsidRDefault="00C6444C" w:rsidP="00636F46">
                      <w:pPr>
                        <w:jc w:val="center"/>
                      </w:pPr>
                      <w:r>
                        <w:rPr>
                          <w:noProof/>
                        </w:rPr>
                        <w:drawing>
                          <wp:inline distT="0" distB="0" distL="0" distR="0" wp14:anchorId="4367912A" wp14:editId="7738C2BC">
                            <wp:extent cx="457200" cy="457200"/>
                            <wp:effectExtent l="0" t="0" r="0" b="0"/>
                            <wp:docPr id="1690912509" name="Picture 1690912509">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6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1110011" w14:textId="77777777" w:rsidR="00C6444C" w:rsidRDefault="00C6444C" w:rsidP="00636F46">
                      <w:pPr>
                        <w:pStyle w:val="Calloutboxes"/>
                      </w:pPr>
                      <w:r>
                        <w:t>WACOG</w:t>
                      </w:r>
                    </w:p>
                    <w:p w14:paraId="143C7F32" w14:textId="77777777" w:rsidR="00C6444C" w:rsidRDefault="00C6444C" w:rsidP="00636F46">
                      <w:pPr>
                        <w:pStyle w:val="Calloutboxes"/>
                      </w:pPr>
                      <w:r>
                        <w:t>208 N. 4th St.</w:t>
                      </w:r>
                    </w:p>
                    <w:p w14:paraId="6FE84DAB" w14:textId="77777777" w:rsidR="00C6444C" w:rsidRDefault="00C6444C" w:rsidP="00636F46">
                      <w:pPr>
                        <w:pStyle w:val="Calloutboxes"/>
                      </w:pPr>
                      <w:r>
                        <w:t>Kingman, AZ 86401</w:t>
                      </w:r>
                    </w:p>
                    <w:p w14:paraId="3DF89547" w14:textId="77777777" w:rsidR="00C6444C" w:rsidRDefault="00C6444C" w:rsidP="00636F46">
                      <w:pPr>
                        <w:pStyle w:val="Calloutboxes"/>
                      </w:pPr>
                      <w:r>
                        <w:t>#: 928-753-6247</w:t>
                      </w:r>
                    </w:p>
                    <w:p w14:paraId="04839DE3" w14:textId="77777777" w:rsidR="00C6444C" w:rsidRPr="00101FFC" w:rsidRDefault="00576D31" w:rsidP="00636F46">
                      <w:pPr>
                        <w:pStyle w:val="Title"/>
                        <w:rPr>
                          <w:sz w:val="16"/>
                          <w:szCs w:val="16"/>
                        </w:rPr>
                      </w:pPr>
                      <w:hyperlink r:id="rId139" w:history="1">
                        <w:r w:rsidR="00C6444C" w:rsidRPr="00101FFC">
                          <w:rPr>
                            <w:rStyle w:val="Hyperlink"/>
                            <w:rFonts w:ascii="Calibri" w:hAnsi="Calibri" w:cstheme="majorBidi"/>
                            <w:i/>
                            <w:iCs w:val="0"/>
                            <w:color w:val="CE5B18"/>
                            <w:u w:val="none"/>
                          </w:rPr>
                          <w:t>https://www.wacog.com/</w:t>
                        </w:r>
                      </w:hyperlink>
                    </w:p>
                  </w:txbxContent>
                </v:textbox>
                <w10:wrap type="tight"/>
              </v:shape>
            </w:pict>
          </mc:Fallback>
        </mc:AlternateContent>
      </w:r>
      <w:r w:rsidR="00636F46" w:rsidRPr="001F69C4">
        <w:t>Table 1-15 | WACOG Statistics</w:t>
      </w:r>
    </w:p>
    <w:tbl>
      <w:tblPr>
        <w:tblW w:w="0" w:type="auto"/>
        <w:tblInd w:w="-10" w:type="dxa"/>
        <w:tblLayout w:type="fixed"/>
        <w:tblCellMar>
          <w:left w:w="0" w:type="dxa"/>
          <w:right w:w="0" w:type="dxa"/>
        </w:tblCellMar>
        <w:tblLook w:val="0000" w:firstRow="0" w:lastRow="0" w:firstColumn="0" w:lastColumn="0" w:noHBand="0" w:noVBand="0"/>
      </w:tblPr>
      <w:tblGrid>
        <w:gridCol w:w="2160"/>
        <w:gridCol w:w="4320"/>
      </w:tblGrid>
      <w:tr w:rsidR="00636F46" w:rsidRPr="001F69C4" w14:paraId="7D3712A9" w14:textId="77777777" w:rsidTr="00020D20">
        <w:trPr>
          <w:trHeight w:val="144"/>
        </w:trPr>
        <w:tc>
          <w:tcPr>
            <w:tcW w:w="6480" w:type="dxa"/>
            <w:gridSpan w:val="2"/>
            <w:tcBorders>
              <w:top w:val="single" w:sz="8" w:space="0" w:color="323232"/>
              <w:left w:val="single" w:sz="8" w:space="0" w:color="323232"/>
              <w:right w:val="single" w:sz="8" w:space="0" w:color="323232"/>
            </w:tcBorders>
            <w:shd w:val="clear" w:color="auto" w:fill="012768"/>
            <w:tcMar>
              <w:top w:w="80" w:type="dxa"/>
              <w:left w:w="80" w:type="dxa"/>
              <w:bottom w:w="80" w:type="dxa"/>
              <w:right w:w="80" w:type="dxa"/>
            </w:tcMar>
            <w:vAlign w:val="center"/>
          </w:tcPr>
          <w:p w14:paraId="2823B72D" w14:textId="6CF76203" w:rsidR="00636F46" w:rsidRPr="00101FFC" w:rsidRDefault="00636F46">
            <w:pPr>
              <w:spacing w:before="0" w:after="0" w:line="240" w:lineRule="auto"/>
              <w:jc w:val="center"/>
              <w:rPr>
                <w:color w:val="323232"/>
                <w:sz w:val="22"/>
              </w:rPr>
            </w:pPr>
            <w:r w:rsidRPr="00101FFC">
              <w:rPr>
                <w:sz w:val="22"/>
              </w:rPr>
              <w:t xml:space="preserve">Western Arizona Council of Governments </w:t>
            </w:r>
            <w:r w:rsidR="005070BF">
              <w:rPr>
                <w:sz w:val="22"/>
              </w:rPr>
              <w:t xml:space="preserve">– </w:t>
            </w:r>
            <w:r w:rsidRPr="00101FFC">
              <w:rPr>
                <w:sz w:val="22"/>
              </w:rPr>
              <w:t>WACOG</w:t>
            </w:r>
          </w:p>
        </w:tc>
      </w:tr>
      <w:tr w:rsidR="00636F46" w:rsidRPr="001F69C4" w14:paraId="48BAC9FD" w14:textId="77777777" w:rsidTr="00020D20">
        <w:trPr>
          <w:trHeight w:val="288"/>
        </w:trPr>
        <w:tc>
          <w:tcPr>
            <w:tcW w:w="216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44D3CB04" w14:textId="77777777" w:rsidR="00636F46" w:rsidRPr="00101FFC" w:rsidRDefault="00636F46" w:rsidP="00020D20">
            <w:pPr>
              <w:spacing w:before="0" w:after="0" w:line="240" w:lineRule="auto"/>
              <w:jc w:val="both"/>
              <w:rPr>
                <w:sz w:val="18"/>
              </w:rPr>
            </w:pPr>
            <w:r w:rsidRPr="00101FFC">
              <w:rPr>
                <w:sz w:val="18"/>
              </w:rPr>
              <w:t>Year Established</w:t>
            </w:r>
          </w:p>
        </w:tc>
        <w:tc>
          <w:tcPr>
            <w:tcW w:w="4320" w:type="dxa"/>
            <w:tcBorders>
              <w:left w:val="single" w:sz="8" w:space="0" w:color="323232"/>
              <w:bottom w:val="single" w:sz="8" w:space="0" w:color="323232"/>
              <w:right w:val="single" w:sz="8" w:space="0" w:color="323232"/>
            </w:tcBorders>
            <w:tcMar>
              <w:top w:w="80" w:type="dxa"/>
              <w:left w:w="80" w:type="dxa"/>
              <w:bottom w:w="80" w:type="dxa"/>
              <w:right w:w="80" w:type="dxa"/>
            </w:tcMar>
            <w:vAlign w:val="center"/>
          </w:tcPr>
          <w:p w14:paraId="0C202868" w14:textId="77777777" w:rsidR="00636F46" w:rsidRPr="00101FFC" w:rsidRDefault="00636F46" w:rsidP="00020D20">
            <w:pPr>
              <w:spacing w:before="0" w:after="0" w:line="240" w:lineRule="auto"/>
              <w:jc w:val="both"/>
              <w:rPr>
                <w:sz w:val="18"/>
              </w:rPr>
            </w:pPr>
            <w:r w:rsidRPr="00101FFC">
              <w:rPr>
                <w:sz w:val="18"/>
              </w:rPr>
              <w:t>1971</w:t>
            </w:r>
          </w:p>
        </w:tc>
      </w:tr>
      <w:tr w:rsidR="00636F46" w:rsidRPr="001F69C4" w14:paraId="06CA7E3A"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0E3CF31" w14:textId="77777777" w:rsidR="00636F46" w:rsidRPr="00101FFC" w:rsidRDefault="00636F46" w:rsidP="00020D20">
            <w:pPr>
              <w:spacing w:before="0" w:after="0" w:line="240" w:lineRule="auto"/>
              <w:jc w:val="both"/>
              <w:rPr>
                <w:sz w:val="18"/>
              </w:rPr>
            </w:pPr>
            <w:r w:rsidRPr="00101FFC">
              <w:rPr>
                <w:sz w:val="18"/>
              </w:rPr>
              <w:t>Hosted/Independent MPO</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90744C" w14:textId="77777777" w:rsidR="00636F46" w:rsidRPr="00101FFC" w:rsidRDefault="00636F46" w:rsidP="00020D20">
            <w:pPr>
              <w:spacing w:before="0" w:after="0" w:line="240" w:lineRule="auto"/>
              <w:jc w:val="both"/>
              <w:rPr>
                <w:sz w:val="18"/>
              </w:rPr>
            </w:pPr>
            <w:r w:rsidRPr="00101FFC">
              <w:rPr>
                <w:sz w:val="18"/>
              </w:rPr>
              <w:t>Independent</w:t>
            </w:r>
          </w:p>
        </w:tc>
      </w:tr>
      <w:tr w:rsidR="00636F46" w:rsidRPr="001F69C4" w14:paraId="5F4FE495"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D32808F" w14:textId="77777777" w:rsidR="00636F46" w:rsidRPr="00101FFC" w:rsidRDefault="00636F46" w:rsidP="00020D20">
            <w:pPr>
              <w:spacing w:before="0" w:after="0" w:line="240" w:lineRule="auto"/>
              <w:jc w:val="both"/>
              <w:rPr>
                <w:sz w:val="18"/>
              </w:rPr>
            </w:pPr>
            <w:r w:rsidRPr="00101FFC">
              <w:rPr>
                <w:sz w:val="18"/>
              </w:rPr>
              <w:t>Land Area (sq. mi.)</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57AB3C8" w14:textId="77777777" w:rsidR="00636F46" w:rsidRPr="00101FFC" w:rsidRDefault="00636F46" w:rsidP="00020D20">
            <w:pPr>
              <w:spacing w:before="0" w:after="0" w:line="240" w:lineRule="auto"/>
              <w:jc w:val="both"/>
              <w:rPr>
                <w:sz w:val="18"/>
              </w:rPr>
            </w:pPr>
            <w:r w:rsidRPr="00101FFC">
              <w:rPr>
                <w:sz w:val="18"/>
              </w:rPr>
              <w:t>17,893</w:t>
            </w:r>
          </w:p>
        </w:tc>
      </w:tr>
      <w:tr w:rsidR="00636F46" w:rsidRPr="001F69C4" w14:paraId="34731117"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7011BAC" w14:textId="77777777" w:rsidR="00636F46" w:rsidRPr="00101FFC" w:rsidRDefault="00636F46" w:rsidP="00020D20">
            <w:pPr>
              <w:spacing w:before="0" w:after="0" w:line="240" w:lineRule="auto"/>
              <w:jc w:val="both"/>
              <w:rPr>
                <w:sz w:val="18"/>
              </w:rPr>
            </w:pPr>
            <w:r w:rsidRPr="00101FFC">
              <w:rPr>
                <w:sz w:val="18"/>
              </w:rPr>
              <w:t>2018 Population</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08F4C69" w14:textId="77777777" w:rsidR="00636F46" w:rsidRPr="00101FFC" w:rsidRDefault="00636F46" w:rsidP="00020D20">
            <w:pPr>
              <w:spacing w:before="0" w:after="0" w:line="240" w:lineRule="auto"/>
              <w:jc w:val="both"/>
              <w:rPr>
                <w:sz w:val="18"/>
              </w:rPr>
            </w:pPr>
            <w:r w:rsidRPr="00101FFC">
              <w:rPr>
                <w:sz w:val="18"/>
              </w:rPr>
              <w:t>180,670</w:t>
            </w:r>
          </w:p>
        </w:tc>
      </w:tr>
      <w:tr w:rsidR="00636F46" w:rsidRPr="001F69C4" w14:paraId="36508C82"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D637AFE" w14:textId="77777777" w:rsidR="00636F46" w:rsidRPr="00101FFC" w:rsidRDefault="00636F46" w:rsidP="00020D20">
            <w:pPr>
              <w:spacing w:before="0" w:after="0" w:line="240" w:lineRule="auto"/>
              <w:jc w:val="both"/>
              <w:rPr>
                <w:sz w:val="18"/>
              </w:rPr>
            </w:pPr>
            <w:r w:rsidRPr="00101FFC">
              <w:rPr>
                <w:sz w:val="18"/>
              </w:rPr>
              <w:t>Counties</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C7241BC" w14:textId="77777777" w:rsidR="00636F46" w:rsidRPr="00101FFC" w:rsidRDefault="00636F46" w:rsidP="00020D20">
            <w:pPr>
              <w:spacing w:before="0" w:after="0" w:line="240" w:lineRule="auto"/>
              <w:jc w:val="both"/>
              <w:rPr>
                <w:sz w:val="18"/>
              </w:rPr>
            </w:pPr>
            <w:r w:rsidRPr="00101FFC">
              <w:rPr>
                <w:sz w:val="18"/>
              </w:rPr>
              <w:t xml:space="preserve">2 | La Paz, Mohave </w:t>
            </w:r>
          </w:p>
        </w:tc>
      </w:tr>
      <w:tr w:rsidR="00636F46" w:rsidRPr="001F69C4" w14:paraId="1B06260D"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B2B2E71" w14:textId="77777777" w:rsidR="00636F46" w:rsidRPr="00101FFC" w:rsidRDefault="00636F46" w:rsidP="00020D20">
            <w:pPr>
              <w:spacing w:before="0" w:after="0" w:line="240" w:lineRule="auto"/>
              <w:jc w:val="both"/>
              <w:rPr>
                <w:sz w:val="18"/>
              </w:rPr>
            </w:pPr>
            <w:r w:rsidRPr="00101FFC">
              <w:rPr>
                <w:sz w:val="18"/>
              </w:rPr>
              <w:t>Number of Municipalities</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2A18F60" w14:textId="77777777" w:rsidR="00636F46" w:rsidRPr="00101FFC" w:rsidRDefault="00636F46" w:rsidP="00020D20">
            <w:pPr>
              <w:spacing w:before="0" w:after="0" w:line="240" w:lineRule="auto"/>
              <w:jc w:val="both"/>
              <w:rPr>
                <w:sz w:val="18"/>
              </w:rPr>
            </w:pPr>
            <w:r w:rsidRPr="00101FFC">
              <w:rPr>
                <w:sz w:val="18"/>
              </w:rPr>
              <w:t>7</w:t>
            </w:r>
          </w:p>
        </w:tc>
      </w:tr>
      <w:tr w:rsidR="00636F46" w:rsidRPr="001F69C4" w14:paraId="70F3B804"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5EE81D6" w14:textId="77777777" w:rsidR="00636F46" w:rsidRPr="00101FFC" w:rsidRDefault="00636F46" w:rsidP="00020D20">
            <w:pPr>
              <w:spacing w:before="0" w:after="0" w:line="240" w:lineRule="auto"/>
              <w:jc w:val="both"/>
              <w:rPr>
                <w:sz w:val="18"/>
              </w:rPr>
            </w:pPr>
            <w:r w:rsidRPr="00101FFC">
              <w:rPr>
                <w:sz w:val="18"/>
              </w:rPr>
              <w:t>Tribal Partner Agencies</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9F7C2AA" w14:textId="77777777" w:rsidR="00636F46" w:rsidRPr="00101FFC" w:rsidRDefault="00636F46" w:rsidP="00020D20">
            <w:pPr>
              <w:spacing w:before="0" w:after="0" w:line="240" w:lineRule="auto"/>
              <w:jc w:val="both"/>
              <w:rPr>
                <w:sz w:val="18"/>
              </w:rPr>
            </w:pPr>
            <w:r w:rsidRPr="00101FFC">
              <w:rPr>
                <w:sz w:val="18"/>
              </w:rPr>
              <w:t>5 | Kaibab Band of Paiute Indians, Hualapai Tribe, Fort Mohave Indian Tribe, Chemehuevi Indian Tribe, Colorado River Indian Tribes</w:t>
            </w:r>
          </w:p>
        </w:tc>
      </w:tr>
      <w:tr w:rsidR="00636F46" w:rsidRPr="001F69C4" w14:paraId="6ED64CEE"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0E75D80" w14:textId="77777777" w:rsidR="00636F46" w:rsidRPr="00101FFC" w:rsidRDefault="00636F46" w:rsidP="00020D20">
            <w:pPr>
              <w:spacing w:before="0" w:after="0" w:line="240" w:lineRule="auto"/>
              <w:jc w:val="both"/>
              <w:rPr>
                <w:sz w:val="18"/>
              </w:rPr>
            </w:pPr>
            <w:r w:rsidRPr="00101FFC">
              <w:rPr>
                <w:sz w:val="18"/>
              </w:rPr>
              <w:t>Primary Travel Corridors</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6FACEA4" w14:textId="77777777" w:rsidR="00636F46" w:rsidRPr="00101FFC" w:rsidRDefault="00636F46" w:rsidP="00020D20">
            <w:pPr>
              <w:spacing w:before="0" w:after="0" w:line="240" w:lineRule="auto"/>
              <w:jc w:val="both"/>
              <w:rPr>
                <w:sz w:val="18"/>
              </w:rPr>
            </w:pPr>
            <w:r w:rsidRPr="00101FFC">
              <w:rPr>
                <w:sz w:val="18"/>
              </w:rPr>
              <w:t>10 | Interstate: I-10, I-15, I-40. US Highways: US 60, US 93, US 95. State Routes: SR 389, SR 66, SR 68, SR 72.</w:t>
            </w:r>
          </w:p>
        </w:tc>
      </w:tr>
      <w:tr w:rsidR="00636F46" w:rsidRPr="001F69C4" w14:paraId="1D17CE50"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E52411F" w14:textId="77777777" w:rsidR="00636F46" w:rsidRPr="00101FFC" w:rsidRDefault="00636F46" w:rsidP="00020D20">
            <w:pPr>
              <w:spacing w:before="0" w:after="0" w:line="240" w:lineRule="auto"/>
              <w:jc w:val="both"/>
              <w:rPr>
                <w:sz w:val="18"/>
              </w:rPr>
            </w:pPr>
            <w:r w:rsidRPr="00101FFC">
              <w:rPr>
                <w:sz w:val="18"/>
              </w:rPr>
              <w:t>Transit</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4990314" w14:textId="77777777" w:rsidR="00636F46" w:rsidRPr="00101FFC" w:rsidRDefault="00636F46" w:rsidP="00020D20">
            <w:pPr>
              <w:spacing w:before="0" w:after="0" w:line="240" w:lineRule="auto"/>
              <w:jc w:val="both"/>
              <w:rPr>
                <w:sz w:val="18"/>
              </w:rPr>
            </w:pPr>
            <w:r w:rsidRPr="00101FFC">
              <w:rPr>
                <w:sz w:val="18"/>
              </w:rPr>
              <w:t>Yes</w:t>
            </w:r>
          </w:p>
        </w:tc>
      </w:tr>
      <w:tr w:rsidR="00636F46" w:rsidRPr="001F69C4" w14:paraId="7609B8AD"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552A7CF" w14:textId="77777777" w:rsidR="00636F46" w:rsidRPr="00101FFC" w:rsidRDefault="00636F46" w:rsidP="00020D20">
            <w:pPr>
              <w:spacing w:before="0" w:after="0" w:line="240" w:lineRule="auto"/>
              <w:jc w:val="both"/>
              <w:rPr>
                <w:sz w:val="18"/>
              </w:rPr>
            </w:pPr>
            <w:r w:rsidRPr="00101FFC">
              <w:rPr>
                <w:sz w:val="18"/>
              </w:rPr>
              <w:t>Airport</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EFC7462" w14:textId="77777777" w:rsidR="00636F46" w:rsidRPr="00101FFC" w:rsidRDefault="00636F46" w:rsidP="00020D20">
            <w:pPr>
              <w:spacing w:before="0" w:after="0" w:line="240" w:lineRule="auto"/>
              <w:jc w:val="both"/>
              <w:rPr>
                <w:sz w:val="18"/>
              </w:rPr>
            </w:pPr>
            <w:r w:rsidRPr="00101FFC">
              <w:rPr>
                <w:sz w:val="18"/>
              </w:rPr>
              <w:t>Yes</w:t>
            </w:r>
          </w:p>
        </w:tc>
      </w:tr>
      <w:tr w:rsidR="00636F46" w:rsidRPr="001F69C4" w14:paraId="62B7E54C" w14:textId="77777777" w:rsidTr="00636F46">
        <w:trPr>
          <w:trHeight w:val="288"/>
        </w:trPr>
        <w:tc>
          <w:tcPr>
            <w:tcW w:w="216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DFEC652" w14:textId="77777777" w:rsidR="00636F46" w:rsidRPr="00101FFC" w:rsidRDefault="00636F46">
            <w:pPr>
              <w:spacing w:before="0" w:after="0" w:line="240" w:lineRule="auto"/>
              <w:rPr>
                <w:sz w:val="18"/>
              </w:rPr>
            </w:pPr>
            <w:r w:rsidRPr="00101FFC">
              <w:rPr>
                <w:sz w:val="18"/>
              </w:rPr>
              <w:t>Air Quality Nonattainment or Maintenance</w:t>
            </w:r>
          </w:p>
        </w:tc>
        <w:tc>
          <w:tcPr>
            <w:tcW w:w="43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20B3332" w14:textId="77777777" w:rsidR="00636F46" w:rsidRPr="00101FFC" w:rsidRDefault="00636F46" w:rsidP="00020D20">
            <w:pPr>
              <w:spacing w:before="0" w:after="0" w:line="240" w:lineRule="auto"/>
              <w:jc w:val="both"/>
              <w:rPr>
                <w:color w:val="323232"/>
                <w:sz w:val="18"/>
              </w:rPr>
            </w:pPr>
            <w:r w:rsidRPr="00101FFC">
              <w:rPr>
                <w:sz w:val="18"/>
              </w:rPr>
              <w:t>None</w:t>
            </w:r>
          </w:p>
        </w:tc>
      </w:tr>
    </w:tbl>
    <w:p w14:paraId="43E4702C" w14:textId="77777777" w:rsidR="00636F46" w:rsidRDefault="00636F46" w:rsidP="00020D20">
      <w:pPr>
        <w:jc w:val="both"/>
        <w:sectPr w:rsidR="00636F46" w:rsidSect="00020D20">
          <w:pgSz w:w="12240" w:h="15840"/>
          <w:pgMar w:top="1080" w:right="1080" w:bottom="1080" w:left="1080" w:header="1152" w:footer="720" w:gutter="0"/>
          <w:pgNumType w:chapStyle="1"/>
          <w:cols w:space="1152"/>
          <w:docGrid w:linePitch="360"/>
        </w:sectPr>
      </w:pPr>
    </w:p>
    <w:p w14:paraId="2DB0207A" w14:textId="4A7A33A1" w:rsidR="00636F46" w:rsidRPr="001F69C4" w:rsidRDefault="002C1B60">
      <w:pPr>
        <w:pStyle w:val="Heading2"/>
      </w:pPr>
      <w:bookmarkStart w:id="46" w:name="_Ref50019306"/>
      <w:r>
        <w:br w:type="page"/>
      </w:r>
      <w:bookmarkStart w:id="47" w:name="_Ref57986078"/>
      <w:r w:rsidR="00636F46">
        <w:t>1</w:t>
      </w:r>
      <w:r w:rsidR="00B609E9">
        <w:t>.8</w:t>
      </w:r>
      <w:r w:rsidR="00636F46" w:rsidRPr="001F69C4">
        <w:t xml:space="preserve"> | REGIONAL TRANSPORTATION PLANNING ORGANIZATIONS</w:t>
      </w:r>
      <w:bookmarkEnd w:id="46"/>
      <w:bookmarkEnd w:id="47"/>
    </w:p>
    <w:p w14:paraId="58DAAFA7" w14:textId="77777777" w:rsidR="00636F46" w:rsidRPr="001F69C4" w:rsidRDefault="00636F46" w:rsidP="00020D20">
      <w:pPr>
        <w:jc w:val="both"/>
      </w:pPr>
      <w:r w:rsidRPr="001F69C4">
        <w:t xml:space="preserve">The </w:t>
      </w:r>
      <w:r>
        <w:t>December</w:t>
      </w:r>
      <w:r w:rsidRPr="001F69C4">
        <w:t xml:space="preserve"> </w:t>
      </w:r>
      <w:r>
        <w:t>4</w:t>
      </w:r>
      <w:r w:rsidRPr="001F69C4">
        <w:t>, 201</w:t>
      </w:r>
      <w:r>
        <w:t>5</w:t>
      </w:r>
      <w:r w:rsidRPr="001F69C4">
        <w:t xml:space="preserve"> </w:t>
      </w:r>
      <w:r>
        <w:t>FAST Act</w:t>
      </w:r>
      <w:r w:rsidRPr="001F69C4">
        <w:t xml:space="preserve"> legislation recognizes </w:t>
      </w:r>
      <w:r>
        <w:t xml:space="preserve">a </w:t>
      </w:r>
      <w:r w:rsidRPr="001F69C4">
        <w:t>planning entity</w:t>
      </w:r>
      <w:r>
        <w:t xml:space="preserve"> category</w:t>
      </w:r>
      <w:r w:rsidRPr="001F69C4">
        <w:t xml:space="preserve"> called </w:t>
      </w:r>
      <w:r>
        <w:t>a Regional Transportation Planning Organization (</w:t>
      </w:r>
      <w:r w:rsidRPr="001F69C4">
        <w:t>RTPO</w:t>
      </w:r>
      <w:r>
        <w:t>)</w:t>
      </w:r>
      <w:r w:rsidRPr="001F69C4">
        <w:t>. The state of Arizona is not designating COGs as RTPOs. Based on the federal definition of an RPTO, COGs in Arizona perform similar functions with the exception of the requirement to develop an RTP. Prior to making any changes in the current COG structure, ADOT must determine the financial ramifications and feasibility of changing this designation.</w:t>
      </w:r>
    </w:p>
    <w:p w14:paraId="58917082" w14:textId="236DCA47" w:rsidR="00636F46" w:rsidRPr="001F69C4" w:rsidRDefault="00B609E9" w:rsidP="00020D20">
      <w:pPr>
        <w:pStyle w:val="Heading2"/>
      </w:pPr>
      <w:bookmarkStart w:id="48" w:name="_Ref50019314"/>
      <w:r>
        <w:t>1.9</w:t>
      </w:r>
      <w:r w:rsidR="00636F46" w:rsidRPr="001F69C4">
        <w:t xml:space="preserve"> | CONTACT INFORMATION</w:t>
      </w:r>
      <w:bookmarkEnd w:id="48"/>
    </w:p>
    <w:p w14:paraId="5E961912" w14:textId="77777777" w:rsidR="00636F46" w:rsidRDefault="00636F46" w:rsidP="00020D20">
      <w:pPr>
        <w:jc w:val="both"/>
      </w:pPr>
      <w:r w:rsidRPr="001F69C4">
        <w:t>Table 1-16 provides the primary contact information for the TMAs, MPOs, and COGs in Arizona.</w:t>
      </w:r>
    </w:p>
    <w:p w14:paraId="3F4CAC51" w14:textId="77777777" w:rsidR="00636F46" w:rsidRDefault="00636F46" w:rsidP="00020D20">
      <w:pPr>
        <w:pStyle w:val="Heading4"/>
        <w:jc w:val="both"/>
      </w:pPr>
      <w:r w:rsidRPr="001F69C4">
        <w:t>Table 1-16 | Arizona COGs, MPOs, and TMAs</w:t>
      </w:r>
    </w:p>
    <w:tbl>
      <w:tblPr>
        <w:tblW w:w="0" w:type="auto"/>
        <w:tblLook w:val="04A0" w:firstRow="1" w:lastRow="0" w:firstColumn="1" w:lastColumn="0" w:noHBand="0" w:noVBand="1"/>
      </w:tblPr>
      <w:tblGrid>
        <w:gridCol w:w="491"/>
        <w:gridCol w:w="1320"/>
        <w:gridCol w:w="2891"/>
        <w:gridCol w:w="491"/>
        <w:gridCol w:w="1215"/>
        <w:gridCol w:w="2952"/>
      </w:tblGrid>
      <w:tr w:rsidR="00226E78" w14:paraId="47572A09" w14:textId="77777777" w:rsidTr="005070BF">
        <w:tc>
          <w:tcPr>
            <w:tcW w:w="1811" w:type="dxa"/>
            <w:gridSpan w:val="2"/>
            <w:tcBorders>
              <w:bottom w:val="single" w:sz="4" w:space="0" w:color="FFFFFF" w:themeColor="background1"/>
              <w:right w:val="single" w:sz="4" w:space="0" w:color="FFFFFF" w:themeColor="background1"/>
            </w:tcBorders>
            <w:shd w:val="clear" w:color="auto" w:fill="012768"/>
          </w:tcPr>
          <w:p w14:paraId="7B7B8506" w14:textId="77777777" w:rsidR="00636F46" w:rsidRPr="00020D20" w:rsidRDefault="00636F46" w:rsidP="00020D20">
            <w:pPr>
              <w:spacing w:before="0" w:after="0" w:line="240" w:lineRule="auto"/>
              <w:jc w:val="center"/>
              <w:rPr>
                <w:sz w:val="22"/>
              </w:rPr>
            </w:pPr>
            <w:r w:rsidRPr="00020D20">
              <w:rPr>
                <w:sz w:val="22"/>
              </w:rPr>
              <w:t>Organization</w:t>
            </w:r>
          </w:p>
        </w:tc>
        <w:tc>
          <w:tcPr>
            <w:tcW w:w="2891" w:type="dxa"/>
            <w:tcBorders>
              <w:left w:val="single" w:sz="4" w:space="0" w:color="FFFFFF" w:themeColor="background1"/>
              <w:bottom w:val="single" w:sz="4" w:space="0" w:color="auto"/>
              <w:right w:val="single" w:sz="4" w:space="0" w:color="FFFFFF" w:themeColor="background1"/>
            </w:tcBorders>
            <w:shd w:val="clear" w:color="auto" w:fill="012768"/>
          </w:tcPr>
          <w:p w14:paraId="4CAB4312" w14:textId="77777777" w:rsidR="00636F46" w:rsidRPr="00020D20" w:rsidRDefault="00636F46" w:rsidP="00020D20">
            <w:pPr>
              <w:spacing w:before="0" w:after="0" w:line="240" w:lineRule="auto"/>
              <w:jc w:val="center"/>
              <w:rPr>
                <w:sz w:val="22"/>
              </w:rPr>
            </w:pPr>
            <w:r w:rsidRPr="00020D20">
              <w:rPr>
                <w:sz w:val="22"/>
              </w:rPr>
              <w:t>Contact Information</w:t>
            </w:r>
          </w:p>
        </w:tc>
        <w:tc>
          <w:tcPr>
            <w:tcW w:w="1706"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012768"/>
          </w:tcPr>
          <w:p w14:paraId="6138E82C" w14:textId="77777777" w:rsidR="00636F46" w:rsidRPr="00020D20" w:rsidRDefault="00636F46" w:rsidP="00020D20">
            <w:pPr>
              <w:spacing w:before="0" w:after="0" w:line="240" w:lineRule="auto"/>
              <w:jc w:val="center"/>
              <w:rPr>
                <w:sz w:val="22"/>
              </w:rPr>
            </w:pPr>
            <w:r w:rsidRPr="00020D20">
              <w:rPr>
                <w:sz w:val="22"/>
              </w:rPr>
              <w:t>Organization</w:t>
            </w:r>
          </w:p>
        </w:tc>
        <w:tc>
          <w:tcPr>
            <w:tcW w:w="2952" w:type="dxa"/>
            <w:tcBorders>
              <w:left w:val="single" w:sz="4" w:space="0" w:color="FFFFFF" w:themeColor="background1"/>
            </w:tcBorders>
            <w:shd w:val="clear" w:color="auto" w:fill="012768"/>
          </w:tcPr>
          <w:p w14:paraId="5F2FC9A2" w14:textId="77777777" w:rsidR="00636F46" w:rsidRPr="00020D20" w:rsidRDefault="00636F46" w:rsidP="00020D20">
            <w:pPr>
              <w:spacing w:before="0" w:after="0" w:line="240" w:lineRule="auto"/>
              <w:jc w:val="center"/>
              <w:rPr>
                <w:sz w:val="22"/>
              </w:rPr>
            </w:pPr>
            <w:r w:rsidRPr="00020D20">
              <w:rPr>
                <w:sz w:val="22"/>
              </w:rPr>
              <w:t>Contact Information</w:t>
            </w:r>
          </w:p>
        </w:tc>
      </w:tr>
      <w:tr w:rsidR="00C57D06" w14:paraId="355650BF" w14:textId="77777777" w:rsidTr="005070BF">
        <w:tc>
          <w:tcPr>
            <w:tcW w:w="491" w:type="dxa"/>
            <w:vMerge w:val="restart"/>
            <w:tcBorders>
              <w:top w:val="single" w:sz="4" w:space="0" w:color="FFFFFF" w:themeColor="background1"/>
              <w:bottom w:val="single" w:sz="4" w:space="0" w:color="FFFFFF" w:themeColor="background1"/>
              <w:right w:val="single" w:sz="4" w:space="0" w:color="auto"/>
            </w:tcBorders>
            <w:shd w:val="clear" w:color="auto" w:fill="012768"/>
            <w:textDirection w:val="btLr"/>
            <w:vAlign w:val="center"/>
          </w:tcPr>
          <w:p w14:paraId="75F48178" w14:textId="77777777" w:rsidR="00636F46" w:rsidRPr="00020D20" w:rsidRDefault="00636F46">
            <w:pPr>
              <w:tabs>
                <w:tab w:val="clear" w:pos="180"/>
                <w:tab w:val="clear" w:pos="360"/>
                <w:tab w:val="clear" w:pos="540"/>
                <w:tab w:val="clear" w:pos="720"/>
              </w:tabs>
              <w:spacing w:before="0" w:after="0" w:line="240" w:lineRule="auto"/>
              <w:ind w:left="113" w:right="113"/>
              <w:jc w:val="center"/>
              <w:rPr>
                <w:sz w:val="22"/>
              </w:rPr>
            </w:pPr>
            <w:r w:rsidRPr="00020D20">
              <w:rPr>
                <w:sz w:val="22"/>
              </w:rPr>
              <w:t>TMA</w:t>
            </w:r>
          </w:p>
        </w:tc>
        <w:tc>
          <w:tcPr>
            <w:tcW w:w="1320" w:type="dxa"/>
            <w:tcBorders>
              <w:top w:val="single" w:sz="4" w:space="0" w:color="auto"/>
              <w:left w:val="single" w:sz="4" w:space="0" w:color="auto"/>
              <w:bottom w:val="single" w:sz="4" w:space="0" w:color="auto"/>
              <w:right w:val="single" w:sz="4" w:space="0" w:color="auto"/>
            </w:tcBorders>
            <w:vAlign w:val="center"/>
          </w:tcPr>
          <w:p w14:paraId="4017CF81" w14:textId="77777777" w:rsidR="00636F46" w:rsidRPr="00101FFC" w:rsidRDefault="00636F46"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MAG</w:t>
            </w:r>
          </w:p>
        </w:tc>
        <w:tc>
          <w:tcPr>
            <w:tcW w:w="2891" w:type="dxa"/>
            <w:tcBorders>
              <w:top w:val="single" w:sz="4" w:space="0" w:color="auto"/>
              <w:left w:val="single" w:sz="4" w:space="0" w:color="auto"/>
              <w:bottom w:val="single" w:sz="4" w:space="0" w:color="auto"/>
              <w:right w:val="single" w:sz="4" w:space="0" w:color="auto"/>
            </w:tcBorders>
            <w:vAlign w:val="center"/>
          </w:tcPr>
          <w:p w14:paraId="6C806BE4" w14:textId="77777777" w:rsidR="00636F46" w:rsidRDefault="00636F46"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302 N. 1st Ave., Ste. 300</w:t>
            </w:r>
          </w:p>
          <w:p w14:paraId="15B7F67A" w14:textId="77777777" w:rsidR="00636F46" w:rsidRDefault="00636F46"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Phoenix, AZ 85003</w:t>
            </w:r>
          </w:p>
          <w:p w14:paraId="4D77687B" w14:textId="77777777" w:rsidR="00636F46" w:rsidRDefault="00636F46" w:rsidP="00020D20">
            <w:pPr>
              <w:tabs>
                <w:tab w:val="clear" w:pos="180"/>
                <w:tab w:val="clear" w:pos="360"/>
                <w:tab w:val="clear" w:pos="540"/>
                <w:tab w:val="clear" w:pos="720"/>
              </w:tabs>
              <w:spacing w:before="0" w:after="0" w:line="240" w:lineRule="auto"/>
              <w:jc w:val="center"/>
              <w:rPr>
                <w:color w:val="323232"/>
                <w:sz w:val="18"/>
                <w:szCs w:val="18"/>
                <w:vertAlign w:val="superscript"/>
              </w:rPr>
            </w:pPr>
            <w:r>
              <w:rPr>
                <w:color w:val="323232"/>
                <w:sz w:val="18"/>
                <w:szCs w:val="18"/>
              </w:rPr>
              <w:t>#: 602-254-6300</w:t>
            </w:r>
          </w:p>
          <w:p w14:paraId="78F01F6E" w14:textId="77777777" w:rsidR="00636F46" w:rsidRDefault="00202C92" w:rsidP="00020D20">
            <w:pPr>
              <w:pStyle w:val="Title"/>
              <w:tabs>
                <w:tab w:val="clear" w:pos="180"/>
                <w:tab w:val="clear" w:pos="360"/>
                <w:tab w:val="clear" w:pos="540"/>
                <w:tab w:val="clear" w:pos="720"/>
              </w:tabs>
              <w:rPr>
                <w:sz w:val="18"/>
                <w:szCs w:val="18"/>
              </w:rPr>
            </w:pPr>
            <w:hyperlink r:id="rId140">
              <w:r w:rsidR="00636F46">
                <w:rPr>
                  <w:sz w:val="18"/>
                  <w:szCs w:val="18"/>
                </w:rPr>
                <w:t>https://www.azmag.gov/</w:t>
              </w:r>
            </w:hyperlink>
          </w:p>
        </w:tc>
        <w:tc>
          <w:tcPr>
            <w:tcW w:w="491" w:type="dxa"/>
            <w:vMerge w:val="restart"/>
            <w:tcBorders>
              <w:top w:val="single" w:sz="4" w:space="0" w:color="FFFFFF" w:themeColor="background1"/>
              <w:left w:val="single" w:sz="4" w:space="0" w:color="auto"/>
              <w:right w:val="single" w:sz="4" w:space="0" w:color="auto"/>
            </w:tcBorders>
            <w:shd w:val="clear" w:color="auto" w:fill="012768"/>
            <w:textDirection w:val="btLr"/>
            <w:vAlign w:val="center"/>
          </w:tcPr>
          <w:p w14:paraId="2EF2BC9E" w14:textId="77777777" w:rsidR="00636F46" w:rsidRPr="00020D20" w:rsidRDefault="00636F46">
            <w:pPr>
              <w:spacing w:before="0" w:after="0" w:line="240" w:lineRule="auto"/>
              <w:ind w:left="113" w:right="113"/>
              <w:jc w:val="center"/>
            </w:pPr>
            <w:r w:rsidRPr="00020D20">
              <w:rPr>
                <w:sz w:val="22"/>
              </w:rPr>
              <w:t>MPO</w:t>
            </w:r>
          </w:p>
        </w:tc>
        <w:tc>
          <w:tcPr>
            <w:tcW w:w="1215" w:type="dxa"/>
            <w:tcBorders>
              <w:top w:val="single" w:sz="4" w:space="0" w:color="auto"/>
              <w:left w:val="single" w:sz="4" w:space="0" w:color="auto"/>
              <w:bottom w:val="single" w:sz="4" w:space="0" w:color="auto"/>
              <w:right w:val="single" w:sz="4" w:space="0" w:color="auto"/>
            </w:tcBorders>
            <w:vAlign w:val="center"/>
          </w:tcPr>
          <w:p w14:paraId="313AC467" w14:textId="77777777" w:rsidR="00636F46" w:rsidRPr="00101FFC" w:rsidRDefault="00636F46" w:rsidP="00020D20">
            <w:pPr>
              <w:tabs>
                <w:tab w:val="clear" w:pos="180"/>
                <w:tab w:val="clear" w:pos="360"/>
                <w:tab w:val="clear" w:pos="540"/>
                <w:tab w:val="clear" w:pos="720"/>
              </w:tabs>
              <w:spacing w:before="0" w:after="0" w:line="240" w:lineRule="auto"/>
              <w:jc w:val="center"/>
              <w:rPr>
                <w:color w:val="323232"/>
                <w:szCs w:val="18"/>
              </w:rPr>
            </w:pPr>
            <w:r w:rsidRPr="00101FFC">
              <w:rPr>
                <w:color w:val="323232"/>
                <w:szCs w:val="18"/>
              </w:rPr>
              <w:t>CYMPO</w:t>
            </w:r>
          </w:p>
        </w:tc>
        <w:tc>
          <w:tcPr>
            <w:tcW w:w="2952" w:type="dxa"/>
            <w:tcBorders>
              <w:top w:val="single" w:sz="4" w:space="0" w:color="auto"/>
              <w:left w:val="single" w:sz="4" w:space="0" w:color="auto"/>
              <w:bottom w:val="single" w:sz="4" w:space="0" w:color="auto"/>
              <w:right w:val="single" w:sz="4" w:space="0" w:color="auto"/>
            </w:tcBorders>
            <w:vAlign w:val="center"/>
          </w:tcPr>
          <w:p w14:paraId="368D7670" w14:textId="77777777" w:rsidR="00636F46" w:rsidRDefault="00636F46"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1971 Commerce Center Circle, Ste. E</w:t>
            </w:r>
          </w:p>
          <w:p w14:paraId="6C058A6A" w14:textId="77777777" w:rsidR="00636F46" w:rsidRDefault="00636F46"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Prescott, AZ 86301</w:t>
            </w:r>
          </w:p>
          <w:p w14:paraId="2B9BFBA5" w14:textId="77777777" w:rsidR="00636F46" w:rsidRDefault="00636F46"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928-442-5730</w:t>
            </w:r>
          </w:p>
          <w:p w14:paraId="1A11BB97" w14:textId="77777777" w:rsidR="00636F46" w:rsidRDefault="00202C92" w:rsidP="00020D20">
            <w:pPr>
              <w:tabs>
                <w:tab w:val="clear" w:pos="180"/>
                <w:tab w:val="clear" w:pos="360"/>
                <w:tab w:val="clear" w:pos="540"/>
                <w:tab w:val="clear" w:pos="720"/>
              </w:tabs>
              <w:spacing w:before="0" w:after="0" w:line="240" w:lineRule="auto"/>
              <w:jc w:val="center"/>
              <w:rPr>
                <w:color w:val="323232"/>
                <w:sz w:val="18"/>
                <w:szCs w:val="18"/>
              </w:rPr>
            </w:pPr>
            <w:hyperlink r:id="rId141">
              <w:r w:rsidR="00636F46">
                <w:rPr>
                  <w:rFonts w:ascii="Calibri" w:eastAsia="Calibri" w:hAnsi="Calibri" w:cs="Calibri"/>
                  <w:color w:val="CE5B18"/>
                  <w:sz w:val="18"/>
                  <w:szCs w:val="18"/>
                </w:rPr>
                <w:t>https://www.cympo.org/</w:t>
              </w:r>
            </w:hyperlink>
          </w:p>
        </w:tc>
      </w:tr>
      <w:tr w:rsidR="00C57D06" w14:paraId="51193C11" w14:textId="77777777" w:rsidTr="005070BF">
        <w:tc>
          <w:tcPr>
            <w:tcW w:w="491" w:type="dxa"/>
            <w:vMerge/>
            <w:tcBorders>
              <w:bottom w:val="single" w:sz="4" w:space="0" w:color="FFFFFF" w:themeColor="background1"/>
              <w:right w:val="single" w:sz="4" w:space="0" w:color="auto"/>
            </w:tcBorders>
            <w:shd w:val="clear" w:color="auto" w:fill="012768"/>
          </w:tcPr>
          <w:p w14:paraId="4B646E67" w14:textId="77777777" w:rsidR="005070BF" w:rsidRPr="00020D20" w:rsidRDefault="005070BF" w:rsidP="00020D20">
            <w:pPr>
              <w:tabs>
                <w:tab w:val="clear" w:pos="180"/>
                <w:tab w:val="clear" w:pos="360"/>
                <w:tab w:val="clear" w:pos="540"/>
                <w:tab w:val="clear" w:pos="720"/>
              </w:tabs>
              <w:spacing w:before="0" w:after="0" w:line="240" w:lineRule="auto"/>
              <w:jc w:val="both"/>
              <w:rPr>
                <w:sz w:val="22"/>
              </w:rPr>
            </w:pPr>
          </w:p>
        </w:tc>
        <w:tc>
          <w:tcPr>
            <w:tcW w:w="1320" w:type="dxa"/>
            <w:tcBorders>
              <w:top w:val="single" w:sz="4" w:space="0" w:color="auto"/>
              <w:left w:val="single" w:sz="4" w:space="0" w:color="auto"/>
              <w:bottom w:val="single" w:sz="4" w:space="0" w:color="auto"/>
              <w:right w:val="single" w:sz="4" w:space="0" w:color="auto"/>
            </w:tcBorders>
            <w:vAlign w:val="center"/>
          </w:tcPr>
          <w:p w14:paraId="66EC360A" w14:textId="611C671A"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PAG</w:t>
            </w:r>
          </w:p>
        </w:tc>
        <w:tc>
          <w:tcPr>
            <w:tcW w:w="2891" w:type="dxa"/>
            <w:tcBorders>
              <w:top w:val="single" w:sz="4" w:space="0" w:color="auto"/>
              <w:left w:val="single" w:sz="4" w:space="0" w:color="auto"/>
              <w:bottom w:val="single" w:sz="4" w:space="0" w:color="auto"/>
              <w:right w:val="single" w:sz="4" w:space="0" w:color="auto"/>
            </w:tcBorders>
            <w:vAlign w:val="center"/>
          </w:tcPr>
          <w:p w14:paraId="0EE2088F" w14:textId="292A7BB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1</w:t>
            </w:r>
            <w:r w:rsidR="004B005F">
              <w:rPr>
                <w:color w:val="323232"/>
                <w:sz w:val="18"/>
                <w:szCs w:val="18"/>
              </w:rPr>
              <w:t xml:space="preserve"> E</w:t>
            </w:r>
            <w:r>
              <w:rPr>
                <w:color w:val="323232"/>
                <w:sz w:val="18"/>
                <w:szCs w:val="18"/>
              </w:rPr>
              <w:t xml:space="preserve">. </w:t>
            </w:r>
            <w:r w:rsidR="004B005F">
              <w:rPr>
                <w:color w:val="323232"/>
                <w:sz w:val="18"/>
                <w:szCs w:val="18"/>
              </w:rPr>
              <w:t>Broadway Blvd</w:t>
            </w:r>
            <w:r>
              <w:rPr>
                <w:color w:val="323232"/>
                <w:sz w:val="18"/>
                <w:szCs w:val="18"/>
              </w:rPr>
              <w:t>., Ste. 40</w:t>
            </w:r>
            <w:r w:rsidR="004B005F">
              <w:rPr>
                <w:color w:val="323232"/>
                <w:sz w:val="18"/>
                <w:szCs w:val="18"/>
              </w:rPr>
              <w:t>1</w:t>
            </w:r>
          </w:p>
          <w:p w14:paraId="106F1125"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Tucson, AZ 85701</w:t>
            </w:r>
          </w:p>
          <w:p w14:paraId="0FF17EF4" w14:textId="19AC352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520-792-1093</w:t>
            </w:r>
          </w:p>
          <w:p w14:paraId="3EA00732" w14:textId="77777777" w:rsidR="005070BF" w:rsidRDefault="00202C92" w:rsidP="00020D20">
            <w:pPr>
              <w:pStyle w:val="Title"/>
              <w:tabs>
                <w:tab w:val="clear" w:pos="180"/>
                <w:tab w:val="clear" w:pos="360"/>
                <w:tab w:val="clear" w:pos="540"/>
                <w:tab w:val="clear" w:pos="720"/>
              </w:tabs>
              <w:rPr>
                <w:sz w:val="18"/>
                <w:szCs w:val="18"/>
              </w:rPr>
            </w:pPr>
            <w:hyperlink r:id="rId142">
              <w:r w:rsidR="005070BF">
                <w:rPr>
                  <w:rFonts w:eastAsia="Calibri" w:cs="Calibri"/>
                  <w:sz w:val="18"/>
                  <w:szCs w:val="18"/>
                </w:rPr>
                <w:t>http://www.pagregion.com/</w:t>
              </w:r>
            </w:hyperlink>
          </w:p>
        </w:tc>
        <w:tc>
          <w:tcPr>
            <w:tcW w:w="491" w:type="dxa"/>
            <w:vMerge/>
            <w:tcBorders>
              <w:left w:val="single" w:sz="4" w:space="0" w:color="auto"/>
              <w:right w:val="single" w:sz="4" w:space="0" w:color="auto"/>
            </w:tcBorders>
            <w:shd w:val="clear" w:color="auto" w:fill="012768"/>
          </w:tcPr>
          <w:p w14:paraId="1C40D79E" w14:textId="77777777" w:rsidR="005070BF" w:rsidRDefault="005070BF" w:rsidP="00020D20">
            <w:pPr>
              <w:spacing w:before="0" w:after="0" w:line="240" w:lineRule="auto"/>
              <w:jc w:val="both"/>
            </w:pPr>
          </w:p>
        </w:tc>
        <w:tc>
          <w:tcPr>
            <w:tcW w:w="1215" w:type="dxa"/>
            <w:tcBorders>
              <w:top w:val="single" w:sz="4" w:space="0" w:color="auto"/>
              <w:left w:val="single" w:sz="4" w:space="0" w:color="auto"/>
              <w:bottom w:val="single" w:sz="4" w:space="0" w:color="auto"/>
              <w:right w:val="single" w:sz="4" w:space="0" w:color="auto"/>
            </w:tcBorders>
            <w:vAlign w:val="center"/>
          </w:tcPr>
          <w:p w14:paraId="7E9C82B0" w14:textId="39AB3ED6" w:rsidR="005070BF" w:rsidRPr="00101FFC" w:rsidRDefault="005070BF" w:rsidP="00020D20">
            <w:pPr>
              <w:tabs>
                <w:tab w:val="clear" w:pos="180"/>
                <w:tab w:val="clear" w:pos="360"/>
                <w:tab w:val="clear" w:pos="540"/>
                <w:tab w:val="clear" w:pos="720"/>
              </w:tabs>
              <w:spacing w:before="0" w:after="0" w:line="240" w:lineRule="auto"/>
              <w:jc w:val="center"/>
              <w:rPr>
                <w:color w:val="323232"/>
                <w:szCs w:val="18"/>
              </w:rPr>
            </w:pPr>
            <w:r>
              <w:rPr>
                <w:color w:val="323232"/>
                <w:szCs w:val="18"/>
              </w:rPr>
              <w:t>FMPO</w:t>
            </w:r>
          </w:p>
        </w:tc>
        <w:tc>
          <w:tcPr>
            <w:tcW w:w="2952" w:type="dxa"/>
            <w:tcBorders>
              <w:top w:val="single" w:sz="4" w:space="0" w:color="auto"/>
              <w:left w:val="single" w:sz="4" w:space="0" w:color="auto"/>
              <w:bottom w:val="single" w:sz="4" w:space="0" w:color="auto"/>
              <w:right w:val="single" w:sz="4" w:space="0" w:color="auto"/>
            </w:tcBorders>
            <w:vAlign w:val="center"/>
          </w:tcPr>
          <w:p w14:paraId="0A9B07FF" w14:textId="484FD671" w:rsidR="005070BF" w:rsidRDefault="005070BF">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6 E. Aspen Ave.</w:t>
            </w:r>
            <w:r w:rsidR="00E0678B">
              <w:rPr>
                <w:color w:val="323232"/>
                <w:sz w:val="18"/>
                <w:szCs w:val="18"/>
              </w:rPr>
              <w:t>, Ste. 200</w:t>
            </w:r>
          </w:p>
          <w:p w14:paraId="788E68AC" w14:textId="77777777" w:rsidR="005070BF" w:rsidRDefault="005070BF">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Flagstaff, AZ 86001</w:t>
            </w:r>
          </w:p>
          <w:p w14:paraId="0A5280AE" w14:textId="77777777" w:rsidR="005070BF" w:rsidRDefault="005070BF">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928-266-1293</w:t>
            </w:r>
          </w:p>
          <w:p w14:paraId="295F890B" w14:textId="37FAF6CA" w:rsidR="005070BF" w:rsidRDefault="00202C92" w:rsidP="00020D20">
            <w:pPr>
              <w:tabs>
                <w:tab w:val="clear" w:pos="180"/>
                <w:tab w:val="clear" w:pos="360"/>
                <w:tab w:val="clear" w:pos="540"/>
                <w:tab w:val="clear" w:pos="720"/>
              </w:tabs>
              <w:spacing w:before="0" w:after="0" w:line="240" w:lineRule="auto"/>
              <w:jc w:val="center"/>
              <w:rPr>
                <w:color w:val="323232"/>
                <w:sz w:val="18"/>
                <w:szCs w:val="18"/>
              </w:rPr>
            </w:pPr>
            <w:hyperlink r:id="rId143">
              <w:r w:rsidR="005070BF">
                <w:rPr>
                  <w:rFonts w:ascii="Calibri" w:eastAsia="Calibri" w:hAnsi="Calibri" w:cs="Calibri"/>
                  <w:color w:val="CE5B18"/>
                  <w:sz w:val="18"/>
                  <w:szCs w:val="18"/>
                </w:rPr>
                <w:t>https://www.metroplanflg.org/</w:t>
              </w:r>
            </w:hyperlink>
          </w:p>
        </w:tc>
      </w:tr>
      <w:tr w:rsidR="00C57D06" w14:paraId="3E4DD100" w14:textId="77777777" w:rsidTr="005070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1" w:type="dxa"/>
            <w:vMerge w:val="restart"/>
            <w:tcBorders>
              <w:top w:val="single" w:sz="4" w:space="0" w:color="FFFFFF" w:themeColor="background1"/>
            </w:tcBorders>
            <w:shd w:val="clear" w:color="auto" w:fill="012768"/>
            <w:textDirection w:val="btLr"/>
            <w:vAlign w:val="center"/>
          </w:tcPr>
          <w:p w14:paraId="5022468B" w14:textId="4081D043" w:rsidR="005070BF" w:rsidRPr="00020D20" w:rsidRDefault="005070BF">
            <w:pPr>
              <w:tabs>
                <w:tab w:val="clear" w:pos="180"/>
                <w:tab w:val="clear" w:pos="360"/>
                <w:tab w:val="clear" w:pos="540"/>
                <w:tab w:val="clear" w:pos="720"/>
              </w:tabs>
              <w:spacing w:before="0" w:after="0" w:line="240" w:lineRule="auto"/>
              <w:ind w:left="113" w:right="113"/>
              <w:jc w:val="center"/>
              <w:rPr>
                <w:sz w:val="22"/>
              </w:rPr>
            </w:pPr>
            <w:r w:rsidRPr="00020D20">
              <w:rPr>
                <w:sz w:val="22"/>
              </w:rPr>
              <w:t>COG</w:t>
            </w:r>
          </w:p>
        </w:tc>
        <w:sdt>
          <w:sdtPr>
            <w:tag w:val="goog_rdk_966"/>
            <w:id w:val="-1340620618"/>
          </w:sdtPr>
          <w:sdtEndPr/>
          <w:sdtContent>
            <w:tc>
              <w:tcPr>
                <w:tcW w:w="1320" w:type="dxa"/>
                <w:tcBorders>
                  <w:top w:val="single" w:sz="4" w:space="0" w:color="auto"/>
                </w:tcBorders>
                <w:vAlign w:val="center"/>
              </w:tcPr>
              <w:p w14:paraId="4DF931B0" w14:textId="77777777"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CAG</w:t>
                </w:r>
              </w:p>
            </w:tc>
          </w:sdtContent>
        </w:sdt>
        <w:tc>
          <w:tcPr>
            <w:tcW w:w="2891" w:type="dxa"/>
            <w:tcBorders>
              <w:top w:val="single" w:sz="4" w:space="0" w:color="auto"/>
            </w:tcBorders>
            <w:vAlign w:val="center"/>
          </w:tcPr>
          <w:p w14:paraId="6BF41C0E"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2540 Apache Trail</w:t>
            </w:r>
          </w:p>
          <w:p w14:paraId="0EE52D3D"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Apache Junction, AZ 85120</w:t>
            </w:r>
          </w:p>
          <w:p w14:paraId="09054339"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#:480-474-9300</w:t>
            </w:r>
          </w:p>
          <w:p w14:paraId="29F08ED1" w14:textId="77777777" w:rsidR="005070BF" w:rsidRDefault="00202C92" w:rsidP="00020D20">
            <w:pPr>
              <w:pStyle w:val="Title"/>
              <w:tabs>
                <w:tab w:val="clear" w:pos="180"/>
                <w:tab w:val="clear" w:pos="360"/>
                <w:tab w:val="clear" w:pos="540"/>
                <w:tab w:val="clear" w:pos="720"/>
              </w:tabs>
              <w:rPr>
                <w:sz w:val="18"/>
                <w:szCs w:val="18"/>
              </w:rPr>
            </w:pPr>
            <w:hyperlink r:id="rId144">
              <w:r w:rsidR="005070BF">
                <w:rPr>
                  <w:rFonts w:eastAsia="Calibri" w:cs="Calibri"/>
                  <w:sz w:val="18"/>
                  <w:szCs w:val="18"/>
                </w:rPr>
                <w:t>http://www.cagaz.org/</w:t>
              </w:r>
            </w:hyperlink>
          </w:p>
        </w:tc>
        <w:tc>
          <w:tcPr>
            <w:tcW w:w="491" w:type="dxa"/>
            <w:vMerge/>
            <w:shd w:val="clear" w:color="auto" w:fill="012768"/>
          </w:tcPr>
          <w:p w14:paraId="0CA3A8BE" w14:textId="77777777" w:rsidR="005070BF" w:rsidRDefault="005070BF" w:rsidP="00020D20">
            <w:pPr>
              <w:spacing w:before="0" w:after="0" w:line="240" w:lineRule="auto"/>
              <w:jc w:val="both"/>
            </w:pPr>
          </w:p>
        </w:tc>
        <w:tc>
          <w:tcPr>
            <w:tcW w:w="1215" w:type="dxa"/>
            <w:vAlign w:val="center"/>
          </w:tcPr>
          <w:p w14:paraId="7D8D3911" w14:textId="7630421E" w:rsidR="005070BF" w:rsidRPr="00101FFC" w:rsidRDefault="005070BF" w:rsidP="00020D20">
            <w:pPr>
              <w:tabs>
                <w:tab w:val="clear" w:pos="180"/>
                <w:tab w:val="clear" w:pos="360"/>
                <w:tab w:val="clear" w:pos="540"/>
                <w:tab w:val="clear" w:pos="720"/>
              </w:tabs>
              <w:spacing w:before="0" w:after="0" w:line="240" w:lineRule="auto"/>
              <w:jc w:val="center"/>
              <w:rPr>
                <w:color w:val="323232"/>
                <w:szCs w:val="18"/>
              </w:rPr>
            </w:pPr>
            <w:r w:rsidRPr="00101FFC">
              <w:rPr>
                <w:color w:val="323232"/>
                <w:szCs w:val="18"/>
              </w:rPr>
              <w:t>LHMPO</w:t>
            </w:r>
          </w:p>
        </w:tc>
        <w:tc>
          <w:tcPr>
            <w:tcW w:w="2952" w:type="dxa"/>
            <w:vAlign w:val="center"/>
          </w:tcPr>
          <w:p w14:paraId="36F13CD1" w14:textId="77777777" w:rsidR="005070BF" w:rsidRDefault="005070BF">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900 London Bridge Rd.</w:t>
            </w:r>
          </w:p>
          <w:p w14:paraId="5FB6FB36" w14:textId="77777777" w:rsidR="005070BF" w:rsidRDefault="005070BF">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Lake Havasu City, AZ 86404</w:t>
            </w:r>
          </w:p>
          <w:p w14:paraId="09D025EE" w14:textId="77777777" w:rsidR="005070BF" w:rsidRDefault="005070BF">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928-453-2823</w:t>
            </w:r>
          </w:p>
          <w:p w14:paraId="43556699" w14:textId="61E8F166" w:rsidR="005070BF" w:rsidRDefault="00202C92" w:rsidP="00020D20">
            <w:pPr>
              <w:tabs>
                <w:tab w:val="clear" w:pos="180"/>
                <w:tab w:val="clear" w:pos="360"/>
                <w:tab w:val="clear" w:pos="540"/>
                <w:tab w:val="clear" w:pos="720"/>
              </w:tabs>
              <w:spacing w:before="0" w:after="0" w:line="240" w:lineRule="auto"/>
              <w:jc w:val="center"/>
              <w:rPr>
                <w:color w:val="323232"/>
                <w:sz w:val="18"/>
                <w:szCs w:val="18"/>
              </w:rPr>
            </w:pPr>
            <w:hyperlink r:id="rId145">
              <w:r w:rsidR="005070BF">
                <w:rPr>
                  <w:rFonts w:ascii="Calibri" w:eastAsia="Calibri" w:hAnsi="Calibri" w:cs="Calibri"/>
                  <w:color w:val="CE5B18"/>
                  <w:sz w:val="18"/>
                  <w:szCs w:val="18"/>
                </w:rPr>
                <w:t>http://www.lhmpo.org/</w:t>
              </w:r>
            </w:hyperlink>
          </w:p>
        </w:tc>
      </w:tr>
      <w:tr w:rsidR="00C57D06" w14:paraId="73DC1877" w14:textId="77777777" w:rsidTr="005070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1" w:type="dxa"/>
            <w:vMerge/>
            <w:shd w:val="clear" w:color="auto" w:fill="012768"/>
          </w:tcPr>
          <w:p w14:paraId="4A57C989" w14:textId="77777777" w:rsidR="005070BF" w:rsidRDefault="005070BF" w:rsidP="00020D20">
            <w:pPr>
              <w:spacing w:before="0" w:after="0" w:line="240" w:lineRule="auto"/>
              <w:jc w:val="both"/>
            </w:pPr>
          </w:p>
        </w:tc>
        <w:sdt>
          <w:sdtPr>
            <w:tag w:val="goog_rdk_968"/>
            <w:id w:val="1825321125"/>
          </w:sdtPr>
          <w:sdtEndPr/>
          <w:sdtContent>
            <w:tc>
              <w:tcPr>
                <w:tcW w:w="1320" w:type="dxa"/>
                <w:vAlign w:val="center"/>
              </w:tcPr>
              <w:p w14:paraId="24DB7320" w14:textId="6BF64604"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NACOG</w:t>
                </w:r>
              </w:p>
            </w:tc>
          </w:sdtContent>
        </w:sdt>
        <w:tc>
          <w:tcPr>
            <w:tcW w:w="2891" w:type="dxa"/>
            <w:vAlign w:val="center"/>
          </w:tcPr>
          <w:p w14:paraId="11DC4AC0" w14:textId="35E36FF4"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119 E. Aspen Ave.</w:t>
            </w:r>
          </w:p>
          <w:p w14:paraId="4B2C5D19"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Flagstaff, AZ 86001</w:t>
            </w:r>
          </w:p>
          <w:p w14:paraId="7FFC6E81" w14:textId="714AAFEA"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928-774-1895</w:t>
            </w:r>
          </w:p>
          <w:p w14:paraId="122856AF" w14:textId="77777777" w:rsidR="005070BF" w:rsidRDefault="00202C92" w:rsidP="00020D20">
            <w:pPr>
              <w:pStyle w:val="Title"/>
              <w:tabs>
                <w:tab w:val="clear" w:pos="180"/>
                <w:tab w:val="clear" w:pos="360"/>
                <w:tab w:val="clear" w:pos="540"/>
                <w:tab w:val="clear" w:pos="720"/>
              </w:tabs>
              <w:rPr>
                <w:sz w:val="18"/>
                <w:szCs w:val="18"/>
              </w:rPr>
            </w:pPr>
            <w:hyperlink r:id="rId146">
              <w:r w:rsidR="005070BF">
                <w:rPr>
                  <w:rFonts w:eastAsia="Calibri" w:cs="Calibri"/>
                  <w:sz w:val="18"/>
                  <w:szCs w:val="18"/>
                </w:rPr>
                <w:t>https://www.nacog.org/</w:t>
              </w:r>
            </w:hyperlink>
          </w:p>
        </w:tc>
        <w:tc>
          <w:tcPr>
            <w:tcW w:w="491" w:type="dxa"/>
            <w:vMerge/>
            <w:shd w:val="clear" w:color="auto" w:fill="012768"/>
          </w:tcPr>
          <w:p w14:paraId="309228F4" w14:textId="77777777" w:rsidR="005070BF" w:rsidRDefault="005070BF" w:rsidP="00020D20">
            <w:pPr>
              <w:spacing w:before="0" w:after="0" w:line="240" w:lineRule="auto"/>
              <w:jc w:val="both"/>
            </w:pPr>
          </w:p>
        </w:tc>
        <w:sdt>
          <w:sdtPr>
            <w:tag w:val="goog_rdk_960"/>
            <w:id w:val="1636837747"/>
          </w:sdtPr>
          <w:sdtEndPr/>
          <w:sdtContent>
            <w:tc>
              <w:tcPr>
                <w:tcW w:w="1215" w:type="dxa"/>
                <w:vAlign w:val="center"/>
              </w:tcPr>
              <w:p w14:paraId="7239E703" w14:textId="77777777"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SCMPO</w:t>
                </w:r>
              </w:p>
            </w:tc>
          </w:sdtContent>
        </w:sdt>
        <w:tc>
          <w:tcPr>
            <w:tcW w:w="2952" w:type="dxa"/>
            <w:vAlign w:val="center"/>
          </w:tcPr>
          <w:p w14:paraId="32605E25"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211 N. Florence St., Ste. 103</w:t>
            </w:r>
          </w:p>
          <w:p w14:paraId="36087541"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Casa Grande, AZ 85122</w:t>
            </w:r>
          </w:p>
          <w:p w14:paraId="7D8700D9"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520-705-5143</w:t>
            </w:r>
          </w:p>
          <w:p w14:paraId="3F38748D" w14:textId="1D694E87" w:rsidR="005070BF" w:rsidRDefault="00202C92" w:rsidP="00020D20">
            <w:pPr>
              <w:pStyle w:val="Title"/>
              <w:tabs>
                <w:tab w:val="clear" w:pos="180"/>
                <w:tab w:val="clear" w:pos="360"/>
                <w:tab w:val="clear" w:pos="540"/>
                <w:tab w:val="clear" w:pos="720"/>
              </w:tabs>
              <w:rPr>
                <w:sz w:val="18"/>
                <w:szCs w:val="18"/>
              </w:rPr>
            </w:pPr>
            <w:hyperlink r:id="rId147">
              <w:r w:rsidR="005070BF">
                <w:rPr>
                  <w:rFonts w:eastAsia="Calibri" w:cs="Calibri"/>
                  <w:sz w:val="18"/>
                  <w:szCs w:val="18"/>
                </w:rPr>
                <w:t>https://scmpo.org/</w:t>
              </w:r>
            </w:hyperlink>
          </w:p>
        </w:tc>
      </w:tr>
      <w:tr w:rsidR="00C57D06" w14:paraId="7CC1B71F" w14:textId="77777777" w:rsidTr="005070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1" w:type="dxa"/>
            <w:vMerge/>
            <w:shd w:val="clear" w:color="auto" w:fill="012768"/>
          </w:tcPr>
          <w:p w14:paraId="5DA385DD" w14:textId="77777777" w:rsidR="005070BF" w:rsidRDefault="005070BF" w:rsidP="00020D20">
            <w:pPr>
              <w:spacing w:before="0" w:after="0" w:line="240" w:lineRule="auto"/>
              <w:jc w:val="both"/>
            </w:pPr>
          </w:p>
        </w:tc>
        <w:sdt>
          <w:sdtPr>
            <w:tag w:val="goog_rdk_971"/>
            <w:id w:val="1932388417"/>
          </w:sdtPr>
          <w:sdtEndPr/>
          <w:sdtContent>
            <w:tc>
              <w:tcPr>
                <w:tcW w:w="1320" w:type="dxa"/>
                <w:vAlign w:val="center"/>
              </w:tcPr>
              <w:p w14:paraId="65535A35" w14:textId="72FE35F8"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SEAGO</w:t>
                </w:r>
              </w:p>
            </w:tc>
          </w:sdtContent>
        </w:sdt>
        <w:tc>
          <w:tcPr>
            <w:tcW w:w="2891" w:type="dxa"/>
            <w:vAlign w:val="center"/>
          </w:tcPr>
          <w:p w14:paraId="49B884CF" w14:textId="7A4CB602"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1403 W. Hwy. 92</w:t>
            </w:r>
          </w:p>
          <w:p w14:paraId="46CBE612"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Bisbee, AZ 85603</w:t>
            </w:r>
          </w:p>
          <w:p w14:paraId="17461775"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520-432-5301</w:t>
            </w:r>
          </w:p>
          <w:p w14:paraId="76FEB1F3" w14:textId="77777777" w:rsidR="005070BF" w:rsidRDefault="00202C92" w:rsidP="00020D20">
            <w:pPr>
              <w:pStyle w:val="Title"/>
              <w:tabs>
                <w:tab w:val="clear" w:pos="180"/>
                <w:tab w:val="clear" w:pos="360"/>
                <w:tab w:val="clear" w:pos="540"/>
                <w:tab w:val="clear" w:pos="720"/>
              </w:tabs>
              <w:rPr>
                <w:sz w:val="18"/>
                <w:szCs w:val="18"/>
              </w:rPr>
            </w:pPr>
            <w:hyperlink r:id="rId148">
              <w:r w:rsidR="005070BF">
                <w:rPr>
                  <w:rFonts w:eastAsia="Calibri" w:cs="Calibri"/>
                  <w:sz w:val="18"/>
                  <w:szCs w:val="18"/>
                </w:rPr>
                <w:t>https://www.seago.org/</w:t>
              </w:r>
            </w:hyperlink>
          </w:p>
        </w:tc>
        <w:tc>
          <w:tcPr>
            <w:tcW w:w="491" w:type="dxa"/>
            <w:vMerge/>
            <w:shd w:val="clear" w:color="auto" w:fill="012768"/>
          </w:tcPr>
          <w:p w14:paraId="23FDBE4D" w14:textId="77777777" w:rsidR="005070BF" w:rsidRDefault="005070BF" w:rsidP="00020D20">
            <w:pPr>
              <w:spacing w:before="0" w:after="0" w:line="240" w:lineRule="auto"/>
              <w:jc w:val="both"/>
            </w:pPr>
          </w:p>
        </w:tc>
        <w:sdt>
          <w:sdtPr>
            <w:tag w:val="goog_rdk_962"/>
            <w:id w:val="1586880870"/>
          </w:sdtPr>
          <w:sdtEndPr/>
          <w:sdtContent>
            <w:tc>
              <w:tcPr>
                <w:tcW w:w="1215" w:type="dxa"/>
                <w:vAlign w:val="center"/>
              </w:tcPr>
              <w:p w14:paraId="587A4FBC" w14:textId="77777777"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SVMPO</w:t>
                </w:r>
              </w:p>
            </w:tc>
          </w:sdtContent>
        </w:sdt>
        <w:tc>
          <w:tcPr>
            <w:tcW w:w="2952" w:type="dxa"/>
            <w:vAlign w:val="center"/>
          </w:tcPr>
          <w:p w14:paraId="6751CF3D"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410 Giulio Cesare Ave.</w:t>
            </w:r>
          </w:p>
          <w:p w14:paraId="48883F3C"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Sierra Vista, AZ 85635</w:t>
            </w:r>
          </w:p>
          <w:p w14:paraId="2DEEC61A"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520-515-8525</w:t>
            </w:r>
          </w:p>
          <w:p w14:paraId="3C329D1A" w14:textId="7A06D3F4" w:rsidR="005070BF" w:rsidRDefault="00202C92" w:rsidP="00020D20">
            <w:pPr>
              <w:pStyle w:val="Title"/>
              <w:tabs>
                <w:tab w:val="clear" w:pos="180"/>
                <w:tab w:val="clear" w:pos="360"/>
                <w:tab w:val="clear" w:pos="540"/>
                <w:tab w:val="clear" w:pos="720"/>
              </w:tabs>
              <w:rPr>
                <w:sz w:val="18"/>
                <w:szCs w:val="18"/>
              </w:rPr>
            </w:pPr>
            <w:hyperlink r:id="rId149">
              <w:r w:rsidR="005070BF">
                <w:rPr>
                  <w:rFonts w:eastAsia="Calibri" w:cs="Calibri"/>
                  <w:sz w:val="18"/>
                  <w:szCs w:val="18"/>
                </w:rPr>
                <w:t>https://www.svmpo.org/</w:t>
              </w:r>
            </w:hyperlink>
          </w:p>
        </w:tc>
      </w:tr>
      <w:tr w:rsidR="00C57D06" w14:paraId="57FE79B8" w14:textId="77777777" w:rsidTr="005070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1" w:type="dxa"/>
            <w:vMerge/>
            <w:shd w:val="clear" w:color="auto" w:fill="012768"/>
          </w:tcPr>
          <w:p w14:paraId="2E9B27CF" w14:textId="77777777" w:rsidR="005070BF" w:rsidRDefault="005070BF" w:rsidP="00020D20">
            <w:pPr>
              <w:spacing w:before="0" w:after="0" w:line="240" w:lineRule="auto"/>
              <w:jc w:val="both"/>
            </w:pPr>
          </w:p>
        </w:tc>
        <w:sdt>
          <w:sdtPr>
            <w:tag w:val="goog_rdk_973"/>
            <w:id w:val="1989587335"/>
          </w:sdtPr>
          <w:sdtEndPr/>
          <w:sdtContent>
            <w:tc>
              <w:tcPr>
                <w:tcW w:w="1320" w:type="dxa"/>
                <w:vAlign w:val="center"/>
              </w:tcPr>
              <w:p w14:paraId="1152FA4E" w14:textId="4A495320"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WACOG</w:t>
                </w:r>
              </w:p>
            </w:tc>
          </w:sdtContent>
        </w:sdt>
        <w:tc>
          <w:tcPr>
            <w:tcW w:w="2891" w:type="dxa"/>
            <w:vAlign w:val="center"/>
          </w:tcPr>
          <w:p w14:paraId="37594E77" w14:textId="06D07512"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208 N. 4th Street</w:t>
            </w:r>
          </w:p>
          <w:p w14:paraId="7823F3AF"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Kingman, AZ 86401</w:t>
            </w:r>
          </w:p>
          <w:p w14:paraId="16487338" w14:textId="0627DCC1"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928-753-6247</w:t>
            </w:r>
          </w:p>
          <w:p w14:paraId="7478DB85" w14:textId="77777777" w:rsidR="005070BF" w:rsidRDefault="00202C92" w:rsidP="00020D20">
            <w:pPr>
              <w:pStyle w:val="Title"/>
              <w:tabs>
                <w:tab w:val="clear" w:pos="180"/>
                <w:tab w:val="clear" w:pos="360"/>
                <w:tab w:val="clear" w:pos="540"/>
                <w:tab w:val="clear" w:pos="720"/>
              </w:tabs>
              <w:rPr>
                <w:sz w:val="18"/>
                <w:szCs w:val="18"/>
              </w:rPr>
            </w:pPr>
            <w:hyperlink r:id="rId150">
              <w:r w:rsidR="005070BF">
                <w:rPr>
                  <w:rFonts w:eastAsia="Calibri" w:cs="Calibri"/>
                  <w:sz w:val="18"/>
                  <w:szCs w:val="18"/>
                </w:rPr>
                <w:t>https://www.wacog.com/</w:t>
              </w:r>
            </w:hyperlink>
          </w:p>
        </w:tc>
        <w:tc>
          <w:tcPr>
            <w:tcW w:w="491" w:type="dxa"/>
            <w:vMerge/>
            <w:shd w:val="clear" w:color="auto" w:fill="012768"/>
          </w:tcPr>
          <w:p w14:paraId="5B8A75A6" w14:textId="77777777" w:rsidR="005070BF" w:rsidRDefault="005070BF" w:rsidP="00020D20">
            <w:pPr>
              <w:spacing w:before="0" w:after="0" w:line="240" w:lineRule="auto"/>
              <w:jc w:val="both"/>
            </w:pPr>
          </w:p>
        </w:tc>
        <w:sdt>
          <w:sdtPr>
            <w:tag w:val="goog_rdk_964"/>
            <w:id w:val="2039462410"/>
          </w:sdtPr>
          <w:sdtEndPr/>
          <w:sdtContent>
            <w:tc>
              <w:tcPr>
                <w:tcW w:w="1215" w:type="dxa"/>
                <w:vAlign w:val="center"/>
              </w:tcPr>
              <w:p w14:paraId="69D056B7" w14:textId="77777777" w:rsidR="005070BF" w:rsidRPr="00101FFC" w:rsidRDefault="005070BF" w:rsidP="00020D20">
                <w:pPr>
                  <w:tabs>
                    <w:tab w:val="clear" w:pos="180"/>
                    <w:tab w:val="clear" w:pos="360"/>
                    <w:tab w:val="clear" w:pos="540"/>
                    <w:tab w:val="clear" w:pos="720"/>
                  </w:tabs>
                  <w:spacing w:before="0" w:after="0" w:line="240" w:lineRule="auto"/>
                  <w:jc w:val="center"/>
                  <w:rPr>
                    <w:color w:val="000000"/>
                    <w:szCs w:val="18"/>
                  </w:rPr>
                </w:pPr>
                <w:r w:rsidRPr="00101FFC">
                  <w:rPr>
                    <w:color w:val="323232"/>
                    <w:szCs w:val="18"/>
                  </w:rPr>
                  <w:t>YMPO</w:t>
                </w:r>
              </w:p>
            </w:tc>
          </w:sdtContent>
        </w:sdt>
        <w:tc>
          <w:tcPr>
            <w:tcW w:w="2952" w:type="dxa"/>
            <w:vAlign w:val="center"/>
          </w:tcPr>
          <w:p w14:paraId="789B9C85" w14:textId="720EC324"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502 S. Orange Ave.</w:t>
            </w:r>
          </w:p>
          <w:p w14:paraId="04D085B1" w14:textId="77777777"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Yuma, AZ 85364</w:t>
            </w:r>
          </w:p>
          <w:p w14:paraId="4EA59604" w14:textId="3B613E01" w:rsidR="005070BF" w:rsidRDefault="005070BF" w:rsidP="00020D20">
            <w:pPr>
              <w:tabs>
                <w:tab w:val="clear" w:pos="180"/>
                <w:tab w:val="clear" w:pos="360"/>
                <w:tab w:val="clear" w:pos="540"/>
                <w:tab w:val="clear" w:pos="720"/>
              </w:tabs>
              <w:spacing w:before="0" w:after="0" w:line="240" w:lineRule="auto"/>
              <w:jc w:val="center"/>
              <w:rPr>
                <w:color w:val="323232"/>
                <w:sz w:val="18"/>
                <w:szCs w:val="18"/>
              </w:rPr>
            </w:pPr>
            <w:r>
              <w:rPr>
                <w:color w:val="323232"/>
                <w:sz w:val="18"/>
                <w:szCs w:val="18"/>
              </w:rPr>
              <w:t>#: 928-783-8911</w:t>
            </w:r>
          </w:p>
          <w:p w14:paraId="4178F291" w14:textId="62FACAF7" w:rsidR="005070BF" w:rsidRDefault="00202C92" w:rsidP="00020D20">
            <w:pPr>
              <w:pStyle w:val="Title"/>
              <w:tabs>
                <w:tab w:val="clear" w:pos="180"/>
                <w:tab w:val="clear" w:pos="360"/>
                <w:tab w:val="clear" w:pos="540"/>
                <w:tab w:val="clear" w:pos="720"/>
              </w:tabs>
              <w:rPr>
                <w:sz w:val="18"/>
                <w:szCs w:val="18"/>
              </w:rPr>
            </w:pPr>
            <w:hyperlink r:id="rId151">
              <w:r w:rsidR="005070BF">
                <w:rPr>
                  <w:rFonts w:eastAsia="Calibri" w:cs="Calibri"/>
                  <w:sz w:val="18"/>
                  <w:szCs w:val="18"/>
                </w:rPr>
                <w:t>https://ympo.org/</w:t>
              </w:r>
            </w:hyperlink>
          </w:p>
        </w:tc>
      </w:tr>
    </w:tbl>
    <w:p w14:paraId="26D18419" w14:textId="0DB28CBF" w:rsidR="00636F46" w:rsidRPr="00101FFC" w:rsidRDefault="00636F46" w:rsidP="00020D20">
      <w:pPr>
        <w:jc w:val="both"/>
      </w:pPr>
    </w:p>
    <w:p w14:paraId="457AF0C1" w14:textId="1144921C" w:rsidR="00BC4C68" w:rsidRDefault="00BC4C68" w:rsidP="00020D20">
      <w:pPr>
        <w:pStyle w:val="SectionHeadersADOTText"/>
        <w:jc w:val="both"/>
        <w:sectPr w:rsidR="00BC4C68" w:rsidSect="00020D20">
          <w:headerReference w:type="default" r:id="rId152"/>
          <w:type w:val="continuous"/>
          <w:pgSz w:w="12240" w:h="15840"/>
          <w:pgMar w:top="1440" w:right="1440" w:bottom="1440" w:left="1440" w:header="720" w:footer="720" w:gutter="0"/>
          <w:pgNumType w:chapStyle="1"/>
          <w:cols w:space="720"/>
          <w:docGrid w:linePitch="360"/>
        </w:sectPr>
      </w:pPr>
    </w:p>
    <w:p w14:paraId="49A4074C" w14:textId="28CFB81B" w:rsidR="00541862" w:rsidRDefault="005C5200" w:rsidP="00020D20">
      <w:pPr>
        <w:pStyle w:val="BodyTextTitle"/>
        <w:spacing w:before="0" w:after="0" w:line="240" w:lineRule="auto"/>
        <w:jc w:val="both"/>
      </w:pPr>
      <w:bookmarkStart w:id="49" w:name="_Toc49862229"/>
      <w:bookmarkStart w:id="50" w:name="_Toc49870620"/>
      <w:r>
        <w:t>2</w:t>
      </w:r>
      <w:r w:rsidR="00904690">
        <w:t xml:space="preserve"> </w:t>
      </w:r>
      <w:r>
        <w:t xml:space="preserve">| </w:t>
      </w:r>
      <w:r w:rsidR="00541862">
        <w:t xml:space="preserve">FEDERAL </w:t>
      </w:r>
      <w:r w:rsidR="006C571A">
        <w:t>AND</w:t>
      </w:r>
      <w:r w:rsidR="00541862">
        <w:t xml:space="preserve"> STATE PLANNING PARTNERS </w:t>
      </w:r>
    </w:p>
    <w:p w14:paraId="1FFA237C" w14:textId="60FF9FD8" w:rsidR="00C016EE" w:rsidRPr="00020D20" w:rsidRDefault="005C5200" w:rsidP="00020D20">
      <w:pPr>
        <w:pStyle w:val="BodyTextTitle"/>
        <w:spacing w:before="0" w:line="240" w:lineRule="auto"/>
        <w:jc w:val="both"/>
        <w:rPr>
          <w:sz w:val="36"/>
        </w:rPr>
      </w:pPr>
      <w:r w:rsidRPr="00020D20">
        <w:rPr>
          <w:sz w:val="36"/>
        </w:rPr>
        <w:t>TABLE OF CONTENTS</w:t>
      </w:r>
    </w:p>
    <w:p w14:paraId="73DADCB1" w14:textId="5D55CCA8" w:rsidR="005C5200" w:rsidRDefault="001A7998"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_Ref50024409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3A3BB3">
        <w:t>2.1 | ADOT MULTI-MODAL PLANNING DIVISION</w:t>
      </w:r>
      <w:r>
        <w:rPr>
          <w:rFonts w:eastAsiaTheme="majorEastAsia" w:cstheme="majorBidi"/>
        </w:rPr>
        <w:fldChar w:fldCharType="end"/>
      </w:r>
    </w:p>
    <w:p w14:paraId="4849CB8E" w14:textId="3F993E98" w:rsidR="001A7998" w:rsidRDefault="001A799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_Ref50024454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3A3BB3">
        <w:t>2.1.1 | Systems &amp; Regional Planning</w:t>
      </w:r>
      <w:r>
        <w:rPr>
          <w:rFonts w:eastAsiaTheme="majorEastAsia" w:cstheme="majorBidi"/>
        </w:rPr>
        <w:fldChar w:fldCharType="end"/>
      </w:r>
    </w:p>
    <w:p w14:paraId="2A480D96" w14:textId="750326D4" w:rsidR="001A7998" w:rsidRDefault="004800A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_Ref50024467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926E3D">
        <w:rPr>
          <w:rFonts w:cstheme="minorHAnsi"/>
        </w:rPr>
        <w:t>Studies, Plans, &amp; Programs</w:t>
      </w:r>
      <w:r>
        <w:rPr>
          <w:rFonts w:eastAsiaTheme="majorEastAsia" w:cstheme="majorBidi"/>
        </w:rPr>
        <w:fldChar w:fldCharType="end"/>
      </w:r>
    </w:p>
    <w:p w14:paraId="0060E436" w14:textId="14F59C83" w:rsidR="001A7998" w:rsidRDefault="003A15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_Ref50025449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926E3D">
        <w:t>2.1.2 | Transportation Programming</w:t>
      </w:r>
      <w:r>
        <w:rPr>
          <w:rFonts w:eastAsiaTheme="majorEastAsia" w:cstheme="majorBidi"/>
        </w:rPr>
        <w:fldChar w:fldCharType="end"/>
      </w:r>
    </w:p>
    <w:p w14:paraId="413CDD4D" w14:textId="241A1D37" w:rsidR="001A7998" w:rsidRDefault="009300ED" w:rsidP="00020D20">
      <w:pPr>
        <w:tabs>
          <w:tab w:val="clear" w:pos="180"/>
          <w:tab w:val="clear" w:pos="360"/>
          <w:tab w:val="clear" w:pos="540"/>
          <w:tab w:val="clear" w:pos="720"/>
          <w:tab w:val="left" w:pos="753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_Ref50026473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C10A1">
        <w:t>ADOT Five-Year Transportation Facilities Construction Program</w:t>
      </w:r>
      <w:r>
        <w:rPr>
          <w:rFonts w:eastAsiaTheme="majorEastAsia" w:cstheme="majorBidi"/>
        </w:rPr>
        <w:fldChar w:fldCharType="end"/>
      </w:r>
      <w:r w:rsidR="00EA4B19">
        <w:rPr>
          <w:rFonts w:eastAsiaTheme="majorEastAsia" w:cstheme="majorBidi"/>
        </w:rPr>
        <w:tab/>
      </w:r>
    </w:p>
    <w:p w14:paraId="5B506DA6" w14:textId="713BA627" w:rsidR="00427117" w:rsidRDefault="0042711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_Ref50026494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C10A1">
        <w:t>State Transportation Improvement Program</w:t>
      </w:r>
      <w:r>
        <w:rPr>
          <w:rFonts w:eastAsiaTheme="majorEastAsia" w:cstheme="majorBidi"/>
        </w:rPr>
        <w:fldChar w:fldCharType="end"/>
      </w:r>
    </w:p>
    <w:p w14:paraId="142FD168" w14:textId="18621EBB" w:rsidR="001A7998" w:rsidRDefault="0042711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_Ref50026498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C10A1">
        <w:t>State Implementation Plan</w:t>
      </w:r>
      <w:r>
        <w:rPr>
          <w:rFonts w:eastAsiaTheme="majorEastAsia" w:cstheme="majorBidi"/>
        </w:rPr>
        <w:fldChar w:fldCharType="end"/>
      </w:r>
    </w:p>
    <w:p w14:paraId="01477C55" w14:textId="0741A974" w:rsidR="001A7998" w:rsidRDefault="00C022A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_Ref50025463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926E3D">
        <w:t>2.1.3 | Transportation Plans</w:t>
      </w:r>
      <w:r>
        <w:rPr>
          <w:rFonts w:eastAsiaTheme="majorEastAsia" w:cstheme="majorBidi"/>
        </w:rPr>
        <w:fldChar w:fldCharType="end"/>
      </w:r>
    </w:p>
    <w:p w14:paraId="40B52BA0" w14:textId="7D0E7F7C" w:rsidR="00C022AA" w:rsidRDefault="00B065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_Ref50026683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926E3D">
        <w:t>Long-Range Transportation Plan</w:t>
      </w:r>
      <w:r>
        <w:rPr>
          <w:rFonts w:eastAsiaTheme="majorEastAsia" w:cstheme="majorBidi"/>
        </w:rPr>
        <w:fldChar w:fldCharType="end"/>
      </w:r>
    </w:p>
    <w:p w14:paraId="4C5EE6F4" w14:textId="303DA8AA" w:rsidR="00C022AA" w:rsidRDefault="00B065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_Ref50026688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C10A1">
        <w:t>Arizona State Rail Plan</w:t>
      </w:r>
      <w:r>
        <w:rPr>
          <w:rFonts w:eastAsiaTheme="majorEastAsia" w:cstheme="majorBidi"/>
        </w:rPr>
        <w:fldChar w:fldCharType="end"/>
      </w:r>
    </w:p>
    <w:p w14:paraId="611037E6" w14:textId="487C5BE5" w:rsidR="00C022AA" w:rsidRDefault="00B065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_Ref50026694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C10A1">
        <w:t>Arizona State Airports System Plan</w:t>
      </w:r>
      <w:r>
        <w:rPr>
          <w:rFonts w:eastAsiaTheme="majorEastAsia" w:cstheme="majorBidi"/>
        </w:rPr>
        <w:fldChar w:fldCharType="end"/>
      </w:r>
    </w:p>
    <w:p w14:paraId="5DF101A2" w14:textId="65DE4DBC" w:rsidR="00C022AA" w:rsidRDefault="00C022A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_Ref50025475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926E3D">
        <w:t>2.1.4 | Transit Programs &amp; Grants</w:t>
      </w:r>
      <w:r>
        <w:rPr>
          <w:rFonts w:eastAsiaTheme="majorEastAsia" w:cstheme="majorBidi"/>
        </w:rPr>
        <w:fldChar w:fldCharType="end"/>
      </w:r>
    </w:p>
    <w:p w14:paraId="6DAD16F9" w14:textId="1C591491" w:rsidR="00C022AA" w:rsidRDefault="00B065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_Ref50026700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C10A1">
        <w:t>Rail Transit State Safety Oversight Program</w:t>
      </w:r>
      <w:r>
        <w:rPr>
          <w:rFonts w:eastAsiaTheme="majorEastAsia" w:cstheme="majorBidi"/>
        </w:rPr>
        <w:fldChar w:fldCharType="end"/>
      </w:r>
    </w:p>
    <w:p w14:paraId="46E33AB3" w14:textId="2076CE67" w:rsidR="00C022AA" w:rsidRDefault="00C022A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_Ref50025481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926E3D">
        <w:t>2.1.5 | Data Management &amp; Analysis</w:t>
      </w:r>
      <w:r>
        <w:rPr>
          <w:rFonts w:eastAsiaTheme="majorEastAsia" w:cstheme="majorBidi"/>
        </w:rPr>
        <w:fldChar w:fldCharType="end"/>
      </w:r>
    </w:p>
    <w:p w14:paraId="1C7926EB" w14:textId="08D90316" w:rsidR="00C022AA" w:rsidRDefault="00B065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_Ref50026707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8B629B">
        <w:t>Data Collection &amp; Analysis</w:t>
      </w:r>
      <w:r>
        <w:rPr>
          <w:rFonts w:eastAsiaTheme="majorEastAsia" w:cstheme="majorBidi"/>
        </w:rPr>
        <w:fldChar w:fldCharType="end"/>
      </w:r>
    </w:p>
    <w:p w14:paraId="52E45EE9" w14:textId="08582947" w:rsidR="00C022AA" w:rsidRDefault="00B065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_Ref50026711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8B629B">
        <w:t>Geographic Information Systems</w:t>
      </w:r>
      <w:r>
        <w:rPr>
          <w:rFonts w:eastAsiaTheme="majorEastAsia" w:cstheme="majorBidi"/>
        </w:rPr>
        <w:fldChar w:fldCharType="end"/>
      </w:r>
    </w:p>
    <w:p w14:paraId="2DF38B30" w14:textId="39344ACE" w:rsidR="00C022AA" w:rsidRDefault="002B57C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_Ref50026881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8B629B">
        <w:t>Travel Demand Modeling</w:t>
      </w:r>
      <w:r>
        <w:rPr>
          <w:rFonts w:eastAsiaTheme="majorEastAsia" w:cstheme="majorBidi"/>
        </w:rPr>
        <w:fldChar w:fldCharType="end"/>
      </w:r>
    </w:p>
    <w:p w14:paraId="23CF3CE9" w14:textId="26269BA7" w:rsidR="00C022AA" w:rsidRDefault="00C022A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_Ref50025489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1305AD">
        <w:t>2.1.6 | Planning &amp; Environmental Linkages</w:t>
      </w:r>
      <w:r>
        <w:rPr>
          <w:rFonts w:eastAsiaTheme="majorEastAsia" w:cstheme="majorBidi"/>
        </w:rPr>
        <w:fldChar w:fldCharType="end"/>
      </w:r>
    </w:p>
    <w:p w14:paraId="7D92AE48" w14:textId="322E0ED7" w:rsidR="008E3FE1" w:rsidRDefault="008E3FE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_Ref50025502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1305AD">
        <w:t>2.1.7 | Corridor Planning Studies</w:t>
      </w:r>
      <w:r>
        <w:rPr>
          <w:rFonts w:eastAsiaTheme="majorEastAsia" w:cstheme="majorBidi"/>
        </w:rPr>
        <w:fldChar w:fldCharType="end"/>
      </w:r>
    </w:p>
    <w:p w14:paraId="4E2EF98F" w14:textId="2BFC1849" w:rsidR="008E3FE1" w:rsidRDefault="008E3FE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_Ref50025518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1305AD">
        <w:t>2.1.8 | Sustainability</w:t>
      </w:r>
      <w:r>
        <w:rPr>
          <w:rFonts w:eastAsiaTheme="majorEastAsia" w:cstheme="majorBidi"/>
        </w:rPr>
        <w:fldChar w:fldCharType="end"/>
      </w:r>
    </w:p>
    <w:p w14:paraId="1A39E509" w14:textId="013C7B9F" w:rsidR="00D20130" w:rsidRDefault="002B57C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_Ref50026873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t xml:space="preserve">2.1.9 | </w:t>
      </w:r>
      <w:r w:rsidRPr="00107F8C">
        <w:t>Aeronautics</w:t>
      </w:r>
      <w:r>
        <w:rPr>
          <w:rFonts w:eastAsiaTheme="majorEastAsia" w:cstheme="majorBidi"/>
        </w:rPr>
        <w:fldChar w:fldCharType="end"/>
      </w:r>
    </w:p>
    <w:p w14:paraId="5C21ACF4" w14:textId="085F20BD" w:rsidR="00AB619B" w:rsidRDefault="00D20130"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_Ref50026726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t>2.1.1</w:t>
      </w:r>
      <w:r>
        <w:t>0</w:t>
      </w:r>
      <w:r w:rsidRPr="006E728A">
        <w:t xml:space="preserve"> | Finance &amp; Contract Administration</w:t>
      </w:r>
      <w:r>
        <w:rPr>
          <w:rFonts w:eastAsiaTheme="majorEastAsia" w:cstheme="majorBidi"/>
        </w:rPr>
        <w:fldChar w:fldCharType="end"/>
      </w:r>
    </w:p>
    <w:p w14:paraId="700C017A" w14:textId="447798F3" w:rsidR="00D20130" w:rsidRDefault="00D20130"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_Ref50026732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t>2.1.1</w:t>
      </w:r>
      <w:r>
        <w:t>1</w:t>
      </w:r>
      <w:r w:rsidRPr="006E728A">
        <w:t xml:space="preserve"> | Transportation Research Center</w:t>
      </w:r>
      <w:r>
        <w:rPr>
          <w:rFonts w:eastAsiaTheme="majorEastAsia" w:cstheme="majorBidi"/>
        </w:rPr>
        <w:fldChar w:fldCharType="end"/>
      </w:r>
    </w:p>
    <w:p w14:paraId="58DA1F76" w14:textId="3B3380A6" w:rsidR="008E3FE1" w:rsidRDefault="002B57C7" w:rsidP="00020D20">
      <w:pPr>
        <w:tabs>
          <w:tab w:val="clear" w:pos="180"/>
          <w:tab w:val="clear" w:pos="360"/>
          <w:tab w:val="clear" w:pos="540"/>
          <w:tab w:val="clear" w:pos="720"/>
        </w:tabs>
        <w:suppressAutoHyphens w:val="0"/>
        <w:autoSpaceDE/>
        <w:autoSpaceDN/>
        <w:adjustRightInd/>
        <w:spacing w:before="0" w:after="4" w:line="240" w:lineRule="auto"/>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_Ref50026899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t>2.2 | FEDERAL PARTNER AGENCIES</w:t>
      </w:r>
      <w:r>
        <w:rPr>
          <w:rFonts w:eastAsiaTheme="majorEastAsia" w:cstheme="majorBidi"/>
        </w:rPr>
        <w:fldChar w:fldCharType="end"/>
      </w:r>
    </w:p>
    <w:p w14:paraId="12D020C7" w14:textId="41DB44B5" w:rsidR="00FE4C01" w:rsidRDefault="002B57C7"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_Ref50026915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t>2.2.1 | Federal Highway Administration</w:t>
      </w:r>
      <w:r>
        <w:rPr>
          <w:rFonts w:eastAsiaTheme="majorEastAsia" w:cstheme="majorBidi"/>
        </w:rPr>
        <w:fldChar w:fldCharType="end"/>
      </w:r>
    </w:p>
    <w:p w14:paraId="6EA801B6" w14:textId="13E7BCE2" w:rsidR="00E55364" w:rsidRDefault="00E31A30"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_Ref50028078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t>Central Federal Lands Highway Division</w:t>
      </w:r>
      <w:r>
        <w:rPr>
          <w:rFonts w:eastAsiaTheme="majorEastAsia" w:cstheme="majorBidi"/>
        </w:rPr>
        <w:fldChar w:fldCharType="end"/>
      </w:r>
    </w:p>
    <w:p w14:paraId="2DD29A60" w14:textId="3C45D782" w:rsidR="00E55364" w:rsidRDefault="00705021"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_Ref50028092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rPr>
          <w:rFonts w:cstheme="minorHAnsi"/>
        </w:rPr>
        <w:t>F</w:t>
      </w:r>
      <w:r>
        <w:rPr>
          <w:rFonts w:cstheme="minorHAnsi"/>
        </w:rPr>
        <w:t>HWA</w:t>
      </w:r>
      <w:r w:rsidRPr="006E728A">
        <w:rPr>
          <w:rFonts w:cstheme="minorHAnsi"/>
        </w:rPr>
        <w:t xml:space="preserve"> </w:t>
      </w:r>
      <w:r w:rsidRPr="00555D66">
        <w:t>Arizona</w:t>
      </w:r>
      <w:r w:rsidRPr="006E728A">
        <w:rPr>
          <w:rFonts w:cstheme="minorHAnsi"/>
        </w:rPr>
        <w:t xml:space="preserve"> Division</w:t>
      </w:r>
      <w:r>
        <w:rPr>
          <w:rFonts w:eastAsiaTheme="majorEastAsia" w:cstheme="majorBidi"/>
        </w:rPr>
        <w:fldChar w:fldCharType="end"/>
      </w:r>
    </w:p>
    <w:p w14:paraId="2010F03E" w14:textId="5E6972E9" w:rsidR="00E55364" w:rsidRDefault="00E55364"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_Ref50027851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rPr>
          <w:rFonts w:cstheme="minorHAnsi"/>
        </w:rPr>
        <w:t>2.2.2 | Federal Transit Administration</w:t>
      </w:r>
      <w:r>
        <w:rPr>
          <w:rFonts w:eastAsiaTheme="majorEastAsia" w:cstheme="majorBidi"/>
        </w:rPr>
        <w:fldChar w:fldCharType="end"/>
      </w:r>
    </w:p>
    <w:p w14:paraId="2FAE93D4" w14:textId="0E6A48F0" w:rsidR="00E55364" w:rsidRDefault="00705021"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_Ref50028100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rPr>
          <w:rFonts w:cstheme="minorHAnsi"/>
        </w:rPr>
        <w:t>FTA Region 9</w:t>
      </w:r>
      <w:r>
        <w:rPr>
          <w:rFonts w:eastAsiaTheme="majorEastAsia" w:cstheme="majorBidi"/>
        </w:rPr>
        <w:fldChar w:fldCharType="end"/>
      </w:r>
    </w:p>
    <w:p w14:paraId="5001932A" w14:textId="1E7CCF12" w:rsidR="00E55364" w:rsidRDefault="00E55364"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_Ref50027869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rPr>
          <w:rFonts w:cstheme="minorHAnsi"/>
        </w:rPr>
        <w:t>2.2.3 | Federal Railroad Administration</w:t>
      </w:r>
      <w:r>
        <w:rPr>
          <w:rFonts w:eastAsiaTheme="majorEastAsia" w:cstheme="majorBidi"/>
        </w:rPr>
        <w:fldChar w:fldCharType="end"/>
      </w:r>
    </w:p>
    <w:p w14:paraId="2CCE89A2" w14:textId="35209BA3" w:rsidR="00E55364" w:rsidRDefault="00705021"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_Ref50028108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6E728A">
        <w:rPr>
          <w:rFonts w:cstheme="minorHAnsi"/>
        </w:rPr>
        <w:t>FRA Region 7</w:t>
      </w:r>
      <w:r>
        <w:rPr>
          <w:rFonts w:eastAsiaTheme="majorEastAsia" w:cstheme="majorBidi"/>
        </w:rPr>
        <w:fldChar w:fldCharType="end"/>
      </w:r>
    </w:p>
    <w:p w14:paraId="46238D7B" w14:textId="3EFF9B99" w:rsidR="00E55364" w:rsidRDefault="00E55364"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sidR="00EA12B1">
        <w:rPr>
          <w:rFonts w:eastAsiaTheme="majorEastAsia" w:cstheme="majorBidi"/>
        </w:rPr>
        <w:instrText xml:space="preserve"> REF _Ref50027878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006E728A" w:rsidRPr="006E728A">
        <w:rPr>
          <w:rFonts w:cstheme="minorHAnsi"/>
        </w:rPr>
        <w:t>2.2.4 | Federal Aviation Administration</w:t>
      </w:r>
      <w:r>
        <w:rPr>
          <w:rFonts w:eastAsiaTheme="majorEastAsia" w:cstheme="majorBidi"/>
        </w:rPr>
        <w:fldChar w:fldCharType="end"/>
      </w:r>
    </w:p>
    <w:p w14:paraId="71E5B1E8" w14:textId="6F011F2F" w:rsidR="00E55364" w:rsidRDefault="00705021"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_Ref50028115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t>FAA Western-Pacific Region</w:t>
      </w:r>
      <w:r>
        <w:rPr>
          <w:rFonts w:eastAsiaTheme="majorEastAsia" w:cstheme="majorBidi"/>
        </w:rPr>
        <w:fldChar w:fldCharType="end"/>
      </w:r>
    </w:p>
    <w:p w14:paraId="7459DC99" w14:textId="19164FC7" w:rsidR="00E55364" w:rsidRDefault="00E55364"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_Ref50027885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rPr>
          <w:rFonts w:cstheme="minorHAnsi"/>
        </w:rPr>
        <w:t>2.2.5 | Department of Housing &amp; Urban Development</w:t>
      </w:r>
      <w:r>
        <w:rPr>
          <w:rFonts w:eastAsiaTheme="majorEastAsia" w:cstheme="majorBidi"/>
        </w:rPr>
        <w:fldChar w:fldCharType="end"/>
      </w:r>
    </w:p>
    <w:p w14:paraId="3CADB503" w14:textId="07FF48F5" w:rsidR="00E55364" w:rsidRDefault="00E55364"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_Ref50027890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rPr>
          <w:rFonts w:cstheme="minorHAnsi"/>
        </w:rPr>
        <w:t>2.2.6 | Environmental Protection Agency</w:t>
      </w:r>
      <w:r>
        <w:rPr>
          <w:rFonts w:eastAsiaTheme="majorEastAsia" w:cstheme="majorBidi"/>
        </w:rPr>
        <w:fldChar w:fldCharType="end"/>
      </w:r>
    </w:p>
    <w:p w14:paraId="16CA2B43" w14:textId="679E934D" w:rsidR="00E55364" w:rsidRDefault="00705021"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_Ref50028123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t>EPA Region 9</w:t>
      </w:r>
      <w:r>
        <w:rPr>
          <w:rFonts w:eastAsiaTheme="majorEastAsia" w:cstheme="majorBidi"/>
        </w:rPr>
        <w:fldChar w:fldCharType="end"/>
      </w:r>
    </w:p>
    <w:p w14:paraId="5ADA0469" w14:textId="4985E8EF" w:rsidR="00E55364" w:rsidRDefault="00E55364" w:rsidP="00020D20">
      <w:pPr>
        <w:tabs>
          <w:tab w:val="clear" w:pos="180"/>
          <w:tab w:val="clear" w:pos="360"/>
          <w:tab w:val="clear" w:pos="540"/>
          <w:tab w:val="clear" w:pos="720"/>
        </w:tabs>
        <w:suppressAutoHyphens w:val="0"/>
        <w:autoSpaceDE/>
        <w:autoSpaceDN/>
        <w:adjustRightInd/>
        <w:spacing w:before="0" w:after="4" w:line="240" w:lineRule="auto"/>
        <w:ind w:left="504"/>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_Ref50027895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rPr>
          <w:rFonts w:cstheme="minorHAnsi"/>
        </w:rPr>
        <w:t>2.2.7 | Bureau of Indian Affairs</w:t>
      </w:r>
      <w:r>
        <w:rPr>
          <w:rFonts w:eastAsiaTheme="majorEastAsia" w:cstheme="majorBidi"/>
        </w:rPr>
        <w:fldChar w:fldCharType="end"/>
      </w:r>
    </w:p>
    <w:p w14:paraId="4664EB52" w14:textId="3145EB3F" w:rsidR="00E55364" w:rsidRDefault="00705021" w:rsidP="00020D20">
      <w:pPr>
        <w:tabs>
          <w:tab w:val="clear" w:pos="180"/>
          <w:tab w:val="clear" w:pos="360"/>
          <w:tab w:val="clear" w:pos="540"/>
          <w:tab w:val="clear" w:pos="720"/>
        </w:tabs>
        <w:suppressAutoHyphens w:val="0"/>
        <w:autoSpaceDE/>
        <w:autoSpaceDN/>
        <w:adjustRightInd/>
        <w:spacing w:before="0" w:after="4" w:line="240" w:lineRule="auto"/>
        <w:ind w:left="1008"/>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_Ref50028128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t>BIA Western Region</w:t>
      </w:r>
      <w:r>
        <w:rPr>
          <w:rFonts w:eastAsiaTheme="majorEastAsia" w:cstheme="majorBidi"/>
        </w:rPr>
        <w:fldChar w:fldCharType="end"/>
      </w:r>
    </w:p>
    <w:p w14:paraId="549C9D1D" w14:textId="625EA23B" w:rsidR="00E55364" w:rsidRPr="00020D20" w:rsidRDefault="00E55364" w:rsidP="00020D20">
      <w:pPr>
        <w:tabs>
          <w:tab w:val="clear" w:pos="180"/>
          <w:tab w:val="clear" w:pos="360"/>
          <w:tab w:val="clear" w:pos="540"/>
          <w:tab w:val="clear" w:pos="720"/>
        </w:tabs>
        <w:suppressAutoHyphens w:val="0"/>
        <w:autoSpaceDE/>
        <w:autoSpaceDN/>
        <w:adjustRightInd/>
        <w:spacing w:before="0" w:after="4" w:line="240" w:lineRule="auto"/>
        <w:jc w:val="both"/>
        <w:textAlignment w:val="auto"/>
        <w:rPr>
          <w:rFonts w:eastAsiaTheme="majorEastAsia" w:cstheme="majorBidi"/>
        </w:rPr>
      </w:pPr>
      <w:r>
        <w:rPr>
          <w:rFonts w:eastAsiaTheme="majorEastAsia" w:cstheme="majorBidi"/>
        </w:rPr>
        <w:fldChar w:fldCharType="begin"/>
      </w:r>
      <w:r>
        <w:rPr>
          <w:rFonts w:eastAsiaTheme="majorEastAsia" w:cstheme="majorBidi"/>
        </w:rPr>
        <w:instrText xml:space="preserve"> REF _Ref50027904 \h </w:instrText>
      </w:r>
      <w:r w:rsidR="002D38FC">
        <w:rPr>
          <w:rFonts w:eastAsiaTheme="majorEastAsia" w:cstheme="majorBidi"/>
        </w:rPr>
        <w:instrText xml:space="preserve"> \* MERGEFORMAT </w:instrText>
      </w:r>
      <w:r>
        <w:rPr>
          <w:rFonts w:eastAsiaTheme="majorEastAsia" w:cstheme="majorBidi"/>
        </w:rPr>
      </w:r>
      <w:r>
        <w:rPr>
          <w:rFonts w:eastAsiaTheme="majorEastAsia" w:cstheme="majorBidi"/>
        </w:rPr>
        <w:fldChar w:fldCharType="separate"/>
      </w:r>
      <w:r w:rsidRPr="007B4EC9">
        <w:rPr>
          <w:rFonts w:cstheme="minorHAnsi"/>
        </w:rPr>
        <w:t>2.3 | CONTACT INFORMATION</w:t>
      </w:r>
      <w:r>
        <w:rPr>
          <w:rFonts w:eastAsiaTheme="majorEastAsia" w:cstheme="majorBidi"/>
        </w:rPr>
        <w:fldChar w:fldCharType="end"/>
      </w:r>
    </w:p>
    <w:p w14:paraId="7B074CC4" w14:textId="77777777" w:rsidR="00492D0B" w:rsidRDefault="00C016EE"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ajorBidi"/>
          <w:b/>
          <w:color w:val="012768"/>
          <w:sz w:val="40"/>
          <w:szCs w:val="32"/>
        </w:rPr>
        <w:sectPr w:rsidR="00492D0B" w:rsidSect="0053793A">
          <w:footerReference w:type="default" r:id="rId153"/>
          <w:pgSz w:w="12240" w:h="15840"/>
          <w:pgMar w:top="1440" w:right="1440" w:bottom="1440" w:left="1440" w:header="720" w:footer="720" w:gutter="0"/>
          <w:pgNumType w:start="1" w:chapStyle="1"/>
          <w:cols w:space="720"/>
          <w:docGrid w:linePitch="360"/>
        </w:sectPr>
      </w:pPr>
      <w:r>
        <w:rPr>
          <w:rFonts w:eastAsiaTheme="majorEastAsia" w:cstheme="majorBidi"/>
          <w:b/>
          <w:color w:val="012768"/>
          <w:sz w:val="40"/>
          <w:szCs w:val="32"/>
        </w:rPr>
        <w:br w:type="page"/>
      </w:r>
    </w:p>
    <w:bookmarkStart w:id="51" w:name="_|_Federal_&amp;"/>
    <w:bookmarkStart w:id="52" w:name="_Toc50540216"/>
    <w:bookmarkEnd w:id="51"/>
    <w:p w14:paraId="7E469995" w14:textId="624C5FB0" w:rsidR="003A3BB3" w:rsidRDefault="00CB244A" w:rsidP="00020D20">
      <w:pPr>
        <w:pStyle w:val="Heading1"/>
        <w:tabs>
          <w:tab w:val="num" w:pos="360"/>
        </w:tabs>
        <w:jc w:val="both"/>
      </w:pPr>
      <w:r>
        <w:rPr>
          <w:rFonts w:cstheme="minorHAnsi"/>
          <w:noProof/>
        </w:rPr>
        <mc:AlternateContent>
          <mc:Choice Requires="wps">
            <w:drawing>
              <wp:anchor distT="0" distB="0" distL="114300" distR="114300" simplePos="0" relativeHeight="251618471" behindDoc="1" locked="0" layoutInCell="1" allowOverlap="1" wp14:anchorId="565EEE6B" wp14:editId="0CA458A6">
                <wp:simplePos x="0" y="0"/>
                <wp:positionH relativeFrom="column">
                  <wp:posOffset>4505325</wp:posOffset>
                </wp:positionH>
                <wp:positionV relativeFrom="paragraph">
                  <wp:posOffset>527685</wp:posOffset>
                </wp:positionV>
                <wp:extent cx="1376045" cy="2286000"/>
                <wp:effectExtent l="95250" t="95250" r="90805" b="95250"/>
                <wp:wrapTight wrapText="bothSides">
                  <wp:wrapPolygon edited="0">
                    <wp:start x="-1196" y="-900"/>
                    <wp:lineTo x="-1495" y="21420"/>
                    <wp:lineTo x="-897" y="22320"/>
                    <wp:lineTo x="22128" y="22320"/>
                    <wp:lineTo x="22726" y="19800"/>
                    <wp:lineTo x="22427" y="-900"/>
                    <wp:lineTo x="-1196" y="-900"/>
                  </wp:wrapPolygon>
                </wp:wrapTight>
                <wp:docPr id="816286413" name="Text Box 816286413"/>
                <wp:cNvGraphicFramePr/>
                <a:graphic xmlns:a="http://schemas.openxmlformats.org/drawingml/2006/main">
                  <a:graphicData uri="http://schemas.microsoft.com/office/word/2010/wordprocessingShape">
                    <wps:wsp>
                      <wps:cNvSpPr txBox="1"/>
                      <wps:spPr>
                        <a:xfrm>
                          <a:off x="0" y="0"/>
                          <a:ext cx="1376045" cy="2286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0565C45" w14:textId="77777777" w:rsidR="00C6444C" w:rsidRDefault="00C6444C" w:rsidP="00020D20">
                            <w:pPr>
                              <w:jc w:val="center"/>
                            </w:pPr>
                            <w:r>
                              <w:rPr>
                                <w:noProof/>
                              </w:rPr>
                              <w:drawing>
                                <wp:inline distT="0" distB="0" distL="0" distR="0" wp14:anchorId="28F41263" wp14:editId="36722354">
                                  <wp:extent cx="457200" cy="457200"/>
                                  <wp:effectExtent l="0" t="0" r="0" b="0"/>
                                  <wp:docPr id="1690912547" name="Picture 169091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1EA406" w14:textId="74BBAC90" w:rsidR="00C6444C" w:rsidRPr="0052715B" w:rsidRDefault="00C6444C" w:rsidP="00020D20">
                            <w:pPr>
                              <w:pStyle w:val="Calloutboxes"/>
                            </w:pPr>
                            <w:r w:rsidRPr="00394A74">
                              <w:t xml:space="preserve">ADOT MPD maintains a comprehensive website that houses extensive </w:t>
                            </w:r>
                            <w:r w:rsidRPr="00954116">
                              <w:t>information regarding the functions of division staff, procedural items, directives, organizational descriptions, and contact information for all programs. Various website topics are referenced throughout this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5EEE6B" id="Text Box 816286413" o:spid="_x0000_s1069" type="#_x0000_t202" style="position:absolute;left:0;text-align:left;margin-left:354.75pt;margin-top:41.55pt;width:108.35pt;height:180pt;z-index:-251698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" fillcolor="#f7f7f7" stroked="f" strokeweight=".5pt">
                <v:shadow on="t" type="perspective" color="black" opacity="26214f" offset="0,0" matrix="66847f,,,66847f"/>
                <v:textbox>
                  <w:txbxContent>
                    <w:p w14:paraId="70565C45" w14:textId="77777777" w:rsidR="00C6444C" w:rsidRDefault="00C6444C" w:rsidP="00020D20">
                      <w:pPr>
                        <w:jc w:val="center"/>
                      </w:pPr>
                      <w:r>
                        <w:rPr>
                          <w:noProof/>
                        </w:rPr>
                        <w:drawing>
                          <wp:inline distT="0" distB="0" distL="0" distR="0" wp14:anchorId="28F41263" wp14:editId="36722354">
                            <wp:extent cx="457200" cy="457200"/>
                            <wp:effectExtent l="0" t="0" r="0" b="0"/>
                            <wp:docPr id="1690912547" name="Picture 169091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1EA406" w14:textId="74BBAC90" w:rsidR="00C6444C" w:rsidRPr="0052715B" w:rsidRDefault="00C6444C" w:rsidP="00020D20">
                      <w:pPr>
                        <w:pStyle w:val="Calloutboxes"/>
                      </w:pPr>
                      <w:r w:rsidRPr="00394A74">
                        <w:t xml:space="preserve">ADOT MPD maintains a comprehensive website that houses extensive </w:t>
                      </w:r>
                      <w:r w:rsidRPr="00954116">
                        <w:t>information regarding the functions of division staff, procedural items, directives, organizational descriptions, and contact information for all programs. Various website topics are referenced throughout this manual.</w:t>
                      </w:r>
                    </w:p>
                  </w:txbxContent>
                </v:textbox>
                <w10:wrap type="tight"/>
              </v:shape>
            </w:pict>
          </mc:Fallback>
        </mc:AlternateContent>
      </w:r>
      <w:r w:rsidR="003A3BB3">
        <w:t>|</w:t>
      </w:r>
      <w:r w:rsidR="000E518A">
        <w:t xml:space="preserve"> </w:t>
      </w:r>
      <w:r w:rsidR="003A3BB3">
        <w:t xml:space="preserve">Federal </w:t>
      </w:r>
      <w:r w:rsidR="006C571A">
        <w:t>and</w:t>
      </w:r>
      <w:r w:rsidR="003A3BB3">
        <w:t xml:space="preserve"> State Planning Partners</w:t>
      </w:r>
      <w:bookmarkEnd w:id="49"/>
      <w:bookmarkEnd w:id="50"/>
      <w:bookmarkEnd w:id="52"/>
    </w:p>
    <w:p w14:paraId="3FF18A6A" w14:textId="77777777" w:rsidR="00BC4C68" w:rsidRDefault="00BC4C68" w:rsidP="00020D20">
      <w:pPr>
        <w:pStyle w:val="SectionHeadersADOTText"/>
        <w:jc w:val="both"/>
        <w:sectPr w:rsidR="00BC4C68" w:rsidSect="00020D20">
          <w:footerReference w:type="default" r:id="rId156"/>
          <w:type w:val="continuous"/>
          <w:pgSz w:w="12240" w:h="15840"/>
          <w:pgMar w:top="1440" w:right="1440" w:bottom="1440" w:left="1440" w:header="720" w:footer="720" w:gutter="0"/>
          <w:pgNumType w:start="1" w:chapStyle="1"/>
          <w:cols w:space="720"/>
          <w:docGrid w:linePitch="360"/>
        </w:sectPr>
      </w:pPr>
    </w:p>
    <w:p w14:paraId="5C4A40F7" w14:textId="3BF43039" w:rsidR="003A3BB3" w:rsidRPr="003A3BB3" w:rsidRDefault="003A3BB3" w:rsidP="00020D20">
      <w:pPr>
        <w:jc w:val="both"/>
        <w:rPr>
          <w:rFonts w:cstheme="minorHAnsi"/>
        </w:rPr>
      </w:pPr>
      <w:r w:rsidRPr="003A3BB3">
        <w:t xml:space="preserve">There are </w:t>
      </w:r>
      <w:r w:rsidR="003565E9">
        <w:t>numerous</w:t>
      </w:r>
      <w:r w:rsidR="003565E9" w:rsidRPr="003A3BB3">
        <w:t xml:space="preserve"> </w:t>
      </w:r>
      <w:r w:rsidRPr="003A3BB3">
        <w:t>state and federal planning partners that provide assistance, guidance and oversight for various funding, operating and decision-making processes that Arizona’s MPOs and Arizona’s COGs facilitate. Most o</w:t>
      </w:r>
      <w:r w:rsidRPr="001241F0">
        <w:rPr>
          <w:rFonts w:cstheme="minorHAnsi"/>
        </w:rPr>
        <w:t>f these programs involve coordinating with the ADOT regional planners or a specific section of ADOT MPD. This collaborative effo</w:t>
      </w:r>
      <w:r w:rsidRPr="00885508">
        <w:rPr>
          <w:rFonts w:cstheme="minorHAnsi"/>
        </w:rPr>
        <w:t xml:space="preserve">rt is the core purpose for this manual </w:t>
      </w:r>
      <w:r w:rsidR="003565E9">
        <w:rPr>
          <w:rFonts w:cstheme="minorHAnsi"/>
        </w:rPr>
        <w:t>by providing</w:t>
      </w:r>
      <w:r w:rsidRPr="00885508">
        <w:rPr>
          <w:rFonts w:cstheme="minorHAnsi"/>
        </w:rPr>
        <w:t xml:space="preserve"> a broader perspective and understanding of common practices. </w:t>
      </w:r>
    </w:p>
    <w:p w14:paraId="27AB3B65" w14:textId="732FCF6C" w:rsidR="003A3BB3" w:rsidRPr="003A3BB3" w:rsidRDefault="003A3BB3" w:rsidP="00020D20">
      <w:pPr>
        <w:jc w:val="both"/>
        <w:rPr>
          <w:rFonts w:cstheme="minorHAnsi"/>
          <w:b/>
        </w:rPr>
      </w:pPr>
      <w:r w:rsidRPr="003A3BB3">
        <w:t xml:space="preserve">Throughout this manual, there are examples of best practices on </w:t>
      </w:r>
      <w:r w:rsidR="003565E9">
        <w:t>relevant</w:t>
      </w:r>
      <w:r w:rsidR="003565E9" w:rsidRPr="003A3BB3">
        <w:t xml:space="preserve"> </w:t>
      </w:r>
      <w:r w:rsidRPr="003A3BB3">
        <w:t xml:space="preserve">topics. These examples provide a contact for each topic so the other MPOs and COGs can directly work with those practitioners for guidance or insight. This chapter focuses on the primary planning partners from the state and federal levels that routinely interact with our Arizona MPOs and COGs. </w:t>
      </w:r>
    </w:p>
    <w:p w14:paraId="6F12483D" w14:textId="0C35576D" w:rsidR="003A3BB3" w:rsidRPr="003A3BB3" w:rsidRDefault="003A3BB3" w:rsidP="00020D20">
      <w:pPr>
        <w:jc w:val="both"/>
        <w:rPr>
          <w:rFonts w:cstheme="minorHAnsi"/>
          <w:b/>
        </w:rPr>
      </w:pPr>
      <w:r w:rsidRPr="003A3BB3">
        <w:t xml:space="preserve">Figure 2-1 is a simplified illustration of the interrelationships of how ADOT and Arizona’s planning partners must coordinate with each other. In most cases, federal and state funding used by MPOs and COGs must be administered by ADOT; </w:t>
      </w:r>
      <w:r w:rsidR="00BC056D" w:rsidRPr="00020D20">
        <w:rPr>
          <w:rFonts w:cstheme="minorHAnsi"/>
        </w:rPr>
        <w:t>however,</w:t>
      </w:r>
      <w:r w:rsidRPr="00020D20">
        <w:rPr>
          <w:rFonts w:cstheme="minorHAnsi"/>
        </w:rPr>
        <w:t xml:space="preserve"> there are several instances when the MPO or a tribal agency coordinates directly with the federal funding partner. </w:t>
      </w:r>
    </w:p>
    <w:p w14:paraId="2B6A2EFE" w14:textId="77777777" w:rsidR="003A3BB3" w:rsidRPr="003A3BB3" w:rsidRDefault="003A3BB3" w:rsidP="00020D20">
      <w:pPr>
        <w:pStyle w:val="Heading2"/>
      </w:pPr>
      <w:bookmarkStart w:id="53" w:name="_Ref50024409"/>
      <w:r w:rsidRPr="003A3BB3">
        <w:t>2.1 | ADOT MULTI-MODAL PLANNING DIVISION</w:t>
      </w:r>
      <w:bookmarkEnd w:id="53"/>
    </w:p>
    <w:p w14:paraId="7204936E" w14:textId="3FB42432" w:rsidR="002B4D89" w:rsidRDefault="003A3BB3" w:rsidP="00020D20">
      <w:pPr>
        <w:jc w:val="both"/>
        <w:rPr>
          <w:rFonts w:cstheme="minorHAnsi"/>
        </w:rPr>
      </w:pPr>
      <w:r w:rsidRPr="003A3BB3">
        <w:t>ADOT MPD is committed to providing the highest quality transportation research, plans, and programs to the public. This commitment instills excellence in practice internally, and excellence in coordination and communication externally. Much of this external communication is with our MPOs and COGs as they are a critical component to provide local agency coordination. The central objective of ADOT MPD is to help identify current significant transportation issues in Arizona as well as improve existing systems. ADOT MPD is also committed to researching and planning the development of supporting strategies necessary to optimize investment to preserve and expand the state’s transportation infrastructure. The state relies heavily on using federal funding to make these infrastructure investments, so many of our programs mirror the federal funding program administration processes. Figure 2-2 provides an organization chart of the ADOT MPD sections.</w:t>
      </w:r>
      <w:r w:rsidR="00536C41">
        <w:rPr>
          <w:rFonts w:cstheme="minorHAnsi"/>
          <w:b/>
        </w:rPr>
        <w:t xml:space="preserve"> </w:t>
      </w:r>
    </w:p>
    <w:p w14:paraId="43645328" w14:textId="1B812820" w:rsidR="002B4D89" w:rsidRDefault="00536C41" w:rsidP="00020D20">
      <w:pPr>
        <w:pStyle w:val="Heading4"/>
        <w:jc w:val="both"/>
      </w:pPr>
      <w:r>
        <w:t xml:space="preserve">Figure 2.1 </w:t>
      </w:r>
      <w:r w:rsidR="0053414B">
        <w:t>|</w:t>
      </w:r>
      <w:r>
        <w:t xml:space="preserve"> Federal Agency Coordination</w:t>
      </w:r>
    </w:p>
    <w:p w14:paraId="6C9BCB49" w14:textId="171675B4" w:rsidR="0053414B" w:rsidRDefault="00A87BE7" w:rsidP="00020D20">
      <w:pPr>
        <w:pStyle w:val="SectionHeadersADOTText"/>
        <w:jc w:val="both"/>
      </w:pPr>
      <w:r>
        <w:rPr>
          <w:noProof/>
        </w:rPr>
        <w:drawing>
          <wp:inline distT="0" distB="0" distL="0" distR="0" wp14:anchorId="15F739AB" wp14:editId="17E98A36">
            <wp:extent cx="2525333" cy="1952551"/>
            <wp:effectExtent l="0" t="0" r="8890" b="0"/>
            <wp:docPr id="1690911489" name="Picture 169091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_Figure2-1-AgencyCoordination.jpg"/>
                    <pic:cNvPicPr/>
                  </pic:nvPicPr>
                  <pic:blipFill>
                    <a:blip r:embed="rId157" cstate="hqprint">
                      <a:extLst>
                        <a:ext uri="{28A0092B-C50C-407E-A947-70E740481C1C}">
                          <a14:useLocalDpi xmlns:a14="http://schemas.microsoft.com/office/drawing/2010/main" val="0"/>
                        </a:ext>
                      </a:extLst>
                    </a:blip>
                    <a:stretch>
                      <a:fillRect/>
                    </a:stretch>
                  </pic:blipFill>
                  <pic:spPr>
                    <a:xfrm>
                      <a:off x="0" y="0"/>
                      <a:ext cx="2525333" cy="1952551"/>
                    </a:xfrm>
                    <a:prstGeom prst="rect">
                      <a:avLst/>
                    </a:prstGeom>
                  </pic:spPr>
                </pic:pic>
              </a:graphicData>
            </a:graphic>
          </wp:inline>
        </w:drawing>
      </w:r>
    </w:p>
    <w:p w14:paraId="553EE5A0" w14:textId="77777777" w:rsidR="003A3BB3" w:rsidRPr="003A3BB3" w:rsidRDefault="003A3BB3" w:rsidP="00020D20">
      <w:pPr>
        <w:pStyle w:val="Heading3"/>
        <w:jc w:val="both"/>
      </w:pPr>
      <w:bookmarkStart w:id="54" w:name="_Ref50024454"/>
      <w:r w:rsidRPr="003A3BB3">
        <w:t>2.1.1 | Systems &amp; Regional Planning</w:t>
      </w:r>
      <w:bookmarkEnd w:id="54"/>
    </w:p>
    <w:p w14:paraId="69CF0F39" w14:textId="459D9A21" w:rsidR="003659CA" w:rsidRDefault="000E4C1F" w:rsidP="00020D20">
      <w:pPr>
        <w:jc w:val="both"/>
        <w:rPr>
          <w:iCs/>
        </w:rPr>
        <w:sectPr w:rsidR="003659CA" w:rsidSect="00020D20">
          <w:type w:val="continuous"/>
          <w:pgSz w:w="12240" w:h="15840"/>
          <w:pgMar w:top="1440" w:right="1440" w:bottom="1440" w:left="1440" w:header="720" w:footer="720" w:gutter="0"/>
          <w:pgNumType w:chapStyle="1"/>
          <w:cols w:num="2" w:space="720"/>
          <w:docGrid w:linePitch="360"/>
        </w:sectPr>
      </w:pPr>
      <w:r>
        <w:rPr>
          <w:rFonts w:cstheme="minorHAnsi"/>
          <w:noProof/>
        </w:rPr>
        <mc:AlternateContent>
          <mc:Choice Requires="wps">
            <w:drawing>
              <wp:anchor distT="0" distB="0" distL="114300" distR="114300" simplePos="0" relativeHeight="251618472" behindDoc="1" locked="0" layoutInCell="1" allowOverlap="1" wp14:anchorId="669F12D4" wp14:editId="7567EC0A">
                <wp:simplePos x="0" y="0"/>
                <wp:positionH relativeFrom="column">
                  <wp:posOffset>1447800</wp:posOffset>
                </wp:positionH>
                <wp:positionV relativeFrom="paragraph">
                  <wp:posOffset>1550670</wp:posOffset>
                </wp:positionV>
                <wp:extent cx="1376045" cy="1247775"/>
                <wp:effectExtent l="95250" t="76200" r="90805" b="85725"/>
                <wp:wrapTight wrapText="bothSides">
                  <wp:wrapPolygon edited="0">
                    <wp:start x="-897" y="-1319"/>
                    <wp:lineTo x="-1495" y="-989"/>
                    <wp:lineTo x="-1196" y="22754"/>
                    <wp:lineTo x="22427" y="22754"/>
                    <wp:lineTo x="22726" y="4287"/>
                    <wp:lineTo x="22128" y="-660"/>
                    <wp:lineTo x="22128" y="-1319"/>
                    <wp:lineTo x="-897" y="-1319"/>
                  </wp:wrapPolygon>
                </wp:wrapTight>
                <wp:docPr id="816286415" name="Text Box 816286415"/>
                <wp:cNvGraphicFramePr/>
                <a:graphic xmlns:a="http://schemas.openxmlformats.org/drawingml/2006/main">
                  <a:graphicData uri="http://schemas.microsoft.com/office/word/2010/wordprocessingShape">
                    <wps:wsp>
                      <wps:cNvSpPr txBox="1"/>
                      <wps:spPr>
                        <a:xfrm>
                          <a:off x="0" y="0"/>
                          <a:ext cx="1376045" cy="12477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DA2D822" w14:textId="77777777" w:rsidR="00C6444C" w:rsidRDefault="00C6444C" w:rsidP="00020D20">
                            <w:pPr>
                              <w:jc w:val="center"/>
                            </w:pPr>
                            <w:r>
                              <w:rPr>
                                <w:noProof/>
                              </w:rPr>
                              <w:drawing>
                                <wp:inline distT="0" distB="0" distL="0" distR="0" wp14:anchorId="6BBD629B" wp14:editId="4A0A79D7">
                                  <wp:extent cx="457200" cy="457200"/>
                                  <wp:effectExtent l="0" t="0" r="0" b="0"/>
                                  <wp:docPr id="1690912548" name="Picture 169091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B4A4661" w14:textId="1D7F3D1B" w:rsidR="00C6444C" w:rsidRPr="00954116" w:rsidRDefault="00C6444C" w:rsidP="00020D20">
                            <w:pPr>
                              <w:pStyle w:val="Calloutboxes"/>
                            </w:pPr>
                            <w:r w:rsidRPr="00394A74">
                              <w:t>Cross reference chapter 7, “Metropolitan/Regional Transportation Plan” for further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9F12D4" id="Text Box 816286415" o:spid="_x0000_s1070" type="#_x0000_t202" style="position:absolute;left:0;text-align:left;margin-left:114pt;margin-top:122.1pt;width:108.35pt;height:98.25pt;z-index:-251698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" fillcolor="#f7f7f7" stroked="f" strokeweight=".5pt">
                <v:shadow on="t" type="perspective" color="black" opacity="26214f" offset="0,0" matrix="66847f,,,66847f"/>
                <v:textbox>
                  <w:txbxContent>
                    <w:p w14:paraId="1DA2D822" w14:textId="77777777" w:rsidR="00C6444C" w:rsidRDefault="00C6444C" w:rsidP="00020D20">
                      <w:pPr>
                        <w:jc w:val="center"/>
                      </w:pPr>
                      <w:r>
                        <w:rPr>
                          <w:noProof/>
                        </w:rPr>
                        <w:drawing>
                          <wp:inline distT="0" distB="0" distL="0" distR="0" wp14:anchorId="6BBD629B" wp14:editId="4A0A79D7">
                            <wp:extent cx="457200" cy="457200"/>
                            <wp:effectExtent l="0" t="0" r="0" b="0"/>
                            <wp:docPr id="1690912548" name="Picture 169091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B4A4661" w14:textId="1D7F3D1B" w:rsidR="00C6444C" w:rsidRPr="00954116" w:rsidRDefault="00C6444C" w:rsidP="00020D20">
                      <w:pPr>
                        <w:pStyle w:val="Calloutboxes"/>
                      </w:pPr>
                      <w:r w:rsidRPr="00394A74">
                        <w:t>Cross reference chapter 7, “Metropolitan/Regional Transportation Plan” for further information.</w:t>
                      </w:r>
                    </w:p>
                  </w:txbxContent>
                </v:textbox>
                <w10:wrap type="tight"/>
              </v:shape>
            </w:pict>
          </mc:Fallback>
        </mc:AlternateContent>
      </w:r>
      <w:hyperlink r:id="rId159" w:history="1">
        <w:r w:rsidR="003A3BB3" w:rsidRPr="00E4564F">
          <w:rPr>
            <w:rStyle w:val="TitleChar"/>
          </w:rPr>
          <w:t>The Systems and Regional Planning Section</w:t>
        </w:r>
      </w:hyperlink>
      <w:r w:rsidR="003A3BB3" w:rsidRPr="003A3BB3">
        <w:rPr>
          <w:rFonts w:cstheme="minorHAnsi"/>
        </w:rPr>
        <w:t xml:space="preserve"> works with its planning partners to facilitate multi-modal planning activities. In addition to managing transportation studies for the state highway system, the section actively participates in planning activities with our regional planning partners. These partners include Arizona’s MPOs, COGs, federal</w:t>
      </w:r>
      <w:r w:rsidR="00536C41">
        <w:rPr>
          <w:rFonts w:cstheme="minorHAnsi"/>
        </w:rPr>
        <w:t xml:space="preserve"> </w:t>
      </w:r>
      <w:r w:rsidR="00536C41" w:rsidRPr="00536C41">
        <w:rPr>
          <w:rFonts w:cstheme="minorHAnsi"/>
        </w:rPr>
        <w:t>agencies, Indian tribes, counties, cities,</w:t>
      </w:r>
      <w:r w:rsidR="003565E9">
        <w:rPr>
          <w:rFonts w:cstheme="minorHAnsi"/>
        </w:rPr>
        <w:t xml:space="preserve"> transit providers,</w:t>
      </w:r>
      <w:r w:rsidR="00536C41" w:rsidRPr="00536C41">
        <w:rPr>
          <w:rFonts w:cstheme="minorHAnsi"/>
        </w:rPr>
        <w:t xml:space="preserve"> the public, and other stakeholders. ADOT MPD maintains a staff of approximately 70 professionals to manage and support the programs identified below.</w:t>
      </w:r>
      <w:r w:rsidR="001C1E2E">
        <w:rPr>
          <w:rFonts w:cstheme="minorHAnsi"/>
          <w:b/>
        </w:rPr>
        <w:br w:type="page"/>
      </w:r>
    </w:p>
    <w:p w14:paraId="18E10F0A" w14:textId="4A2ED0A2" w:rsidR="00400553" w:rsidRDefault="00536C41" w:rsidP="00020D20">
      <w:pPr>
        <w:pStyle w:val="Heading4"/>
        <w:jc w:val="both"/>
      </w:pPr>
      <w:r>
        <w:t xml:space="preserve">Figure 2.2 </w:t>
      </w:r>
      <w:r w:rsidR="00400553">
        <w:t xml:space="preserve">| </w:t>
      </w:r>
      <w:r>
        <w:t>ADOT MPD Organization Chart</w:t>
      </w:r>
    </w:p>
    <w:p w14:paraId="50CBA609" w14:textId="3A8C2B06" w:rsidR="003659CA" w:rsidRDefault="003659CA" w:rsidP="00020D20">
      <w:pPr>
        <w:tabs>
          <w:tab w:val="clear" w:pos="180"/>
          <w:tab w:val="clear" w:pos="360"/>
          <w:tab w:val="clear" w:pos="540"/>
          <w:tab w:val="clear" w:pos="720"/>
        </w:tabs>
        <w:jc w:val="both"/>
      </w:pPr>
      <w:r>
        <w:rPr>
          <w:noProof/>
        </w:rPr>
        <w:drawing>
          <wp:inline distT="0" distB="0" distL="0" distR="0" wp14:anchorId="4CE95E9A" wp14:editId="2ED74534">
            <wp:extent cx="5145660" cy="64400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_Figure2-2-Workchart.jpg"/>
                    <pic:cNvPicPr/>
                  </pic:nvPicPr>
                  <pic:blipFill>
                    <a:blip r:embed="rId160" cstate="hqprint">
                      <a:extLst>
                        <a:ext uri="{28A0092B-C50C-407E-A947-70E740481C1C}">
                          <a14:useLocalDpi xmlns:a14="http://schemas.microsoft.com/office/drawing/2010/main" val="0"/>
                        </a:ext>
                      </a:extLst>
                    </a:blip>
                    <a:stretch>
                      <a:fillRect/>
                    </a:stretch>
                  </pic:blipFill>
                  <pic:spPr>
                    <a:xfrm>
                      <a:off x="0" y="0"/>
                      <a:ext cx="5145660" cy="6440088"/>
                    </a:xfrm>
                    <a:prstGeom prst="rect">
                      <a:avLst/>
                    </a:prstGeom>
                  </pic:spPr>
                </pic:pic>
              </a:graphicData>
            </a:graphic>
          </wp:inline>
        </w:drawing>
      </w:r>
    </w:p>
    <w:p w14:paraId="71F1FCB3" w14:textId="77777777" w:rsidR="003659CA" w:rsidRDefault="003659CA" w:rsidP="00020D20">
      <w:pPr>
        <w:jc w:val="both"/>
        <w:sectPr w:rsidR="003659CA" w:rsidSect="00FC0335">
          <w:type w:val="continuous"/>
          <w:pgSz w:w="12240" w:h="15840"/>
          <w:pgMar w:top="1440" w:right="1440" w:bottom="1440" w:left="1440" w:header="720" w:footer="720" w:gutter="0"/>
          <w:cols w:space="720"/>
          <w:docGrid w:linePitch="360"/>
        </w:sectPr>
      </w:pPr>
    </w:p>
    <w:p w14:paraId="7093F523" w14:textId="6DEE81AF" w:rsidR="003659CA" w:rsidRPr="003659CA" w:rsidRDefault="003659CA" w:rsidP="00020D20">
      <w:pPr>
        <w:jc w:val="both"/>
      </w:pPr>
    </w:p>
    <w:p w14:paraId="1FCFC262" w14:textId="00AF92F5" w:rsidR="001C1E2E" w:rsidRDefault="001C1E2E" w:rsidP="00020D20">
      <w:pPr>
        <w:pStyle w:val="Heading4"/>
        <w:jc w:val="both"/>
      </w:pPr>
      <w:r>
        <w:br w:type="page"/>
      </w:r>
    </w:p>
    <w:p w14:paraId="5CE4400C" w14:textId="77777777" w:rsidR="00926E3D" w:rsidRPr="00926E3D" w:rsidRDefault="00926E3D" w:rsidP="00020D20">
      <w:pPr>
        <w:pStyle w:val="SubHeading3"/>
        <w:jc w:val="both"/>
      </w:pPr>
      <w:bookmarkStart w:id="55" w:name="_Ref50024467"/>
      <w:r w:rsidRPr="00926E3D">
        <w:t>Studies, Plans, &amp; Programs</w:t>
      </w:r>
      <w:bookmarkEnd w:id="55"/>
    </w:p>
    <w:p w14:paraId="5094CC46" w14:textId="77777777" w:rsidR="00926E3D" w:rsidRPr="00163149" w:rsidRDefault="00926E3D" w:rsidP="00020D20">
      <w:pPr>
        <w:pStyle w:val="SubHeading3"/>
        <w:jc w:val="both"/>
      </w:pPr>
      <w:r w:rsidRPr="00163149">
        <w:t>Arizona Tribal Transportation</w:t>
      </w:r>
    </w:p>
    <w:p w14:paraId="776D77B0" w14:textId="5AEE513A" w:rsidR="00926E3D" w:rsidRPr="00926E3D" w:rsidRDefault="00926E3D" w:rsidP="00020D20">
      <w:pPr>
        <w:jc w:val="both"/>
        <w:rPr>
          <w:rFonts w:cstheme="minorHAnsi"/>
        </w:rPr>
      </w:pPr>
      <w:r w:rsidRPr="00926E3D">
        <w:rPr>
          <w:rFonts w:cstheme="minorHAnsi"/>
        </w:rPr>
        <w:t xml:space="preserve">Native nations and tribal governments have sovereign status and jurisdiction over lands within reservation boundaries as defined by federal law </w:t>
      </w:r>
      <w:hyperlink r:id="rId161" w:history="1">
        <w:r w:rsidRPr="00020D20">
          <w:rPr>
            <w:rStyle w:val="TitleChar"/>
          </w:rPr>
          <w:t>18 U.S.C. §</w:t>
        </w:r>
        <w:r w:rsidR="008216A0" w:rsidRPr="00020D20">
          <w:rPr>
            <w:rStyle w:val="TitleChar"/>
          </w:rPr>
          <w:t xml:space="preserve"> </w:t>
        </w:r>
        <w:r w:rsidRPr="00020D20">
          <w:rPr>
            <w:rStyle w:val="TitleChar"/>
          </w:rPr>
          <w:t>1151</w:t>
        </w:r>
      </w:hyperlink>
      <w:r w:rsidRPr="00926E3D">
        <w:rPr>
          <w:rFonts w:cstheme="minorHAnsi"/>
        </w:rPr>
        <w:t xml:space="preserve">, but ADOT has exclusive control and jurisdiction over state highways within reservation boundaries, as defined in </w:t>
      </w:r>
      <w:hyperlink r:id="rId162" w:history="1">
        <w:r w:rsidRPr="00020D20">
          <w:rPr>
            <w:rStyle w:val="TitleChar"/>
          </w:rPr>
          <w:t>A.R.S. §</w:t>
        </w:r>
        <w:r w:rsidR="008216A0" w:rsidRPr="00020D20">
          <w:rPr>
            <w:rStyle w:val="TitleChar"/>
          </w:rPr>
          <w:t xml:space="preserve"> </w:t>
        </w:r>
        <w:r w:rsidRPr="00020D20">
          <w:rPr>
            <w:rStyle w:val="TitleChar"/>
          </w:rPr>
          <w:t>28-332(A)</w:t>
        </w:r>
      </w:hyperlink>
      <w:r w:rsidRPr="00926E3D">
        <w:rPr>
          <w:rFonts w:cstheme="minorHAnsi"/>
        </w:rPr>
        <w:t xml:space="preserve">. Approximately 1,219 miles or 19.8 percent of Arizona’s state highway system crosses tribal lands. To facilitate needed state-tribal discussion, coordination, and consultation, ADOT’s Tribal Transportation Program focuses on transportation-related partnerships, projects, and activities. ADOT has tribal planning coordinators assigned to work with each Arizona tribal entity. </w:t>
      </w:r>
    </w:p>
    <w:p w14:paraId="3D95881C" w14:textId="77777777" w:rsidR="00926E3D" w:rsidRPr="00926E3D" w:rsidRDefault="00EC1661" w:rsidP="00020D20">
      <w:pPr>
        <w:jc w:val="both"/>
        <w:rPr>
          <w:rFonts w:cstheme="minorHAnsi"/>
        </w:rPr>
      </w:pPr>
      <w:r>
        <w:rPr>
          <w:rFonts w:cstheme="minorHAnsi"/>
          <w:noProof/>
        </w:rPr>
        <mc:AlternateContent>
          <mc:Choice Requires="wps">
            <w:drawing>
              <wp:anchor distT="0" distB="0" distL="114300" distR="114300" simplePos="0" relativeHeight="251618474" behindDoc="1" locked="0" layoutInCell="1" allowOverlap="1" wp14:anchorId="47D4F7A1" wp14:editId="1386A240">
                <wp:simplePos x="0" y="0"/>
                <wp:positionH relativeFrom="column">
                  <wp:posOffset>0</wp:posOffset>
                </wp:positionH>
                <wp:positionV relativeFrom="paragraph">
                  <wp:posOffset>1449705</wp:posOffset>
                </wp:positionV>
                <wp:extent cx="1143000" cy="1943100"/>
                <wp:effectExtent l="76200" t="95250" r="76200" b="95250"/>
                <wp:wrapTight wrapText="bothSides">
                  <wp:wrapPolygon edited="0">
                    <wp:start x="-1440" y="-1059"/>
                    <wp:lineTo x="-1440" y="21388"/>
                    <wp:lineTo x="-720" y="22447"/>
                    <wp:lineTo x="22320" y="22447"/>
                    <wp:lineTo x="22680" y="19906"/>
                    <wp:lineTo x="22680" y="-1059"/>
                    <wp:lineTo x="-1440" y="-1059"/>
                  </wp:wrapPolygon>
                </wp:wrapTight>
                <wp:docPr id="816286417" name="Text Box 816286417"/>
                <wp:cNvGraphicFramePr/>
                <a:graphic xmlns:a="http://schemas.openxmlformats.org/drawingml/2006/main">
                  <a:graphicData uri="http://schemas.microsoft.com/office/word/2010/wordprocessingShape">
                    <wps:wsp>
                      <wps:cNvSpPr txBox="1"/>
                      <wps:spPr>
                        <a:xfrm>
                          <a:off x="0" y="0"/>
                          <a:ext cx="1143000" cy="19431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16F121C" w14:textId="77777777" w:rsidR="00C6444C" w:rsidRPr="00020D20" w:rsidRDefault="00C6444C" w:rsidP="00020D20">
                            <w:pPr>
                              <w:contextualSpacing/>
                              <w:jc w:val="center"/>
                              <w:rPr>
                                <w:sz w:val="16"/>
                                <w:szCs w:val="16"/>
                              </w:rPr>
                            </w:pPr>
                            <w:r w:rsidRPr="00020D20">
                              <w:rPr>
                                <w:noProof/>
                                <w:sz w:val="16"/>
                                <w:szCs w:val="16"/>
                              </w:rPr>
                              <w:drawing>
                                <wp:inline distT="0" distB="0" distL="0" distR="0" wp14:anchorId="49FE0B18" wp14:editId="63871FEA">
                                  <wp:extent cx="457200" cy="457200"/>
                                  <wp:effectExtent l="0" t="0" r="0" b="0"/>
                                  <wp:docPr id="1690912550" name="Picture 16909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D1663BD" w14:textId="2FEDB206" w:rsidR="00C6444C" w:rsidRPr="00954116" w:rsidRDefault="00C6444C" w:rsidP="00020D20">
                            <w:pPr>
                              <w:pStyle w:val="Calloutboxes"/>
                            </w:pPr>
                            <w:r w:rsidRPr="00394A74">
                              <w:t>ADOT Transportation Planning and Programming Guidebook for Tribal Governments:</w:t>
                            </w:r>
                          </w:p>
                          <w:p w14:paraId="7750C447" w14:textId="662EFAE4" w:rsidR="00C6444C" w:rsidRPr="00020D20" w:rsidRDefault="00202C92" w:rsidP="00020D20">
                            <w:pPr>
                              <w:pStyle w:val="BalloonText"/>
                              <w:spacing w:before="0" w:after="0"/>
                              <w:jc w:val="center"/>
                              <w:rPr>
                                <w:sz w:val="16"/>
                                <w:szCs w:val="16"/>
                              </w:rPr>
                            </w:pPr>
                            <w:hyperlink r:id="rId164" w:history="1">
                              <w:r w:rsidR="00C6444C" w:rsidRPr="00020D20">
                                <w:rPr>
                                  <w:rFonts w:ascii="Calibri" w:hAnsi="Calibri" w:cstheme="majorBidi"/>
                                  <w:i/>
                                  <w:color w:val="CE5B18"/>
                                  <w:sz w:val="16"/>
                                  <w:szCs w:val="16"/>
                                </w:rPr>
                                <w:t>http://www.aztribaltransportation.org/PDF/Transportation_Planning_Programming_Gdbk_Tribal_Govts.pdf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D4F7A1" id="Text Box 816286417" o:spid="_x0000_s1071" type="#_x0000_t202" style="position:absolute;left:0;text-align:left;margin-left:0;margin-top:114.15pt;width:90pt;height:153pt;z-index:-251698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" fillcolor="#f7f7f7" stroked="f" strokeweight=".5pt">
                <v:shadow on="t" type="perspective" color="black" opacity="26214f" offset="0,0" matrix="66847f,,,66847f"/>
                <v:textbox>
                  <w:txbxContent>
                    <w:p w14:paraId="016F121C" w14:textId="77777777" w:rsidR="00C6444C" w:rsidRPr="00020D20" w:rsidRDefault="00C6444C" w:rsidP="00020D20">
                      <w:pPr>
                        <w:contextualSpacing/>
                        <w:jc w:val="center"/>
                        <w:rPr>
                          <w:sz w:val="16"/>
                          <w:szCs w:val="16"/>
                        </w:rPr>
                      </w:pPr>
                      <w:r w:rsidRPr="00020D20">
                        <w:rPr>
                          <w:noProof/>
                          <w:sz w:val="16"/>
                          <w:szCs w:val="16"/>
                        </w:rPr>
                        <w:drawing>
                          <wp:inline distT="0" distB="0" distL="0" distR="0" wp14:anchorId="49FE0B18" wp14:editId="63871FEA">
                            <wp:extent cx="457200" cy="457200"/>
                            <wp:effectExtent l="0" t="0" r="0" b="0"/>
                            <wp:docPr id="1690912550" name="Picture 16909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D1663BD" w14:textId="2FEDB206" w:rsidR="00C6444C" w:rsidRPr="00954116" w:rsidRDefault="00C6444C" w:rsidP="00020D20">
                      <w:pPr>
                        <w:pStyle w:val="Calloutboxes"/>
                      </w:pPr>
                      <w:r w:rsidRPr="00394A74">
                        <w:t>ADOT Transportation Planning and Programming Guidebook for Tribal Governments:</w:t>
                      </w:r>
                    </w:p>
                    <w:p w14:paraId="7750C447" w14:textId="662EFAE4" w:rsidR="00C6444C" w:rsidRPr="00020D20" w:rsidRDefault="00C6444C" w:rsidP="00020D20">
                      <w:pPr>
                        <w:pStyle w:val="BalloonText"/>
                        <w:spacing w:before="0" w:after="0"/>
                        <w:jc w:val="center"/>
                        <w:rPr>
                          <w:sz w:val="16"/>
                          <w:szCs w:val="16"/>
                        </w:rPr>
                      </w:pPr>
                      <w:hyperlink r:id="rId166" w:history="1">
                        <w:r w:rsidRPr="00020D20">
                          <w:rPr>
                            <w:rFonts w:ascii="Calibri" w:hAnsi="Calibri" w:cstheme="majorBidi"/>
                            <w:i/>
                            <w:color w:val="CE5B18"/>
                            <w:sz w:val="16"/>
                            <w:szCs w:val="16"/>
                          </w:rPr>
                          <w:t>http://www.aztribaltransportation.org/PDF/Transportation_Planning_Programming_Gdbk_Tribal_Govts.pdf</w:t>
                        </w:r>
                      </w:hyperlink>
                    </w:p>
                  </w:txbxContent>
                </v:textbox>
                <w10:wrap type="tight"/>
              </v:shape>
            </w:pict>
          </mc:Fallback>
        </mc:AlternateContent>
      </w:r>
      <w:r w:rsidR="00C51DCF">
        <w:rPr>
          <w:rFonts w:cstheme="minorHAnsi"/>
          <w:noProof/>
        </w:rPr>
        <mc:AlternateContent>
          <mc:Choice Requires="wps">
            <w:drawing>
              <wp:anchor distT="0" distB="0" distL="114300" distR="114300" simplePos="0" relativeHeight="251618473" behindDoc="1" locked="0" layoutInCell="1" allowOverlap="1" wp14:anchorId="60506988" wp14:editId="2F0B3A3B">
                <wp:simplePos x="0" y="0"/>
                <wp:positionH relativeFrom="column">
                  <wp:posOffset>0</wp:posOffset>
                </wp:positionH>
                <wp:positionV relativeFrom="paragraph">
                  <wp:posOffset>71755</wp:posOffset>
                </wp:positionV>
                <wp:extent cx="1143000" cy="1252855"/>
                <wp:effectExtent l="76200" t="76200" r="76200" b="80645"/>
                <wp:wrapTight wrapText="bothSides">
                  <wp:wrapPolygon edited="0">
                    <wp:start x="-1080" y="-1314"/>
                    <wp:lineTo x="-1440" y="-985"/>
                    <wp:lineTo x="-1440" y="21348"/>
                    <wp:lineTo x="-1080" y="22662"/>
                    <wp:lineTo x="22680" y="22662"/>
                    <wp:lineTo x="22680" y="4270"/>
                    <wp:lineTo x="22320" y="-657"/>
                    <wp:lineTo x="22320" y="-1314"/>
                    <wp:lineTo x="-1080" y="-1314"/>
                  </wp:wrapPolygon>
                </wp:wrapTight>
                <wp:docPr id="816286419" name="Text Box 816286419"/>
                <wp:cNvGraphicFramePr/>
                <a:graphic xmlns:a="http://schemas.openxmlformats.org/drawingml/2006/main">
                  <a:graphicData uri="http://schemas.microsoft.com/office/word/2010/wordprocessingShape">
                    <wps:wsp>
                      <wps:cNvSpPr txBox="1"/>
                      <wps:spPr>
                        <a:xfrm>
                          <a:off x="0" y="0"/>
                          <a:ext cx="1143000" cy="125285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32DB238" w14:textId="77777777" w:rsidR="00C6444C" w:rsidRDefault="00C6444C" w:rsidP="00020D20">
                            <w:pPr>
                              <w:jc w:val="center"/>
                            </w:pPr>
                            <w:r>
                              <w:rPr>
                                <w:noProof/>
                              </w:rPr>
                              <w:drawing>
                                <wp:inline distT="0" distB="0" distL="0" distR="0" wp14:anchorId="04412E1E" wp14:editId="5392EFB7">
                                  <wp:extent cx="457200" cy="457200"/>
                                  <wp:effectExtent l="0" t="0" r="0" b="0"/>
                                  <wp:docPr id="1690912551" name="Picture 16909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B1AF54B" w14:textId="71CBF2A3" w:rsidR="00C6444C" w:rsidRPr="00954116" w:rsidRDefault="00C6444C" w:rsidP="00020D20">
                            <w:pPr>
                              <w:pStyle w:val="Calloutboxes"/>
                            </w:pPr>
                            <w:r w:rsidRPr="00394A74">
                              <w:t>Arizona Tribal Transportation:</w:t>
                            </w:r>
                          </w:p>
                          <w:p w14:paraId="1EB80C0B" w14:textId="675D7DA1" w:rsidR="00C6444C" w:rsidRPr="00020D20" w:rsidRDefault="00202C92" w:rsidP="009624BC">
                            <w:pPr>
                              <w:pStyle w:val="Title"/>
                              <w:rPr>
                                <w:sz w:val="16"/>
                                <w:szCs w:val="16"/>
                              </w:rPr>
                            </w:pPr>
                            <w:hyperlink r:id="rId167" w:history="1">
                              <w:r w:rsidR="00C6444C" w:rsidRPr="00020D20">
                                <w:rPr>
                                  <w:rStyle w:val="Hyperlink"/>
                                  <w:rFonts w:ascii="Calibri" w:hAnsi="Calibri" w:cstheme="majorBidi"/>
                                  <w:i/>
                                  <w:color w:val="CE5B18"/>
                                  <w:szCs w:val="56"/>
                                  <w:u w:val="none"/>
                                </w:rPr>
                                <w:t>http://www.aztribaltransportation.org/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06988" id="Text Box 816286419" o:spid="_x0000_s1072" type="#_x0000_t202" style="position:absolute;left:0;text-align:left;margin-left:0;margin-top:5.65pt;width:90pt;height:98.65pt;z-index:-251698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" fillcolor="#f7f7f7" stroked="f" strokeweight=".5pt">
                <v:shadow on="t" type="perspective" color="black" opacity="26214f" offset="0,0" matrix="66847f,,,66847f"/>
                <v:textbox>
                  <w:txbxContent>
                    <w:p w14:paraId="632DB238" w14:textId="77777777" w:rsidR="00C6444C" w:rsidRDefault="00C6444C" w:rsidP="00020D20">
                      <w:pPr>
                        <w:jc w:val="center"/>
                      </w:pPr>
                      <w:r>
                        <w:rPr>
                          <w:noProof/>
                        </w:rPr>
                        <w:drawing>
                          <wp:inline distT="0" distB="0" distL="0" distR="0" wp14:anchorId="04412E1E" wp14:editId="5392EFB7">
                            <wp:extent cx="457200" cy="457200"/>
                            <wp:effectExtent l="0" t="0" r="0" b="0"/>
                            <wp:docPr id="1690912551" name="Picture 16909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B1AF54B" w14:textId="71CBF2A3" w:rsidR="00C6444C" w:rsidRPr="00954116" w:rsidRDefault="00C6444C" w:rsidP="00020D20">
                      <w:pPr>
                        <w:pStyle w:val="Calloutboxes"/>
                      </w:pPr>
                      <w:r w:rsidRPr="00394A74">
                        <w:t>Arizona Tribal Transportation:</w:t>
                      </w:r>
                    </w:p>
                    <w:p w14:paraId="1EB80C0B" w14:textId="675D7DA1" w:rsidR="00C6444C" w:rsidRPr="00020D20" w:rsidRDefault="00C6444C" w:rsidP="009624BC">
                      <w:pPr>
                        <w:pStyle w:val="Title"/>
                        <w:rPr>
                          <w:sz w:val="16"/>
                          <w:szCs w:val="16"/>
                        </w:rPr>
                      </w:pPr>
                      <w:hyperlink r:id="rId168" w:history="1">
                        <w:r w:rsidRPr="00020D20">
                          <w:rPr>
                            <w:rStyle w:val="Hyperlink"/>
                            <w:rFonts w:ascii="Calibri" w:hAnsi="Calibri" w:cstheme="majorBidi"/>
                            <w:i/>
                            <w:color w:val="CE5B18"/>
                            <w:szCs w:val="56"/>
                            <w:u w:val="none"/>
                          </w:rPr>
                          <w:t>http://www.aztribaltransportation.org/</w:t>
                        </w:r>
                      </w:hyperlink>
                    </w:p>
                  </w:txbxContent>
                </v:textbox>
                <w10:wrap type="tight"/>
              </v:shape>
            </w:pict>
          </mc:Fallback>
        </mc:AlternateContent>
      </w:r>
      <w:r w:rsidR="00926E3D" w:rsidRPr="00926E3D">
        <w:rPr>
          <w:rFonts w:cstheme="minorHAnsi"/>
        </w:rPr>
        <w:t xml:space="preserve">Just as transportation issues and problems do not end at a city boundary, they also are not confined by reservation boundaries; often they are regional in nature. Accordingly, tribes are eligible and welcome (but not required) to participate in regional transportation planning processes as members of COGs or MPOs. Tribal membership in Arizona’s COGs and MPOs is discussed on the Arizona Tribal Transportation website in the Frequently Asked Questions section. </w:t>
      </w:r>
    </w:p>
    <w:p w14:paraId="2C9366AD" w14:textId="77777777" w:rsidR="00926E3D" w:rsidRPr="00926E3D" w:rsidRDefault="00926E3D" w:rsidP="00020D20">
      <w:pPr>
        <w:jc w:val="both"/>
        <w:rPr>
          <w:rFonts w:cstheme="minorHAnsi"/>
        </w:rPr>
      </w:pPr>
      <w:r w:rsidRPr="00926E3D">
        <w:rPr>
          <w:rFonts w:cstheme="minorHAnsi"/>
        </w:rPr>
        <w:t xml:space="preserve">Federal laws and regulations have a number of provisions pertaining to transportation on tribal lands. The regulations for these programs state that a participating tribe must inform the state DOT, and as appropriate, any MPO on its transportation planning process to ensure any programs and projects adjacent to tribal lands are consistent and appropriate with tribal needs and interests. </w:t>
      </w:r>
    </w:p>
    <w:p w14:paraId="2DD6BFC8" w14:textId="4CA7750E" w:rsidR="00926E3D" w:rsidRPr="00163149" w:rsidRDefault="00926E3D" w:rsidP="00020D20">
      <w:pPr>
        <w:pStyle w:val="SubHeading3"/>
        <w:jc w:val="both"/>
      </w:pPr>
      <w:r w:rsidRPr="00163149">
        <w:t>Bicycle &amp; Pedestrian Program</w:t>
      </w:r>
    </w:p>
    <w:p w14:paraId="228839B2" w14:textId="4F427E1D" w:rsidR="00926E3D" w:rsidRPr="00926E3D" w:rsidRDefault="00202C92" w:rsidP="00020D20">
      <w:pPr>
        <w:jc w:val="both"/>
        <w:rPr>
          <w:rFonts w:cstheme="minorHAnsi"/>
          <w:b/>
        </w:rPr>
      </w:pPr>
      <w:hyperlink r:id="rId169" w:history="1">
        <w:r w:rsidR="00926E3D" w:rsidRPr="00DF0412">
          <w:rPr>
            <w:rStyle w:val="TitleChar"/>
          </w:rPr>
          <w:t>The Bicycle and Pedestrian Program</w:t>
        </w:r>
      </w:hyperlink>
      <w:r w:rsidR="00926E3D" w:rsidRPr="00926E3D">
        <w:rPr>
          <w:rFonts w:cstheme="minorHAnsi"/>
        </w:rPr>
        <w:t xml:space="preserve"> is designed to provide a wide variety of resources pertaining to biking and walking in Arizona, including information about places to bike and walk, how to integrate biking and walking into your commute, important laws and policies, safety issues, maps, and organizations. </w:t>
      </w:r>
    </w:p>
    <w:p w14:paraId="5F1A1391" w14:textId="77777777" w:rsidR="00926E3D" w:rsidRPr="00926E3D" w:rsidRDefault="00995671" w:rsidP="00020D20">
      <w:pPr>
        <w:jc w:val="both"/>
        <w:rPr>
          <w:rFonts w:cstheme="minorHAnsi"/>
        </w:rPr>
      </w:pPr>
      <w:r>
        <w:rPr>
          <w:rFonts w:cstheme="minorHAnsi"/>
          <w:noProof/>
        </w:rPr>
        <mc:AlternateContent>
          <mc:Choice Requires="wps">
            <w:drawing>
              <wp:anchor distT="0" distB="0" distL="114300" distR="114300" simplePos="0" relativeHeight="251618475" behindDoc="1" locked="0" layoutInCell="1" allowOverlap="1" wp14:anchorId="391080A5" wp14:editId="5CC5C020">
                <wp:simplePos x="0" y="0"/>
                <wp:positionH relativeFrom="column">
                  <wp:posOffset>1485900</wp:posOffset>
                </wp:positionH>
                <wp:positionV relativeFrom="paragraph">
                  <wp:posOffset>147320</wp:posOffset>
                </wp:positionV>
                <wp:extent cx="1263650" cy="942975"/>
                <wp:effectExtent l="76200" t="76200" r="69850" b="85725"/>
                <wp:wrapTight wrapText="bothSides">
                  <wp:wrapPolygon edited="0">
                    <wp:start x="-977" y="-1745"/>
                    <wp:lineTo x="-1303" y="-1309"/>
                    <wp:lineTo x="-1303" y="21382"/>
                    <wp:lineTo x="-977" y="23127"/>
                    <wp:lineTo x="22143" y="23127"/>
                    <wp:lineTo x="22468" y="20073"/>
                    <wp:lineTo x="22468" y="5673"/>
                    <wp:lineTo x="22143" y="-873"/>
                    <wp:lineTo x="22143" y="-1745"/>
                    <wp:lineTo x="-977" y="-1745"/>
                  </wp:wrapPolygon>
                </wp:wrapTight>
                <wp:docPr id="816286421" name="Text Box 816286421"/>
                <wp:cNvGraphicFramePr/>
                <a:graphic xmlns:a="http://schemas.openxmlformats.org/drawingml/2006/main">
                  <a:graphicData uri="http://schemas.microsoft.com/office/word/2010/wordprocessingShape">
                    <wps:wsp>
                      <wps:cNvSpPr txBox="1"/>
                      <wps:spPr>
                        <a:xfrm>
                          <a:off x="0" y="0"/>
                          <a:ext cx="1263650" cy="9429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15714DA"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3E4A7258" wp14:editId="4911669F">
                                  <wp:extent cx="457200" cy="457200"/>
                                  <wp:effectExtent l="0" t="0" r="0" b="0"/>
                                  <wp:docPr id="1690912552" name="Picture 169091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CE5ED8F" w14:textId="61B49900" w:rsidR="00C6444C" w:rsidRPr="00954116" w:rsidRDefault="00C6444C" w:rsidP="00020D20">
                            <w:pPr>
                              <w:pStyle w:val="Calloutboxes"/>
                            </w:pPr>
                            <w:r w:rsidRPr="00394A74">
                              <w:t>ADOT Bicycle and Pedestrian Program:</w:t>
                            </w:r>
                          </w:p>
                          <w:p w14:paraId="6CFD6259" w14:textId="424E8A49" w:rsidR="00C6444C" w:rsidRPr="00020D20" w:rsidRDefault="00202C92" w:rsidP="00995671">
                            <w:pPr>
                              <w:pStyle w:val="BalloonText"/>
                              <w:rPr>
                                <w:sz w:val="16"/>
                                <w:szCs w:val="16"/>
                              </w:rPr>
                            </w:pPr>
                            <w:hyperlink r:id="rId170" w:history="1">
                              <w:r w:rsidR="00C6444C" w:rsidRPr="00020D20">
                                <w:rPr>
                                  <w:rFonts w:ascii="Calibri" w:hAnsi="Calibri" w:cstheme="majorBidi"/>
                                  <w:i/>
                                  <w:color w:val="CE5B18"/>
                                  <w:szCs w:val="56"/>
                                </w:rPr>
                                <w:t>http://www.azbikeped.org/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1080A5" id="Text Box 816286421" o:spid="_x0000_s1073" type="#_x0000_t202" style="position:absolute;left:0;text-align:left;margin-left:117pt;margin-top:11.6pt;width:99.5pt;height:74.25pt;z-index:-2516980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" fillcolor="#f7f7f7" stroked="f" strokeweight=".5pt">
                <v:shadow on="t" type="perspective" color="black" opacity="26214f" offset="0,0" matrix="66847f,,,66847f"/>
                <v:textbox>
                  <w:txbxContent>
                    <w:p w14:paraId="115714DA"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3E4A7258" wp14:editId="4911669F">
                            <wp:extent cx="457200" cy="457200"/>
                            <wp:effectExtent l="0" t="0" r="0" b="0"/>
                            <wp:docPr id="1690912552" name="Picture 169091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CE5ED8F" w14:textId="61B49900" w:rsidR="00C6444C" w:rsidRPr="00954116" w:rsidRDefault="00C6444C" w:rsidP="00020D20">
                      <w:pPr>
                        <w:pStyle w:val="Calloutboxes"/>
                      </w:pPr>
                      <w:r w:rsidRPr="00394A74">
                        <w:t>ADOT Bicycle and Pedestrian Program:</w:t>
                      </w:r>
                    </w:p>
                    <w:p w14:paraId="6CFD6259" w14:textId="424E8A49" w:rsidR="00C6444C" w:rsidRPr="00020D20" w:rsidRDefault="00C6444C" w:rsidP="00995671">
                      <w:pPr>
                        <w:pStyle w:val="BalloonText"/>
                        <w:rPr>
                          <w:sz w:val="16"/>
                          <w:szCs w:val="16"/>
                        </w:rPr>
                      </w:pPr>
                      <w:hyperlink r:id="rId171" w:history="1">
                        <w:r w:rsidRPr="00020D20">
                          <w:rPr>
                            <w:rFonts w:ascii="Calibri" w:hAnsi="Calibri" w:cstheme="majorBidi"/>
                            <w:i/>
                            <w:color w:val="CE5B18"/>
                            <w:szCs w:val="56"/>
                          </w:rPr>
                          <w:t>http://www.azbikeped.org/</w:t>
                        </w:r>
                      </w:hyperlink>
                    </w:p>
                  </w:txbxContent>
                </v:textbox>
                <w10:wrap type="tight"/>
              </v:shape>
            </w:pict>
          </mc:Fallback>
        </mc:AlternateContent>
      </w:r>
      <w:r w:rsidR="00926E3D" w:rsidRPr="00926E3D">
        <w:rPr>
          <w:rFonts w:cstheme="minorHAnsi"/>
        </w:rPr>
        <w:t xml:space="preserve">ADOT has a bicycle and pedestrian program coordinator who monitors all state statutes, federal requirements, and recommended practices for the design and inclusion of bicycle facilities. ADOT maintains a bicycle and pedestrian website that provides information on: </w:t>
      </w:r>
    </w:p>
    <w:p w14:paraId="066D7A78" w14:textId="77777777" w:rsidR="00926E3D" w:rsidRPr="00163149" w:rsidRDefault="00926E3D" w:rsidP="00020D20">
      <w:pPr>
        <w:pStyle w:val="Body-Bullets"/>
        <w:jc w:val="both"/>
      </w:pPr>
      <w:r w:rsidRPr="00163149">
        <w:t>bicycling;</w:t>
      </w:r>
    </w:p>
    <w:p w14:paraId="31000A70" w14:textId="77777777" w:rsidR="00926E3D" w:rsidRPr="00163149" w:rsidRDefault="00926E3D" w:rsidP="00020D20">
      <w:pPr>
        <w:pStyle w:val="Body-Bullets"/>
        <w:jc w:val="both"/>
      </w:pPr>
      <w:r w:rsidRPr="00163149">
        <w:t>walking;</w:t>
      </w:r>
    </w:p>
    <w:p w14:paraId="699D310B" w14:textId="77777777" w:rsidR="00926E3D" w:rsidRPr="00163149" w:rsidRDefault="00926E3D" w:rsidP="00020D20">
      <w:pPr>
        <w:pStyle w:val="Body-Bullets"/>
        <w:jc w:val="both"/>
      </w:pPr>
      <w:r w:rsidRPr="00163149">
        <w:t>maps;</w:t>
      </w:r>
    </w:p>
    <w:p w14:paraId="4E6F6257" w14:textId="77777777" w:rsidR="00926E3D" w:rsidRPr="00163149" w:rsidRDefault="00926E3D" w:rsidP="00020D20">
      <w:pPr>
        <w:pStyle w:val="Body-Bullets"/>
        <w:jc w:val="both"/>
      </w:pPr>
      <w:r w:rsidRPr="00163149">
        <w:t>state and federal laws and policies;</w:t>
      </w:r>
    </w:p>
    <w:p w14:paraId="221C7A4D" w14:textId="44ED0B2E" w:rsidR="00926E3D" w:rsidRPr="00163149" w:rsidRDefault="00926E3D" w:rsidP="00020D20">
      <w:pPr>
        <w:pStyle w:val="Body-Bullets"/>
        <w:jc w:val="both"/>
      </w:pPr>
      <w:r w:rsidRPr="00163149">
        <w:t>Arizona Statewide Bicycle and Pedestrian</w:t>
      </w:r>
      <w:r w:rsidR="00F32664">
        <w:t xml:space="preserve"> </w:t>
      </w:r>
      <w:r w:rsidRPr="00163149">
        <w:t>Plan;</w:t>
      </w:r>
    </w:p>
    <w:p w14:paraId="398C9585" w14:textId="77777777" w:rsidR="00926E3D" w:rsidRPr="00163149" w:rsidRDefault="00926E3D" w:rsidP="00020D20">
      <w:pPr>
        <w:pStyle w:val="Body-Bullets"/>
        <w:jc w:val="both"/>
      </w:pPr>
      <w:r w:rsidRPr="00163149">
        <w:t>educational materials; and</w:t>
      </w:r>
    </w:p>
    <w:p w14:paraId="6150D5F9" w14:textId="77777777" w:rsidR="00926E3D" w:rsidRPr="00163149" w:rsidRDefault="00926E3D" w:rsidP="00020D20">
      <w:pPr>
        <w:pStyle w:val="Body-Bullets"/>
        <w:jc w:val="both"/>
      </w:pPr>
      <w:r w:rsidRPr="00163149">
        <w:t>contact information.</w:t>
      </w:r>
    </w:p>
    <w:p w14:paraId="46015580" w14:textId="60A7FF65" w:rsidR="00926E3D" w:rsidRDefault="00926E3D" w:rsidP="00020D20">
      <w:pPr>
        <w:jc w:val="both"/>
      </w:pPr>
      <w:r w:rsidRPr="00926E3D">
        <w:rPr>
          <w:rFonts w:cstheme="minorHAnsi"/>
        </w:rPr>
        <w:t xml:space="preserve">FHWA funding for bicycle and pedestrian planning and construction activities is administered under a </w:t>
      </w:r>
      <w:r w:rsidR="000A06F8">
        <w:rPr>
          <w:rFonts w:cstheme="minorHAnsi"/>
        </w:rPr>
        <w:t>Surface Transportation Block Grant</w:t>
      </w:r>
      <w:r w:rsidRPr="00926E3D">
        <w:rPr>
          <w:rFonts w:cstheme="minorHAnsi"/>
        </w:rPr>
        <w:t xml:space="preserve"> </w:t>
      </w:r>
      <w:r w:rsidR="005E4FAE">
        <w:rPr>
          <w:rFonts w:cstheme="minorHAnsi"/>
        </w:rPr>
        <w:t>(STBG) p</w:t>
      </w:r>
      <w:r w:rsidRPr="00926E3D">
        <w:rPr>
          <w:rFonts w:cstheme="minorHAnsi"/>
        </w:rPr>
        <w:t>rogram</w:t>
      </w:r>
      <w:r w:rsidR="000A06F8">
        <w:rPr>
          <w:rFonts w:cstheme="minorHAnsi"/>
        </w:rPr>
        <w:t xml:space="preserve">. The FAST Act </w:t>
      </w:r>
      <w:r w:rsidR="00A172AE">
        <w:rPr>
          <w:rFonts w:cstheme="minorHAnsi"/>
        </w:rPr>
        <w:t>converted the long-standing Surface Transportation Program into STB</w:t>
      </w:r>
      <w:r w:rsidR="005E4FAE">
        <w:rPr>
          <w:rFonts w:cstheme="minorHAnsi"/>
        </w:rPr>
        <w:t>G</w:t>
      </w:r>
      <w:r w:rsidR="000A06F8">
        <w:rPr>
          <w:rFonts w:cstheme="minorHAnsi"/>
        </w:rPr>
        <w:t>.</w:t>
      </w:r>
      <w:r w:rsidRPr="00926E3D">
        <w:rPr>
          <w:rFonts w:cstheme="minorHAnsi"/>
        </w:rPr>
        <w:t xml:space="preserve"> This is described in chapter 10, “Financial Planning and Programming.”</w:t>
      </w:r>
      <w:r w:rsidRPr="00926E3D">
        <w:t xml:space="preserve"> </w:t>
      </w:r>
      <w:r w:rsidR="00CB244A">
        <w:br w:type="page"/>
      </w:r>
    </w:p>
    <w:p w14:paraId="56AAD22B" w14:textId="0BEC3CA8" w:rsidR="00926E3D" w:rsidRPr="00163149" w:rsidRDefault="00926E3D" w:rsidP="00020D20">
      <w:pPr>
        <w:pStyle w:val="SubHeading3"/>
        <w:jc w:val="both"/>
      </w:pPr>
      <w:r w:rsidRPr="00163149">
        <w:t>Freight Program</w:t>
      </w:r>
    </w:p>
    <w:p w14:paraId="724DA7F7" w14:textId="27FDB077" w:rsidR="00926E3D" w:rsidRPr="00926E3D" w:rsidRDefault="006C7B25" w:rsidP="00020D20">
      <w:pPr>
        <w:jc w:val="both"/>
        <w:rPr>
          <w:rFonts w:cstheme="minorHAnsi"/>
        </w:rPr>
      </w:pPr>
      <w:r>
        <w:rPr>
          <w:rFonts w:cstheme="minorHAnsi"/>
          <w:noProof/>
        </w:rPr>
        <mc:AlternateContent>
          <mc:Choice Requires="wps">
            <w:drawing>
              <wp:anchor distT="0" distB="0" distL="114300" distR="114300" simplePos="0" relativeHeight="251618476" behindDoc="1" locked="0" layoutInCell="1" allowOverlap="1" wp14:anchorId="583E028D" wp14:editId="29686B89">
                <wp:simplePos x="0" y="0"/>
                <wp:positionH relativeFrom="column">
                  <wp:posOffset>1371600</wp:posOffset>
                </wp:positionH>
                <wp:positionV relativeFrom="paragraph">
                  <wp:posOffset>104775</wp:posOffset>
                </wp:positionV>
                <wp:extent cx="1257300" cy="1242060"/>
                <wp:effectExtent l="76200" t="76200" r="76200" b="72390"/>
                <wp:wrapTight wrapText="bothSides">
                  <wp:wrapPolygon edited="0">
                    <wp:start x="-982" y="-1325"/>
                    <wp:lineTo x="-1309" y="-994"/>
                    <wp:lineTo x="-1309" y="22528"/>
                    <wp:lineTo x="22582" y="22528"/>
                    <wp:lineTo x="22582" y="4307"/>
                    <wp:lineTo x="22255" y="-663"/>
                    <wp:lineTo x="22255" y="-1325"/>
                    <wp:lineTo x="-982" y="-1325"/>
                  </wp:wrapPolygon>
                </wp:wrapTight>
                <wp:docPr id="816286423" name="Text Box 816286423"/>
                <wp:cNvGraphicFramePr/>
                <a:graphic xmlns:a="http://schemas.openxmlformats.org/drawingml/2006/main">
                  <a:graphicData uri="http://schemas.microsoft.com/office/word/2010/wordprocessingShape">
                    <wps:wsp>
                      <wps:cNvSpPr txBox="1"/>
                      <wps:spPr>
                        <a:xfrm>
                          <a:off x="0" y="0"/>
                          <a:ext cx="1257300" cy="124206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B176245" w14:textId="77777777" w:rsidR="00C6444C" w:rsidRPr="00020D20" w:rsidRDefault="00C6444C" w:rsidP="00020D20">
                            <w:pPr>
                              <w:contextualSpacing/>
                              <w:jc w:val="center"/>
                              <w:rPr>
                                <w:sz w:val="16"/>
                                <w:szCs w:val="16"/>
                              </w:rPr>
                            </w:pPr>
                            <w:r w:rsidRPr="00020D20">
                              <w:rPr>
                                <w:noProof/>
                                <w:sz w:val="16"/>
                                <w:szCs w:val="16"/>
                              </w:rPr>
                              <w:drawing>
                                <wp:inline distT="0" distB="0" distL="0" distR="0" wp14:anchorId="588A2033" wp14:editId="460218F9">
                                  <wp:extent cx="457200" cy="457200"/>
                                  <wp:effectExtent l="0" t="0" r="0" b="0"/>
                                  <wp:docPr id="1690912553" name="Picture 169091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2E9B825" w14:textId="24ACA939" w:rsidR="00C6444C" w:rsidRPr="0052715B" w:rsidRDefault="00C6444C" w:rsidP="00020D20">
                            <w:pPr>
                              <w:pStyle w:val="Calloutboxes"/>
                            </w:pPr>
                            <w:r w:rsidRPr="00394A74">
                              <w:t>ADOT Railroad Planning:</w:t>
                            </w:r>
                          </w:p>
                          <w:p w14:paraId="6FAC7976" w14:textId="6304D59F" w:rsidR="00C6444C" w:rsidRPr="00020D20" w:rsidRDefault="00202C92" w:rsidP="00020D20">
                            <w:pPr>
                              <w:spacing w:before="0" w:after="0" w:line="240" w:lineRule="auto"/>
                              <w:contextualSpacing/>
                              <w:jc w:val="center"/>
                              <w:rPr>
                                <w:sz w:val="16"/>
                                <w:szCs w:val="16"/>
                              </w:rPr>
                            </w:pPr>
                            <w:hyperlink r:id="rId172" w:history="1">
                              <w:r w:rsidR="00C6444C" w:rsidRPr="00020D20">
                                <w:rPr>
                                  <w:rFonts w:ascii="Calibri" w:hAnsi="Calibri" w:cstheme="majorBidi"/>
                                  <w:i/>
                                  <w:color w:val="CE5B18"/>
                                  <w:sz w:val="16"/>
                                  <w:szCs w:val="16"/>
                                </w:rPr>
                                <w:t>https://azdot.gov/planning/transportation-programs/state-rail-plan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3E028D" id="Text Box 816286423" o:spid="_x0000_s1074" type="#_x0000_t202" style="position:absolute;left:0;text-align:left;margin-left:108pt;margin-top:8.25pt;width:99pt;height:97.8pt;z-index:-251698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" fillcolor="#f7f7f7" stroked="f" strokeweight=".5pt">
                <v:shadow on="t" type="perspective" color="black" opacity="26214f" offset="0,0" matrix="66847f,,,66847f"/>
                <v:textbox>
                  <w:txbxContent>
                    <w:p w14:paraId="6B176245" w14:textId="77777777" w:rsidR="00C6444C" w:rsidRPr="00020D20" w:rsidRDefault="00C6444C" w:rsidP="00020D20">
                      <w:pPr>
                        <w:contextualSpacing/>
                        <w:jc w:val="center"/>
                        <w:rPr>
                          <w:sz w:val="16"/>
                          <w:szCs w:val="16"/>
                        </w:rPr>
                      </w:pPr>
                      <w:r w:rsidRPr="00020D20">
                        <w:rPr>
                          <w:noProof/>
                          <w:sz w:val="16"/>
                          <w:szCs w:val="16"/>
                        </w:rPr>
                        <w:drawing>
                          <wp:inline distT="0" distB="0" distL="0" distR="0" wp14:anchorId="588A2033" wp14:editId="460218F9">
                            <wp:extent cx="457200" cy="457200"/>
                            <wp:effectExtent l="0" t="0" r="0" b="0"/>
                            <wp:docPr id="1690912553" name="Picture 169091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2E9B825" w14:textId="24ACA939" w:rsidR="00C6444C" w:rsidRPr="0052715B" w:rsidRDefault="00C6444C" w:rsidP="00020D20">
                      <w:pPr>
                        <w:pStyle w:val="Calloutboxes"/>
                      </w:pPr>
                      <w:r w:rsidRPr="00394A74">
                        <w:t>ADOT Railroad Planning:</w:t>
                      </w:r>
                    </w:p>
                    <w:p w14:paraId="6FAC7976" w14:textId="6304D59F" w:rsidR="00C6444C" w:rsidRPr="00020D20" w:rsidRDefault="00C6444C" w:rsidP="00020D20">
                      <w:pPr>
                        <w:spacing w:before="0" w:after="0" w:line="240" w:lineRule="auto"/>
                        <w:contextualSpacing/>
                        <w:jc w:val="center"/>
                        <w:rPr>
                          <w:sz w:val="16"/>
                          <w:szCs w:val="16"/>
                        </w:rPr>
                      </w:pPr>
                      <w:hyperlink r:id="rId173" w:history="1">
                        <w:r w:rsidRPr="00020D20">
                          <w:rPr>
                            <w:rFonts w:ascii="Calibri" w:hAnsi="Calibri" w:cstheme="majorBidi"/>
                            <w:i/>
                            <w:color w:val="CE5B18"/>
                            <w:sz w:val="16"/>
                            <w:szCs w:val="16"/>
                          </w:rPr>
                          <w:t>https://azdot.gov/planning/transportation-programs/state-rail-plan</w:t>
                        </w:r>
                      </w:hyperlink>
                    </w:p>
                  </w:txbxContent>
                </v:textbox>
                <w10:wrap type="tight"/>
              </v:shape>
            </w:pict>
          </mc:Fallback>
        </mc:AlternateContent>
      </w:r>
      <w:r w:rsidR="00926E3D" w:rsidRPr="00926E3D">
        <w:rPr>
          <w:rFonts w:cstheme="minorHAnsi"/>
        </w:rPr>
        <w:t>The freight program is designed to assist in facilitating safe and efficient freight movement in Arizona. The ADOT Freight &amp; Rail Planner provides technical assistance, coordination and oversight for freight- and rail-related activities in the state. Freight and railroad activity have a direct correlation to economic development and the state’s ability to facilitate commerce.</w:t>
      </w:r>
    </w:p>
    <w:p w14:paraId="2831A199" w14:textId="77777777" w:rsidR="00926E3D" w:rsidRPr="00163149" w:rsidRDefault="00926E3D" w:rsidP="00020D20">
      <w:pPr>
        <w:pStyle w:val="SubHeading3"/>
        <w:jc w:val="both"/>
      </w:pPr>
      <w:r w:rsidRPr="00163149">
        <w:t xml:space="preserve">Planning Assistance for Rural Areas </w:t>
      </w:r>
    </w:p>
    <w:p w14:paraId="13112F98" w14:textId="4A6798DA" w:rsidR="00926E3D" w:rsidRPr="00926E3D" w:rsidRDefault="00A37C7F" w:rsidP="00020D20">
      <w:pPr>
        <w:jc w:val="both"/>
        <w:rPr>
          <w:rFonts w:cstheme="minorHAnsi"/>
        </w:rPr>
      </w:pPr>
      <w:r>
        <w:rPr>
          <w:rFonts w:cstheme="minorHAnsi"/>
        </w:rPr>
        <w:t xml:space="preserve">On an annual basis, ADOT MPD assesses its priorities and funding capability to conduct studies under the </w:t>
      </w:r>
      <w:hyperlink r:id="rId174" w:history="1">
        <w:r w:rsidRPr="00020D20">
          <w:rPr>
            <w:rStyle w:val="TitleChar"/>
          </w:rPr>
          <w:t>Planning Assistance for Rural Areas</w:t>
        </w:r>
      </w:hyperlink>
      <w:r>
        <w:rPr>
          <w:rFonts w:cstheme="minorHAnsi"/>
        </w:rPr>
        <w:t xml:space="preserve"> (PARA) program. </w:t>
      </w:r>
      <w:r w:rsidR="00926E3D" w:rsidRPr="00926E3D">
        <w:rPr>
          <w:rFonts w:cstheme="minorHAnsi"/>
        </w:rPr>
        <w:t xml:space="preserve">The </w:t>
      </w:r>
      <w:r w:rsidRPr="00020D20">
        <w:t>PARA program</w:t>
      </w:r>
      <w:r w:rsidR="00926E3D" w:rsidRPr="00A37C7F">
        <w:t xml:space="preserve"> </w:t>
      </w:r>
      <w:r w:rsidR="00926E3D" w:rsidRPr="00926E3D">
        <w:rPr>
          <w:rFonts w:cstheme="minorHAnsi"/>
        </w:rPr>
        <w:t xml:space="preserve">is sponsored by ADOT MPD and provides federal </w:t>
      </w:r>
      <w:hyperlink r:id="rId175" w:history="1">
        <w:r w:rsidR="00926E3D" w:rsidRPr="00DF0412">
          <w:rPr>
            <w:rStyle w:val="TitleChar"/>
          </w:rPr>
          <w:t>State Planning and Research</w:t>
        </w:r>
      </w:hyperlink>
      <w:r w:rsidR="00926E3D" w:rsidRPr="00926E3D">
        <w:rPr>
          <w:rFonts w:cstheme="minorHAnsi"/>
        </w:rPr>
        <w:t xml:space="preserve"> (SPR) funds to non-metropolitan communities for the purpose of conducting transportation planning studies. Eligible applicants include all counties, cities, towns, and tribes located outside of TMA planning boundaries. </w:t>
      </w:r>
      <w:r w:rsidR="00DC0C98">
        <w:rPr>
          <w:rFonts w:cstheme="minorHAnsi"/>
        </w:rPr>
        <w:t>The PARA program was placed on hiatus after fiscal year 2018.</w:t>
      </w:r>
    </w:p>
    <w:p w14:paraId="155B98DD" w14:textId="77777777" w:rsidR="00926E3D" w:rsidRPr="00926E3D" w:rsidRDefault="00644E48" w:rsidP="00020D20">
      <w:pPr>
        <w:jc w:val="both"/>
        <w:rPr>
          <w:rFonts w:cstheme="minorHAnsi"/>
        </w:rPr>
      </w:pPr>
      <w:r>
        <w:rPr>
          <w:rFonts w:cstheme="minorHAnsi"/>
          <w:noProof/>
        </w:rPr>
        <mc:AlternateContent>
          <mc:Choice Requires="wps">
            <w:drawing>
              <wp:anchor distT="0" distB="0" distL="114300" distR="114300" simplePos="0" relativeHeight="251618477" behindDoc="1" locked="0" layoutInCell="1" allowOverlap="1" wp14:anchorId="71ACB948" wp14:editId="25F22D6E">
                <wp:simplePos x="0" y="0"/>
                <wp:positionH relativeFrom="column">
                  <wp:posOffset>0</wp:posOffset>
                </wp:positionH>
                <wp:positionV relativeFrom="paragraph">
                  <wp:posOffset>109220</wp:posOffset>
                </wp:positionV>
                <wp:extent cx="1514475" cy="1381125"/>
                <wp:effectExtent l="95250" t="95250" r="104775" b="104775"/>
                <wp:wrapTight wrapText="bothSides">
                  <wp:wrapPolygon edited="0">
                    <wp:start x="-815" y="-1490"/>
                    <wp:lineTo x="-1358" y="-894"/>
                    <wp:lineTo x="-1087" y="22941"/>
                    <wp:lineTo x="22551" y="22941"/>
                    <wp:lineTo x="22823" y="3873"/>
                    <wp:lineTo x="22279" y="-596"/>
                    <wp:lineTo x="22279" y="-1490"/>
                    <wp:lineTo x="-815" y="-1490"/>
                  </wp:wrapPolygon>
                </wp:wrapTight>
                <wp:docPr id="816286425" name="Text Box 816286425"/>
                <wp:cNvGraphicFramePr/>
                <a:graphic xmlns:a="http://schemas.openxmlformats.org/drawingml/2006/main">
                  <a:graphicData uri="http://schemas.microsoft.com/office/word/2010/wordprocessingShape">
                    <wps:wsp>
                      <wps:cNvSpPr txBox="1"/>
                      <wps:spPr>
                        <a:xfrm>
                          <a:off x="0" y="0"/>
                          <a:ext cx="1514475" cy="13811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F44E5F3"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53D84CA2" wp14:editId="2C00BC64">
                                  <wp:extent cx="457200" cy="457200"/>
                                  <wp:effectExtent l="0" t="0" r="0" b="0"/>
                                  <wp:docPr id="1690912554" name="Picture 169091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EF8EB70" w14:textId="683DA706" w:rsidR="00C6444C" w:rsidRPr="00954116" w:rsidRDefault="00C6444C" w:rsidP="00020D20">
                            <w:pPr>
                              <w:pStyle w:val="Calloutboxes"/>
                            </w:pPr>
                            <w:r w:rsidRPr="00394A74">
                              <w:t>ADOT Planning Assistance for Rural Areas (PARA):</w:t>
                            </w:r>
                          </w:p>
                          <w:p w14:paraId="3C34CF0C" w14:textId="6CFAC5D1" w:rsidR="00C6444C" w:rsidRPr="00020D20" w:rsidRDefault="00202C92" w:rsidP="00020D20">
                            <w:pPr>
                              <w:pStyle w:val="BalloonText"/>
                              <w:spacing w:before="0" w:after="0"/>
                              <w:jc w:val="center"/>
                              <w:rPr>
                                <w:sz w:val="16"/>
                                <w:szCs w:val="16"/>
                              </w:rPr>
                            </w:pPr>
                            <w:hyperlink r:id="rId176" w:history="1">
                              <w:r w:rsidR="00C6444C" w:rsidRPr="00020D20">
                                <w:rPr>
                                  <w:rFonts w:ascii="Calibri" w:hAnsi="Calibri" w:cstheme="majorBidi"/>
                                  <w:i/>
                                  <w:color w:val="CE5B18"/>
                                  <w:sz w:val="16"/>
                                  <w:szCs w:val="16"/>
                                </w:rPr>
                                <w:t>https://azdot.gov/planning/transportation-programs/planning-assistance-rural-areas-para-program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ACB948" id="Text Box 816286425" o:spid="_x0000_s1075" type="#_x0000_t202" style="position:absolute;left:0;text-align:left;margin-left:0;margin-top:8.6pt;width:119.25pt;height:108.75pt;z-index:-2516980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" fillcolor="#f7f7f7" stroked="f" strokeweight=".5pt">
                <v:shadow on="t" type="perspective" color="black" opacity="26214f" offset="0,0" matrix="66847f,,,66847f"/>
                <v:textbox>
                  <w:txbxContent>
                    <w:p w14:paraId="3F44E5F3"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53D84CA2" wp14:editId="2C00BC64">
                            <wp:extent cx="457200" cy="457200"/>
                            <wp:effectExtent l="0" t="0" r="0" b="0"/>
                            <wp:docPr id="1690912554" name="Picture 169091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EF8EB70" w14:textId="683DA706" w:rsidR="00C6444C" w:rsidRPr="00954116" w:rsidRDefault="00C6444C" w:rsidP="00020D20">
                      <w:pPr>
                        <w:pStyle w:val="Calloutboxes"/>
                      </w:pPr>
                      <w:r w:rsidRPr="00394A74">
                        <w:t>ADOT Planning Assistance for Rural Areas (PARA):</w:t>
                      </w:r>
                    </w:p>
                    <w:p w14:paraId="3C34CF0C" w14:textId="6CFAC5D1" w:rsidR="00C6444C" w:rsidRPr="00020D20" w:rsidRDefault="00C6444C" w:rsidP="00020D20">
                      <w:pPr>
                        <w:pStyle w:val="BalloonText"/>
                        <w:spacing w:before="0" w:after="0"/>
                        <w:jc w:val="center"/>
                        <w:rPr>
                          <w:sz w:val="16"/>
                          <w:szCs w:val="16"/>
                        </w:rPr>
                      </w:pPr>
                      <w:hyperlink r:id="rId177" w:history="1">
                        <w:r w:rsidRPr="00020D20">
                          <w:rPr>
                            <w:rFonts w:ascii="Calibri" w:hAnsi="Calibri" w:cstheme="majorBidi"/>
                            <w:i/>
                            <w:color w:val="CE5B18"/>
                            <w:sz w:val="16"/>
                            <w:szCs w:val="16"/>
                          </w:rPr>
                          <w:t>https://azdot.gov/planning/transportation-programs/planning-assistance-rural-areas-para-program</w:t>
                        </w:r>
                      </w:hyperlink>
                    </w:p>
                  </w:txbxContent>
                </v:textbox>
                <w10:wrap type="tight"/>
              </v:shape>
            </w:pict>
          </mc:Fallback>
        </mc:AlternateContent>
      </w:r>
      <w:r w:rsidR="00926E3D" w:rsidRPr="00926E3D">
        <w:rPr>
          <w:rFonts w:cstheme="minorHAnsi"/>
        </w:rPr>
        <w:t>PARA funds are limited to planning applications and may not be used for the design or construction of transportation facilities. PARA funds may be applied to address a broad range of planning issues related to roadway and non-motorized transportation modes. Funds may also be applied to studies dedicated to the planning solely of public transportation services and the development of new programs and processes. COGs and MPOs typically provide letters of support for jurisdictions applying for PARA funds and serve as Technical Advisory Committee members.</w:t>
      </w:r>
    </w:p>
    <w:p w14:paraId="76040410" w14:textId="093A6716" w:rsidR="00926E3D" w:rsidRPr="00926E3D" w:rsidRDefault="00926E3D" w:rsidP="00020D20">
      <w:pPr>
        <w:jc w:val="both"/>
        <w:rPr>
          <w:rFonts w:cstheme="minorHAnsi"/>
          <w:b/>
        </w:rPr>
      </w:pPr>
      <w:r w:rsidRPr="00926E3D">
        <w:rPr>
          <w:rFonts w:cstheme="minorHAnsi"/>
        </w:rPr>
        <w:t>The PARA program coordinator facilitates the PARA process annually. The application process and common questions and answers regarding the PARA program can be found on the ADOT MPD website on the PARA program page. All completed and in-progress PARAs are also located on the PARA program website.</w:t>
      </w:r>
    </w:p>
    <w:p w14:paraId="131CD958" w14:textId="77777777" w:rsidR="00926E3D" w:rsidRPr="00163149" w:rsidRDefault="00926E3D" w:rsidP="00020D20">
      <w:pPr>
        <w:pStyle w:val="SubHeading3"/>
        <w:jc w:val="both"/>
      </w:pPr>
      <w:r w:rsidRPr="00163149">
        <w:t xml:space="preserve">Transportation Consultation with Rural Officials Policy </w:t>
      </w:r>
    </w:p>
    <w:p w14:paraId="54CABE70" w14:textId="77777777" w:rsidR="00926E3D" w:rsidRPr="00926E3D" w:rsidRDefault="00926E3D" w:rsidP="00020D20">
      <w:pPr>
        <w:jc w:val="both"/>
        <w:rPr>
          <w:rFonts w:cstheme="minorHAnsi"/>
        </w:rPr>
      </w:pPr>
      <w:r w:rsidRPr="00926E3D">
        <w:rPr>
          <w:rFonts w:cstheme="minorHAnsi"/>
        </w:rPr>
        <w:t xml:space="preserve">ADOT is the primary decision maker for federal-aid transportation plans and investments in non-metropolitan areas with populations less than 50,000 (COG areas). However, ADOT understands the importance of consulting with local governments before, during, and after the decision-making process to ensure that participation results in improved transportation system planning, performance and project development decisions. </w:t>
      </w:r>
    </w:p>
    <w:p w14:paraId="603A9FA2" w14:textId="3E18D3EB" w:rsidR="00926E3D" w:rsidRPr="00926E3D" w:rsidRDefault="00202C92" w:rsidP="00020D20">
      <w:pPr>
        <w:jc w:val="both"/>
        <w:rPr>
          <w:rFonts w:cstheme="minorHAnsi"/>
        </w:rPr>
      </w:pPr>
      <w:hyperlink r:id="rId178" w:history="1">
        <w:r w:rsidR="00926E3D" w:rsidRPr="005644A1">
          <w:rPr>
            <w:rStyle w:val="TitleChar"/>
          </w:rPr>
          <w:t xml:space="preserve">The Rural Officials Policy </w:t>
        </w:r>
      </w:hyperlink>
      <w:r w:rsidR="00926E3D" w:rsidRPr="00926E3D">
        <w:rPr>
          <w:rFonts w:cstheme="minorHAnsi"/>
        </w:rPr>
        <w:t xml:space="preserve">outlines a cooperative process between ADOT and the COGs and MPOs to consult with public officials on a yearly basis. </w:t>
      </w:r>
    </w:p>
    <w:p w14:paraId="440AF60D" w14:textId="1F7A8894" w:rsidR="00926E3D" w:rsidRPr="00926E3D" w:rsidRDefault="00D37A12" w:rsidP="00020D20">
      <w:pPr>
        <w:jc w:val="both"/>
        <w:rPr>
          <w:rFonts w:cstheme="minorHAnsi"/>
        </w:rPr>
      </w:pPr>
      <w:r>
        <w:rPr>
          <w:rFonts w:cstheme="minorHAnsi"/>
          <w:noProof/>
        </w:rPr>
        <mc:AlternateContent>
          <mc:Choice Requires="wps">
            <w:drawing>
              <wp:anchor distT="0" distB="0" distL="114300" distR="114300" simplePos="0" relativeHeight="251618478" behindDoc="1" locked="0" layoutInCell="1" allowOverlap="1" wp14:anchorId="6F75B525" wp14:editId="56C59373">
                <wp:simplePos x="0" y="0"/>
                <wp:positionH relativeFrom="column">
                  <wp:posOffset>1257300</wp:posOffset>
                </wp:positionH>
                <wp:positionV relativeFrom="paragraph">
                  <wp:posOffset>1649095</wp:posOffset>
                </wp:positionV>
                <wp:extent cx="1488440" cy="1533525"/>
                <wp:effectExtent l="76200" t="95250" r="73660" b="104775"/>
                <wp:wrapTight wrapText="bothSides">
                  <wp:wrapPolygon edited="0">
                    <wp:start x="-1106" y="-1342"/>
                    <wp:lineTo x="-1106" y="22807"/>
                    <wp:lineTo x="22392" y="22807"/>
                    <wp:lineTo x="22392" y="-1342"/>
                    <wp:lineTo x="-1106" y="-1342"/>
                  </wp:wrapPolygon>
                </wp:wrapTight>
                <wp:docPr id="816286427" name="Text Box 816286427"/>
                <wp:cNvGraphicFramePr/>
                <a:graphic xmlns:a="http://schemas.openxmlformats.org/drawingml/2006/main">
                  <a:graphicData uri="http://schemas.microsoft.com/office/word/2010/wordprocessingShape">
                    <wps:wsp>
                      <wps:cNvSpPr txBox="1"/>
                      <wps:spPr>
                        <a:xfrm>
                          <a:off x="0" y="0"/>
                          <a:ext cx="1488440" cy="15335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026E3BB"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65428151" wp14:editId="4367ECD9">
                                  <wp:extent cx="457200" cy="457200"/>
                                  <wp:effectExtent l="0" t="0" r="0" b="0"/>
                                  <wp:docPr id="1690912555" name="Picture 16909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82668A" w14:textId="5E296014" w:rsidR="00C6444C" w:rsidRPr="00954116" w:rsidRDefault="00C6444C" w:rsidP="00020D20">
                            <w:pPr>
                              <w:pStyle w:val="Calloutboxes"/>
                            </w:pPr>
                            <w:r w:rsidRPr="00394A74">
                              <w:t>ADOT Transportation Consultation with Rural Officials Policy:</w:t>
                            </w:r>
                          </w:p>
                          <w:p w14:paraId="5162A852" w14:textId="5A3A0A10" w:rsidR="00C6444C" w:rsidRPr="00020D20" w:rsidRDefault="00202C92" w:rsidP="00020D20">
                            <w:pPr>
                              <w:pStyle w:val="BalloonText"/>
                              <w:spacing w:before="0" w:after="0"/>
                              <w:jc w:val="center"/>
                              <w:rPr>
                                <w:sz w:val="16"/>
                                <w:szCs w:val="16"/>
                              </w:rPr>
                            </w:pPr>
                            <w:hyperlink r:id="rId179" w:history="1">
                              <w:r w:rsidR="00C6444C" w:rsidRPr="00020D20">
                                <w:rPr>
                                  <w:rFonts w:ascii="Calibri" w:hAnsi="Calibri" w:cstheme="majorBidi"/>
                                  <w:i/>
                                  <w:color w:val="CE5B18"/>
                                  <w:sz w:val="16"/>
                                  <w:szCs w:val="16"/>
                                </w:rPr>
                                <w:t>https://azdot.gov/planning/transportation-planning/transportation-consultation-rural-officials-tcro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75B525" id="Text Box 816286427" o:spid="_x0000_s1076" type="#_x0000_t202" style="position:absolute;left:0;text-align:left;margin-left:99pt;margin-top:129.85pt;width:117.2pt;height:120.75pt;z-index:-2516980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" fillcolor="#f7f7f7" stroked="f" strokeweight=".5pt">
                <v:shadow on="t" type="perspective" color="black" opacity="26214f" offset="0,0" matrix="66847f,,,66847f"/>
                <v:textbox>
                  <w:txbxContent>
                    <w:p w14:paraId="0026E3BB"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65428151" wp14:editId="4367ECD9">
                            <wp:extent cx="457200" cy="457200"/>
                            <wp:effectExtent l="0" t="0" r="0" b="0"/>
                            <wp:docPr id="1690912555" name="Picture 16909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82668A" w14:textId="5E296014" w:rsidR="00C6444C" w:rsidRPr="00954116" w:rsidRDefault="00C6444C" w:rsidP="00020D20">
                      <w:pPr>
                        <w:pStyle w:val="Calloutboxes"/>
                      </w:pPr>
                      <w:r w:rsidRPr="00394A74">
                        <w:t>ADOT Transportation Consultation with Rural Officials Policy:</w:t>
                      </w:r>
                    </w:p>
                    <w:p w14:paraId="5162A852" w14:textId="5A3A0A10" w:rsidR="00C6444C" w:rsidRPr="00020D20" w:rsidRDefault="00C6444C" w:rsidP="00020D20">
                      <w:pPr>
                        <w:pStyle w:val="BalloonText"/>
                        <w:spacing w:before="0" w:after="0"/>
                        <w:jc w:val="center"/>
                        <w:rPr>
                          <w:sz w:val="16"/>
                          <w:szCs w:val="16"/>
                        </w:rPr>
                      </w:pPr>
                      <w:hyperlink r:id="rId180" w:history="1">
                        <w:r w:rsidRPr="00020D20">
                          <w:rPr>
                            <w:rFonts w:ascii="Calibri" w:hAnsi="Calibri" w:cstheme="majorBidi"/>
                            <w:i/>
                            <w:color w:val="CE5B18"/>
                            <w:sz w:val="16"/>
                            <w:szCs w:val="16"/>
                          </w:rPr>
                          <w:t>https://azdot.gov/planning/transportation-planning/transportation-consultation-rural-officials-tcro</w:t>
                        </w:r>
                      </w:hyperlink>
                    </w:p>
                  </w:txbxContent>
                </v:textbox>
                <w10:wrap type="tight"/>
              </v:shape>
            </w:pict>
          </mc:Fallback>
        </mc:AlternateContent>
      </w:r>
      <w:r w:rsidR="00926E3D" w:rsidRPr="00926E3D">
        <w:rPr>
          <w:rFonts w:cstheme="minorHAnsi"/>
        </w:rPr>
        <w:t xml:space="preserve">The primary guidelines for state consultation with non-metropolitan local officials are contained in the FHWA and FTA joint rule making, “Statewide and Metropolitan Planning: Part 450 Planning Assistance and Standards” (Federal Register February 14, 2007). According to </w:t>
      </w:r>
      <w:hyperlink r:id="rId181" w:history="1">
        <w:r w:rsidR="00926E3D" w:rsidRPr="00020D20">
          <w:rPr>
            <w:rStyle w:val="TitleChar"/>
          </w:rPr>
          <w:t xml:space="preserve">23 </w:t>
        </w:r>
        <w:r w:rsidR="009628C0">
          <w:rPr>
            <w:rStyle w:val="TitleChar"/>
          </w:rPr>
          <w:t xml:space="preserve">C.F.R. </w:t>
        </w:r>
        <w:r w:rsidR="00926E3D" w:rsidRPr="00020D20">
          <w:rPr>
            <w:rStyle w:val="TitleChar"/>
          </w:rPr>
          <w:t>§</w:t>
        </w:r>
        <w:r w:rsidR="008216A0" w:rsidRPr="00020D20">
          <w:rPr>
            <w:rStyle w:val="TitleChar"/>
          </w:rPr>
          <w:t xml:space="preserve"> </w:t>
        </w:r>
        <w:r w:rsidR="00926E3D" w:rsidRPr="00020D20">
          <w:rPr>
            <w:rStyle w:val="TitleChar"/>
          </w:rPr>
          <w:t>450.210(b)</w:t>
        </w:r>
      </w:hyperlink>
      <w:r w:rsidR="00926E3D" w:rsidRPr="00926E3D">
        <w:rPr>
          <w:rFonts w:cstheme="minorHAnsi"/>
        </w:rPr>
        <w:t xml:space="preserve">, “at least once every five years (as of February 24, 2006), the State shall review and solicit comments from non-metropolitan local officials and other interested parties for a period of not less than 60 calendar days regarding the effectiveness of the consultation process and any proposed changes. A specific request for comments shall be directed to the State association of counties, State municipal league, regional planning agencies, or directly to non-metropolitan local officials.” </w:t>
      </w:r>
    </w:p>
    <w:p w14:paraId="4C530D04" w14:textId="20916620" w:rsidR="00B8326E" w:rsidRDefault="00926E3D" w:rsidP="00020D20">
      <w:pPr>
        <w:jc w:val="both"/>
        <w:rPr>
          <w:rFonts w:cstheme="minorHAnsi"/>
        </w:rPr>
      </w:pPr>
      <w:r w:rsidRPr="00926E3D">
        <w:rPr>
          <w:rFonts w:cstheme="minorHAnsi"/>
        </w:rPr>
        <w:t>This consultation policy is subject to review and revision by ADOT every five years. It may be immediately revised in the event that Congress enacts new transportation language. This is typically contained in the current t</w:t>
      </w:r>
      <w:r w:rsidR="00163149">
        <w:rPr>
          <w:rFonts w:cstheme="minorHAnsi"/>
        </w:rPr>
        <w:t>ransportation legislation (FAST Act</w:t>
      </w:r>
      <w:r w:rsidRPr="00926E3D">
        <w:rPr>
          <w:rFonts w:cstheme="minorHAnsi"/>
        </w:rPr>
        <w:t>).</w:t>
      </w:r>
    </w:p>
    <w:p w14:paraId="176680A7" w14:textId="77777777" w:rsidR="00926E3D" w:rsidRPr="00926E3D" w:rsidRDefault="00926E3D" w:rsidP="00020D20">
      <w:pPr>
        <w:pStyle w:val="Heading3"/>
        <w:jc w:val="both"/>
      </w:pPr>
      <w:bookmarkStart w:id="56" w:name="_Ref50025449"/>
      <w:r w:rsidRPr="00926E3D">
        <w:t>2.1.2 | Transportation Programming</w:t>
      </w:r>
      <w:bookmarkEnd w:id="56"/>
      <w:r w:rsidRPr="00926E3D">
        <w:t xml:space="preserve"> </w:t>
      </w:r>
    </w:p>
    <w:p w14:paraId="52623CFD" w14:textId="51193122" w:rsidR="00926E3D" w:rsidRPr="00926E3D" w:rsidRDefault="00926E3D" w:rsidP="00020D20">
      <w:pPr>
        <w:jc w:val="both"/>
        <w:rPr>
          <w:rFonts w:cstheme="minorHAnsi"/>
        </w:rPr>
      </w:pPr>
      <w:r w:rsidRPr="00926E3D">
        <w:rPr>
          <w:rFonts w:cstheme="minorHAnsi"/>
        </w:rPr>
        <w:t xml:space="preserve">State law mandates ADOT to be responsible for planning, constructing, and maintaining all interstate and state highways in Arizona and providing financial assistance to public airports for airport development projects. Fulfilling this responsibility requires extensive public participation and a sophisticated technical evaluation referred to as the </w:t>
      </w:r>
      <w:hyperlink r:id="rId182" w:history="1">
        <w:r w:rsidRPr="005644A1">
          <w:rPr>
            <w:rStyle w:val="TitleChar"/>
          </w:rPr>
          <w:t>Priority Programming Process</w:t>
        </w:r>
      </w:hyperlink>
      <w:r w:rsidRPr="00926E3D">
        <w:rPr>
          <w:rFonts w:cstheme="minorHAnsi"/>
        </w:rPr>
        <w:t xml:space="preserve">. The process culminates in the ADOT </w:t>
      </w:r>
      <w:hyperlink r:id="rId183" w:history="1">
        <w:r w:rsidRPr="005644A1">
          <w:rPr>
            <w:rStyle w:val="TitleChar"/>
          </w:rPr>
          <w:t>Five-Year Transportation Facil</w:t>
        </w:r>
        <w:r w:rsidR="005644A1" w:rsidRPr="005644A1">
          <w:rPr>
            <w:rStyle w:val="TitleChar"/>
          </w:rPr>
          <w:t>ities Construction Program for H</w:t>
        </w:r>
        <w:r w:rsidRPr="005644A1">
          <w:rPr>
            <w:rStyle w:val="TitleChar"/>
          </w:rPr>
          <w:t>ighways and</w:t>
        </w:r>
        <w:r w:rsidR="005644A1" w:rsidRPr="005644A1">
          <w:rPr>
            <w:rStyle w:val="TitleChar"/>
          </w:rPr>
          <w:t xml:space="preserve"> A</w:t>
        </w:r>
        <w:r w:rsidRPr="005644A1">
          <w:rPr>
            <w:rStyle w:val="TitleChar"/>
          </w:rPr>
          <w:t>irports</w:t>
        </w:r>
      </w:hyperlink>
      <w:r w:rsidRPr="00926E3D">
        <w:rPr>
          <w:rFonts w:cstheme="minorHAnsi"/>
        </w:rPr>
        <w:t xml:space="preserve">. </w:t>
      </w:r>
    </w:p>
    <w:p w14:paraId="1DCAAA34" w14:textId="77777777" w:rsidR="00926E3D" w:rsidRPr="007C10A1" w:rsidRDefault="00926E3D" w:rsidP="00020D20">
      <w:pPr>
        <w:pStyle w:val="SubHeading3"/>
        <w:jc w:val="both"/>
      </w:pPr>
      <w:bookmarkStart w:id="57" w:name="_Ref50026473"/>
      <w:r w:rsidRPr="007C10A1">
        <w:t>ADOT Five-Year Transportation Facilities Construction Program</w:t>
      </w:r>
      <w:bookmarkEnd w:id="57"/>
    </w:p>
    <w:p w14:paraId="02F03CC6" w14:textId="3C907D86" w:rsidR="00926E3D" w:rsidRPr="00926E3D" w:rsidRDefault="00202C92" w:rsidP="00020D20">
      <w:pPr>
        <w:jc w:val="both"/>
        <w:rPr>
          <w:rFonts w:cstheme="minorHAnsi"/>
        </w:rPr>
      </w:pPr>
      <w:hyperlink r:id="rId184" w:history="1">
        <w:r w:rsidR="00926E3D" w:rsidRPr="005644A1">
          <w:rPr>
            <w:rStyle w:val="TitleChar"/>
          </w:rPr>
          <w:t>The ADOT Five-Year Transportation Facilities Construction Program for Highways and Airports</w:t>
        </w:r>
      </w:hyperlink>
      <w:r w:rsidR="00926E3D" w:rsidRPr="00926E3D">
        <w:rPr>
          <w:rFonts w:cstheme="minorHAnsi"/>
        </w:rPr>
        <w:t xml:space="preserve"> identifies projects on the state highway system and at airports during the next five years. All projects in the first two years of the program are to be fully funded and ready to advertise within the year programmed or sooner as determined by the ASTB. The last three years of the program are to be illustrative in nature and used to establish an implementation plan for projects moving through the project development phases needed</w:t>
      </w:r>
      <w:r w:rsidR="003565E9">
        <w:rPr>
          <w:rFonts w:cstheme="minorHAnsi"/>
        </w:rPr>
        <w:t xml:space="preserve"> </w:t>
      </w:r>
      <w:r w:rsidR="00926E3D" w:rsidRPr="00926E3D">
        <w:rPr>
          <w:rFonts w:cstheme="minorHAnsi"/>
        </w:rPr>
        <w:t xml:space="preserve">prior </w:t>
      </w:r>
      <w:r w:rsidR="003565E9">
        <w:rPr>
          <w:rFonts w:cstheme="minorHAnsi"/>
        </w:rPr>
        <w:t xml:space="preserve">to </w:t>
      </w:r>
      <w:r w:rsidR="00926E3D" w:rsidRPr="00926E3D">
        <w:rPr>
          <w:rFonts w:cstheme="minorHAnsi"/>
        </w:rPr>
        <w:t xml:space="preserve">construction. This process is generally outlined in the ADOT Local </w:t>
      </w:r>
      <w:r w:rsidR="009D626A">
        <w:rPr>
          <w:rFonts w:cstheme="minorHAnsi"/>
        </w:rPr>
        <w:t>Public Agency Projects</w:t>
      </w:r>
      <w:r w:rsidR="00926E3D" w:rsidRPr="00926E3D">
        <w:rPr>
          <w:rFonts w:cstheme="minorHAnsi"/>
        </w:rPr>
        <w:t xml:space="preserve"> Manual.</w:t>
      </w:r>
    </w:p>
    <w:p w14:paraId="55582E07" w14:textId="5DF5B3B3" w:rsidR="00926E3D" w:rsidRPr="00926E3D" w:rsidRDefault="00926E3D" w:rsidP="00020D20">
      <w:pPr>
        <w:jc w:val="both"/>
        <w:rPr>
          <w:rFonts w:cstheme="minorHAnsi"/>
        </w:rPr>
      </w:pPr>
      <w:r w:rsidRPr="00926E3D">
        <w:rPr>
          <w:rFonts w:cstheme="minorHAnsi"/>
        </w:rPr>
        <w:t xml:space="preserve">The </w:t>
      </w:r>
      <w:hyperlink r:id="rId185" w:history="1">
        <w:r w:rsidRPr="005644A1">
          <w:rPr>
            <w:rStyle w:val="TitleChar"/>
          </w:rPr>
          <w:t>Priority Planning Advisory Committee</w:t>
        </w:r>
      </w:hyperlink>
      <w:r w:rsidRPr="00926E3D">
        <w:rPr>
          <w:rFonts w:cstheme="minorHAnsi"/>
        </w:rPr>
        <w:t xml:space="preserve"> (PPAC)is a statutory public body appointed by the director of ADOT and subject to A.R.S. Title 38: Open Meeting Laws of Arizona. The committee is responsible for updating and preparing the</w:t>
      </w:r>
      <w:r w:rsidRPr="007B6EEE">
        <w:rPr>
          <w:rStyle w:val="TitleChar"/>
        </w:rPr>
        <w:t xml:space="preserve"> </w:t>
      </w:r>
      <w:hyperlink r:id="rId186" w:history="1">
        <w:r w:rsidRPr="005644A1">
          <w:rPr>
            <w:rStyle w:val="TitleChar"/>
          </w:rPr>
          <w:t>Five-Year Transportation Facilities Construction Program</w:t>
        </w:r>
      </w:hyperlink>
      <w:r w:rsidRPr="00926E3D">
        <w:rPr>
          <w:rFonts w:cstheme="minorHAnsi"/>
        </w:rPr>
        <w:t>. The PPAC is an internal ADOT committee composed largely of high-level department managers.</w:t>
      </w:r>
    </w:p>
    <w:p w14:paraId="32EAA1EE" w14:textId="35E195B7" w:rsidR="00926E3D" w:rsidRPr="007C10A1" w:rsidRDefault="00926E3D" w:rsidP="00020D20">
      <w:pPr>
        <w:pStyle w:val="SubHeading3"/>
        <w:jc w:val="both"/>
      </w:pPr>
      <w:bookmarkStart w:id="58" w:name="_Ref50026494"/>
      <w:r w:rsidRPr="007C10A1">
        <w:t>State Transportation Improvement Program</w:t>
      </w:r>
      <w:bookmarkEnd w:id="58"/>
    </w:p>
    <w:p w14:paraId="6E52FAB4" w14:textId="13F69FE9" w:rsidR="00926E3D" w:rsidRPr="00926E3D" w:rsidRDefault="00A559CE" w:rsidP="00020D20">
      <w:pPr>
        <w:jc w:val="both"/>
        <w:rPr>
          <w:rFonts w:cstheme="minorHAnsi"/>
        </w:rPr>
      </w:pPr>
      <w:r>
        <w:rPr>
          <w:rFonts w:cstheme="minorHAnsi"/>
          <w:noProof/>
        </w:rPr>
        <mc:AlternateContent>
          <mc:Choice Requires="wps">
            <w:drawing>
              <wp:anchor distT="0" distB="0" distL="114300" distR="114300" simplePos="0" relativeHeight="251618479" behindDoc="1" locked="0" layoutInCell="1" allowOverlap="1" wp14:anchorId="6848F54C" wp14:editId="74B68F58">
                <wp:simplePos x="0" y="0"/>
                <wp:positionH relativeFrom="column">
                  <wp:posOffset>1371600</wp:posOffset>
                </wp:positionH>
                <wp:positionV relativeFrom="paragraph">
                  <wp:posOffset>235585</wp:posOffset>
                </wp:positionV>
                <wp:extent cx="1374140" cy="1190625"/>
                <wp:effectExtent l="95250" t="76200" r="92710" b="85725"/>
                <wp:wrapTight wrapText="bothSides">
                  <wp:wrapPolygon edited="0">
                    <wp:start x="-898" y="-1382"/>
                    <wp:lineTo x="-1497" y="-1037"/>
                    <wp:lineTo x="-1198" y="22810"/>
                    <wp:lineTo x="22458" y="22810"/>
                    <wp:lineTo x="22758" y="4493"/>
                    <wp:lineTo x="22159" y="-691"/>
                    <wp:lineTo x="22159" y="-1382"/>
                    <wp:lineTo x="-898" y="-1382"/>
                  </wp:wrapPolygon>
                </wp:wrapTight>
                <wp:docPr id="199" name="Text Box 199"/>
                <wp:cNvGraphicFramePr/>
                <a:graphic xmlns:a="http://schemas.openxmlformats.org/drawingml/2006/main">
                  <a:graphicData uri="http://schemas.microsoft.com/office/word/2010/wordprocessingShape">
                    <wps:wsp>
                      <wps:cNvSpPr txBox="1"/>
                      <wps:spPr>
                        <a:xfrm>
                          <a:off x="0" y="0"/>
                          <a:ext cx="1374140" cy="11906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0785853"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3A614B59" wp14:editId="1F33BC21">
                                  <wp:extent cx="457200" cy="457200"/>
                                  <wp:effectExtent l="0" t="0" r="0" b="0"/>
                                  <wp:docPr id="1690912556" name="Picture 169091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F916E48" w14:textId="702DA502" w:rsidR="00C6444C" w:rsidRPr="0052715B" w:rsidRDefault="00C6444C" w:rsidP="00020D20">
                            <w:pPr>
                              <w:pStyle w:val="Calloutboxes"/>
                            </w:pPr>
                            <w:r w:rsidRPr="00394A74">
                              <w:t>Cross r</w:t>
                            </w:r>
                            <w:r w:rsidRPr="00954116">
                              <w:t>eference chapter 8, “Transportation Improvement Program” for further information on TIPs.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48F54C" id="Text Box 199" o:spid="_x0000_s1077" type="#_x0000_t202" style="position:absolute;left:0;text-align:left;margin-left:108pt;margin-top:18.55pt;width:108.2pt;height:93.75pt;z-index:-2516980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" fillcolor="#f7f7f7" stroked="f" strokeweight=".5pt">
                <v:shadow on="t" type="perspective" color="black" opacity="26214f" offset="0,0" matrix="66847f,,,66847f"/>
                <v:textbox>
                  <w:txbxContent>
                    <w:p w14:paraId="20785853" w14:textId="77777777" w:rsidR="00C6444C" w:rsidRPr="00020D20" w:rsidRDefault="00C6444C" w:rsidP="00020D20">
                      <w:pPr>
                        <w:spacing w:before="0" w:line="240" w:lineRule="auto"/>
                        <w:jc w:val="center"/>
                        <w:rPr>
                          <w:sz w:val="16"/>
                          <w:szCs w:val="16"/>
                        </w:rPr>
                      </w:pPr>
                      <w:r w:rsidRPr="00020D20">
                        <w:rPr>
                          <w:noProof/>
                          <w:sz w:val="16"/>
                          <w:szCs w:val="16"/>
                        </w:rPr>
                        <w:drawing>
                          <wp:inline distT="0" distB="0" distL="0" distR="0" wp14:anchorId="3A614B59" wp14:editId="1F33BC21">
                            <wp:extent cx="457200" cy="457200"/>
                            <wp:effectExtent l="0" t="0" r="0" b="0"/>
                            <wp:docPr id="1690912556" name="Picture 169091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F916E48" w14:textId="702DA502" w:rsidR="00C6444C" w:rsidRPr="0052715B" w:rsidRDefault="00C6444C" w:rsidP="00020D20">
                      <w:pPr>
                        <w:pStyle w:val="Calloutboxes"/>
                      </w:pPr>
                      <w:r w:rsidRPr="00394A74">
                        <w:t>Cross r</w:t>
                      </w:r>
                      <w:r w:rsidRPr="00954116">
                        <w:t>eference chapter 8, “Transportation Improvement Program” for further information on TIPs.</w:t>
                      </w:r>
                    </w:p>
                  </w:txbxContent>
                </v:textbox>
                <w10:wrap type="tight"/>
              </v:shape>
            </w:pict>
          </mc:Fallback>
        </mc:AlternateContent>
      </w:r>
      <w:r w:rsidR="00926E3D" w:rsidRPr="00926E3D">
        <w:rPr>
          <w:rFonts w:cstheme="minorHAnsi"/>
        </w:rPr>
        <w:t>All highway and transit projects in the state, funded under Title 23 (Highway) and Title 49 (Transit) must be included in a federally approved</w:t>
      </w:r>
      <w:hyperlink r:id="rId187" w:history="1">
        <w:r w:rsidR="00926E3D" w:rsidRPr="005644A1">
          <w:rPr>
            <w:rStyle w:val="TitleChar"/>
          </w:rPr>
          <w:t xml:space="preserve"> State Transportation Improvement Program</w:t>
        </w:r>
      </w:hyperlink>
      <w:r w:rsidR="00926E3D" w:rsidRPr="00926E3D">
        <w:rPr>
          <w:rFonts w:cstheme="minorHAnsi"/>
        </w:rPr>
        <w:t xml:space="preserve"> (STIP). Projects in the STIP must be consistent with the statewide </w:t>
      </w:r>
      <w:hyperlink r:id="rId188" w:history="1">
        <w:r w:rsidR="00926E3D" w:rsidRPr="005644A1">
          <w:rPr>
            <w:rStyle w:val="TitleChar"/>
          </w:rPr>
          <w:t>Long-Range Transportation Plan</w:t>
        </w:r>
      </w:hyperlink>
      <w:r w:rsidR="00926E3D" w:rsidRPr="00926E3D">
        <w:rPr>
          <w:rFonts w:cstheme="minorHAnsi"/>
        </w:rPr>
        <w:t xml:space="preserve"> (LRTP) and all metropolitan TIPs. The program must reflect </w:t>
      </w:r>
      <w:r w:rsidR="001D625F">
        <w:rPr>
          <w:rFonts w:cstheme="minorHAnsi"/>
        </w:rPr>
        <w:t xml:space="preserve">reasonably </w:t>
      </w:r>
      <w:r w:rsidR="00926E3D" w:rsidRPr="00926E3D">
        <w:rPr>
          <w:rFonts w:cstheme="minorHAnsi"/>
        </w:rPr>
        <w:t xml:space="preserve">expected funding and priorities for programming, including transportation </w:t>
      </w:r>
      <w:r w:rsidR="00541862">
        <w:rPr>
          <w:rFonts w:cstheme="minorHAnsi"/>
        </w:rPr>
        <w:t>alternatives</w:t>
      </w:r>
      <w:r w:rsidR="00DB7EF5">
        <w:rPr>
          <w:rFonts w:cstheme="minorHAnsi"/>
        </w:rPr>
        <w:t xml:space="preserve"> (T</w:t>
      </w:r>
      <w:r w:rsidR="00541862">
        <w:rPr>
          <w:rFonts w:cstheme="minorHAnsi"/>
        </w:rPr>
        <w:t>A</w:t>
      </w:r>
      <w:r w:rsidR="00DB7EF5">
        <w:rPr>
          <w:rFonts w:cstheme="minorHAnsi"/>
        </w:rPr>
        <w:t>)</w:t>
      </w:r>
      <w:r w:rsidR="00926E3D" w:rsidRPr="00926E3D">
        <w:rPr>
          <w:rFonts w:cstheme="minorHAnsi"/>
        </w:rPr>
        <w:t xml:space="preserve">. The STIP is typically a four-year program but may include up to 10 years when updated yearly. MPOs and COGs must submit their approved TIPs to ADOT by August 1 annually. The STIP includes the ADOT Five-Year Transportation Facilities Construction Program, The COG TIPs and the Metropolitan TIPs. </w:t>
      </w:r>
    </w:p>
    <w:p w14:paraId="0068C408" w14:textId="49134410" w:rsidR="00926E3D" w:rsidRPr="007C10A1" w:rsidRDefault="00926E3D" w:rsidP="00020D20">
      <w:pPr>
        <w:pStyle w:val="SubHeading3"/>
        <w:jc w:val="both"/>
      </w:pPr>
      <w:bookmarkStart w:id="59" w:name="_Ref50026498"/>
      <w:r w:rsidRPr="007C10A1">
        <w:t>State Implementation Plan</w:t>
      </w:r>
      <w:bookmarkEnd w:id="59"/>
    </w:p>
    <w:p w14:paraId="4E35051A" w14:textId="74BCBEED" w:rsidR="00926E3D" w:rsidRPr="00926E3D" w:rsidRDefault="00202C92" w:rsidP="00020D20">
      <w:pPr>
        <w:jc w:val="both"/>
        <w:rPr>
          <w:rFonts w:cstheme="minorHAnsi"/>
        </w:rPr>
      </w:pPr>
      <w:hyperlink r:id="rId189" w:history="1">
        <w:r w:rsidR="00926E3D" w:rsidRPr="005644A1">
          <w:rPr>
            <w:rStyle w:val="TitleChar"/>
          </w:rPr>
          <w:t>The State Implementation Plan</w:t>
        </w:r>
      </w:hyperlink>
      <w:r w:rsidR="00926E3D" w:rsidRPr="00926E3D">
        <w:rPr>
          <w:rFonts w:cstheme="minorHAnsi"/>
        </w:rPr>
        <w:t xml:space="preserve"> (SIP) is the cumulative record of all air pollution strategies, state statutes, state rules, and local ordinances implemented under Title I of the Clean Air Act by governmental agencies within Arizona. Revisions to Arizona’s SIP must be submitted to the U.S. Environmental Protection Agency (EPA) by the director of the </w:t>
      </w:r>
      <w:hyperlink r:id="rId190" w:history="1">
        <w:r w:rsidR="00926E3D" w:rsidRPr="005644A1">
          <w:rPr>
            <w:rStyle w:val="TitleChar"/>
          </w:rPr>
          <w:t xml:space="preserve">Arizona Department of Environmental Quality </w:t>
        </w:r>
      </w:hyperlink>
      <w:r w:rsidR="00926E3D" w:rsidRPr="00926E3D">
        <w:rPr>
          <w:rFonts w:cstheme="minorHAnsi"/>
        </w:rPr>
        <w:t xml:space="preserve">(ADEQ) on behalf of the governor. Once approved by the EPA and published in the Federal Register, the provisions contained in the SIP revision become enforceable by </w:t>
      </w:r>
      <w:r w:rsidR="00CB244A">
        <w:rPr>
          <w:rFonts w:cstheme="minorHAnsi"/>
          <w:noProof/>
        </w:rPr>
        <mc:AlternateContent>
          <mc:Choice Requires="wps">
            <w:drawing>
              <wp:anchor distT="0" distB="0" distL="114300" distR="114300" simplePos="0" relativeHeight="251618480" behindDoc="1" locked="0" layoutInCell="1" allowOverlap="1" wp14:anchorId="6A84630E" wp14:editId="1AA62ABE">
                <wp:simplePos x="0" y="0"/>
                <wp:positionH relativeFrom="column">
                  <wp:posOffset>1038225</wp:posOffset>
                </wp:positionH>
                <wp:positionV relativeFrom="paragraph">
                  <wp:posOffset>98425</wp:posOffset>
                </wp:positionV>
                <wp:extent cx="1485900" cy="2562225"/>
                <wp:effectExtent l="95250" t="95250" r="95250" b="104775"/>
                <wp:wrapTight wrapText="bothSides">
                  <wp:wrapPolygon edited="0">
                    <wp:start x="-831" y="-803"/>
                    <wp:lineTo x="-1385" y="-642"/>
                    <wp:lineTo x="-1385" y="21520"/>
                    <wp:lineTo x="-831" y="22323"/>
                    <wp:lineTo x="22154" y="22323"/>
                    <wp:lineTo x="22708" y="20074"/>
                    <wp:lineTo x="22708" y="1927"/>
                    <wp:lineTo x="22154" y="-482"/>
                    <wp:lineTo x="22154" y="-803"/>
                    <wp:lineTo x="-831" y="-803"/>
                  </wp:wrapPolygon>
                </wp:wrapTight>
                <wp:docPr id="1690911426" name="Text Box 1690911426"/>
                <wp:cNvGraphicFramePr/>
                <a:graphic xmlns:a="http://schemas.openxmlformats.org/drawingml/2006/main">
                  <a:graphicData uri="http://schemas.microsoft.com/office/word/2010/wordprocessingShape">
                    <wps:wsp>
                      <wps:cNvSpPr txBox="1"/>
                      <wps:spPr>
                        <a:xfrm>
                          <a:off x="0" y="0"/>
                          <a:ext cx="1485900" cy="25622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330E387" w14:textId="77777777" w:rsidR="00C6444C" w:rsidRDefault="00C6444C" w:rsidP="00020D20">
                            <w:pPr>
                              <w:jc w:val="center"/>
                            </w:pPr>
                            <w:r>
                              <w:rPr>
                                <w:noProof/>
                              </w:rPr>
                              <w:drawing>
                                <wp:inline distT="0" distB="0" distL="0" distR="0" wp14:anchorId="7C32C078" wp14:editId="077C32B7">
                                  <wp:extent cx="457200" cy="457200"/>
                                  <wp:effectExtent l="0" t="0" r="0" b="0"/>
                                  <wp:docPr id="1690912557" name="Picture 169091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5958930" w14:textId="77777777" w:rsidR="00C6444C" w:rsidRPr="0052715B" w:rsidRDefault="00C6444C" w:rsidP="00020D20">
                            <w:pPr>
                              <w:pStyle w:val="Calloutboxes"/>
                            </w:pPr>
                            <w:r w:rsidRPr="00394A74">
                              <w:t>The Clean Air Act Amendments (CAAA) requires MPOs within nonattainment areas to perform conformity determinations prior to the approval of their Regional Transportation Plans (RTPs) and TIPs. The</w:t>
                            </w:r>
                            <w:r w:rsidRPr="00954116">
                              <w:t>se conformity determinations show that the STIP, as a product of all the regional TIPs, is consistent with the air quality goals in the applicable Arizona State Implementation Plans (SIPs).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4630E" id="Text Box 1690911426" o:spid="_x0000_s1078" type="#_x0000_t202" style="position:absolute;left:0;text-align:left;margin-left:81.75pt;margin-top:7.75pt;width:117pt;height:201.75pt;z-index:-25169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" fillcolor="#f7f7f7" stroked="f" strokeweight=".5pt">
                <v:shadow on="t" type="perspective" color="black" opacity="26214f" offset="0,0" matrix="66847f,,,66847f"/>
                <v:textbox>
                  <w:txbxContent>
                    <w:p w14:paraId="2330E387" w14:textId="77777777" w:rsidR="00C6444C" w:rsidRDefault="00C6444C" w:rsidP="00020D20">
                      <w:pPr>
                        <w:jc w:val="center"/>
                      </w:pPr>
                      <w:r>
                        <w:rPr>
                          <w:noProof/>
                        </w:rPr>
                        <w:drawing>
                          <wp:inline distT="0" distB="0" distL="0" distR="0" wp14:anchorId="7C32C078" wp14:editId="077C32B7">
                            <wp:extent cx="457200" cy="457200"/>
                            <wp:effectExtent l="0" t="0" r="0" b="0"/>
                            <wp:docPr id="1690912557" name="Picture 169091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5958930" w14:textId="77777777" w:rsidR="00C6444C" w:rsidRPr="0052715B" w:rsidRDefault="00C6444C" w:rsidP="00020D20">
                      <w:pPr>
                        <w:pStyle w:val="Calloutboxes"/>
                      </w:pPr>
                      <w:r w:rsidRPr="00394A74">
                        <w:t>The Clean Air Act Amendments (CAAA) requires MPOs within nonattainment areas to perform conformity determinations prior to the approval of their Regional Transportation Plans (RTPs) and TIPs. The</w:t>
                      </w:r>
                      <w:r w:rsidRPr="00954116">
                        <w:t>se conformity determinations show that the STIP, as a product of all the regional TIPs, is consistent with the air quality goals in the applicable Arizona State Implementation Plans (SIPs).</w:t>
                      </w:r>
                    </w:p>
                  </w:txbxContent>
                </v:textbox>
                <w10:wrap type="tight"/>
              </v:shape>
            </w:pict>
          </mc:Fallback>
        </mc:AlternateContent>
      </w:r>
      <w:r w:rsidR="00926E3D" w:rsidRPr="00926E3D">
        <w:rPr>
          <w:rFonts w:cstheme="minorHAnsi"/>
        </w:rPr>
        <w:t xml:space="preserve">the federal government as well as by the appropriate governmental entities of Arizona. The cumulative and complete record of SIP revisions that have been approved by the EPA and are federally enforceable in Arizona is referred to as the “applicable Arizona SIP.” </w:t>
      </w:r>
    </w:p>
    <w:p w14:paraId="390FCB7D" w14:textId="6EA0EAE1" w:rsidR="00926E3D" w:rsidRPr="00020D20" w:rsidRDefault="00926E3D" w:rsidP="00020D20">
      <w:pPr>
        <w:jc w:val="both"/>
        <w:rPr>
          <w:b/>
        </w:rPr>
      </w:pPr>
      <w:r w:rsidRPr="00926E3D">
        <w:rPr>
          <w:rFonts w:cstheme="minorHAnsi"/>
        </w:rPr>
        <w:t>In addition to ADEQ, there are local air planning organizations that share in the responsibility of completing SIP requirements. MAG and</w:t>
      </w:r>
      <w:r w:rsidR="0071444A">
        <w:rPr>
          <w:rFonts w:cstheme="minorHAnsi"/>
        </w:rPr>
        <w:t xml:space="preserve"> </w:t>
      </w:r>
      <w:r w:rsidRPr="00926E3D">
        <w:rPr>
          <w:rFonts w:cstheme="minorHAnsi"/>
        </w:rPr>
        <w:t xml:space="preserve">PAG are MPOs that are responsible for completing SIP revisions for their respective county areas. The SIP requirements relate directly with programmed projects in the </w:t>
      </w:r>
      <w:hyperlink r:id="rId191" w:history="1">
        <w:r w:rsidRPr="005644A1">
          <w:rPr>
            <w:rStyle w:val="TitleChar"/>
          </w:rPr>
          <w:t>Five-Year Transportation Facilities Construction Program</w:t>
        </w:r>
      </w:hyperlink>
      <w:r w:rsidRPr="00926E3D">
        <w:rPr>
          <w:rFonts w:cstheme="minorHAnsi"/>
        </w:rPr>
        <w:t xml:space="preserve"> and qualifying events on key local roadways. Chapter 17 outlines key aspects of the air quality processes.</w:t>
      </w:r>
    </w:p>
    <w:p w14:paraId="4CD68543" w14:textId="7D3FC45D" w:rsidR="007C10A1" w:rsidRPr="00926E3D" w:rsidRDefault="007C10A1" w:rsidP="00020D20">
      <w:pPr>
        <w:pStyle w:val="Heading3"/>
        <w:jc w:val="both"/>
      </w:pPr>
      <w:bookmarkStart w:id="60" w:name="_Ref50025463"/>
      <w:r w:rsidRPr="00926E3D">
        <w:t>2.1.3 | Transportation Plans</w:t>
      </w:r>
      <w:bookmarkEnd w:id="60"/>
    </w:p>
    <w:p w14:paraId="2DFE3D06" w14:textId="22CF30AE" w:rsidR="00926E3D" w:rsidRDefault="00926E3D" w:rsidP="00020D20">
      <w:pPr>
        <w:jc w:val="both"/>
        <w:rPr>
          <w:rFonts w:cstheme="minorHAnsi"/>
        </w:rPr>
      </w:pPr>
      <w:r w:rsidRPr="00926E3D">
        <w:rPr>
          <w:rFonts w:cstheme="minorHAnsi"/>
        </w:rPr>
        <w:t xml:space="preserve">Arizona has several key transportation plans that all COGs and MPOs should reference as they develop their localized transportation plans. They include the </w:t>
      </w:r>
      <w:hyperlink r:id="rId192" w:history="1">
        <w:r w:rsidRPr="005644A1">
          <w:rPr>
            <w:rStyle w:val="TitleChar"/>
          </w:rPr>
          <w:t xml:space="preserve">What Moves You Arizona </w:t>
        </w:r>
        <w:r w:rsidR="005644A1" w:rsidRPr="005644A1">
          <w:rPr>
            <w:rStyle w:val="TitleChar"/>
          </w:rPr>
          <w:t>2040</w:t>
        </w:r>
        <w:r w:rsidRPr="005644A1">
          <w:rPr>
            <w:rStyle w:val="TitleChar"/>
          </w:rPr>
          <w:t xml:space="preserve"> </w:t>
        </w:r>
      </w:hyperlink>
      <w:r w:rsidRPr="00926E3D">
        <w:rPr>
          <w:rFonts w:cstheme="minorHAnsi"/>
        </w:rPr>
        <w:t xml:space="preserve">and the </w:t>
      </w:r>
      <w:hyperlink r:id="rId193" w:history="1">
        <w:r w:rsidRPr="005644A1">
          <w:rPr>
            <w:rStyle w:val="TitleChar"/>
          </w:rPr>
          <w:t>Arizona State Rail Plan</w:t>
        </w:r>
      </w:hyperlink>
      <w:r w:rsidRPr="00926E3D">
        <w:rPr>
          <w:rFonts w:cstheme="minorHAnsi"/>
        </w:rPr>
        <w:t xml:space="preserve"> (SRP). These two documents outline the investment choices for Arizona for a 25</w:t>
      </w:r>
      <w:r w:rsidR="005070BF">
        <w:rPr>
          <w:rFonts w:cstheme="minorHAnsi"/>
        </w:rPr>
        <w:t>-</w:t>
      </w:r>
      <w:r w:rsidRPr="00926E3D">
        <w:rPr>
          <w:rFonts w:cstheme="minorHAnsi"/>
        </w:rPr>
        <w:t xml:space="preserve">year period. In addition, ADOT has a </w:t>
      </w:r>
      <w:hyperlink r:id="rId194" w:history="1">
        <w:r w:rsidRPr="005644A1">
          <w:rPr>
            <w:rStyle w:val="TitleChar"/>
          </w:rPr>
          <w:t xml:space="preserve">Border Master Plan </w:t>
        </w:r>
      </w:hyperlink>
      <w:r w:rsidR="00F20111">
        <w:rPr>
          <w:rFonts w:cstheme="minorHAnsi"/>
        </w:rPr>
        <w:t>from 2031 t</w:t>
      </w:r>
      <w:r w:rsidRPr="00926E3D">
        <w:rPr>
          <w:rFonts w:cstheme="minorHAnsi"/>
        </w:rPr>
        <w:t xml:space="preserve">hat outlines mobility investment choices for the Arizona-Mexico border. </w:t>
      </w:r>
      <w:r w:rsidR="001D625F">
        <w:rPr>
          <w:rFonts w:cstheme="minorHAnsi"/>
        </w:rPr>
        <w:t xml:space="preserve">In 2019, </w:t>
      </w:r>
      <w:r w:rsidRPr="00926E3D">
        <w:rPr>
          <w:rFonts w:cstheme="minorHAnsi"/>
        </w:rPr>
        <w:t xml:space="preserve">ADOT is </w:t>
      </w:r>
      <w:r w:rsidR="001D625F">
        <w:rPr>
          <w:rFonts w:cstheme="minorHAnsi"/>
        </w:rPr>
        <w:t>updated the</w:t>
      </w:r>
      <w:r w:rsidRPr="00926E3D">
        <w:rPr>
          <w:rFonts w:cstheme="minorHAnsi"/>
        </w:rPr>
        <w:t xml:space="preserve"> </w:t>
      </w:r>
      <w:hyperlink r:id="rId195" w:history="1">
        <w:r w:rsidR="00541862">
          <w:rPr>
            <w:rStyle w:val="TitleChar"/>
          </w:rPr>
          <w:t>Strategic Traffic Safety Plan</w:t>
        </w:r>
      </w:hyperlink>
      <w:r w:rsidRPr="00926E3D">
        <w:rPr>
          <w:rFonts w:cstheme="minorHAnsi"/>
        </w:rPr>
        <w:t xml:space="preserve"> (S</w:t>
      </w:r>
      <w:r w:rsidR="00541862">
        <w:rPr>
          <w:rFonts w:cstheme="minorHAnsi"/>
        </w:rPr>
        <w:t>T</w:t>
      </w:r>
      <w:r w:rsidRPr="00926E3D">
        <w:rPr>
          <w:rFonts w:cstheme="minorHAnsi"/>
        </w:rPr>
        <w:t xml:space="preserve">SP) that outlines the way safety funds are to be prioritized for future programming. </w:t>
      </w:r>
    </w:p>
    <w:p w14:paraId="0D77D504" w14:textId="018B4A8C" w:rsidR="00926E3D" w:rsidRPr="00926E3D" w:rsidRDefault="001D625F">
      <w:pPr>
        <w:pStyle w:val="SubHeading3"/>
      </w:pPr>
      <w:r>
        <w:rPr>
          <w:rFonts w:cstheme="minorHAnsi"/>
        </w:rPr>
        <w:br w:type="column"/>
      </w:r>
      <w:bookmarkStart w:id="61" w:name="_Ref50026683"/>
      <w:r w:rsidR="00926E3D" w:rsidRPr="00926E3D">
        <w:t>Long-Range Transportation Plan</w:t>
      </w:r>
      <w:bookmarkEnd w:id="61"/>
    </w:p>
    <w:p w14:paraId="4933B905" w14:textId="37B60A17" w:rsidR="00926E3D" w:rsidRPr="00926E3D" w:rsidRDefault="00202C92" w:rsidP="00020D20">
      <w:pPr>
        <w:jc w:val="both"/>
        <w:rPr>
          <w:rFonts w:cstheme="minorHAnsi"/>
        </w:rPr>
      </w:pPr>
      <w:hyperlink r:id="rId196" w:history="1">
        <w:r w:rsidR="00926E3D" w:rsidRPr="005644A1">
          <w:rPr>
            <w:rStyle w:val="TitleChar"/>
          </w:rPr>
          <w:t>What Moves You Arizona</w:t>
        </w:r>
        <w:r w:rsidR="005644A1" w:rsidRPr="005644A1">
          <w:rPr>
            <w:rStyle w:val="TitleChar"/>
          </w:rPr>
          <w:t xml:space="preserve"> 2040</w:t>
        </w:r>
        <w:r w:rsidR="00926E3D" w:rsidRPr="005644A1">
          <w:rPr>
            <w:rStyle w:val="TitleChar"/>
          </w:rPr>
          <w:t xml:space="preserve"> </w:t>
        </w:r>
      </w:hyperlink>
      <w:r w:rsidR="00926E3D" w:rsidRPr="00926E3D">
        <w:rPr>
          <w:rFonts w:cstheme="minorHAnsi"/>
        </w:rPr>
        <w:t>is the ADOT LRTP. It defines the visionary, yet pragmatic, investment choices Arizona intends to make over a 25</w:t>
      </w:r>
      <w:r w:rsidR="00BC74F5">
        <w:rPr>
          <w:rFonts w:cstheme="minorHAnsi"/>
        </w:rPr>
        <w:t>-</w:t>
      </w:r>
      <w:r w:rsidR="00926E3D" w:rsidRPr="00926E3D">
        <w:rPr>
          <w:rFonts w:cstheme="minorHAnsi"/>
        </w:rPr>
        <w:t xml:space="preserve">year period to maintain and improve its multi-modal transportation system. The plan is not rigid or fixed. It is part of a continual process of planning, implementation, operation, and preservation </w:t>
      </w:r>
      <w:r w:rsidR="00BC74F5">
        <w:rPr>
          <w:rFonts w:cstheme="minorHAnsi"/>
        </w:rPr>
        <w:t>that</w:t>
      </w:r>
      <w:r w:rsidR="00BC74F5" w:rsidRPr="00926E3D">
        <w:rPr>
          <w:rFonts w:cstheme="minorHAnsi"/>
        </w:rPr>
        <w:t xml:space="preserve"> </w:t>
      </w:r>
      <w:r w:rsidR="00926E3D" w:rsidRPr="00926E3D">
        <w:rPr>
          <w:rFonts w:cstheme="minorHAnsi"/>
        </w:rPr>
        <w:t>evolves over time to reflect and be responsive to future changes in needs, resources, and priorities. The plan advances the</w:t>
      </w:r>
      <w:r w:rsidR="00926E3D" w:rsidRPr="007B6EEE">
        <w:rPr>
          <w:rStyle w:val="TitleChar"/>
        </w:rPr>
        <w:t xml:space="preserve"> </w:t>
      </w:r>
      <w:hyperlink r:id="rId197" w:history="1">
        <w:r w:rsidR="00926E3D" w:rsidRPr="005644A1">
          <w:rPr>
            <w:rStyle w:val="TitleChar"/>
          </w:rPr>
          <w:t>BqAZ</w:t>
        </w:r>
      </w:hyperlink>
      <w:r w:rsidR="00926E3D" w:rsidRPr="00926E3D">
        <w:rPr>
          <w:rFonts w:cstheme="minorHAnsi"/>
        </w:rPr>
        <w:t xml:space="preserve"> vision by defining a preferred investment strategy. The plan also:</w:t>
      </w:r>
    </w:p>
    <w:p w14:paraId="604DC1FE" w14:textId="77777777" w:rsidR="00926E3D" w:rsidRPr="00926E3D" w:rsidRDefault="00926E3D" w:rsidP="00020D20">
      <w:pPr>
        <w:pStyle w:val="Body-Bullets"/>
        <w:jc w:val="both"/>
      </w:pPr>
      <w:r w:rsidRPr="00926E3D">
        <w:t xml:space="preserve">provides strategic direction to guide future investments for all transportation modes, but does not identify a specific list of projects for implementation; </w:t>
      </w:r>
    </w:p>
    <w:p w14:paraId="22180A90" w14:textId="5DADDE3C" w:rsidR="00926E3D" w:rsidRPr="00926E3D" w:rsidRDefault="00926E3D" w:rsidP="00020D20">
      <w:pPr>
        <w:pStyle w:val="Body-Bullets"/>
        <w:jc w:val="both"/>
      </w:pPr>
      <w:r w:rsidRPr="00926E3D">
        <w:t xml:space="preserve">documents existing conditions with an eye toward future trends that could influence both system performance and investment needs; </w:t>
      </w:r>
    </w:p>
    <w:p w14:paraId="0F59EF43" w14:textId="77777777" w:rsidR="00926E3D" w:rsidRPr="00926E3D" w:rsidRDefault="00926E3D" w:rsidP="00020D20">
      <w:pPr>
        <w:pStyle w:val="Body-Bullets"/>
        <w:jc w:val="both"/>
      </w:pPr>
      <w:r w:rsidRPr="00926E3D">
        <w:t xml:space="preserve">defines state transportation system goals, objectives, and performance measures that reflect input from Arizona’s stakeholders and transportation planning partners; </w:t>
      </w:r>
    </w:p>
    <w:p w14:paraId="083C929E" w14:textId="77777777" w:rsidR="00926E3D" w:rsidRPr="00926E3D" w:rsidRDefault="00926E3D" w:rsidP="00020D20">
      <w:pPr>
        <w:pStyle w:val="Body-Bullets"/>
        <w:jc w:val="both"/>
      </w:pPr>
      <w:r w:rsidRPr="00926E3D">
        <w:t xml:space="preserve">incorporates the comprehensive land use and 2050 vision developed in BQAZ as a framework for the state’s desired future; </w:t>
      </w:r>
    </w:p>
    <w:p w14:paraId="16D1707F" w14:textId="77777777" w:rsidR="00926E3D" w:rsidRPr="00926E3D" w:rsidRDefault="00926E3D" w:rsidP="00020D20">
      <w:pPr>
        <w:pStyle w:val="Body-Bullets"/>
        <w:jc w:val="both"/>
      </w:pPr>
      <w:r w:rsidRPr="00926E3D">
        <w:t xml:space="preserve">recognizes that ADOT’s role is evolving from a traditional highway agency toward a more multi-modal transportation department; </w:t>
      </w:r>
    </w:p>
    <w:p w14:paraId="7BD57B58" w14:textId="77777777" w:rsidR="00926E3D" w:rsidRPr="00926E3D" w:rsidRDefault="00926E3D" w:rsidP="00020D20">
      <w:pPr>
        <w:pStyle w:val="Body-Bullets"/>
        <w:jc w:val="both"/>
      </w:pPr>
      <w:r w:rsidRPr="00926E3D">
        <w:t xml:space="preserve">assesses future needs and anticipated revenues for the state’s multi-modal transportation network; </w:t>
      </w:r>
    </w:p>
    <w:p w14:paraId="5E3D0EFF" w14:textId="436C80D8" w:rsidR="00926E3D" w:rsidRDefault="00926E3D" w:rsidP="00020D20">
      <w:pPr>
        <w:pStyle w:val="Body-Bullets"/>
        <w:jc w:val="both"/>
      </w:pPr>
      <w:r w:rsidRPr="00926E3D">
        <w:t>considers an array of outcome-based programmatic investment choices to illustrate likely future system performance under different investment mixes;</w:t>
      </w:r>
    </w:p>
    <w:p w14:paraId="4055689B" w14:textId="72338161" w:rsidR="00926E3D" w:rsidRPr="00926E3D" w:rsidRDefault="00926E3D" w:rsidP="00020D20">
      <w:pPr>
        <w:pStyle w:val="Body-Bullets"/>
        <w:jc w:val="both"/>
      </w:pPr>
      <w:r w:rsidRPr="00926E3D">
        <w:t>establishes ADOT’S Recommended Investment Choice (RIC), which provides the department with a capital investment strategy through 20</w:t>
      </w:r>
      <w:r w:rsidR="000C5AFE">
        <w:t>40</w:t>
      </w:r>
      <w:r w:rsidRPr="00926E3D">
        <w:t xml:space="preserve"> and meets federal and state requirements for long-range statewide transportation planning; </w:t>
      </w:r>
    </w:p>
    <w:p w14:paraId="279ACD50" w14:textId="77777777" w:rsidR="00926E3D" w:rsidRPr="00926E3D" w:rsidRDefault="00926E3D" w:rsidP="00020D20">
      <w:pPr>
        <w:pStyle w:val="Body-Bullets"/>
        <w:jc w:val="both"/>
      </w:pPr>
      <w:r w:rsidRPr="00926E3D">
        <w:t xml:space="preserve">is fiscally constrained— that is, the RIC at baseline includes no new taxes and applies realistic, conservative revenue growth rates coupled with modest assumptions about inflation; and </w:t>
      </w:r>
    </w:p>
    <w:p w14:paraId="769590DF" w14:textId="79613762" w:rsidR="007C10A1" w:rsidRPr="00E05C37" w:rsidRDefault="00926E3D" w:rsidP="00020D20">
      <w:pPr>
        <w:pStyle w:val="Body-Bullets"/>
        <w:jc w:val="both"/>
      </w:pPr>
      <w:r w:rsidRPr="00926E3D">
        <w:t>focuses on implementation not only through developing the RIC but also by acknowledging necessary changes to mid- and long-range policies, planning and programming linkages, and interagency partnerships.</w:t>
      </w:r>
    </w:p>
    <w:p w14:paraId="364D177F" w14:textId="18A42CA7" w:rsidR="00926E3D" w:rsidRPr="007C10A1" w:rsidRDefault="00926E3D" w:rsidP="00020D20">
      <w:pPr>
        <w:pStyle w:val="SubHeading3"/>
        <w:jc w:val="both"/>
      </w:pPr>
      <w:bookmarkStart w:id="62" w:name="_Ref50026688"/>
      <w:r w:rsidRPr="007C10A1">
        <w:t>Arizona State Rail Plan</w:t>
      </w:r>
      <w:bookmarkEnd w:id="62"/>
    </w:p>
    <w:p w14:paraId="468B3974" w14:textId="4962936C" w:rsidR="00926E3D" w:rsidRPr="00926E3D" w:rsidRDefault="00B45327" w:rsidP="00020D20">
      <w:pPr>
        <w:jc w:val="both"/>
        <w:rPr>
          <w:rFonts w:cstheme="minorHAnsi"/>
        </w:rPr>
      </w:pPr>
      <w:r>
        <w:rPr>
          <w:rFonts w:cstheme="minorHAnsi"/>
          <w:noProof/>
        </w:rPr>
        <mc:AlternateContent>
          <mc:Choice Requires="wps">
            <w:drawing>
              <wp:anchor distT="0" distB="0" distL="114300" distR="114300" simplePos="0" relativeHeight="251618481" behindDoc="1" locked="0" layoutInCell="1" allowOverlap="1" wp14:anchorId="4C7215A6" wp14:editId="73C27397">
                <wp:simplePos x="0" y="0"/>
                <wp:positionH relativeFrom="column">
                  <wp:posOffset>50505</wp:posOffset>
                </wp:positionH>
                <wp:positionV relativeFrom="paragraph">
                  <wp:posOffset>1036320</wp:posOffset>
                </wp:positionV>
                <wp:extent cx="1374140" cy="1143000"/>
                <wp:effectExtent l="95250" t="76200" r="92710" b="76200"/>
                <wp:wrapTight wrapText="bothSides">
                  <wp:wrapPolygon edited="0">
                    <wp:start x="-898" y="-1440"/>
                    <wp:lineTo x="-1497" y="-1080"/>
                    <wp:lineTo x="-1198" y="22680"/>
                    <wp:lineTo x="22458" y="22680"/>
                    <wp:lineTo x="22758" y="4680"/>
                    <wp:lineTo x="22159" y="-720"/>
                    <wp:lineTo x="22159" y="-1440"/>
                    <wp:lineTo x="-898" y="-1440"/>
                  </wp:wrapPolygon>
                </wp:wrapTight>
                <wp:docPr id="816286080" name="Text Box 816286080"/>
                <wp:cNvGraphicFramePr/>
                <a:graphic xmlns:a="http://schemas.openxmlformats.org/drawingml/2006/main">
                  <a:graphicData uri="http://schemas.microsoft.com/office/word/2010/wordprocessingShape">
                    <wps:wsp>
                      <wps:cNvSpPr txBox="1"/>
                      <wps:spPr>
                        <a:xfrm>
                          <a:off x="0" y="0"/>
                          <a:ext cx="137414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FF62032" w14:textId="77777777" w:rsidR="00C6444C" w:rsidRDefault="00C6444C" w:rsidP="00020D20">
                            <w:pPr>
                              <w:jc w:val="center"/>
                            </w:pPr>
                            <w:r>
                              <w:rPr>
                                <w:noProof/>
                              </w:rPr>
                              <w:drawing>
                                <wp:inline distT="0" distB="0" distL="0" distR="0" wp14:anchorId="112FB4C4" wp14:editId="6E3689DC">
                                  <wp:extent cx="457200" cy="457200"/>
                                  <wp:effectExtent l="0" t="0" r="0" b="0"/>
                                  <wp:docPr id="1690912558" name="Picture 169091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03DE2B9" w14:textId="2E3F1D2D" w:rsidR="00C6444C" w:rsidRPr="00954116" w:rsidRDefault="00C6444C" w:rsidP="00020D20">
                            <w:pPr>
                              <w:pStyle w:val="Calloutboxes"/>
                            </w:pPr>
                            <w:r w:rsidRPr="00394A74">
                              <w:t>Cross reference chapter 15, “Freight &amp; Rail” for further information on the ASRP.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7215A6" id="Text Box 816286080" o:spid="_x0000_s1079" type="#_x0000_t202" style="position:absolute;left:0;text-align:left;margin-left:4pt;margin-top:81.6pt;width:108.2pt;height:90pt;z-index:-251697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" fillcolor="#f7f7f7" stroked="f" strokeweight=".5pt">
                <v:shadow on="t" type="perspective" color="black" opacity="26214f" offset="0,0" matrix="66847f,,,66847f"/>
                <v:textbox>
                  <w:txbxContent>
                    <w:p w14:paraId="0FF62032" w14:textId="77777777" w:rsidR="00C6444C" w:rsidRDefault="00C6444C" w:rsidP="00020D20">
                      <w:pPr>
                        <w:jc w:val="center"/>
                      </w:pPr>
                      <w:r>
                        <w:rPr>
                          <w:noProof/>
                        </w:rPr>
                        <w:drawing>
                          <wp:inline distT="0" distB="0" distL="0" distR="0" wp14:anchorId="112FB4C4" wp14:editId="6E3689DC">
                            <wp:extent cx="457200" cy="457200"/>
                            <wp:effectExtent l="0" t="0" r="0" b="0"/>
                            <wp:docPr id="1690912558" name="Picture 169091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03DE2B9" w14:textId="2E3F1D2D" w:rsidR="00C6444C" w:rsidRPr="00954116" w:rsidRDefault="00C6444C" w:rsidP="00020D20">
                      <w:pPr>
                        <w:pStyle w:val="Calloutboxes"/>
                      </w:pPr>
                      <w:r w:rsidRPr="00394A74">
                        <w:t>Cross reference chapter 15, “Freight &amp; Rail” for further information on the ASRP.</w:t>
                      </w:r>
                    </w:p>
                  </w:txbxContent>
                </v:textbox>
                <w10:wrap type="tight"/>
              </v:shape>
            </w:pict>
          </mc:Fallback>
        </mc:AlternateContent>
      </w:r>
      <w:r w:rsidR="00926E3D" w:rsidRPr="00926E3D">
        <w:rPr>
          <w:rFonts w:cstheme="minorHAnsi"/>
        </w:rPr>
        <w:t xml:space="preserve">The </w:t>
      </w:r>
      <w:hyperlink r:id="rId198" w:history="1">
        <w:r w:rsidR="00926E3D" w:rsidRPr="005644A1">
          <w:rPr>
            <w:rStyle w:val="TitleChar"/>
          </w:rPr>
          <w:t>Arizona SRP</w:t>
        </w:r>
      </w:hyperlink>
      <w:r w:rsidR="00926E3D" w:rsidRPr="00926E3D">
        <w:rPr>
          <w:rFonts w:cstheme="minorHAnsi"/>
        </w:rPr>
        <w:t xml:space="preserve"> is the first comprehensive assessment of the state’s rail needs and was initiated in response to the increasing involvement by ADOT in freight and passenger rail issues. The SRP assesses the current rail system, determines infrastructure needs, and includes rail projects in the state’s long-range planning processes to improve regional and statewide safety and mobility. The principal purpose is to convey the magnitude of rail needs in the state and set forth a policy framework through which strategic actions can be taken to realize the full potential of passenger and freight rail transportation.</w:t>
      </w:r>
    </w:p>
    <w:bookmarkStart w:id="63" w:name="_Ref50026694"/>
    <w:p w14:paraId="6627FA92" w14:textId="77777777" w:rsidR="00926E3D" w:rsidRPr="007C10A1" w:rsidRDefault="00F72488" w:rsidP="00020D20">
      <w:pPr>
        <w:pStyle w:val="SubHeading3"/>
        <w:jc w:val="both"/>
      </w:pPr>
      <w:r>
        <w:rPr>
          <w:rFonts w:cstheme="minorHAnsi"/>
          <w:noProof/>
        </w:rPr>
        <mc:AlternateContent>
          <mc:Choice Requires="wps">
            <w:drawing>
              <wp:anchor distT="0" distB="0" distL="114300" distR="114300" simplePos="0" relativeHeight="251618605" behindDoc="1" locked="0" layoutInCell="1" allowOverlap="1" wp14:anchorId="639278F4" wp14:editId="05D96D62">
                <wp:simplePos x="0" y="0"/>
                <wp:positionH relativeFrom="column">
                  <wp:posOffset>4456814</wp:posOffset>
                </wp:positionH>
                <wp:positionV relativeFrom="paragraph">
                  <wp:posOffset>98425</wp:posOffset>
                </wp:positionV>
                <wp:extent cx="1374140" cy="1352550"/>
                <wp:effectExtent l="95250" t="95250" r="92710" b="95250"/>
                <wp:wrapTight wrapText="bothSides">
                  <wp:wrapPolygon edited="0">
                    <wp:start x="-898" y="-1521"/>
                    <wp:lineTo x="-1497" y="-913"/>
                    <wp:lineTo x="-1198" y="22817"/>
                    <wp:lineTo x="22458" y="22817"/>
                    <wp:lineTo x="22758" y="3955"/>
                    <wp:lineTo x="22159" y="-608"/>
                    <wp:lineTo x="22159" y="-1521"/>
                    <wp:lineTo x="-898" y="-1521"/>
                  </wp:wrapPolygon>
                </wp:wrapTight>
                <wp:docPr id="1690911418" name="Text Box 1690911418"/>
                <wp:cNvGraphicFramePr/>
                <a:graphic xmlns:a="http://schemas.openxmlformats.org/drawingml/2006/main">
                  <a:graphicData uri="http://schemas.microsoft.com/office/word/2010/wordprocessingShape">
                    <wps:wsp>
                      <wps:cNvSpPr txBox="1"/>
                      <wps:spPr>
                        <a:xfrm>
                          <a:off x="0" y="0"/>
                          <a:ext cx="1374140" cy="13525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B5131F4" w14:textId="77777777" w:rsidR="00C6444C" w:rsidRDefault="00C6444C" w:rsidP="00020D20">
                            <w:pPr>
                              <w:jc w:val="center"/>
                            </w:pPr>
                            <w:r>
                              <w:rPr>
                                <w:noProof/>
                              </w:rPr>
                              <w:drawing>
                                <wp:inline distT="0" distB="0" distL="0" distR="0" wp14:anchorId="280295AB" wp14:editId="1B351851">
                                  <wp:extent cx="457200" cy="457200"/>
                                  <wp:effectExtent l="0" t="0" r="0" b="0"/>
                                  <wp:docPr id="1690912559" name="Picture 1690912559">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4F64D5B" w14:textId="480D8B32" w:rsidR="00C6444C" w:rsidRPr="005A6734" w:rsidRDefault="00C6444C" w:rsidP="00020D20">
                            <w:pPr>
                              <w:pStyle w:val="Calloutboxes"/>
                            </w:pPr>
                            <w:r w:rsidRPr="0052715B">
                              <w:t>ADOT Public Transportation</w:t>
                            </w:r>
                          </w:p>
                          <w:p w14:paraId="31B90DF8" w14:textId="4338558E" w:rsidR="00C6444C" w:rsidRPr="00E71AD9" w:rsidRDefault="00C6444C" w:rsidP="00020D20">
                            <w:pPr>
                              <w:pStyle w:val="Calloutboxes"/>
                            </w:pPr>
                            <w:r w:rsidRPr="00977A9B">
                              <w:t>State Management Plan</w:t>
                            </w:r>
                          </w:p>
                          <w:p w14:paraId="6336FD1A" w14:textId="73EB83B8" w:rsidR="00C6444C" w:rsidRPr="00020D20" w:rsidRDefault="00202C92">
                            <w:pPr>
                              <w:pStyle w:val="Title"/>
                              <w:rPr>
                                <w:sz w:val="16"/>
                              </w:rPr>
                            </w:pPr>
                            <w:hyperlink r:id="rId200" w:history="1">
                              <w:r w:rsidR="00C6444C" w:rsidRPr="00020D20">
                                <w:rPr>
                                  <w:rStyle w:val="Hyperlink"/>
                                  <w:rFonts w:ascii="Calibri" w:hAnsi="Calibri" w:cstheme="majorBidi"/>
                                  <w:i/>
                                  <w:color w:val="CE5B18"/>
                                  <w:szCs w:val="56"/>
                                  <w:u w:val="none"/>
                                </w:rPr>
                                <w:t>https://azdot.gov/sites/default/files/2019/05/2018-adot-state-management-plan.pdf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9278F4" id="Text Box 1690911418" o:spid="_x0000_s1080" type="#_x0000_t202" style="position:absolute;left:0;text-align:left;margin-left:350.95pt;margin-top:7.75pt;width:108.2pt;height:106.5pt;z-index:-251697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" fillcolor="#f7f7f7" stroked="f" strokeweight=".5pt">
                <v:shadow on="t" type="perspective" color="black" opacity="26214f" offset="0,0" matrix="66847f,,,66847f"/>
                <v:textbox>
                  <w:txbxContent>
                    <w:p w14:paraId="7B5131F4" w14:textId="77777777" w:rsidR="00C6444C" w:rsidRDefault="00C6444C" w:rsidP="00020D20">
                      <w:pPr>
                        <w:jc w:val="center"/>
                      </w:pPr>
                      <w:r>
                        <w:rPr>
                          <w:noProof/>
                        </w:rPr>
                        <w:drawing>
                          <wp:inline distT="0" distB="0" distL="0" distR="0" wp14:anchorId="280295AB" wp14:editId="1B351851">
                            <wp:extent cx="457200" cy="457200"/>
                            <wp:effectExtent l="0" t="0" r="0" b="0"/>
                            <wp:docPr id="1690912559" name="Picture 1690912559">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4F64D5B" w14:textId="480D8B32" w:rsidR="00C6444C" w:rsidRPr="005A6734" w:rsidRDefault="00C6444C" w:rsidP="00020D20">
                      <w:pPr>
                        <w:pStyle w:val="Calloutboxes"/>
                      </w:pPr>
                      <w:r w:rsidRPr="0052715B">
                        <w:t>ADOT Public Transportation</w:t>
                      </w:r>
                    </w:p>
                    <w:p w14:paraId="31B90DF8" w14:textId="4338558E" w:rsidR="00C6444C" w:rsidRPr="00E71AD9" w:rsidRDefault="00C6444C" w:rsidP="00020D20">
                      <w:pPr>
                        <w:pStyle w:val="Calloutboxes"/>
                      </w:pPr>
                      <w:r w:rsidRPr="00977A9B">
                        <w:t>State Management Plan</w:t>
                      </w:r>
                    </w:p>
                    <w:p w14:paraId="6336FD1A" w14:textId="73EB83B8" w:rsidR="00C6444C" w:rsidRPr="00020D20" w:rsidRDefault="00C6444C">
                      <w:pPr>
                        <w:pStyle w:val="Title"/>
                        <w:rPr>
                          <w:sz w:val="16"/>
                        </w:rPr>
                      </w:pPr>
                      <w:hyperlink r:id="rId202" w:history="1">
                        <w:r w:rsidRPr="00020D20">
                          <w:rPr>
                            <w:rStyle w:val="Hyperlink"/>
                            <w:rFonts w:ascii="Calibri" w:hAnsi="Calibri" w:cstheme="majorBidi"/>
                            <w:i/>
                            <w:color w:val="CE5B18"/>
                            <w:szCs w:val="56"/>
                            <w:u w:val="none"/>
                          </w:rPr>
                          <w:t>https://azdot.gov/sites/default/files/2019/05/2018-adot-state-management-plan.pdf</w:t>
                        </w:r>
                      </w:hyperlink>
                    </w:p>
                  </w:txbxContent>
                </v:textbox>
                <w10:wrap type="tight"/>
              </v:shape>
            </w:pict>
          </mc:Fallback>
        </mc:AlternateContent>
      </w:r>
      <w:r w:rsidR="00926E3D" w:rsidRPr="007C10A1">
        <w:t>Arizona State Airports System Plan</w:t>
      </w:r>
      <w:bookmarkEnd w:id="63"/>
    </w:p>
    <w:p w14:paraId="26C48E4E" w14:textId="2D348660" w:rsidR="00926E3D" w:rsidRPr="00926E3D" w:rsidRDefault="00AF6C09" w:rsidP="00020D20">
      <w:pPr>
        <w:jc w:val="both"/>
        <w:rPr>
          <w:rFonts w:cstheme="minorHAnsi"/>
        </w:rPr>
      </w:pPr>
      <w:r>
        <w:rPr>
          <w:rFonts w:cstheme="minorHAnsi"/>
        </w:rPr>
        <w:t>Within ADOT MPD, t</w:t>
      </w:r>
      <w:r w:rsidR="00926E3D" w:rsidRPr="00926E3D">
        <w:rPr>
          <w:rFonts w:cstheme="minorHAnsi"/>
        </w:rPr>
        <w:t xml:space="preserve">he </w:t>
      </w:r>
      <w:r w:rsidR="00926E3D" w:rsidRPr="007C10A1">
        <w:rPr>
          <w:rStyle w:val="Heading5Char"/>
        </w:rPr>
        <w:t xml:space="preserve">ADOT Aeronautics </w:t>
      </w:r>
      <w:r>
        <w:rPr>
          <w:rStyle w:val="Heading5Char"/>
        </w:rPr>
        <w:t>Group</w:t>
      </w:r>
      <w:r w:rsidR="00926E3D" w:rsidRPr="00926E3D">
        <w:rPr>
          <w:rFonts w:cstheme="minorHAnsi"/>
        </w:rPr>
        <w:t xml:space="preserve"> (Aeronautics) has long recognized the importance of planning as a proactive approach to ensuring aviation continues its role in the statewide transportation system. </w:t>
      </w:r>
      <w:hyperlink r:id="rId203" w:history="1">
        <w:r w:rsidR="00926E3D" w:rsidRPr="005644A1">
          <w:rPr>
            <w:rStyle w:val="TitleChar"/>
          </w:rPr>
          <w:t xml:space="preserve">The </w:t>
        </w:r>
        <w:r w:rsidR="005644A1" w:rsidRPr="005644A1">
          <w:rPr>
            <w:rStyle w:val="TitleChar"/>
          </w:rPr>
          <w:t xml:space="preserve">Arizona </w:t>
        </w:r>
        <w:r w:rsidR="00926E3D" w:rsidRPr="005644A1">
          <w:rPr>
            <w:rStyle w:val="TitleChar"/>
          </w:rPr>
          <w:t>State A</w:t>
        </w:r>
        <w:r w:rsidR="005644A1" w:rsidRPr="005644A1">
          <w:rPr>
            <w:rStyle w:val="TitleChar"/>
          </w:rPr>
          <w:t>viation</w:t>
        </w:r>
        <w:r w:rsidR="00926E3D" w:rsidRPr="005644A1">
          <w:rPr>
            <w:rStyle w:val="TitleChar"/>
          </w:rPr>
          <w:t xml:space="preserve"> System Plan</w:t>
        </w:r>
      </w:hyperlink>
      <w:r w:rsidR="00926E3D" w:rsidRPr="00926E3D">
        <w:rPr>
          <w:rFonts w:cstheme="minorHAnsi"/>
        </w:rPr>
        <w:t xml:space="preserve"> (SASP) for Arizona was first developed in 1978. Since then, Aeronautics has diligently updated various components of the system plan, conducting various elements of a </w:t>
      </w:r>
      <w:r w:rsidR="00926E3D" w:rsidRPr="007C10A1">
        <w:rPr>
          <w:rStyle w:val="Heading5Char"/>
        </w:rPr>
        <w:t>Continuous Airport System Planning Process</w:t>
      </w:r>
      <w:r w:rsidR="00926E3D" w:rsidRPr="00926E3D">
        <w:rPr>
          <w:rFonts w:cstheme="minorHAnsi"/>
        </w:rPr>
        <w:t xml:space="preserve"> (CASPP). These components include the </w:t>
      </w:r>
      <w:r w:rsidR="00926E3D" w:rsidRPr="007C10A1">
        <w:rPr>
          <w:rStyle w:val="Heading5Char"/>
        </w:rPr>
        <w:t>State Aviation Needs Study</w:t>
      </w:r>
      <w:r w:rsidR="00926E3D" w:rsidRPr="00926E3D">
        <w:rPr>
          <w:rFonts w:cstheme="minorHAnsi"/>
        </w:rPr>
        <w:t xml:space="preserve"> (SANS), economic impact studies, the Arizona Rural Air Service Study, the Navigational Aids and Aviation Services Study, recreational airport studies, and other special studies.</w:t>
      </w:r>
    </w:p>
    <w:p w14:paraId="5D9402F4" w14:textId="38172F57" w:rsidR="00926E3D" w:rsidRPr="00926E3D" w:rsidRDefault="005304F8" w:rsidP="00020D20">
      <w:pPr>
        <w:jc w:val="both"/>
        <w:rPr>
          <w:rFonts w:cstheme="minorHAnsi"/>
          <w:b/>
        </w:rPr>
      </w:pPr>
      <w:r>
        <w:rPr>
          <w:rFonts w:cstheme="minorHAnsi"/>
          <w:noProof/>
        </w:rPr>
        <mc:AlternateContent>
          <mc:Choice Requires="wps">
            <w:drawing>
              <wp:anchor distT="0" distB="0" distL="114300" distR="114300" simplePos="0" relativeHeight="251618482" behindDoc="1" locked="0" layoutInCell="1" allowOverlap="1" wp14:anchorId="707C5A96" wp14:editId="0145F018">
                <wp:simplePos x="0" y="0"/>
                <wp:positionH relativeFrom="column">
                  <wp:posOffset>1352550</wp:posOffset>
                </wp:positionH>
                <wp:positionV relativeFrom="paragraph">
                  <wp:posOffset>1061085</wp:posOffset>
                </wp:positionV>
                <wp:extent cx="1374140" cy="1143000"/>
                <wp:effectExtent l="95250" t="76200" r="92710" b="76200"/>
                <wp:wrapTight wrapText="bothSides">
                  <wp:wrapPolygon edited="0">
                    <wp:start x="-898" y="-1440"/>
                    <wp:lineTo x="-1497" y="-1080"/>
                    <wp:lineTo x="-1198" y="22680"/>
                    <wp:lineTo x="22458" y="22680"/>
                    <wp:lineTo x="22758" y="4680"/>
                    <wp:lineTo x="22159" y="-720"/>
                    <wp:lineTo x="22159" y="-1440"/>
                    <wp:lineTo x="-898" y="-1440"/>
                  </wp:wrapPolygon>
                </wp:wrapTight>
                <wp:docPr id="816286084" name="Text Box 816286084"/>
                <wp:cNvGraphicFramePr/>
                <a:graphic xmlns:a="http://schemas.openxmlformats.org/drawingml/2006/main">
                  <a:graphicData uri="http://schemas.microsoft.com/office/word/2010/wordprocessingShape">
                    <wps:wsp>
                      <wps:cNvSpPr txBox="1"/>
                      <wps:spPr>
                        <a:xfrm>
                          <a:off x="0" y="0"/>
                          <a:ext cx="137414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7BB6CF6" w14:textId="77777777" w:rsidR="00C6444C" w:rsidRDefault="00C6444C" w:rsidP="00020D20">
                            <w:pPr>
                              <w:jc w:val="center"/>
                            </w:pPr>
                            <w:r>
                              <w:rPr>
                                <w:noProof/>
                              </w:rPr>
                              <w:drawing>
                                <wp:inline distT="0" distB="0" distL="0" distR="0" wp14:anchorId="27DD1F0F" wp14:editId="68FD4283">
                                  <wp:extent cx="457200" cy="457200"/>
                                  <wp:effectExtent l="0" t="0" r="0" b="0"/>
                                  <wp:docPr id="1690912560" name="Picture 169091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C4FE0FF" w14:textId="44AA768A" w:rsidR="00C6444C" w:rsidRPr="00954116" w:rsidRDefault="00C6444C" w:rsidP="00020D20">
                            <w:pPr>
                              <w:pStyle w:val="Calloutboxes"/>
                            </w:pPr>
                            <w:r w:rsidRPr="00394A74">
                              <w:t>Cross reference chapter 16, “Aeronautics” for further information on the SASP.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7C5A96" id="Text Box 816286084" o:spid="_x0000_s1081" type="#_x0000_t202" style="position:absolute;left:0;text-align:left;margin-left:106.5pt;margin-top:83.55pt;width:108.2pt;height:90pt;z-index:-251697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" fillcolor="#f7f7f7" stroked="f" strokeweight=".5pt">
                <v:shadow on="t" type="perspective" color="black" opacity="26214f" offset="0,0" matrix="66847f,,,66847f"/>
                <v:textbox>
                  <w:txbxContent>
                    <w:p w14:paraId="27BB6CF6" w14:textId="77777777" w:rsidR="00C6444C" w:rsidRDefault="00C6444C" w:rsidP="00020D20">
                      <w:pPr>
                        <w:jc w:val="center"/>
                      </w:pPr>
                      <w:r>
                        <w:rPr>
                          <w:noProof/>
                        </w:rPr>
                        <w:drawing>
                          <wp:inline distT="0" distB="0" distL="0" distR="0" wp14:anchorId="27DD1F0F" wp14:editId="68FD4283">
                            <wp:extent cx="457200" cy="457200"/>
                            <wp:effectExtent l="0" t="0" r="0" b="0"/>
                            <wp:docPr id="1690912560" name="Picture 169091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C4FE0FF" w14:textId="44AA768A" w:rsidR="00C6444C" w:rsidRPr="00954116" w:rsidRDefault="00C6444C" w:rsidP="00020D20">
                      <w:pPr>
                        <w:pStyle w:val="Calloutboxes"/>
                      </w:pPr>
                      <w:r w:rsidRPr="00394A74">
                        <w:t>Cross reference chapter 16, “Aeronautics” for further information on the SASP.</w:t>
                      </w:r>
                    </w:p>
                  </w:txbxContent>
                </v:textbox>
                <w10:wrap type="tight"/>
              </v:shape>
            </w:pict>
          </mc:Fallback>
        </mc:AlternateContent>
      </w:r>
      <w:r w:rsidR="00926E3D" w:rsidRPr="00926E3D">
        <w:rPr>
          <w:rFonts w:cstheme="minorHAnsi"/>
        </w:rPr>
        <w:t>The 2008 Arizona SASP is a comprehensive update to the 1978 study. The purpose of this plan is to provide a framework for the integrated planning, operation, and development of Arizona’s aviation assets. This plan enables Aeronautics to remain current with industry trends and to determine how Arizona’s airports can be optimally positioned to respond to future aviating needs and challenges.</w:t>
      </w:r>
      <w:r w:rsidR="00926E3D">
        <w:rPr>
          <w:rFonts w:cstheme="minorHAnsi"/>
        </w:rPr>
        <w:t xml:space="preserve"> </w:t>
      </w:r>
    </w:p>
    <w:p w14:paraId="12422276" w14:textId="00D6EADA" w:rsidR="00926E3D" w:rsidRPr="00926E3D" w:rsidRDefault="00926E3D" w:rsidP="00020D20">
      <w:pPr>
        <w:pStyle w:val="Heading3"/>
        <w:jc w:val="both"/>
      </w:pPr>
      <w:bookmarkStart w:id="64" w:name="_Ref50025475"/>
      <w:r w:rsidRPr="00926E3D">
        <w:t xml:space="preserve">2.1.4 | </w:t>
      </w:r>
      <w:r w:rsidR="00762FAF">
        <w:t>T</w:t>
      </w:r>
      <w:r w:rsidRPr="00926E3D">
        <w:t>ransit Programs Grants</w:t>
      </w:r>
      <w:bookmarkEnd w:id="64"/>
      <w:r w:rsidRPr="00926E3D">
        <w:t xml:space="preserve"> </w:t>
      </w:r>
    </w:p>
    <w:p w14:paraId="1BEDB65D" w14:textId="07F59368" w:rsidR="00926E3D" w:rsidRPr="00926E3D" w:rsidRDefault="00926E3D" w:rsidP="00020D20">
      <w:pPr>
        <w:jc w:val="both"/>
        <w:rPr>
          <w:rFonts w:cstheme="minorHAnsi"/>
        </w:rPr>
      </w:pPr>
      <w:r w:rsidRPr="00926E3D">
        <w:rPr>
          <w:rFonts w:cstheme="minorHAnsi"/>
        </w:rPr>
        <w:t xml:space="preserve">The role of the </w:t>
      </w:r>
      <w:hyperlink r:id="rId204" w:history="1">
        <w:r w:rsidRPr="005644A1">
          <w:rPr>
            <w:rStyle w:val="TitleChar"/>
          </w:rPr>
          <w:t xml:space="preserve">Transit Programs &amp; Grants section </w:t>
        </w:r>
      </w:hyperlink>
      <w:r w:rsidRPr="00926E3D">
        <w:rPr>
          <w:rFonts w:cstheme="minorHAnsi"/>
        </w:rPr>
        <w:t xml:space="preserve">within the ADOT MPD is to ensure a multi-modal approach to mobility, congestion, and air quality issues throughout the state. Transit Programs &amp; Grants staff administers several FTA grant programs, provides technical assistance and expertise to local transit agencies and decision makers, coordinates and funds state transit and rail planning efforts, and sets and monitors light rail system safety standards. The Transit Programs &amp; Grants section staff is responsible for producing the </w:t>
      </w:r>
      <w:hyperlink r:id="rId205" w:history="1">
        <w:r w:rsidRPr="005644A1">
          <w:rPr>
            <w:rStyle w:val="TitleChar"/>
          </w:rPr>
          <w:t>Public Transportation State Management Plan</w:t>
        </w:r>
      </w:hyperlink>
      <w:r w:rsidRPr="00926E3D">
        <w:rPr>
          <w:rFonts w:cstheme="minorHAnsi"/>
        </w:rPr>
        <w:t xml:space="preserve">. Through these efforts, the Transit Programs &amp; Grants staff is dedicated to working with their partners to create better communities by identifying and providing options for </w:t>
      </w:r>
      <w:r w:rsidR="00F72488">
        <w:rPr>
          <w:rFonts w:cstheme="minorHAnsi"/>
          <w:noProof/>
        </w:rPr>
        <mc:AlternateContent>
          <mc:Choice Requires="wps">
            <w:drawing>
              <wp:anchor distT="0" distB="0" distL="114300" distR="114300" simplePos="0" relativeHeight="251618483" behindDoc="1" locked="0" layoutInCell="1" allowOverlap="1" wp14:anchorId="75E0BC67" wp14:editId="731871A0">
                <wp:simplePos x="0" y="0"/>
                <wp:positionH relativeFrom="column">
                  <wp:posOffset>47625</wp:posOffset>
                </wp:positionH>
                <wp:positionV relativeFrom="paragraph">
                  <wp:posOffset>95250</wp:posOffset>
                </wp:positionV>
                <wp:extent cx="1374140" cy="1352550"/>
                <wp:effectExtent l="95250" t="95250" r="92710" b="95250"/>
                <wp:wrapTight wrapText="bothSides">
                  <wp:wrapPolygon edited="0">
                    <wp:start x="-898" y="-1521"/>
                    <wp:lineTo x="-1497" y="-913"/>
                    <wp:lineTo x="-1198" y="22817"/>
                    <wp:lineTo x="22458" y="22817"/>
                    <wp:lineTo x="22758" y="3955"/>
                    <wp:lineTo x="22159" y="-608"/>
                    <wp:lineTo x="22159" y="-1521"/>
                    <wp:lineTo x="-898" y="-1521"/>
                  </wp:wrapPolygon>
                </wp:wrapTight>
                <wp:docPr id="816286130" name="Text Box 816286130"/>
                <wp:cNvGraphicFramePr/>
                <a:graphic xmlns:a="http://schemas.openxmlformats.org/drawingml/2006/main">
                  <a:graphicData uri="http://schemas.microsoft.com/office/word/2010/wordprocessingShape">
                    <wps:wsp>
                      <wps:cNvSpPr txBox="1"/>
                      <wps:spPr>
                        <a:xfrm>
                          <a:off x="0" y="0"/>
                          <a:ext cx="1374140" cy="13525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C92554A" w14:textId="77777777" w:rsidR="00C6444C" w:rsidRDefault="00C6444C" w:rsidP="00020D20">
                            <w:pPr>
                              <w:jc w:val="center"/>
                            </w:pPr>
                            <w:r>
                              <w:rPr>
                                <w:noProof/>
                              </w:rPr>
                              <w:drawing>
                                <wp:inline distT="0" distB="0" distL="0" distR="0" wp14:anchorId="61DE865D" wp14:editId="30D57860">
                                  <wp:extent cx="457200" cy="457200"/>
                                  <wp:effectExtent l="0" t="0" r="0" b="0"/>
                                  <wp:docPr id="1690912561" name="Picture 169091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4DEC955" w14:textId="7EB04C75" w:rsidR="00C6444C" w:rsidRPr="0052715B" w:rsidRDefault="00C6444C" w:rsidP="00020D20">
                            <w:pPr>
                              <w:pStyle w:val="Calloutboxes"/>
                            </w:pPr>
                            <w:r w:rsidRPr="00394A74">
                              <w:t xml:space="preserve">Cross reference chapter 14, “Transit” </w:t>
                            </w:r>
                            <w:r w:rsidRPr="00954116">
                              <w:t>for more information on Section 5310, 5311 and other FTA grant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E0BC67" id="Text Box 816286130" o:spid="_x0000_s1082" type="#_x0000_t202" style="position:absolute;left:0;text-align:left;margin-left:3.75pt;margin-top:7.5pt;width:108.2pt;height:106.5pt;z-index:-2516979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" fillcolor="#f7f7f7" stroked="f" strokeweight=".5pt">
                <v:shadow on="t" type="perspective" color="black" opacity="26214f" offset="0,0" matrix="66847f,,,66847f"/>
                <v:textbox>
                  <w:txbxContent>
                    <w:p w14:paraId="1C92554A" w14:textId="77777777" w:rsidR="00C6444C" w:rsidRDefault="00C6444C" w:rsidP="00020D20">
                      <w:pPr>
                        <w:jc w:val="center"/>
                      </w:pPr>
                      <w:r>
                        <w:rPr>
                          <w:noProof/>
                        </w:rPr>
                        <w:drawing>
                          <wp:inline distT="0" distB="0" distL="0" distR="0" wp14:anchorId="61DE865D" wp14:editId="30D57860">
                            <wp:extent cx="457200" cy="457200"/>
                            <wp:effectExtent l="0" t="0" r="0" b="0"/>
                            <wp:docPr id="1690912561" name="Picture 169091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4DEC955" w14:textId="7EB04C75" w:rsidR="00C6444C" w:rsidRPr="0052715B" w:rsidRDefault="00C6444C" w:rsidP="00020D20">
                      <w:pPr>
                        <w:pStyle w:val="Calloutboxes"/>
                      </w:pPr>
                      <w:r w:rsidRPr="00394A74">
                        <w:t xml:space="preserve">Cross reference chapter 14, “Transit” </w:t>
                      </w:r>
                      <w:r w:rsidRPr="00954116">
                        <w:t>for more information on Section 5310, 5311 and other FTA grant programs.</w:t>
                      </w:r>
                    </w:p>
                  </w:txbxContent>
                </v:textbox>
                <w10:wrap type="tight"/>
              </v:shape>
            </w:pict>
          </mc:Fallback>
        </mc:AlternateContent>
      </w:r>
      <w:r w:rsidRPr="00926E3D">
        <w:rPr>
          <w:rFonts w:cstheme="minorHAnsi"/>
        </w:rPr>
        <w:t>safe and reliable public transportation. Chapter 14</w:t>
      </w:r>
      <w:r>
        <w:rPr>
          <w:rFonts w:cstheme="minorHAnsi"/>
        </w:rPr>
        <w:t xml:space="preserve"> </w:t>
      </w:r>
      <w:r w:rsidRPr="00926E3D">
        <w:rPr>
          <w:rFonts w:cstheme="minorHAnsi"/>
        </w:rPr>
        <w:t>has detailed information regarding the transit programs in Arizona that are coordinated through ADOT, the MPOs and COGs.</w:t>
      </w:r>
    </w:p>
    <w:p w14:paraId="23B50270" w14:textId="77777777" w:rsidR="00926E3D" w:rsidRPr="007C10A1" w:rsidRDefault="00926E3D" w:rsidP="00020D20">
      <w:pPr>
        <w:pStyle w:val="SubHeading3"/>
        <w:jc w:val="both"/>
      </w:pPr>
      <w:bookmarkStart w:id="65" w:name="_Ref50026700"/>
      <w:r w:rsidRPr="007C10A1">
        <w:t>Rail Transit State Safety Oversight Program</w:t>
      </w:r>
      <w:bookmarkEnd w:id="65"/>
    </w:p>
    <w:p w14:paraId="722B4F56" w14:textId="0044F990" w:rsidR="00926E3D" w:rsidRPr="00926E3D" w:rsidRDefault="00926E3D" w:rsidP="00020D20">
      <w:pPr>
        <w:jc w:val="both"/>
        <w:rPr>
          <w:rFonts w:cstheme="minorHAnsi"/>
        </w:rPr>
      </w:pPr>
      <w:r w:rsidRPr="00926E3D">
        <w:rPr>
          <w:rFonts w:cstheme="minorHAnsi"/>
        </w:rPr>
        <w:t xml:space="preserve">ADOT is the designated state safety oversight agency in Arizona and is required to perform several distinct functions. The core activities mandated by </w:t>
      </w:r>
      <w:r w:rsidRPr="005644A1">
        <w:t>FTA’s</w:t>
      </w:r>
      <w:r w:rsidRPr="007B6EEE">
        <w:rPr>
          <w:rStyle w:val="TitleChar"/>
        </w:rPr>
        <w:t xml:space="preserve"> </w:t>
      </w:r>
      <w:hyperlink r:id="rId206" w:history="1">
        <w:r w:rsidRPr="005644A1">
          <w:rPr>
            <w:rStyle w:val="TitleChar"/>
          </w:rPr>
          <w:t>State Safety Oversight Rule</w:t>
        </w:r>
      </w:hyperlink>
      <w:r w:rsidRPr="007B6EEE">
        <w:rPr>
          <w:rStyle w:val="TitleChar"/>
        </w:rPr>
        <w:t xml:space="preserve"> </w:t>
      </w:r>
      <w:r w:rsidRPr="00926E3D">
        <w:rPr>
          <w:rFonts w:cstheme="minorHAnsi"/>
        </w:rPr>
        <w:t>include but are not limited to the following:</w:t>
      </w:r>
    </w:p>
    <w:p w14:paraId="028F8F7B" w14:textId="77777777" w:rsidR="00926E3D" w:rsidRPr="007C10A1" w:rsidRDefault="00926E3D" w:rsidP="00020D20">
      <w:pPr>
        <w:pStyle w:val="Body-Bullets"/>
        <w:jc w:val="both"/>
      </w:pPr>
      <w:r w:rsidRPr="007C10A1">
        <w:t>develop a System Safety Program Standard;</w:t>
      </w:r>
    </w:p>
    <w:p w14:paraId="58801143" w14:textId="4E2901FA" w:rsidR="00926E3D" w:rsidRPr="007C10A1" w:rsidRDefault="00926E3D" w:rsidP="00020D20">
      <w:pPr>
        <w:pStyle w:val="Body-Bullets"/>
        <w:jc w:val="both"/>
      </w:pPr>
      <w:r w:rsidRPr="007C10A1">
        <w:t>develop a System Safety Program Plan (SSPP);</w:t>
      </w:r>
    </w:p>
    <w:p w14:paraId="44231E4B" w14:textId="3EE6374B" w:rsidR="00926E3D" w:rsidRPr="007C10A1" w:rsidRDefault="00926E3D" w:rsidP="00020D20">
      <w:pPr>
        <w:pStyle w:val="Body-Bullets"/>
        <w:jc w:val="both"/>
      </w:pPr>
      <w:r w:rsidRPr="007C10A1">
        <w:t>develop accident and unacceptable hazardous notification, investigation, and reporting;</w:t>
      </w:r>
    </w:p>
    <w:p w14:paraId="124E03C2" w14:textId="5C32078D" w:rsidR="00926E3D" w:rsidRPr="007C10A1" w:rsidRDefault="00926E3D" w:rsidP="00020D20">
      <w:pPr>
        <w:pStyle w:val="Body-Bullets"/>
        <w:jc w:val="both"/>
      </w:pPr>
      <w:r w:rsidRPr="007C10A1">
        <w:t>require the rail transit system to implement a Corrective Action Plan</w:t>
      </w:r>
      <w:r w:rsidR="00B85AA9">
        <w:t xml:space="preserve"> (CAP)</w:t>
      </w:r>
      <w:r w:rsidRPr="007C10A1">
        <w:t xml:space="preserve">; </w:t>
      </w:r>
    </w:p>
    <w:p w14:paraId="55F2DB27" w14:textId="50E10A21" w:rsidR="00926E3D" w:rsidRPr="007C10A1" w:rsidRDefault="00926E3D" w:rsidP="00020D20">
      <w:pPr>
        <w:pStyle w:val="Body-Bullets"/>
        <w:jc w:val="both"/>
      </w:pPr>
      <w:r w:rsidRPr="007C10A1">
        <w:t>conduct a Three-Year On-Site Safety and Security Review;</w:t>
      </w:r>
    </w:p>
    <w:p w14:paraId="60CE516A" w14:textId="77777777" w:rsidR="00926E3D" w:rsidRPr="007C10A1" w:rsidRDefault="00926E3D" w:rsidP="00020D20">
      <w:pPr>
        <w:pStyle w:val="Body-Bullets"/>
        <w:jc w:val="both"/>
      </w:pPr>
      <w:r w:rsidRPr="007C10A1">
        <w:t>develop Internal Safety and Security Audit Program; and</w:t>
      </w:r>
    </w:p>
    <w:p w14:paraId="66163F13" w14:textId="77777777" w:rsidR="00926E3D" w:rsidRPr="007C10A1" w:rsidRDefault="00926E3D" w:rsidP="00020D20">
      <w:pPr>
        <w:pStyle w:val="Body-Bullets"/>
        <w:jc w:val="both"/>
      </w:pPr>
      <w:r w:rsidRPr="007C10A1">
        <w:t>develop annual submission/annual certification.</w:t>
      </w:r>
    </w:p>
    <w:p w14:paraId="7E7EA77F" w14:textId="77777777" w:rsidR="00926E3D" w:rsidRPr="00926E3D" w:rsidRDefault="00926E3D" w:rsidP="00020D20">
      <w:pPr>
        <w:pStyle w:val="Heading3"/>
        <w:jc w:val="both"/>
      </w:pPr>
      <w:bookmarkStart w:id="66" w:name="_Ref50025481"/>
      <w:r w:rsidRPr="00926E3D">
        <w:t>2.1.5 | Data Management &amp; Analysis</w:t>
      </w:r>
      <w:bookmarkEnd w:id="66"/>
    </w:p>
    <w:p w14:paraId="6E8FD74F" w14:textId="6334E726" w:rsidR="007C10A1" w:rsidRPr="008B629B" w:rsidRDefault="00926E3D" w:rsidP="00020D20">
      <w:pPr>
        <w:pStyle w:val="SubHeading3"/>
        <w:jc w:val="both"/>
      </w:pPr>
      <w:bookmarkStart w:id="67" w:name="_Ref50026707"/>
      <w:r w:rsidRPr="008B629B">
        <w:t>Data Collection &amp; Analysis</w:t>
      </w:r>
      <w:bookmarkEnd w:id="67"/>
    </w:p>
    <w:p w14:paraId="14E5B83E" w14:textId="15DDB14E" w:rsidR="00926E3D" w:rsidRPr="00926E3D" w:rsidRDefault="00926E3D" w:rsidP="00020D20">
      <w:pPr>
        <w:jc w:val="both"/>
        <w:rPr>
          <w:rFonts w:cstheme="minorHAnsi"/>
        </w:rPr>
      </w:pPr>
      <w:r w:rsidRPr="00926E3D">
        <w:rPr>
          <w:rFonts w:cstheme="minorHAnsi"/>
        </w:rPr>
        <w:t>The ADOT MPD</w:t>
      </w:r>
      <w:hyperlink r:id="rId207" w:history="1">
        <w:r w:rsidRPr="005644A1">
          <w:rPr>
            <w:rStyle w:val="TitleChar"/>
          </w:rPr>
          <w:t xml:space="preserve"> Roadway Inventory Management Section</w:t>
        </w:r>
      </w:hyperlink>
      <w:r w:rsidRPr="007B6EEE">
        <w:rPr>
          <w:rStyle w:val="TitleChar"/>
        </w:rPr>
        <w:t xml:space="preserve"> </w:t>
      </w:r>
      <w:r w:rsidRPr="00926E3D">
        <w:rPr>
          <w:rFonts w:cstheme="minorHAnsi"/>
        </w:rPr>
        <w:t xml:space="preserve">(RIMS) is responsible for collecting, producing, and maintaining a wide array of highway extent, use, and performance information regarding Arizona’s public road and street network. Primarily focusing on the centerline miles of the state highway system, the principal charges of RIMS are to collect and disseminate traffic volume data, maintain related traffic monitoring equipment, perform photo highway inventories, collect global positioning system (GPS) data, and maintain an annual log of length and geometric information on each state highway as a result of completed construction projects. In order to accomplish these tasks, the RIMS section relies heavily on support from MPOs, COGs, tribal, county and municipal agencies. </w:t>
      </w:r>
    </w:p>
    <w:p w14:paraId="4BD9CD28" w14:textId="163DB588" w:rsidR="00926E3D" w:rsidRPr="00926E3D" w:rsidRDefault="00E465D2" w:rsidP="00020D20">
      <w:pPr>
        <w:jc w:val="both"/>
        <w:rPr>
          <w:rFonts w:cstheme="minorHAnsi"/>
        </w:rPr>
      </w:pPr>
      <w:r>
        <w:rPr>
          <w:rFonts w:cstheme="minorHAnsi"/>
          <w:noProof/>
        </w:rPr>
        <mc:AlternateContent>
          <mc:Choice Requires="wps">
            <w:drawing>
              <wp:anchor distT="0" distB="0" distL="114300" distR="114300" simplePos="0" relativeHeight="251618484" behindDoc="1" locked="0" layoutInCell="1" allowOverlap="1" wp14:anchorId="62530ADA" wp14:editId="0BCC0E13">
                <wp:simplePos x="0" y="0"/>
                <wp:positionH relativeFrom="column">
                  <wp:posOffset>1371600</wp:posOffset>
                </wp:positionH>
                <wp:positionV relativeFrom="paragraph">
                  <wp:posOffset>1430965</wp:posOffset>
                </wp:positionV>
                <wp:extent cx="1374140" cy="1485900"/>
                <wp:effectExtent l="76200" t="95250" r="73660" b="95250"/>
                <wp:wrapTight wrapText="bothSides">
                  <wp:wrapPolygon edited="0">
                    <wp:start x="-1198" y="-1385"/>
                    <wp:lineTo x="-1198" y="22708"/>
                    <wp:lineTo x="22458" y="22708"/>
                    <wp:lineTo x="22458" y="-1385"/>
                    <wp:lineTo x="-1198" y="-1385"/>
                  </wp:wrapPolygon>
                </wp:wrapTight>
                <wp:docPr id="816286196" name="Text Box 816286196"/>
                <wp:cNvGraphicFramePr/>
                <a:graphic xmlns:a="http://schemas.openxmlformats.org/drawingml/2006/main">
                  <a:graphicData uri="http://schemas.microsoft.com/office/word/2010/wordprocessingShape">
                    <wps:wsp>
                      <wps:cNvSpPr txBox="1"/>
                      <wps:spPr>
                        <a:xfrm>
                          <a:off x="0" y="0"/>
                          <a:ext cx="137414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032F508" w14:textId="77777777" w:rsidR="00C6444C" w:rsidRDefault="00C6444C" w:rsidP="00020D20">
                            <w:pPr>
                              <w:jc w:val="center"/>
                            </w:pPr>
                            <w:r>
                              <w:rPr>
                                <w:noProof/>
                              </w:rPr>
                              <w:drawing>
                                <wp:inline distT="0" distB="0" distL="0" distR="0" wp14:anchorId="19C376D5" wp14:editId="7AB2846B">
                                  <wp:extent cx="457200" cy="457200"/>
                                  <wp:effectExtent l="0" t="0" r="0" b="0"/>
                                  <wp:docPr id="1690912596" name="Picture 169091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DEEFA91" w14:textId="7BB4C731" w:rsidR="00C6444C" w:rsidRPr="0052715B" w:rsidRDefault="00C6444C" w:rsidP="00020D20">
                            <w:pPr>
                              <w:pStyle w:val="Calloutboxes"/>
                            </w:pPr>
                            <w:r w:rsidRPr="00394A74">
                              <w:t>Cross reference chapter 17.3, “Transportation Data &amp; Functional Classifications” for further information on</w:t>
                            </w:r>
                            <w:r w:rsidRPr="00954116">
                              <w:t xml:space="preserve"> Data Management &amp;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530ADA" id="Text Box 816286196" o:spid="_x0000_s1083" type="#_x0000_t202" style="position:absolute;left:0;text-align:left;margin-left:108pt;margin-top:112.65pt;width:108.2pt;height:117pt;z-index:-251697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" fillcolor="#f7f7f7" stroked="f" strokeweight=".5pt">
                <v:shadow on="t" type="perspective" color="black" opacity="26214f" offset="0,0" matrix="66847f,,,66847f"/>
                <v:textbox>
                  <w:txbxContent>
                    <w:p w14:paraId="3032F508" w14:textId="77777777" w:rsidR="00C6444C" w:rsidRDefault="00C6444C" w:rsidP="00020D20">
                      <w:pPr>
                        <w:jc w:val="center"/>
                      </w:pPr>
                      <w:r>
                        <w:rPr>
                          <w:noProof/>
                        </w:rPr>
                        <w:drawing>
                          <wp:inline distT="0" distB="0" distL="0" distR="0" wp14:anchorId="19C376D5" wp14:editId="7AB2846B">
                            <wp:extent cx="457200" cy="457200"/>
                            <wp:effectExtent l="0" t="0" r="0" b="0"/>
                            <wp:docPr id="1690912596" name="Picture 169091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DEEFA91" w14:textId="7BB4C731" w:rsidR="00C6444C" w:rsidRPr="0052715B" w:rsidRDefault="00C6444C" w:rsidP="00020D20">
                      <w:pPr>
                        <w:pStyle w:val="Calloutboxes"/>
                      </w:pPr>
                      <w:r w:rsidRPr="00394A74">
                        <w:t>Cross reference chapter 17.3, “Transportation Data &amp; Functional Classifications” for further information on</w:t>
                      </w:r>
                      <w:r w:rsidRPr="00954116">
                        <w:t xml:space="preserve"> Data Management &amp; Analysis.</w:t>
                      </w:r>
                    </w:p>
                  </w:txbxContent>
                </v:textbox>
                <w10:wrap type="tight"/>
              </v:shape>
            </w:pict>
          </mc:Fallback>
        </mc:AlternateContent>
      </w:r>
      <w:r w:rsidR="00926E3D" w:rsidRPr="00926E3D">
        <w:rPr>
          <w:rFonts w:cstheme="minorHAnsi"/>
        </w:rPr>
        <w:t>The section is also responsible for administering the FHWA’s</w:t>
      </w:r>
      <w:hyperlink r:id="rId208" w:history="1">
        <w:r w:rsidR="00926E3D" w:rsidRPr="00673F8A">
          <w:rPr>
            <w:rStyle w:val="TitleChar"/>
          </w:rPr>
          <w:t xml:space="preserve"> Highway Performance Monitoring System</w:t>
        </w:r>
      </w:hyperlink>
      <w:r w:rsidR="00926E3D" w:rsidRPr="00926E3D">
        <w:rPr>
          <w:rFonts w:cstheme="minorHAnsi"/>
        </w:rPr>
        <w:t xml:space="preserve"> (HPMS), a comprehensive source of information about vehicle mileage and travel estimates for all of Arizona’s public roads and streets. Data collected extensively by all COGs and MPOs is maintained in the HPMS database. Information collected by RIMS is used extensively in and out of the department to develop policies and support decisions related to public highway funding issues and private investment options. Products from the RIMS section include: </w:t>
      </w:r>
    </w:p>
    <w:p w14:paraId="7DA05EEE" w14:textId="427605EF" w:rsidR="00926E3D" w:rsidRPr="007C10A1" w:rsidRDefault="00926E3D" w:rsidP="00020D20">
      <w:pPr>
        <w:pStyle w:val="Body-Bullets"/>
        <w:jc w:val="both"/>
      </w:pPr>
      <w:r w:rsidRPr="007C10A1">
        <w:t>HPMS,</w:t>
      </w:r>
    </w:p>
    <w:p w14:paraId="0C66C3C7" w14:textId="1418A279" w:rsidR="00926E3D" w:rsidRPr="007C10A1" w:rsidRDefault="00926E3D" w:rsidP="00020D20">
      <w:pPr>
        <w:pStyle w:val="Body-Bullets"/>
        <w:jc w:val="both"/>
      </w:pPr>
      <w:r w:rsidRPr="007C10A1">
        <w:t>highway log,</w:t>
      </w:r>
    </w:p>
    <w:p w14:paraId="5D7171BF" w14:textId="23DF0C42" w:rsidR="00926E3D" w:rsidRPr="007C10A1" w:rsidRDefault="00926E3D" w:rsidP="00020D20">
      <w:pPr>
        <w:pStyle w:val="Body-Bullets"/>
        <w:jc w:val="both"/>
      </w:pPr>
      <w:r w:rsidRPr="007C10A1">
        <w:t xml:space="preserve">traffic counts, and </w:t>
      </w:r>
    </w:p>
    <w:p w14:paraId="64259F06" w14:textId="39BECD46" w:rsidR="00926E3D" w:rsidRPr="007C10A1" w:rsidRDefault="00926E3D" w:rsidP="00020D20">
      <w:pPr>
        <w:pStyle w:val="Body-Bullets"/>
        <w:jc w:val="both"/>
      </w:pPr>
      <w:r w:rsidRPr="007C10A1">
        <w:t>Transportation Data Management System (TDMS.)</w:t>
      </w:r>
    </w:p>
    <w:p w14:paraId="2F677A1E" w14:textId="2226605D" w:rsidR="00427117" w:rsidRDefault="00926E3D" w:rsidP="00020D20">
      <w:pPr>
        <w:pStyle w:val="SubHeading3"/>
        <w:jc w:val="both"/>
      </w:pPr>
      <w:bookmarkStart w:id="68" w:name="_Ref50026711"/>
      <w:r w:rsidRPr="008B629B">
        <w:t>Geographic Information Systems</w:t>
      </w:r>
      <w:bookmarkEnd w:id="68"/>
      <w:r w:rsidR="006C7B25">
        <w:t xml:space="preserve"> </w:t>
      </w:r>
    </w:p>
    <w:p w14:paraId="0882B70A" w14:textId="218CBE26" w:rsidR="00926E3D" w:rsidRPr="008B629B" w:rsidRDefault="00926E3D" w:rsidP="00020D20">
      <w:pPr>
        <w:jc w:val="both"/>
      </w:pPr>
      <w:r w:rsidRPr="008B629B">
        <w:t>ADOT GIS for Transportation Section (GIS-T)</w:t>
      </w:r>
    </w:p>
    <w:p w14:paraId="19B4ABB7" w14:textId="2FF6F07C" w:rsidR="00926E3D" w:rsidRPr="00926E3D" w:rsidRDefault="00926E3D" w:rsidP="00020D20">
      <w:pPr>
        <w:jc w:val="both"/>
        <w:rPr>
          <w:rFonts w:cstheme="minorHAnsi"/>
        </w:rPr>
      </w:pPr>
      <w:r w:rsidRPr="00926E3D">
        <w:rPr>
          <w:rFonts w:cstheme="minorHAnsi"/>
        </w:rPr>
        <w:t xml:space="preserve">GIS-T maintains the statewide street centerline GIS database and coordinates GIS issues for ADOT. The GIS database (also referred to as the </w:t>
      </w:r>
      <w:r w:rsidRPr="008B629B">
        <w:rPr>
          <w:rStyle w:val="Heading5Char"/>
        </w:rPr>
        <w:t xml:space="preserve">Arizona </w:t>
      </w:r>
      <w:r w:rsidR="00F72488">
        <w:rPr>
          <w:rStyle w:val="Heading5Char"/>
        </w:rPr>
        <w:t>T</w:t>
      </w:r>
      <w:r w:rsidRPr="008B629B">
        <w:rPr>
          <w:rStyle w:val="Heading5Char"/>
        </w:rPr>
        <w:t>ransportation Information System</w:t>
      </w:r>
      <w:r w:rsidRPr="00926E3D">
        <w:rPr>
          <w:rFonts w:cstheme="minorHAnsi"/>
        </w:rPr>
        <w:t>, or ATIS Roads) is the foundation for numerous state, MPO, COG and locally sponsored planning studies and programs.</w:t>
      </w:r>
    </w:p>
    <w:p w14:paraId="3D91C898" w14:textId="64DC043C" w:rsidR="008B629B" w:rsidRDefault="00F72488" w:rsidP="00020D20">
      <w:pPr>
        <w:jc w:val="both"/>
        <w:rPr>
          <w:rFonts w:cstheme="minorHAnsi"/>
        </w:rPr>
      </w:pPr>
      <w:r>
        <w:rPr>
          <w:rFonts w:cstheme="minorHAnsi"/>
          <w:noProof/>
        </w:rPr>
        <mc:AlternateContent>
          <mc:Choice Requires="wps">
            <w:drawing>
              <wp:anchor distT="0" distB="0" distL="114300" distR="114300" simplePos="0" relativeHeight="251618485" behindDoc="1" locked="0" layoutInCell="1" allowOverlap="1" wp14:anchorId="54721791" wp14:editId="2E44B32A">
                <wp:simplePos x="0" y="0"/>
                <wp:positionH relativeFrom="column">
                  <wp:posOffset>1421765</wp:posOffset>
                </wp:positionH>
                <wp:positionV relativeFrom="paragraph">
                  <wp:posOffset>123190</wp:posOffset>
                </wp:positionV>
                <wp:extent cx="1190625" cy="1247775"/>
                <wp:effectExtent l="76200" t="95250" r="85725" b="95250"/>
                <wp:wrapTight wrapText="bothSides">
                  <wp:wrapPolygon edited="0">
                    <wp:start x="-1037" y="-1543"/>
                    <wp:lineTo x="-1382" y="-926"/>
                    <wp:lineTo x="-1382" y="22834"/>
                    <wp:lineTo x="22810" y="22834"/>
                    <wp:lineTo x="22810" y="4011"/>
                    <wp:lineTo x="22464" y="-617"/>
                    <wp:lineTo x="22464" y="-1543"/>
                    <wp:lineTo x="-1037" y="-1543"/>
                  </wp:wrapPolygon>
                </wp:wrapTight>
                <wp:docPr id="816286243" name="Text Box 816286243"/>
                <wp:cNvGraphicFramePr/>
                <a:graphic xmlns:a="http://schemas.openxmlformats.org/drawingml/2006/main">
                  <a:graphicData uri="http://schemas.microsoft.com/office/word/2010/wordprocessingShape">
                    <wps:wsp>
                      <wps:cNvSpPr txBox="1"/>
                      <wps:spPr>
                        <a:xfrm>
                          <a:off x="0" y="0"/>
                          <a:ext cx="1190625" cy="12477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6611CF1" w14:textId="77777777" w:rsidR="00C6444C" w:rsidRDefault="00C6444C" w:rsidP="00020D20">
                            <w:pPr>
                              <w:jc w:val="center"/>
                            </w:pPr>
                            <w:r>
                              <w:rPr>
                                <w:noProof/>
                              </w:rPr>
                              <w:drawing>
                                <wp:inline distT="0" distB="0" distL="0" distR="0" wp14:anchorId="3D58157A" wp14:editId="245B9C20">
                                  <wp:extent cx="457200" cy="457200"/>
                                  <wp:effectExtent l="0" t="0" r="0" b="0"/>
                                  <wp:docPr id="1690912599" name="Picture 169091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6A0190D" w14:textId="305D5BE1" w:rsidR="00C6444C" w:rsidRDefault="00C6444C" w:rsidP="00020D20">
                            <w:pPr>
                              <w:pStyle w:val="Calloutboxes"/>
                            </w:pPr>
                            <w:r>
                              <w:t>ADOT Geographic Information Systems for Transportation (GIS-T):</w:t>
                            </w:r>
                          </w:p>
                          <w:p w14:paraId="59C48CB3" w14:textId="15162435" w:rsidR="00C6444C" w:rsidRPr="00020D20" w:rsidRDefault="00202C92" w:rsidP="00020D20">
                            <w:pPr>
                              <w:pStyle w:val="Title"/>
                            </w:pPr>
                            <w:hyperlink r:id="rId209" w:history="1">
                              <w:r w:rsidR="00C6444C" w:rsidRPr="00020D20">
                                <w:rPr>
                                  <w:sz w:val="16"/>
                                  <w:szCs w:val="16"/>
                                </w:rPr>
                                <w:t>https://azdot.gov/maps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721791" id="Text Box 816286243" o:spid="_x0000_s1084" type="#_x0000_t202" style="position:absolute;left:0;text-align:left;margin-left:111.95pt;margin-top:9.7pt;width:93.75pt;height:98.25pt;z-index:-251697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" fillcolor="#f7f7f7" stroked="f" strokeweight=".5pt">
                <v:shadow on="t" type="perspective" color="black" opacity="26214f" offset="0,0" matrix="66847f,,,66847f"/>
                <v:textbox>
                  <w:txbxContent>
                    <w:p w14:paraId="46611CF1" w14:textId="77777777" w:rsidR="00C6444C" w:rsidRDefault="00C6444C" w:rsidP="00020D20">
                      <w:pPr>
                        <w:jc w:val="center"/>
                      </w:pPr>
                      <w:r>
                        <w:rPr>
                          <w:noProof/>
                        </w:rPr>
                        <w:drawing>
                          <wp:inline distT="0" distB="0" distL="0" distR="0" wp14:anchorId="3D58157A" wp14:editId="245B9C20">
                            <wp:extent cx="457200" cy="457200"/>
                            <wp:effectExtent l="0" t="0" r="0" b="0"/>
                            <wp:docPr id="1690912599" name="Picture 169091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6A0190D" w14:textId="305D5BE1" w:rsidR="00C6444C" w:rsidRDefault="00C6444C" w:rsidP="00020D20">
                      <w:pPr>
                        <w:pStyle w:val="Calloutboxes"/>
                      </w:pPr>
                      <w:r>
                        <w:t>ADOT Geographic Information Systems for Transportation (GIS-T):</w:t>
                      </w:r>
                    </w:p>
                    <w:p w14:paraId="59C48CB3" w14:textId="15162435" w:rsidR="00C6444C" w:rsidRPr="00020D20" w:rsidRDefault="00C6444C" w:rsidP="00020D20">
                      <w:pPr>
                        <w:pStyle w:val="Title"/>
                      </w:pPr>
                      <w:hyperlink r:id="rId210" w:history="1">
                        <w:r w:rsidRPr="00020D20">
                          <w:rPr>
                            <w:sz w:val="16"/>
                            <w:szCs w:val="16"/>
                          </w:rPr>
                          <w:t>https://azdot.gov/maps</w:t>
                        </w:r>
                      </w:hyperlink>
                    </w:p>
                  </w:txbxContent>
                </v:textbox>
                <w10:wrap type="tight"/>
              </v:shape>
            </w:pict>
          </mc:Fallback>
        </mc:AlternateContent>
      </w:r>
      <w:r w:rsidR="00926E3D" w:rsidRPr="00926E3D">
        <w:rPr>
          <w:rFonts w:cstheme="minorHAnsi"/>
        </w:rPr>
        <w:t>GIS is rapidly becoming a necessary technology tool for planning, analyzing, modeling, and managing information. Most notably, GIS provides a visual array of information that enables the user to easily understand complex environmental, economic, and social issues. GIS</w:t>
      </w:r>
      <w:r w:rsidR="001305AD">
        <w:rPr>
          <w:rFonts w:cstheme="minorHAnsi"/>
        </w:rPr>
        <w:t xml:space="preserve"> </w:t>
      </w:r>
      <w:r w:rsidR="001305AD" w:rsidRPr="001305AD">
        <w:rPr>
          <w:rFonts w:cstheme="minorHAnsi"/>
        </w:rPr>
        <w:t xml:space="preserve">can also be an effective tool for collaboration and coordination of programs, policies, and activities. The GIS team is committed to providing support to ADOT for the many projects that contain a GIS component. </w:t>
      </w:r>
    </w:p>
    <w:p w14:paraId="68D4AAAA" w14:textId="634D579D" w:rsidR="001305AD" w:rsidRPr="008B629B" w:rsidRDefault="001305AD" w:rsidP="00020D20">
      <w:pPr>
        <w:pStyle w:val="SubHeading3"/>
        <w:jc w:val="both"/>
      </w:pPr>
      <w:bookmarkStart w:id="69" w:name="_Ref50026881"/>
      <w:r w:rsidRPr="008B629B">
        <w:t>Travel Demand Modeling</w:t>
      </w:r>
      <w:bookmarkEnd w:id="69"/>
    </w:p>
    <w:p w14:paraId="41A41D17" w14:textId="77777777" w:rsidR="001305AD" w:rsidRPr="001305AD" w:rsidRDefault="001305AD" w:rsidP="00020D20">
      <w:pPr>
        <w:jc w:val="both"/>
        <w:rPr>
          <w:rFonts w:cstheme="minorHAnsi"/>
        </w:rPr>
      </w:pPr>
      <w:r w:rsidRPr="001305AD">
        <w:rPr>
          <w:rFonts w:cstheme="minorHAnsi"/>
        </w:rPr>
        <w:t xml:space="preserve">The ADOT Travel Demand Modeling &amp; Analysis (TDM&amp;A) Group is available to assist MPOs in resolving modeling questions and in conducting travel demand model applications. ADOT maintains a statewide TransCAD-based Arizona </w:t>
      </w:r>
      <w:r w:rsidRPr="008B629B">
        <w:rPr>
          <w:rStyle w:val="Heading5Char"/>
        </w:rPr>
        <w:t>Travel Demand Model</w:t>
      </w:r>
      <w:r w:rsidRPr="001305AD">
        <w:rPr>
          <w:rFonts w:cstheme="minorHAnsi"/>
        </w:rPr>
        <w:t xml:space="preserve"> (AZTDM) to complement regional model analyses by providing external to Arizona and interregional travel and goods movement estimates.</w:t>
      </w:r>
    </w:p>
    <w:p w14:paraId="4FFCD352" w14:textId="77777777" w:rsidR="001305AD" w:rsidRPr="001305AD" w:rsidRDefault="001305AD" w:rsidP="00020D20">
      <w:pPr>
        <w:pStyle w:val="Heading3"/>
        <w:jc w:val="both"/>
      </w:pPr>
      <w:bookmarkStart w:id="70" w:name="_Ref50025489"/>
      <w:r w:rsidRPr="001305AD">
        <w:t>2.1.6 | Planning &amp; Environmental Linkages</w:t>
      </w:r>
      <w:bookmarkEnd w:id="70"/>
    </w:p>
    <w:p w14:paraId="3143D412" w14:textId="51778595" w:rsidR="001305AD" w:rsidRPr="001305AD" w:rsidRDefault="00F72488" w:rsidP="00020D20">
      <w:pPr>
        <w:jc w:val="both"/>
        <w:rPr>
          <w:rFonts w:cstheme="minorHAnsi"/>
        </w:rPr>
      </w:pPr>
      <w:r>
        <w:rPr>
          <w:rFonts w:cstheme="minorHAnsi"/>
          <w:noProof/>
        </w:rPr>
        <mc:AlternateContent>
          <mc:Choice Requires="wps">
            <w:drawing>
              <wp:anchor distT="0" distB="0" distL="114300" distR="114300" simplePos="0" relativeHeight="251618486" behindDoc="1" locked="0" layoutInCell="1" allowOverlap="1" wp14:anchorId="3329B452" wp14:editId="1C9A17F2">
                <wp:simplePos x="0" y="0"/>
                <wp:positionH relativeFrom="column">
                  <wp:posOffset>1419225</wp:posOffset>
                </wp:positionH>
                <wp:positionV relativeFrom="paragraph">
                  <wp:posOffset>161925</wp:posOffset>
                </wp:positionV>
                <wp:extent cx="1374140" cy="1276350"/>
                <wp:effectExtent l="95250" t="95250" r="92710" b="95250"/>
                <wp:wrapTight wrapText="bothSides">
                  <wp:wrapPolygon edited="0">
                    <wp:start x="-898" y="-1612"/>
                    <wp:lineTo x="-1497" y="-967"/>
                    <wp:lineTo x="-1198" y="22890"/>
                    <wp:lineTo x="22458" y="22890"/>
                    <wp:lineTo x="22758" y="4191"/>
                    <wp:lineTo x="22159" y="-645"/>
                    <wp:lineTo x="22159" y="-1612"/>
                    <wp:lineTo x="-898" y="-1612"/>
                  </wp:wrapPolygon>
                </wp:wrapTight>
                <wp:docPr id="816286260" name="Text Box 816286260"/>
                <wp:cNvGraphicFramePr/>
                <a:graphic xmlns:a="http://schemas.openxmlformats.org/drawingml/2006/main">
                  <a:graphicData uri="http://schemas.microsoft.com/office/word/2010/wordprocessingShape">
                    <wps:wsp>
                      <wps:cNvSpPr txBox="1"/>
                      <wps:spPr>
                        <a:xfrm>
                          <a:off x="0" y="0"/>
                          <a:ext cx="1374140" cy="12763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E7B1F40" w14:textId="77777777" w:rsidR="00C6444C" w:rsidRDefault="00C6444C" w:rsidP="00020D20">
                            <w:pPr>
                              <w:jc w:val="center"/>
                            </w:pPr>
                            <w:r>
                              <w:rPr>
                                <w:noProof/>
                              </w:rPr>
                              <w:drawing>
                                <wp:inline distT="0" distB="0" distL="0" distR="0" wp14:anchorId="09A59484" wp14:editId="7BEB6069">
                                  <wp:extent cx="457200" cy="457200"/>
                                  <wp:effectExtent l="0" t="0" r="0" b="0"/>
                                  <wp:docPr id="1690912600" name="Picture 169091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E1E15EB" w14:textId="3F5EE34F" w:rsidR="00C6444C" w:rsidRPr="00FC59F1" w:rsidRDefault="00C6444C" w:rsidP="00020D20">
                            <w:pPr>
                              <w:pStyle w:val="Calloutboxes"/>
                            </w:pPr>
                            <w:r w:rsidRPr="00957CC4">
                              <w:t>Cross reference chapter 17.9, “Planning &amp; Environmental Linkages” for further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29B452" id="Text Box 816286260" o:spid="_x0000_s1085" type="#_x0000_t202" style="position:absolute;left:0;text-align:left;margin-left:111.75pt;margin-top:12.75pt;width:108.2pt;height:100.5pt;z-index:-2516979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" fillcolor="#f7f7f7" stroked="f" strokeweight=".5pt">
                <v:shadow on="t" type="perspective" color="black" opacity="26214f" offset="0,0" matrix="66847f,,,66847f"/>
                <v:textbox>
                  <w:txbxContent>
                    <w:p w14:paraId="5E7B1F40" w14:textId="77777777" w:rsidR="00C6444C" w:rsidRDefault="00C6444C" w:rsidP="00020D20">
                      <w:pPr>
                        <w:jc w:val="center"/>
                      </w:pPr>
                      <w:r>
                        <w:rPr>
                          <w:noProof/>
                        </w:rPr>
                        <w:drawing>
                          <wp:inline distT="0" distB="0" distL="0" distR="0" wp14:anchorId="09A59484" wp14:editId="7BEB6069">
                            <wp:extent cx="457200" cy="457200"/>
                            <wp:effectExtent l="0" t="0" r="0" b="0"/>
                            <wp:docPr id="1690912600" name="Picture 169091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E1E15EB" w14:textId="3F5EE34F" w:rsidR="00C6444C" w:rsidRPr="00FC59F1" w:rsidRDefault="00C6444C" w:rsidP="00020D20">
                      <w:pPr>
                        <w:pStyle w:val="Calloutboxes"/>
                      </w:pPr>
                      <w:r w:rsidRPr="00957CC4">
                        <w:t>Cross reference chapter 17.9, “Planning &amp; Environmental Linkages” for further information.</w:t>
                      </w:r>
                    </w:p>
                  </w:txbxContent>
                </v:textbox>
                <w10:wrap type="tight"/>
              </v:shape>
            </w:pict>
          </mc:Fallback>
        </mc:AlternateContent>
      </w:r>
      <w:r w:rsidR="001305AD" w:rsidRPr="001305AD">
        <w:rPr>
          <w:rFonts w:cstheme="minorHAnsi"/>
        </w:rPr>
        <w:t xml:space="preserve">The </w:t>
      </w:r>
      <w:hyperlink r:id="rId211" w:history="1">
        <w:r w:rsidR="001305AD" w:rsidRPr="00673F8A">
          <w:rPr>
            <w:rStyle w:val="TitleChar"/>
          </w:rPr>
          <w:t>Planning and Environmental Linkages</w:t>
        </w:r>
      </w:hyperlink>
      <w:r w:rsidR="001305AD" w:rsidRPr="007B6EEE">
        <w:rPr>
          <w:rStyle w:val="TitleChar"/>
        </w:rPr>
        <w:t xml:space="preserve"> </w:t>
      </w:r>
      <w:r w:rsidR="001305AD" w:rsidRPr="001305AD">
        <w:rPr>
          <w:rFonts w:cstheme="minorHAnsi"/>
        </w:rPr>
        <w:t>(PEL) pro</w:t>
      </w:r>
      <w:r w:rsidR="00E66DE1">
        <w:rPr>
          <w:rFonts w:cstheme="minorHAnsi"/>
        </w:rPr>
        <w:t>gram</w:t>
      </w:r>
      <w:r w:rsidR="001305AD" w:rsidRPr="001305AD">
        <w:rPr>
          <w:rFonts w:cstheme="minorHAnsi"/>
        </w:rPr>
        <w:t>, a specific approach for implementing the</w:t>
      </w:r>
      <w:r w:rsidR="00793E66">
        <w:rPr>
          <w:rFonts w:cstheme="minorHAnsi"/>
        </w:rPr>
        <w:t xml:space="preserve"> FAST Act</w:t>
      </w:r>
      <w:r w:rsidR="001305AD" w:rsidRPr="001305AD">
        <w:rPr>
          <w:rFonts w:cstheme="minorHAnsi"/>
        </w:rPr>
        <w:t xml:space="preserve">, seeks to develop subarea and corridor studies that can be used more directly to inform the </w:t>
      </w:r>
      <w:r w:rsidR="001305AD" w:rsidRPr="00673F8A">
        <w:rPr>
          <w:rStyle w:val="TitleChar"/>
        </w:rPr>
        <w:t>National Environmental Policy Act</w:t>
      </w:r>
      <w:r w:rsidR="00F24B82">
        <w:rPr>
          <w:rFonts w:cstheme="minorHAnsi"/>
        </w:rPr>
        <w:t xml:space="preserve"> </w:t>
      </w:r>
      <w:r w:rsidR="001305AD" w:rsidRPr="001305AD">
        <w:rPr>
          <w:rFonts w:cstheme="minorHAnsi"/>
        </w:rPr>
        <w:t xml:space="preserve">of 1969 (NEPA) process. Effective, conceptual-level transportation studies that follow the PEL process provide opportunities both to identify important issues of concern early and to build the agency, stakeholder, and public understanding necessary to successfully address them. </w:t>
      </w:r>
    </w:p>
    <w:p w14:paraId="122B83DE" w14:textId="77777777" w:rsidR="001305AD" w:rsidRPr="001305AD" w:rsidRDefault="001305AD" w:rsidP="00020D20">
      <w:pPr>
        <w:pStyle w:val="Heading3"/>
        <w:jc w:val="both"/>
      </w:pPr>
      <w:bookmarkStart w:id="71" w:name="_Ref50025502"/>
      <w:r w:rsidRPr="001305AD">
        <w:t>2.1.7 | Corridor Planning Studies</w:t>
      </w:r>
      <w:bookmarkEnd w:id="71"/>
    </w:p>
    <w:p w14:paraId="2A6EA082" w14:textId="7B1C7A02" w:rsidR="001305AD" w:rsidRPr="001305AD" w:rsidRDefault="001305AD" w:rsidP="00020D20">
      <w:pPr>
        <w:jc w:val="both"/>
        <w:rPr>
          <w:rFonts w:cstheme="minorHAnsi"/>
        </w:rPr>
      </w:pPr>
      <w:r w:rsidRPr="001305AD">
        <w:rPr>
          <w:rFonts w:cstheme="minorHAnsi"/>
        </w:rPr>
        <w:t xml:space="preserve">The Roadway Pre-design Section is a new section within ADOT MPD. This group oversees the Project Scoping Phase of the ADOT Project Development Process. Information from the scoping phase is used by the MPD in the </w:t>
      </w:r>
      <w:hyperlink r:id="rId212" w:history="1">
        <w:r w:rsidRPr="00D07C6C">
          <w:rPr>
            <w:rStyle w:val="TitleChar"/>
          </w:rPr>
          <w:t>Priority Programming Process</w:t>
        </w:r>
      </w:hyperlink>
      <w:r w:rsidRPr="001305AD">
        <w:rPr>
          <w:rFonts w:cstheme="minorHAnsi"/>
        </w:rPr>
        <w:t xml:space="preserve"> (PPP) for inclusion of projects in the ADOT Five-Year Transportation Construction Program. Scoping defines consensus of a preferred alternative as well as the major features and cost estimate of a project.</w:t>
      </w:r>
    </w:p>
    <w:p w14:paraId="7110724A" w14:textId="77777777" w:rsidR="001305AD" w:rsidRPr="001305AD" w:rsidRDefault="001305AD" w:rsidP="00020D20">
      <w:pPr>
        <w:pStyle w:val="Heading3"/>
        <w:jc w:val="both"/>
      </w:pPr>
      <w:bookmarkStart w:id="72" w:name="_Ref50025518"/>
      <w:r w:rsidRPr="001305AD">
        <w:t>2.1.8 | Sustainability</w:t>
      </w:r>
      <w:bookmarkEnd w:id="72"/>
    </w:p>
    <w:p w14:paraId="1EFD83A3" w14:textId="714C7753" w:rsidR="001305AD" w:rsidRPr="001305AD" w:rsidRDefault="005E357D" w:rsidP="00020D20">
      <w:pPr>
        <w:jc w:val="both"/>
        <w:rPr>
          <w:rFonts w:cstheme="minorHAnsi"/>
        </w:rPr>
      </w:pPr>
      <w:r>
        <w:rPr>
          <w:rFonts w:cstheme="minorHAnsi"/>
          <w:noProof/>
        </w:rPr>
        <mc:AlternateContent>
          <mc:Choice Requires="wps">
            <w:drawing>
              <wp:anchor distT="0" distB="0" distL="114300" distR="114300" simplePos="0" relativeHeight="251618487" behindDoc="1" locked="0" layoutInCell="1" allowOverlap="1" wp14:anchorId="16E04134" wp14:editId="5E954F8A">
                <wp:simplePos x="0" y="0"/>
                <wp:positionH relativeFrom="column">
                  <wp:posOffset>1473200</wp:posOffset>
                </wp:positionH>
                <wp:positionV relativeFrom="paragraph">
                  <wp:posOffset>260350</wp:posOffset>
                </wp:positionV>
                <wp:extent cx="1374140" cy="1104900"/>
                <wp:effectExtent l="95250" t="76200" r="92710" b="76200"/>
                <wp:wrapTight wrapText="bothSides">
                  <wp:wrapPolygon edited="0">
                    <wp:start x="-898" y="-1490"/>
                    <wp:lineTo x="-1497" y="-1117"/>
                    <wp:lineTo x="-1198" y="22717"/>
                    <wp:lineTo x="22458" y="22717"/>
                    <wp:lineTo x="22758" y="4841"/>
                    <wp:lineTo x="22159" y="-745"/>
                    <wp:lineTo x="22159" y="-1490"/>
                    <wp:lineTo x="-898" y="-1490"/>
                  </wp:wrapPolygon>
                </wp:wrapTight>
                <wp:docPr id="816286303" name="Text Box 816286303"/>
                <wp:cNvGraphicFramePr/>
                <a:graphic xmlns:a="http://schemas.openxmlformats.org/drawingml/2006/main">
                  <a:graphicData uri="http://schemas.microsoft.com/office/word/2010/wordprocessingShape">
                    <wps:wsp>
                      <wps:cNvSpPr txBox="1"/>
                      <wps:spPr>
                        <a:xfrm>
                          <a:off x="0" y="0"/>
                          <a:ext cx="1374140" cy="1104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9A486C4" w14:textId="77777777" w:rsidR="00C6444C" w:rsidRDefault="00C6444C" w:rsidP="00020D20">
                            <w:pPr>
                              <w:jc w:val="center"/>
                            </w:pPr>
                            <w:r>
                              <w:rPr>
                                <w:noProof/>
                              </w:rPr>
                              <w:drawing>
                                <wp:inline distT="0" distB="0" distL="0" distR="0" wp14:anchorId="4D78DBCD" wp14:editId="30951F97">
                                  <wp:extent cx="457200" cy="457200"/>
                                  <wp:effectExtent l="0" t="0" r="0" b="0"/>
                                  <wp:docPr id="1690912601" name="Picture 169091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7D2BAFC" w14:textId="121791F7" w:rsidR="00C6444C" w:rsidRPr="00957CC4" w:rsidRDefault="00C6444C" w:rsidP="00020D20">
                            <w:pPr>
                              <w:pStyle w:val="Calloutboxes"/>
                            </w:pPr>
                            <w:r w:rsidRPr="00957CC4">
                              <w:t>Cross reference chapter 17.11, “Sustainability” for further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E04134" id="Text Box 816286303" o:spid="_x0000_s1086" type="#_x0000_t202" style="position:absolute;left:0;text-align:left;margin-left:116pt;margin-top:20.5pt;width:108.2pt;height:87pt;z-index:-251697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" fillcolor="#f7f7f7" stroked="f" strokeweight=".5pt">
                <v:shadow on="t" type="perspective" color="black" opacity="26214f" offset="0,0" matrix="66847f,,,66847f"/>
                <v:textbox>
                  <w:txbxContent>
                    <w:p w14:paraId="19A486C4" w14:textId="77777777" w:rsidR="00C6444C" w:rsidRDefault="00C6444C" w:rsidP="00020D20">
                      <w:pPr>
                        <w:jc w:val="center"/>
                      </w:pPr>
                      <w:r>
                        <w:rPr>
                          <w:noProof/>
                        </w:rPr>
                        <w:drawing>
                          <wp:inline distT="0" distB="0" distL="0" distR="0" wp14:anchorId="4D78DBCD" wp14:editId="30951F97">
                            <wp:extent cx="457200" cy="457200"/>
                            <wp:effectExtent l="0" t="0" r="0" b="0"/>
                            <wp:docPr id="1690912601" name="Picture 169091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7D2BAFC" w14:textId="121791F7" w:rsidR="00C6444C" w:rsidRPr="00957CC4" w:rsidRDefault="00C6444C" w:rsidP="00020D20">
                      <w:pPr>
                        <w:pStyle w:val="Calloutboxes"/>
                      </w:pPr>
                      <w:r w:rsidRPr="00957CC4">
                        <w:t>Cross reference chapter 17.11, “Sustainability” for further information.</w:t>
                      </w:r>
                    </w:p>
                  </w:txbxContent>
                </v:textbox>
                <w10:wrap type="tight"/>
              </v:shape>
            </w:pict>
          </mc:Fallback>
        </mc:AlternateContent>
      </w:r>
      <w:r w:rsidR="001305AD" w:rsidRPr="001305AD">
        <w:rPr>
          <w:rFonts w:cstheme="minorHAnsi"/>
        </w:rPr>
        <w:t xml:space="preserve">The ADOT Sustainability Program is a new aspect of ADOT MPD that assists communities understanding and integrating sustainability issues and opportunities in agency plans and directives. This effort focuses on broadening stakeholder knowledge-base capacity through sharing available tools, policies and practices that help balance sound decision making processes that consider capital investments with </w:t>
      </w:r>
      <w:r w:rsidR="00793E66">
        <w:rPr>
          <w:rFonts w:cstheme="minorHAnsi"/>
        </w:rPr>
        <w:t xml:space="preserve">social and </w:t>
      </w:r>
      <w:r w:rsidR="001305AD" w:rsidRPr="001305AD">
        <w:rPr>
          <w:rFonts w:cstheme="minorHAnsi"/>
        </w:rPr>
        <w:t>environmental</w:t>
      </w:r>
      <w:r w:rsidR="00793E66">
        <w:rPr>
          <w:rFonts w:cstheme="minorHAnsi"/>
        </w:rPr>
        <w:t xml:space="preserve"> protection</w:t>
      </w:r>
      <w:r w:rsidR="001305AD" w:rsidRPr="001305AD">
        <w:rPr>
          <w:rFonts w:cstheme="minorHAnsi"/>
        </w:rPr>
        <w:t xml:space="preserve"> considerations. This, in-turn, allows communities to advance local planning and project development activities </w:t>
      </w:r>
      <w:r w:rsidR="00E66DE1">
        <w:rPr>
          <w:rFonts w:cstheme="minorHAnsi"/>
        </w:rPr>
        <w:t>that are</w:t>
      </w:r>
      <w:r w:rsidR="001305AD" w:rsidRPr="001305AD">
        <w:rPr>
          <w:rFonts w:cstheme="minorHAnsi"/>
        </w:rPr>
        <w:t xml:space="preserve"> more livable,</w:t>
      </w:r>
      <w:r w:rsidR="00793E66">
        <w:rPr>
          <w:rFonts w:cstheme="minorHAnsi"/>
        </w:rPr>
        <w:t xml:space="preserve"> resilient, accessible,</w:t>
      </w:r>
      <w:r w:rsidR="001305AD" w:rsidRPr="001305AD">
        <w:rPr>
          <w:rFonts w:cstheme="minorHAnsi"/>
        </w:rPr>
        <w:t xml:space="preserve"> viable, and sustainable for future generations.</w:t>
      </w:r>
    </w:p>
    <w:p w14:paraId="47FA629A" w14:textId="0CDAFB0C" w:rsidR="00D20130" w:rsidRDefault="00D20130" w:rsidP="00020D20">
      <w:pPr>
        <w:pStyle w:val="Heading3"/>
        <w:jc w:val="both"/>
      </w:pPr>
      <w:bookmarkStart w:id="73" w:name="_Ref50026873"/>
      <w:r>
        <w:t>2.</w:t>
      </w:r>
      <w:r w:rsidR="006C771F">
        <w:t xml:space="preserve">1.9 | </w:t>
      </w:r>
      <w:r w:rsidR="006C771F" w:rsidRPr="00107F8C">
        <w:t>Aeronautics</w:t>
      </w:r>
      <w:bookmarkEnd w:id="73"/>
    </w:p>
    <w:p w14:paraId="787FCC83" w14:textId="5A3CF824" w:rsidR="006E728A" w:rsidRPr="006E728A" w:rsidRDefault="00793E66" w:rsidP="00020D20">
      <w:pPr>
        <w:jc w:val="both"/>
        <w:rPr>
          <w:rFonts w:cstheme="minorHAnsi"/>
        </w:rPr>
      </w:pPr>
      <w:r>
        <w:rPr>
          <w:rFonts w:asciiTheme="majorHAnsi" w:eastAsiaTheme="majorEastAsia" w:hAnsiTheme="majorHAnsi" w:cstheme="minorHAnsi"/>
          <w:noProof/>
          <w:color w:val="012768"/>
          <w:szCs w:val="24"/>
        </w:rPr>
        <mc:AlternateContent>
          <mc:Choice Requires="wps">
            <w:drawing>
              <wp:anchor distT="0" distB="0" distL="114300" distR="114300" simplePos="0" relativeHeight="251618488" behindDoc="1" locked="0" layoutInCell="1" allowOverlap="1" wp14:anchorId="7F8A4AC2" wp14:editId="21195CEB">
                <wp:simplePos x="0" y="0"/>
                <wp:positionH relativeFrom="column">
                  <wp:posOffset>1397635</wp:posOffset>
                </wp:positionH>
                <wp:positionV relativeFrom="paragraph">
                  <wp:posOffset>180975</wp:posOffset>
                </wp:positionV>
                <wp:extent cx="1374140" cy="1143000"/>
                <wp:effectExtent l="95250" t="76200" r="92710" b="76200"/>
                <wp:wrapTight wrapText="bothSides">
                  <wp:wrapPolygon edited="0">
                    <wp:start x="-898" y="-1440"/>
                    <wp:lineTo x="-1497" y="-1080"/>
                    <wp:lineTo x="-1198" y="22680"/>
                    <wp:lineTo x="22458" y="22680"/>
                    <wp:lineTo x="22758" y="4680"/>
                    <wp:lineTo x="22159" y="-720"/>
                    <wp:lineTo x="22159" y="-1440"/>
                    <wp:lineTo x="-898" y="-1440"/>
                  </wp:wrapPolygon>
                </wp:wrapTight>
                <wp:docPr id="816286432" name="Text Box 816286432"/>
                <wp:cNvGraphicFramePr/>
                <a:graphic xmlns:a="http://schemas.openxmlformats.org/drawingml/2006/main">
                  <a:graphicData uri="http://schemas.microsoft.com/office/word/2010/wordprocessingShape">
                    <wps:wsp>
                      <wps:cNvSpPr txBox="1"/>
                      <wps:spPr>
                        <a:xfrm>
                          <a:off x="0" y="0"/>
                          <a:ext cx="137414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5A35825" w14:textId="77777777" w:rsidR="00C6444C" w:rsidRDefault="00C6444C" w:rsidP="00020D20">
                            <w:pPr>
                              <w:jc w:val="center"/>
                            </w:pPr>
                            <w:r>
                              <w:rPr>
                                <w:noProof/>
                              </w:rPr>
                              <w:drawing>
                                <wp:inline distT="0" distB="0" distL="0" distR="0" wp14:anchorId="303BC504" wp14:editId="0002044C">
                                  <wp:extent cx="457200" cy="457200"/>
                                  <wp:effectExtent l="0" t="0" r="0" b="0"/>
                                  <wp:docPr id="1690912602" name="Picture 169091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6795F9A" w14:textId="694CF53E" w:rsidR="00C6444C" w:rsidRPr="00957CC4" w:rsidRDefault="00C6444C" w:rsidP="00020D20">
                            <w:pPr>
                              <w:pStyle w:val="Calloutboxes"/>
                            </w:pPr>
                            <w:r w:rsidRPr="00957CC4">
                              <w:t>Cross reference chapter 16, “Aeronautics” for further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8A4AC2" id="Text Box 816286432" o:spid="_x0000_s1087" type="#_x0000_t202" style="position:absolute;left:0;text-align:left;margin-left:110.05pt;margin-top:14.25pt;width:108.2pt;height:90pt;z-index:-251697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" fillcolor="#f7f7f7" stroked="f" strokeweight=".5pt">
                <v:shadow on="t" type="perspective" color="black" opacity="26214f" offset="0,0" matrix="66847f,,,66847f"/>
                <v:textbox>
                  <w:txbxContent>
                    <w:p w14:paraId="35A35825" w14:textId="77777777" w:rsidR="00C6444C" w:rsidRDefault="00C6444C" w:rsidP="00020D20">
                      <w:pPr>
                        <w:jc w:val="center"/>
                      </w:pPr>
                      <w:r>
                        <w:rPr>
                          <w:noProof/>
                        </w:rPr>
                        <w:drawing>
                          <wp:inline distT="0" distB="0" distL="0" distR="0" wp14:anchorId="303BC504" wp14:editId="0002044C">
                            <wp:extent cx="457200" cy="457200"/>
                            <wp:effectExtent l="0" t="0" r="0" b="0"/>
                            <wp:docPr id="1690912602" name="Picture 169091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6795F9A" w14:textId="694CF53E" w:rsidR="00C6444C" w:rsidRPr="00957CC4" w:rsidRDefault="00C6444C" w:rsidP="00020D20">
                      <w:pPr>
                        <w:pStyle w:val="Calloutboxes"/>
                      </w:pPr>
                      <w:r w:rsidRPr="00957CC4">
                        <w:t>Cross reference chapter 16, “Aeronautics” for further information.</w:t>
                      </w:r>
                    </w:p>
                  </w:txbxContent>
                </v:textbox>
                <w10:wrap type="tight"/>
              </v:shape>
            </w:pict>
          </mc:Fallback>
        </mc:AlternateContent>
      </w:r>
      <w:r w:rsidR="001305AD" w:rsidRPr="001305AD">
        <w:rPr>
          <w:rFonts w:cstheme="minorHAnsi"/>
        </w:rPr>
        <w:t xml:space="preserve">The ADOT Aeronautics </w:t>
      </w:r>
      <w:r w:rsidR="00AF6C09">
        <w:rPr>
          <w:rFonts w:cstheme="minorHAnsi"/>
        </w:rPr>
        <w:t>Group within ADOT MPD</w:t>
      </w:r>
      <w:r w:rsidR="00AF6C09" w:rsidRPr="001305AD">
        <w:rPr>
          <w:rFonts w:cstheme="minorHAnsi"/>
        </w:rPr>
        <w:t xml:space="preserve"> </w:t>
      </w:r>
      <w:r w:rsidR="001305AD" w:rsidRPr="001305AD">
        <w:rPr>
          <w:rFonts w:cstheme="minorHAnsi"/>
        </w:rPr>
        <w:t>is responsible for encouraging and advancing the safe and orderly development of aviation in Arizona. The division assembles and distributes information related to aviation to the public and provides funding to public airports for planning,</w:t>
      </w:r>
      <w:r w:rsidR="006E728A">
        <w:rPr>
          <w:rFonts w:cstheme="minorHAnsi"/>
        </w:rPr>
        <w:t xml:space="preserve"> </w:t>
      </w:r>
      <w:r w:rsidR="006E728A" w:rsidRPr="006E728A">
        <w:rPr>
          <w:rFonts w:cstheme="minorHAnsi"/>
        </w:rPr>
        <w:t xml:space="preserve">land acquisition, and construction projects. The division’s deliverables include the five-year </w:t>
      </w:r>
      <w:hyperlink r:id="rId213" w:history="1">
        <w:r w:rsidR="006E728A" w:rsidRPr="00673F8A">
          <w:rPr>
            <w:rStyle w:val="TitleChar"/>
          </w:rPr>
          <w:t>Airport Capital Improvement Program</w:t>
        </w:r>
      </w:hyperlink>
      <w:r w:rsidR="006E728A" w:rsidRPr="006E728A">
        <w:rPr>
          <w:rFonts w:cstheme="minorHAnsi"/>
        </w:rPr>
        <w:t xml:space="preserve"> (ACIP), statewide planning projects, the </w:t>
      </w:r>
      <w:hyperlink r:id="rId214" w:history="1">
        <w:r w:rsidR="006E728A" w:rsidRPr="00673F8A">
          <w:rPr>
            <w:rStyle w:val="TitleChar"/>
          </w:rPr>
          <w:t>Airport Loan Program, and the Arizona Pavement Management System</w:t>
        </w:r>
      </w:hyperlink>
      <w:r w:rsidR="006E728A" w:rsidRPr="006E728A">
        <w:rPr>
          <w:rFonts w:cstheme="minorHAnsi"/>
        </w:rPr>
        <w:t xml:space="preserve"> (APMS). </w:t>
      </w:r>
    </w:p>
    <w:p w14:paraId="53603FE7" w14:textId="69C6D792" w:rsidR="006E728A" w:rsidRPr="006E728A" w:rsidRDefault="006E728A" w:rsidP="00020D20">
      <w:pPr>
        <w:pStyle w:val="Heading3"/>
        <w:jc w:val="both"/>
      </w:pPr>
      <w:bookmarkStart w:id="74" w:name="_Ref50026726"/>
      <w:r w:rsidRPr="006E728A">
        <w:t>2.1.1</w:t>
      </w:r>
      <w:r w:rsidR="00AE4418">
        <w:t>0</w:t>
      </w:r>
      <w:r w:rsidRPr="006E728A">
        <w:t xml:space="preserve"> | Finance &amp; Contract Administration</w:t>
      </w:r>
      <w:bookmarkEnd w:id="74"/>
    </w:p>
    <w:p w14:paraId="2E805EF4" w14:textId="726B9946" w:rsidR="006E728A" w:rsidRPr="006E728A" w:rsidRDefault="006E728A" w:rsidP="00020D20">
      <w:pPr>
        <w:jc w:val="both"/>
        <w:rPr>
          <w:rFonts w:cstheme="minorHAnsi"/>
        </w:rPr>
      </w:pPr>
      <w:r w:rsidRPr="006E728A">
        <w:rPr>
          <w:rFonts w:cstheme="minorHAnsi"/>
        </w:rPr>
        <w:t>The</w:t>
      </w:r>
      <w:r w:rsidR="00AF6C09">
        <w:rPr>
          <w:rFonts w:cstheme="minorHAnsi"/>
        </w:rPr>
        <w:t xml:space="preserve"> MPD</w:t>
      </w:r>
      <w:r w:rsidRPr="006E728A">
        <w:rPr>
          <w:rFonts w:cstheme="minorHAnsi"/>
        </w:rPr>
        <w:t xml:space="preserve"> Finance &amp; </w:t>
      </w:r>
      <w:r w:rsidR="00AF6C09">
        <w:rPr>
          <w:rFonts w:cstheme="minorHAnsi"/>
        </w:rPr>
        <w:t xml:space="preserve">MPD </w:t>
      </w:r>
      <w:r w:rsidRPr="006E728A">
        <w:rPr>
          <w:rFonts w:cstheme="minorHAnsi"/>
        </w:rPr>
        <w:t>Contract</w:t>
      </w:r>
      <w:r w:rsidR="00AF6C09">
        <w:rPr>
          <w:rFonts w:cstheme="minorHAnsi"/>
        </w:rPr>
        <w:t>s S</w:t>
      </w:r>
      <w:r w:rsidRPr="006E728A">
        <w:rPr>
          <w:rFonts w:cstheme="minorHAnsi"/>
        </w:rPr>
        <w:t>ection</w:t>
      </w:r>
      <w:r w:rsidR="00AF6C09">
        <w:rPr>
          <w:rFonts w:cstheme="minorHAnsi"/>
        </w:rPr>
        <w:t>s</w:t>
      </w:r>
      <w:r w:rsidRPr="006E728A">
        <w:rPr>
          <w:rFonts w:cstheme="minorHAnsi"/>
        </w:rPr>
        <w:t xml:space="preserve"> work directly with MPOs and COGs to execute </w:t>
      </w:r>
      <w:r w:rsidR="00AF6C09">
        <w:rPr>
          <w:rFonts w:cstheme="minorHAnsi"/>
        </w:rPr>
        <w:t xml:space="preserve">all </w:t>
      </w:r>
      <w:r w:rsidRPr="006E728A">
        <w:rPr>
          <w:rFonts w:cstheme="minorHAnsi"/>
        </w:rPr>
        <w:t xml:space="preserve">ADOT contracts </w:t>
      </w:r>
      <w:r w:rsidR="00AF6C09">
        <w:rPr>
          <w:rFonts w:cstheme="minorHAnsi"/>
        </w:rPr>
        <w:t xml:space="preserve">related to the work program, </w:t>
      </w:r>
      <w:r w:rsidRPr="006E728A">
        <w:rPr>
          <w:rFonts w:cstheme="minorHAnsi"/>
        </w:rPr>
        <w:t xml:space="preserve">including </w:t>
      </w:r>
      <w:r w:rsidR="00AF6C09">
        <w:rPr>
          <w:rFonts w:cstheme="minorHAnsi"/>
        </w:rPr>
        <w:t>GRTs</w:t>
      </w:r>
      <w:r w:rsidRPr="006E728A">
        <w:rPr>
          <w:rFonts w:cstheme="minorHAnsi"/>
        </w:rPr>
        <w:t xml:space="preserve">. One </w:t>
      </w:r>
      <w:r w:rsidR="00AF6C09">
        <w:rPr>
          <w:rFonts w:cstheme="minorHAnsi"/>
        </w:rPr>
        <w:t>GRT</w:t>
      </w:r>
      <w:r w:rsidR="00AF6C09" w:rsidRPr="006E728A">
        <w:rPr>
          <w:rFonts w:cstheme="minorHAnsi"/>
        </w:rPr>
        <w:t xml:space="preserve"> </w:t>
      </w:r>
      <w:r w:rsidRPr="006E728A">
        <w:rPr>
          <w:rFonts w:cstheme="minorHAnsi"/>
        </w:rPr>
        <w:t xml:space="preserve">example is the standard contract agreement between ADOT and every </w:t>
      </w:r>
      <w:r w:rsidR="00793E66">
        <w:rPr>
          <w:rFonts w:cstheme="minorHAnsi"/>
        </w:rPr>
        <w:t>MPO</w:t>
      </w:r>
      <w:r w:rsidR="00793E66" w:rsidRPr="006E728A">
        <w:rPr>
          <w:rFonts w:cstheme="minorHAnsi"/>
        </w:rPr>
        <w:t xml:space="preserve"> </w:t>
      </w:r>
      <w:r w:rsidRPr="006E728A">
        <w:rPr>
          <w:rFonts w:cstheme="minorHAnsi"/>
        </w:rPr>
        <w:t xml:space="preserve">to undertake the activities outlined in the </w:t>
      </w:r>
      <w:r w:rsidR="002A7E5D">
        <w:rPr>
          <w:rFonts w:cstheme="minorHAnsi"/>
        </w:rPr>
        <w:t>UP</w:t>
      </w:r>
      <w:r w:rsidRPr="006E728A">
        <w:rPr>
          <w:rFonts w:cstheme="minorHAnsi"/>
        </w:rPr>
        <w:t>WP. The Finance &amp; Contract</w:t>
      </w:r>
      <w:r w:rsidR="00AF6C09">
        <w:rPr>
          <w:rFonts w:cstheme="minorHAnsi"/>
        </w:rPr>
        <w:t>s</w:t>
      </w:r>
      <w:r w:rsidRPr="006E728A">
        <w:rPr>
          <w:rFonts w:cstheme="minorHAnsi"/>
        </w:rPr>
        <w:t xml:space="preserve"> Section</w:t>
      </w:r>
      <w:r w:rsidR="00AF6C09">
        <w:rPr>
          <w:rFonts w:cstheme="minorHAnsi"/>
        </w:rPr>
        <w:t>s</w:t>
      </w:r>
      <w:r w:rsidRPr="006E728A">
        <w:rPr>
          <w:rFonts w:cstheme="minorHAnsi"/>
        </w:rPr>
        <w:t xml:space="preserve"> manage all audit, budget, federal match, and financial management activities </w:t>
      </w:r>
      <w:r w:rsidR="002A7E5D">
        <w:rPr>
          <w:rFonts w:cstheme="minorHAnsi"/>
        </w:rPr>
        <w:t>relative to</w:t>
      </w:r>
      <w:r w:rsidR="002A7E5D" w:rsidRPr="006E728A">
        <w:rPr>
          <w:rFonts w:cstheme="minorHAnsi"/>
        </w:rPr>
        <w:t xml:space="preserve"> </w:t>
      </w:r>
      <w:r w:rsidRPr="006E728A">
        <w:rPr>
          <w:rFonts w:cstheme="minorHAnsi"/>
        </w:rPr>
        <w:t>ADOT</w:t>
      </w:r>
      <w:r w:rsidR="002A7E5D">
        <w:rPr>
          <w:rFonts w:cstheme="minorHAnsi"/>
        </w:rPr>
        <w:t xml:space="preserve"> MPD</w:t>
      </w:r>
      <w:r w:rsidRPr="006E728A">
        <w:rPr>
          <w:rFonts w:cstheme="minorHAnsi"/>
        </w:rPr>
        <w:t xml:space="preserve">. </w:t>
      </w:r>
      <w:r w:rsidR="00AF6C09">
        <w:t>MPD Contracts also assists with compliance review for COG/MPO procurement and contracting activities.</w:t>
      </w:r>
    </w:p>
    <w:p w14:paraId="0DC78EE9" w14:textId="24E405AC" w:rsidR="006E728A" w:rsidRPr="006E728A" w:rsidRDefault="006E728A" w:rsidP="00020D20">
      <w:pPr>
        <w:pStyle w:val="Heading3"/>
        <w:jc w:val="both"/>
      </w:pPr>
      <w:bookmarkStart w:id="75" w:name="_Ref50026732"/>
      <w:r w:rsidRPr="006E728A">
        <w:t>2.1.1</w:t>
      </w:r>
      <w:r w:rsidR="00AE4418">
        <w:t>1</w:t>
      </w:r>
      <w:r w:rsidRPr="006E728A">
        <w:t xml:space="preserve"> | Transportation Research Center</w:t>
      </w:r>
      <w:bookmarkEnd w:id="75"/>
    </w:p>
    <w:p w14:paraId="3BC23312" w14:textId="344AD23B" w:rsidR="006E728A" w:rsidRPr="006E728A" w:rsidRDefault="00076532" w:rsidP="00020D20">
      <w:pPr>
        <w:jc w:val="both"/>
        <w:rPr>
          <w:rFonts w:cstheme="minorHAnsi"/>
        </w:rPr>
      </w:pPr>
      <w:r>
        <w:rPr>
          <w:rFonts w:cstheme="minorHAnsi"/>
          <w:noProof/>
        </w:rPr>
        <mc:AlternateContent>
          <mc:Choice Requires="wps">
            <w:drawing>
              <wp:anchor distT="0" distB="0" distL="114300" distR="114300" simplePos="0" relativeHeight="251618489" behindDoc="1" locked="0" layoutInCell="1" allowOverlap="1" wp14:anchorId="76C2B5D2" wp14:editId="650E598B">
                <wp:simplePos x="0" y="0"/>
                <wp:positionH relativeFrom="column">
                  <wp:posOffset>1678940</wp:posOffset>
                </wp:positionH>
                <wp:positionV relativeFrom="paragraph">
                  <wp:posOffset>175895</wp:posOffset>
                </wp:positionV>
                <wp:extent cx="1374140" cy="1266825"/>
                <wp:effectExtent l="95250" t="95250" r="92710" b="104775"/>
                <wp:wrapTight wrapText="bothSides">
                  <wp:wrapPolygon edited="0">
                    <wp:start x="-898" y="-1624"/>
                    <wp:lineTo x="-1497" y="-974"/>
                    <wp:lineTo x="-1198" y="23062"/>
                    <wp:lineTo x="22458" y="23062"/>
                    <wp:lineTo x="22758" y="4223"/>
                    <wp:lineTo x="22159" y="-650"/>
                    <wp:lineTo x="22159" y="-1624"/>
                    <wp:lineTo x="-898" y="-1624"/>
                  </wp:wrapPolygon>
                </wp:wrapTight>
                <wp:docPr id="816286434" name="Text Box 816286434"/>
                <wp:cNvGraphicFramePr/>
                <a:graphic xmlns:a="http://schemas.openxmlformats.org/drawingml/2006/main">
                  <a:graphicData uri="http://schemas.microsoft.com/office/word/2010/wordprocessingShape">
                    <wps:wsp>
                      <wps:cNvSpPr txBox="1"/>
                      <wps:spPr>
                        <a:xfrm>
                          <a:off x="0" y="0"/>
                          <a:ext cx="1374140" cy="1266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2B1B66F" w14:textId="77777777" w:rsidR="00C6444C" w:rsidRDefault="00C6444C" w:rsidP="00020D20">
                            <w:pPr>
                              <w:jc w:val="center"/>
                            </w:pPr>
                            <w:r>
                              <w:rPr>
                                <w:noProof/>
                              </w:rPr>
                              <w:drawing>
                                <wp:inline distT="0" distB="0" distL="0" distR="0" wp14:anchorId="03316C5B" wp14:editId="1A169DED">
                                  <wp:extent cx="457200" cy="457200"/>
                                  <wp:effectExtent l="0" t="0" r="0" b="0"/>
                                  <wp:docPr id="1690912603" name="Picture 169091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560F204" w14:textId="6436E208" w:rsidR="00C6444C" w:rsidRPr="00957CC4" w:rsidRDefault="00C6444C" w:rsidP="00020D20">
                            <w:pPr>
                              <w:pStyle w:val="Calloutboxes"/>
                            </w:pPr>
                            <w:r w:rsidRPr="00957CC4">
                              <w:t>ADOT Research Center policies and procedures:</w:t>
                            </w:r>
                          </w:p>
                          <w:p w14:paraId="288A3BBA" w14:textId="67BEFF5A" w:rsidR="00C6444C" w:rsidRPr="00B56963" w:rsidRDefault="00202C92">
                            <w:pPr>
                              <w:pStyle w:val="Title"/>
                              <w:rPr>
                                <w:sz w:val="16"/>
                                <w:szCs w:val="16"/>
                              </w:rPr>
                            </w:pPr>
                            <w:hyperlink r:id="rId215" w:history="1">
                              <w:r w:rsidR="00C6444C" w:rsidRPr="00020D20">
                                <w:rPr>
                                  <w:rStyle w:val="Hyperlink"/>
                                  <w:rFonts w:ascii="Calibri" w:hAnsi="Calibri" w:cstheme="majorBidi"/>
                                  <w:i/>
                                  <w:color w:val="CE5B18"/>
                                  <w:szCs w:val="56"/>
                                  <w:u w:val="none"/>
                                </w:rPr>
                                <w:t>https://azdot.gov/planning/research-center</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C2B5D2" id="Text Box 816286434" o:spid="_x0000_s1088" type="#_x0000_t202" style="position:absolute;left:0;text-align:left;margin-left:132.2pt;margin-top:13.85pt;width:108.2pt;height:99.75pt;z-index:-251697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" fillcolor="#f7f7f7" stroked="f" strokeweight=".5pt">
                <v:shadow on="t" type="perspective" color="black" opacity="26214f" offset="0,0" matrix="66847f,,,66847f"/>
                <v:textbox>
                  <w:txbxContent>
                    <w:p w14:paraId="62B1B66F" w14:textId="77777777" w:rsidR="00C6444C" w:rsidRDefault="00C6444C" w:rsidP="00020D20">
                      <w:pPr>
                        <w:jc w:val="center"/>
                      </w:pPr>
                      <w:r>
                        <w:rPr>
                          <w:noProof/>
                        </w:rPr>
                        <w:drawing>
                          <wp:inline distT="0" distB="0" distL="0" distR="0" wp14:anchorId="03316C5B" wp14:editId="1A169DED">
                            <wp:extent cx="457200" cy="457200"/>
                            <wp:effectExtent l="0" t="0" r="0" b="0"/>
                            <wp:docPr id="1690912603" name="Picture 169091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560F204" w14:textId="6436E208" w:rsidR="00C6444C" w:rsidRPr="00957CC4" w:rsidRDefault="00C6444C" w:rsidP="00020D20">
                      <w:pPr>
                        <w:pStyle w:val="Calloutboxes"/>
                      </w:pPr>
                      <w:r w:rsidRPr="00957CC4">
                        <w:t>ADOT Research Center policies and procedures:</w:t>
                      </w:r>
                    </w:p>
                    <w:p w14:paraId="288A3BBA" w14:textId="67BEFF5A" w:rsidR="00C6444C" w:rsidRPr="00B56963" w:rsidRDefault="00C6444C">
                      <w:pPr>
                        <w:pStyle w:val="Title"/>
                        <w:rPr>
                          <w:sz w:val="16"/>
                          <w:szCs w:val="16"/>
                        </w:rPr>
                      </w:pPr>
                      <w:hyperlink r:id="rId216" w:history="1">
                        <w:r w:rsidRPr="00020D20">
                          <w:rPr>
                            <w:rStyle w:val="Hyperlink"/>
                            <w:rFonts w:ascii="Calibri" w:hAnsi="Calibri" w:cstheme="majorBidi"/>
                            <w:i/>
                            <w:color w:val="CE5B18"/>
                            <w:szCs w:val="56"/>
                            <w:u w:val="none"/>
                          </w:rPr>
                          <w:t>https://azdot.gov/planning/research-center</w:t>
                        </w:r>
                      </w:hyperlink>
                    </w:p>
                  </w:txbxContent>
                </v:textbox>
                <w10:wrap type="tight"/>
              </v:shape>
            </w:pict>
          </mc:Fallback>
        </mc:AlternateContent>
      </w:r>
      <w:r w:rsidR="006E728A" w:rsidRPr="006E728A">
        <w:rPr>
          <w:rFonts w:cstheme="minorHAnsi"/>
        </w:rPr>
        <w:t xml:space="preserve">The </w:t>
      </w:r>
      <w:hyperlink r:id="rId217" w:history="1">
        <w:r w:rsidR="006E728A" w:rsidRPr="00673F8A">
          <w:rPr>
            <w:rStyle w:val="TitleChar"/>
          </w:rPr>
          <w:t>ADOT Research Center</w:t>
        </w:r>
      </w:hyperlink>
      <w:r w:rsidR="006E728A" w:rsidRPr="006E728A">
        <w:rPr>
          <w:rFonts w:cstheme="minorHAnsi"/>
        </w:rPr>
        <w:t xml:space="preserve"> administers ADOT research activity and the publication of the results of those activities. In addition, it houses the </w:t>
      </w:r>
      <w:hyperlink r:id="rId218" w:history="1">
        <w:r w:rsidR="006E728A" w:rsidRPr="00281E39">
          <w:rPr>
            <w:rStyle w:val="TitleChar"/>
          </w:rPr>
          <w:t xml:space="preserve">ADOT Research </w:t>
        </w:r>
        <w:r w:rsidR="00281E39" w:rsidRPr="00281E39">
          <w:rPr>
            <w:rStyle w:val="TitleChar"/>
          </w:rPr>
          <w:t>Program</w:t>
        </w:r>
      </w:hyperlink>
      <w:r w:rsidR="006E728A" w:rsidRPr="007B6EEE">
        <w:rPr>
          <w:rStyle w:val="TitleChar"/>
        </w:rPr>
        <w:t xml:space="preserve"> </w:t>
      </w:r>
      <w:r w:rsidR="006E728A" w:rsidRPr="006E728A">
        <w:rPr>
          <w:rFonts w:cstheme="minorHAnsi"/>
        </w:rPr>
        <w:t xml:space="preserve">and the </w:t>
      </w:r>
      <w:hyperlink r:id="rId219" w:history="1">
        <w:r w:rsidR="006E728A" w:rsidRPr="00281E39">
          <w:rPr>
            <w:rStyle w:val="TitleChar"/>
          </w:rPr>
          <w:t>Product Evaluation Program</w:t>
        </w:r>
      </w:hyperlink>
      <w:r w:rsidR="006E728A" w:rsidRPr="006E728A">
        <w:rPr>
          <w:rFonts w:cstheme="minorHAnsi"/>
        </w:rPr>
        <w:t xml:space="preserve"> which coordinates the evaluation of new products for use by ADOT and maintains the </w:t>
      </w:r>
      <w:hyperlink r:id="rId220" w:history="1">
        <w:r w:rsidR="006E728A" w:rsidRPr="00281E39">
          <w:rPr>
            <w:rStyle w:val="TitleChar"/>
          </w:rPr>
          <w:t>Approved Products List</w:t>
        </w:r>
      </w:hyperlink>
      <w:r w:rsidR="006E728A" w:rsidRPr="006E728A">
        <w:rPr>
          <w:rFonts w:cstheme="minorHAnsi"/>
        </w:rPr>
        <w:t>.</w:t>
      </w:r>
    </w:p>
    <w:p w14:paraId="242E1CBF" w14:textId="61074A52" w:rsidR="006E728A" w:rsidRPr="006E728A" w:rsidRDefault="00F72488" w:rsidP="00020D20">
      <w:pPr>
        <w:pStyle w:val="Heading2"/>
      </w:pPr>
      <w:r>
        <w:br w:type="column"/>
      </w:r>
      <w:bookmarkStart w:id="76" w:name="_Ref50026899"/>
      <w:r w:rsidR="006E728A" w:rsidRPr="006E728A">
        <w:t>2.2 | FEDERAL PARTNER AGENCIES</w:t>
      </w:r>
      <w:bookmarkEnd w:id="76"/>
    </w:p>
    <w:p w14:paraId="181191BF" w14:textId="77777777" w:rsidR="006E728A" w:rsidRPr="006E728A" w:rsidRDefault="006E728A" w:rsidP="00020D20">
      <w:pPr>
        <w:jc w:val="both"/>
        <w:rPr>
          <w:rFonts w:cstheme="minorHAnsi"/>
        </w:rPr>
      </w:pPr>
      <w:r w:rsidRPr="006E728A">
        <w:rPr>
          <w:rFonts w:cstheme="minorHAnsi"/>
        </w:rPr>
        <w:t xml:space="preserve">Most of the funds spent on infrastructure improvements in Arizona come from the state’s federal partners. Therefore, recipients of federal funding (ADOT, MPOs, and COGs) must meet federal criteria, requirements, and expectations in order to use the funding on Arizona’s transportation systems. </w:t>
      </w:r>
    </w:p>
    <w:p w14:paraId="7511155D" w14:textId="77777777" w:rsidR="006E728A" w:rsidRPr="006E728A" w:rsidRDefault="006E728A" w:rsidP="00020D20">
      <w:pPr>
        <w:pStyle w:val="Heading3"/>
        <w:jc w:val="both"/>
      </w:pPr>
      <w:bookmarkStart w:id="77" w:name="_Ref50026915"/>
      <w:r w:rsidRPr="006E728A">
        <w:t>2.2.1 | Federal Highway Administration</w:t>
      </w:r>
      <w:bookmarkEnd w:id="77"/>
    </w:p>
    <w:p w14:paraId="2B6D8DD8" w14:textId="632DC886" w:rsidR="006E728A" w:rsidRPr="006E728A" w:rsidRDefault="006E728A" w:rsidP="00020D20">
      <w:pPr>
        <w:jc w:val="both"/>
        <w:rPr>
          <w:rFonts w:cstheme="minorHAnsi"/>
        </w:rPr>
      </w:pPr>
      <w:r w:rsidRPr="006E728A">
        <w:rPr>
          <w:rFonts w:cstheme="minorHAnsi"/>
        </w:rPr>
        <w:t xml:space="preserve">The FHWA is an agency within the USDOT that supports state and local governments in the design, construction, and maintenance of the nation’s highway system under the </w:t>
      </w:r>
      <w:hyperlink r:id="rId221" w:history="1">
        <w:r w:rsidRPr="00281E39">
          <w:rPr>
            <w:rStyle w:val="TitleChar"/>
          </w:rPr>
          <w:t>Federal-Aid Highway Program</w:t>
        </w:r>
      </w:hyperlink>
      <w:r w:rsidRPr="006E728A">
        <w:rPr>
          <w:rFonts w:cstheme="minorHAnsi"/>
        </w:rPr>
        <w:t xml:space="preserve"> (FAHP) and various other activities directed toward federal and tribal owned lands (e.g., </w:t>
      </w:r>
      <w:hyperlink r:id="rId222" w:history="1">
        <w:r w:rsidR="00374A7E">
          <w:rPr>
            <w:rStyle w:val="TitleChar"/>
          </w:rPr>
          <w:t>Federal Lands Transportation Program</w:t>
        </w:r>
      </w:hyperlink>
      <w:r w:rsidRPr="006E728A">
        <w:rPr>
          <w:rFonts w:cstheme="minorHAnsi"/>
        </w:rPr>
        <w:t xml:space="preserve"> (FL</w:t>
      </w:r>
      <w:r w:rsidR="00374A7E">
        <w:rPr>
          <w:rFonts w:cstheme="minorHAnsi"/>
        </w:rPr>
        <w:t>T</w:t>
      </w:r>
      <w:r w:rsidRPr="006E728A">
        <w:rPr>
          <w:rFonts w:cstheme="minorHAnsi"/>
        </w:rPr>
        <w:t>P)). Through financial and technical assistance to state and local governments, the FHWA ensures that America’s roads and highways continue to be among the safest and most technologically sound in the world. Table 2.1 summarizes the planning program approval chart.</w:t>
      </w:r>
    </w:p>
    <w:p w14:paraId="24E75117" w14:textId="77777777" w:rsidR="006E728A" w:rsidRPr="006E728A" w:rsidRDefault="006E728A" w:rsidP="00020D20">
      <w:pPr>
        <w:pStyle w:val="SubHeading3"/>
        <w:jc w:val="both"/>
      </w:pPr>
      <w:bookmarkStart w:id="78" w:name="_Central_Federal_Lands"/>
      <w:bookmarkStart w:id="79" w:name="_Ref50028078"/>
      <w:bookmarkEnd w:id="78"/>
      <w:r w:rsidRPr="006E728A">
        <w:t>Central Federal Lands Highway Division</w:t>
      </w:r>
      <w:bookmarkEnd w:id="79"/>
    </w:p>
    <w:p w14:paraId="3D9E8C5B" w14:textId="41F75775" w:rsidR="0066117A" w:rsidRDefault="006E728A" w:rsidP="00020D20">
      <w:pPr>
        <w:jc w:val="both"/>
        <w:rPr>
          <w:rFonts w:cstheme="minorHAnsi"/>
        </w:rPr>
      </w:pPr>
      <w:r w:rsidRPr="006E728A">
        <w:rPr>
          <w:rFonts w:cstheme="minorHAnsi"/>
        </w:rPr>
        <w:t xml:space="preserve">The </w:t>
      </w:r>
      <w:hyperlink r:id="rId223" w:history="1">
        <w:r w:rsidRPr="00281E39">
          <w:rPr>
            <w:rStyle w:val="TitleChar"/>
          </w:rPr>
          <w:t>Central Federal Lands Highway Division</w:t>
        </w:r>
      </w:hyperlink>
      <w:r w:rsidRPr="006E728A">
        <w:rPr>
          <w:rFonts w:cstheme="minorHAnsi"/>
        </w:rPr>
        <w:t xml:space="preserve"> </w:t>
      </w:r>
      <w:r w:rsidR="00281E39">
        <w:rPr>
          <w:rFonts w:cstheme="minorHAnsi"/>
        </w:rPr>
        <w:t xml:space="preserve">(CFLHD) </w:t>
      </w:r>
      <w:r w:rsidRPr="006E728A">
        <w:rPr>
          <w:rFonts w:cstheme="minorHAnsi"/>
        </w:rPr>
        <w:t>operates as part of the FL</w:t>
      </w:r>
      <w:r w:rsidR="00374A7E">
        <w:rPr>
          <w:rFonts w:cstheme="minorHAnsi"/>
        </w:rPr>
        <w:t>T</w:t>
      </w:r>
      <w:r w:rsidRPr="006E728A">
        <w:rPr>
          <w:rFonts w:cstheme="minorHAnsi"/>
        </w:rPr>
        <w:t>HP, serving the needs of all central states. CFLHD</w:t>
      </w:r>
      <w:r>
        <w:rPr>
          <w:rFonts w:cstheme="minorHAnsi"/>
        </w:rPr>
        <w:t xml:space="preserve"> </w:t>
      </w:r>
      <w:r w:rsidRPr="006E728A">
        <w:rPr>
          <w:rFonts w:cstheme="minorHAnsi"/>
        </w:rPr>
        <w:t xml:space="preserve">roads serve recreational travel and tourism, protect and enhance natural resources, provide sustained economic development in rural areas, and provide needed transportation access for Native Americans. Figure 2-3 Shows the </w:t>
      </w:r>
      <w:hyperlink r:id="rId224" w:history="1">
        <w:r w:rsidRPr="00281E39">
          <w:rPr>
            <w:rStyle w:val="TitleChar"/>
          </w:rPr>
          <w:t>Federal Lands Highway Divisions</w:t>
        </w:r>
      </w:hyperlink>
      <w:r w:rsidRPr="006E728A">
        <w:rPr>
          <w:rFonts w:cstheme="minorHAnsi"/>
        </w:rPr>
        <w:t xml:space="preserve">. </w:t>
      </w:r>
    </w:p>
    <w:p w14:paraId="6F4FB382" w14:textId="48E2FADF" w:rsidR="009A6000" w:rsidRDefault="0066117A" w:rsidP="00020D20">
      <w:pPr>
        <w:pStyle w:val="TableNotes"/>
        <w:jc w:val="both"/>
      </w:pPr>
      <w:r>
        <w:t xml:space="preserve">Figure 2-3 </w:t>
      </w:r>
      <w:r w:rsidR="009A6000">
        <w:t>|</w:t>
      </w:r>
      <w:r>
        <w:t xml:space="preserve"> Federal Lands </w:t>
      </w:r>
      <w:r w:rsidR="00374A7E">
        <w:t xml:space="preserve">Transportation </w:t>
      </w:r>
      <w:r>
        <w:t>Divisions</w:t>
      </w:r>
    </w:p>
    <w:p w14:paraId="03258550" w14:textId="77777777" w:rsidR="0066117A" w:rsidRDefault="006B01A7" w:rsidP="00020D20">
      <w:pPr>
        <w:jc w:val="both"/>
      </w:pPr>
      <w:r>
        <w:rPr>
          <w:noProof/>
        </w:rPr>
        <w:drawing>
          <wp:inline distT="0" distB="0" distL="0" distR="0" wp14:anchorId="7C3B047D" wp14:editId="728E0FD8">
            <wp:extent cx="2447925" cy="1602484"/>
            <wp:effectExtent l="0" t="0" r="0" b="0"/>
            <wp:docPr id="4" name="Picture 4"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_Figure2-3-FedLandsHwyDiv.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456000" cy="1607770"/>
                    </a:xfrm>
                    <a:prstGeom prst="rect">
                      <a:avLst/>
                    </a:prstGeom>
                  </pic:spPr>
                </pic:pic>
              </a:graphicData>
            </a:graphic>
          </wp:inline>
        </w:drawing>
      </w:r>
    </w:p>
    <w:p w14:paraId="059A0FF9" w14:textId="77777777" w:rsidR="0066117A" w:rsidRDefault="0066117A" w:rsidP="00020D20">
      <w:pPr>
        <w:jc w:val="both"/>
        <w:rPr>
          <w:rFonts w:cstheme="minorHAnsi"/>
        </w:rPr>
        <w:sectPr w:rsidR="0066117A" w:rsidSect="00020D20">
          <w:type w:val="continuous"/>
          <w:pgSz w:w="12240" w:h="15840"/>
          <w:pgMar w:top="1440" w:right="1440" w:bottom="1440" w:left="1440" w:header="720" w:footer="720" w:gutter="0"/>
          <w:pgNumType w:chapStyle="1"/>
          <w:cols w:num="2" w:space="720"/>
          <w:docGrid w:linePitch="360"/>
        </w:sectPr>
      </w:pPr>
    </w:p>
    <w:p w14:paraId="45ADCB8A" w14:textId="6DE4B68A" w:rsidR="006E728A" w:rsidRPr="00C57D06" w:rsidRDefault="006E728A" w:rsidP="00020D20">
      <w:pPr>
        <w:pStyle w:val="Heading4"/>
        <w:jc w:val="both"/>
      </w:pPr>
      <w:r w:rsidRPr="000D70F2">
        <w:t>Table 2-1 | Planning Approval Chart</w:t>
      </w:r>
    </w:p>
    <w:tbl>
      <w:tblPr>
        <w:tblW w:w="9365" w:type="dxa"/>
        <w:tblInd w:w="-10" w:type="dxa"/>
        <w:tblLayout w:type="fixed"/>
        <w:tblCellMar>
          <w:left w:w="0" w:type="dxa"/>
          <w:right w:w="0" w:type="dxa"/>
        </w:tblCellMar>
        <w:tblLook w:val="0000" w:firstRow="0" w:lastRow="0" w:firstColumn="0" w:lastColumn="0" w:noHBand="0" w:noVBand="0"/>
      </w:tblPr>
      <w:tblGrid>
        <w:gridCol w:w="2615"/>
        <w:gridCol w:w="1165"/>
        <w:gridCol w:w="1175"/>
        <w:gridCol w:w="990"/>
        <w:gridCol w:w="3420"/>
      </w:tblGrid>
      <w:tr w:rsidR="006E728A" w14:paraId="7756980C" w14:textId="77777777" w:rsidTr="00020D20">
        <w:trPr>
          <w:trHeight w:val="180"/>
        </w:trPr>
        <w:tc>
          <w:tcPr>
            <w:tcW w:w="3780" w:type="dxa"/>
            <w:gridSpan w:val="2"/>
            <w:tcBorders>
              <w:top w:val="single" w:sz="4" w:space="0" w:color="auto"/>
              <w:left w:val="single" w:sz="4" w:space="0" w:color="auto"/>
              <w:bottom w:val="single" w:sz="4" w:space="0" w:color="FFFFFF" w:themeColor="background1"/>
              <w:right w:val="single" w:sz="8" w:space="0" w:color="FFFFFF" w:themeColor="background1"/>
            </w:tcBorders>
            <w:shd w:val="clear" w:color="auto" w:fill="012768"/>
            <w:tcMar>
              <w:top w:w="80" w:type="dxa"/>
              <w:left w:w="80" w:type="dxa"/>
              <w:bottom w:w="80" w:type="dxa"/>
              <w:right w:w="80" w:type="dxa"/>
            </w:tcMar>
            <w:vAlign w:val="center"/>
          </w:tcPr>
          <w:p w14:paraId="2B1E15F1"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Program Activities</w:t>
            </w:r>
          </w:p>
        </w:tc>
        <w:tc>
          <w:tcPr>
            <w:tcW w:w="5585" w:type="dxa"/>
            <w:gridSpan w:val="3"/>
            <w:tcBorders>
              <w:top w:val="single" w:sz="4" w:space="0" w:color="auto"/>
              <w:left w:val="single" w:sz="8"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3C3C7B65"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Agency Responsible</w:t>
            </w:r>
          </w:p>
        </w:tc>
      </w:tr>
      <w:tr w:rsidR="006E728A" w14:paraId="487ECF1C" w14:textId="77777777" w:rsidTr="00020D20">
        <w:trPr>
          <w:trHeight w:val="180"/>
        </w:trPr>
        <w:tc>
          <w:tcPr>
            <w:tcW w:w="2615" w:type="dxa"/>
            <w:tcBorders>
              <w:top w:val="single" w:sz="4" w:space="0" w:color="FFFFFF" w:themeColor="background1"/>
              <w:left w:val="single" w:sz="4" w:space="0" w:color="auto"/>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5013F3B4"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Approval Action</w:t>
            </w:r>
          </w:p>
        </w:tc>
        <w:tc>
          <w:tcPr>
            <w:tcW w:w="1165" w:type="dxa"/>
            <w:tcBorders>
              <w:top w:val="single" w:sz="4" w:space="0" w:color="FFFFFF" w:themeColor="background1"/>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2879173C"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Reference</w:t>
            </w:r>
          </w:p>
        </w:tc>
        <w:tc>
          <w:tcPr>
            <w:tcW w:w="1175" w:type="dxa"/>
            <w:tcBorders>
              <w:top w:val="single" w:sz="4" w:space="0" w:color="FFFFFF" w:themeColor="background1"/>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487D2047"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Review</w:t>
            </w:r>
          </w:p>
        </w:tc>
        <w:tc>
          <w:tcPr>
            <w:tcW w:w="990" w:type="dxa"/>
            <w:tcBorders>
              <w:top w:val="single" w:sz="4" w:space="0" w:color="FFFFFF" w:themeColor="background1"/>
              <w:left w:val="single" w:sz="8"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034C2893"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Approve</w:t>
            </w:r>
          </w:p>
        </w:tc>
        <w:tc>
          <w:tcPr>
            <w:tcW w:w="3420" w:type="dxa"/>
            <w:tcBorders>
              <w:top w:val="single" w:sz="4" w:space="0" w:color="FFFFFF" w:themeColor="background1"/>
              <w:left w:val="single" w:sz="8"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1BBD4EA5" w14:textId="77777777" w:rsidR="006E728A" w:rsidRPr="00020D20" w:rsidRDefault="006E728A">
            <w:pPr>
              <w:pStyle w:val="BasicParagraph"/>
              <w:tabs>
                <w:tab w:val="left" w:pos="180"/>
                <w:tab w:val="left" w:pos="360"/>
                <w:tab w:val="left" w:pos="540"/>
                <w:tab w:val="left" w:pos="720"/>
              </w:tabs>
              <w:spacing w:line="240" w:lineRule="auto"/>
              <w:contextualSpacing/>
              <w:jc w:val="center"/>
              <w:rPr>
                <w:rFonts w:asciiTheme="minorHAnsi" w:hAnsiTheme="minorHAnsi" w:cstheme="minorHAnsi"/>
                <w:color w:val="FFFFFF" w:themeColor="background1"/>
                <w:sz w:val="22"/>
                <w:szCs w:val="20"/>
              </w:rPr>
            </w:pPr>
            <w:r w:rsidRPr="00020D20">
              <w:rPr>
                <w:rFonts w:asciiTheme="minorHAnsi" w:hAnsiTheme="minorHAnsi" w:cstheme="minorHAnsi"/>
                <w:color w:val="FFFFFF" w:themeColor="background1"/>
                <w:sz w:val="22"/>
                <w:szCs w:val="20"/>
              </w:rPr>
              <w:t>Remarks</w:t>
            </w:r>
          </w:p>
        </w:tc>
      </w:tr>
      <w:tr w:rsidR="006E728A" w14:paraId="4B1FCC1C" w14:textId="77777777" w:rsidTr="00020D20">
        <w:trPr>
          <w:trHeight w:val="360"/>
        </w:trPr>
        <w:tc>
          <w:tcPr>
            <w:tcW w:w="2615"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43DC345F" w14:textId="51F883F8" w:rsidR="006E728A" w:rsidRPr="00020D20" w:rsidRDefault="00202C92">
            <w:pPr>
              <w:pStyle w:val="Title"/>
              <w:rPr>
                <w:sz w:val="17"/>
                <w:szCs w:val="17"/>
              </w:rPr>
            </w:pPr>
            <w:hyperlink r:id="rId226" w:history="1">
              <w:r w:rsidR="006E728A" w:rsidRPr="00020D20">
                <w:rPr>
                  <w:rStyle w:val="Hyperlink"/>
                  <w:rFonts w:asciiTheme="minorHAnsi" w:hAnsiTheme="minorHAnsi" w:cstheme="majorBidi"/>
                  <w:i/>
                  <w:color w:val="CE5B18"/>
                  <w:sz w:val="17"/>
                  <w:szCs w:val="17"/>
                  <w:u w:val="none"/>
                </w:rPr>
                <w:t>State Planning and Research (SP</w:t>
              </w:r>
              <w:r w:rsidR="00281E39" w:rsidRPr="00020D20">
                <w:rPr>
                  <w:rStyle w:val="Hyperlink"/>
                  <w:rFonts w:asciiTheme="minorHAnsi" w:hAnsiTheme="minorHAnsi" w:cstheme="majorBidi"/>
                  <w:i/>
                  <w:color w:val="CE5B18"/>
                  <w:sz w:val="17"/>
                  <w:szCs w:val="17"/>
                  <w:u w:val="none"/>
                </w:rPr>
                <w:t>&amp;</w:t>
              </w:r>
              <w:r w:rsidR="006E728A" w:rsidRPr="00020D20">
                <w:rPr>
                  <w:rStyle w:val="Hyperlink"/>
                  <w:rFonts w:asciiTheme="minorHAnsi" w:hAnsiTheme="minorHAnsi" w:cstheme="majorBidi"/>
                  <w:i/>
                  <w:color w:val="CE5B18"/>
                  <w:sz w:val="17"/>
                  <w:szCs w:val="17"/>
                  <w:u w:val="none"/>
                </w:rPr>
                <w:t>R) Work Program</w:t>
              </w:r>
            </w:hyperlink>
          </w:p>
        </w:tc>
        <w:tc>
          <w:tcPr>
            <w:tcW w:w="1165"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71D1FA20" w14:textId="46BF0EE9"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Pr="00020D20">
              <w:rPr>
                <w:rFonts w:cstheme="minorHAnsi"/>
                <w:sz w:val="17"/>
                <w:szCs w:val="17"/>
              </w:rPr>
              <w:t>§</w:t>
            </w:r>
            <w:r w:rsidR="008216A0">
              <w:rPr>
                <w:rFonts w:cstheme="minorHAnsi"/>
                <w:sz w:val="17"/>
                <w:szCs w:val="17"/>
              </w:rPr>
              <w:t xml:space="preserve"> </w:t>
            </w:r>
            <w:r w:rsidRPr="00020D20">
              <w:rPr>
                <w:rFonts w:cstheme="minorHAnsi"/>
                <w:sz w:val="17"/>
                <w:szCs w:val="17"/>
              </w:rPr>
              <w:t>420.111</w:t>
            </w:r>
          </w:p>
        </w:tc>
        <w:tc>
          <w:tcPr>
            <w:tcW w:w="1175"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1F7580C2"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990"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79D951F0"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3420"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21295E9F" w14:textId="2AABC894"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ADOT develops</w:t>
            </w:r>
            <w:r w:rsidR="00AE4418" w:rsidRPr="00020D20">
              <w:rPr>
                <w:rFonts w:ascii="Calibri" w:hAnsi="Calibri" w:cs="Calibri"/>
                <w:w w:val="97"/>
                <w:sz w:val="17"/>
                <w:szCs w:val="17"/>
              </w:rPr>
              <w:t xml:space="preserve"> a</w:t>
            </w:r>
            <w:r w:rsidRPr="00020D20">
              <w:rPr>
                <w:rFonts w:ascii="Calibri" w:hAnsi="Calibri" w:cs="Calibri"/>
                <w:w w:val="97"/>
                <w:sz w:val="17"/>
                <w:szCs w:val="17"/>
              </w:rPr>
              <w:t xml:space="preserve"> work program</w:t>
            </w:r>
            <w:r w:rsidR="00AE4418" w:rsidRPr="00020D20">
              <w:rPr>
                <w:rFonts w:ascii="Calibri" w:hAnsi="Calibri" w:cs="Calibri"/>
                <w:w w:val="97"/>
                <w:sz w:val="17"/>
                <w:szCs w:val="17"/>
              </w:rPr>
              <w:t xml:space="preserve"> every two years</w:t>
            </w:r>
            <w:r w:rsidRPr="00020D20">
              <w:rPr>
                <w:rFonts w:ascii="Calibri" w:hAnsi="Calibri" w:cs="Calibri"/>
                <w:w w:val="97"/>
                <w:sz w:val="17"/>
                <w:szCs w:val="17"/>
              </w:rPr>
              <w:t>.</w:t>
            </w:r>
          </w:p>
        </w:tc>
      </w:tr>
      <w:tr w:rsidR="006E728A" w14:paraId="70C2CE4D"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DE6198D" w14:textId="2836720D" w:rsidR="006E728A" w:rsidRPr="00020D20" w:rsidRDefault="00202C92">
            <w:pPr>
              <w:pStyle w:val="Title"/>
              <w:rPr>
                <w:sz w:val="17"/>
                <w:szCs w:val="17"/>
              </w:rPr>
            </w:pPr>
            <w:hyperlink r:id="rId227" w:history="1">
              <w:r w:rsidR="006E728A" w:rsidRPr="00020D20">
                <w:rPr>
                  <w:rStyle w:val="Hyperlink"/>
                  <w:rFonts w:asciiTheme="minorHAnsi" w:hAnsiTheme="minorHAnsi" w:cstheme="majorBidi"/>
                  <w:i/>
                  <w:color w:val="CE5B18"/>
                  <w:sz w:val="17"/>
                  <w:szCs w:val="17"/>
                  <w:u w:val="none"/>
                </w:rPr>
                <w:t>MPO Unified Planning Work Programs (UPWPs)</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F6F05B9" w14:textId="1B3A97A1"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Pr="00020D20">
              <w:rPr>
                <w:rFonts w:cstheme="minorHAnsi"/>
                <w:sz w:val="17"/>
                <w:szCs w:val="17"/>
              </w:rPr>
              <w:t>§</w:t>
            </w:r>
            <w:r w:rsidR="008216A0">
              <w:rPr>
                <w:rFonts w:cstheme="minorHAnsi"/>
                <w:sz w:val="17"/>
                <w:szCs w:val="17"/>
              </w:rPr>
              <w:t xml:space="preserve"> </w:t>
            </w:r>
            <w:r w:rsidRPr="00020D20">
              <w:rPr>
                <w:rFonts w:cstheme="minorHAnsi"/>
                <w:sz w:val="17"/>
                <w:szCs w:val="17"/>
              </w:rPr>
              <w:t>450.308</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13B5956"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ADOT &amp; 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CDEE486"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DF1CFEE" w14:textId="77B7D329"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MPO</w:t>
            </w:r>
            <w:r w:rsidR="00AE4418" w:rsidRPr="00020D20">
              <w:rPr>
                <w:rFonts w:ascii="Calibri" w:hAnsi="Calibri" w:cs="Calibri"/>
                <w:w w:val="97"/>
                <w:sz w:val="17"/>
                <w:szCs w:val="17"/>
              </w:rPr>
              <w:t xml:space="preserve">s </w:t>
            </w:r>
            <w:r w:rsidRPr="00020D20">
              <w:rPr>
                <w:rFonts w:ascii="Calibri" w:hAnsi="Calibri" w:cs="Calibri"/>
                <w:w w:val="97"/>
                <w:sz w:val="17"/>
                <w:szCs w:val="17"/>
              </w:rPr>
              <w:t>develop</w:t>
            </w:r>
            <w:r w:rsidR="00AE4418" w:rsidRPr="00020D20">
              <w:rPr>
                <w:rFonts w:ascii="Calibri" w:hAnsi="Calibri" w:cs="Calibri"/>
                <w:w w:val="97"/>
                <w:sz w:val="17"/>
                <w:szCs w:val="17"/>
              </w:rPr>
              <w:t xml:space="preserve"> a</w:t>
            </w:r>
            <w:r w:rsidRPr="00020D20">
              <w:rPr>
                <w:rFonts w:ascii="Calibri" w:hAnsi="Calibri" w:cs="Calibri"/>
                <w:w w:val="97"/>
                <w:sz w:val="17"/>
                <w:szCs w:val="17"/>
              </w:rPr>
              <w:t xml:space="preserve"> UPWP</w:t>
            </w:r>
            <w:r w:rsidR="00AE4418" w:rsidRPr="00020D20">
              <w:rPr>
                <w:rFonts w:ascii="Calibri" w:hAnsi="Calibri" w:cs="Calibri"/>
                <w:w w:val="97"/>
                <w:sz w:val="17"/>
                <w:szCs w:val="17"/>
              </w:rPr>
              <w:t xml:space="preserve"> every two years</w:t>
            </w:r>
            <w:r w:rsidRPr="00020D20">
              <w:rPr>
                <w:rFonts w:ascii="Calibri" w:hAnsi="Calibri" w:cs="Calibri"/>
                <w:w w:val="97"/>
                <w:sz w:val="17"/>
                <w:szCs w:val="17"/>
              </w:rPr>
              <w:t>.</w:t>
            </w:r>
          </w:p>
        </w:tc>
      </w:tr>
      <w:tr w:rsidR="006E728A" w14:paraId="2F629B92"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C714F17" w14:textId="59E3F0B9" w:rsidR="006E728A" w:rsidRPr="00020D20" w:rsidRDefault="00202C92">
            <w:pPr>
              <w:pStyle w:val="Title"/>
              <w:rPr>
                <w:sz w:val="17"/>
                <w:szCs w:val="17"/>
              </w:rPr>
            </w:pPr>
            <w:hyperlink r:id="rId228" w:history="1">
              <w:r w:rsidR="006E728A" w:rsidRPr="00020D20">
                <w:rPr>
                  <w:rStyle w:val="Hyperlink"/>
                  <w:rFonts w:asciiTheme="minorHAnsi" w:hAnsiTheme="minorHAnsi" w:cstheme="majorBidi"/>
                  <w:i/>
                  <w:color w:val="CE5B18"/>
                  <w:sz w:val="17"/>
                  <w:szCs w:val="17"/>
                  <w:u w:val="none"/>
                </w:rPr>
                <w:t>Long-Range Statewide Transportation Plan</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1F40D95" w14:textId="622CB970"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Pr="00020D20">
              <w:rPr>
                <w:rFonts w:cstheme="minorHAnsi"/>
                <w:sz w:val="17"/>
                <w:szCs w:val="17"/>
              </w:rPr>
              <w:t>§</w:t>
            </w:r>
            <w:r w:rsidR="008216A0">
              <w:rPr>
                <w:rFonts w:cstheme="minorHAnsi"/>
                <w:sz w:val="17"/>
                <w:szCs w:val="17"/>
              </w:rPr>
              <w:t xml:space="preserve"> </w:t>
            </w:r>
            <w:r w:rsidRPr="00020D20">
              <w:rPr>
                <w:rFonts w:cstheme="minorHAnsi"/>
                <w:sz w:val="17"/>
                <w:szCs w:val="17"/>
              </w:rPr>
              <w:t>450</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AB9DA15"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6F02003"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ADOT</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508D866"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FHWA reviews and comments on LRTP to determine compliance with federal requirements. No official approval action is taken.</w:t>
            </w:r>
          </w:p>
        </w:tc>
      </w:tr>
      <w:tr w:rsidR="006E728A" w14:paraId="399A9A7B"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4F6F3B2" w14:textId="1EF30759" w:rsidR="006E728A" w:rsidRPr="00020D20" w:rsidRDefault="00202C92">
            <w:pPr>
              <w:pStyle w:val="Title"/>
              <w:rPr>
                <w:sz w:val="17"/>
                <w:szCs w:val="17"/>
              </w:rPr>
            </w:pPr>
            <w:hyperlink r:id="rId229" w:history="1">
              <w:r w:rsidR="006E728A" w:rsidRPr="00020D20">
                <w:rPr>
                  <w:rStyle w:val="Hyperlink"/>
                  <w:rFonts w:asciiTheme="minorHAnsi" w:hAnsiTheme="minorHAnsi" w:cstheme="majorBidi"/>
                  <w:i/>
                  <w:color w:val="CE5B18"/>
                  <w:sz w:val="17"/>
                  <w:szCs w:val="17"/>
                  <w:u w:val="none"/>
                </w:rPr>
                <w:t>Statewide Transportation Improvement Program (STIP)</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0EFF4B1" w14:textId="7EDF0277"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Pr="00020D20">
              <w:rPr>
                <w:rFonts w:cstheme="minorHAnsi"/>
                <w:sz w:val="17"/>
                <w:szCs w:val="17"/>
              </w:rPr>
              <w:t>§</w:t>
            </w:r>
            <w:r w:rsidR="008216A0">
              <w:rPr>
                <w:rFonts w:cstheme="minorHAnsi"/>
                <w:sz w:val="17"/>
                <w:szCs w:val="17"/>
              </w:rPr>
              <w:t xml:space="preserve"> </w:t>
            </w:r>
            <w:r w:rsidRPr="00020D20">
              <w:rPr>
                <w:rFonts w:cstheme="minorHAnsi"/>
                <w:sz w:val="17"/>
                <w:szCs w:val="17"/>
              </w:rPr>
              <w:t>450.21</w:t>
            </w:r>
            <w:r w:rsidR="00793E66">
              <w:rPr>
                <w:rFonts w:cstheme="minorHAnsi"/>
                <w:sz w:val="17"/>
                <w:szCs w:val="17"/>
              </w:rPr>
              <w:t>8</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08AFC0C"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EF438B7"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 &amp; FTA</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A30B4F2"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Minimum 4-year period; update required every 4 years, but ADOT traditionally updates annually. FHWA also reviews the STIP to determine whether it contains projects consistent with a compliant long-range statewide plan.</w:t>
            </w:r>
          </w:p>
        </w:tc>
      </w:tr>
      <w:tr w:rsidR="006E728A" w14:paraId="7BC179F8"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B25302E" w14:textId="21BBE8C2" w:rsidR="006E728A" w:rsidRPr="00020D20" w:rsidRDefault="00202C92">
            <w:pPr>
              <w:pStyle w:val="Title"/>
              <w:rPr>
                <w:sz w:val="17"/>
                <w:szCs w:val="17"/>
              </w:rPr>
            </w:pPr>
            <w:hyperlink r:id="rId230" w:history="1">
              <w:r w:rsidR="006E728A" w:rsidRPr="00020D20">
                <w:rPr>
                  <w:rStyle w:val="Hyperlink"/>
                  <w:rFonts w:asciiTheme="minorHAnsi" w:hAnsiTheme="minorHAnsi" w:cstheme="majorBidi"/>
                  <w:i/>
                  <w:color w:val="CE5B18"/>
                  <w:sz w:val="17"/>
                  <w:szCs w:val="17"/>
                  <w:u w:val="none"/>
                </w:rPr>
                <w:t>Metropolitan 20-Year Long-Range Transportation Plan (LRTP)</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CB64A32" w14:textId="48CC23B5"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Pr="00020D20">
              <w:rPr>
                <w:rFonts w:cstheme="minorHAnsi"/>
                <w:sz w:val="17"/>
                <w:szCs w:val="17"/>
              </w:rPr>
              <w:t>§</w:t>
            </w:r>
            <w:r w:rsidR="008216A0">
              <w:rPr>
                <w:rFonts w:cstheme="minorHAnsi"/>
                <w:sz w:val="17"/>
                <w:szCs w:val="17"/>
              </w:rPr>
              <w:t xml:space="preserve"> </w:t>
            </w:r>
            <w:r w:rsidRPr="00020D20">
              <w:rPr>
                <w:rFonts w:cstheme="minorHAnsi"/>
                <w:sz w:val="17"/>
                <w:szCs w:val="17"/>
              </w:rPr>
              <w:t>450.32</w:t>
            </w:r>
            <w:r w:rsidR="00814E19">
              <w:rPr>
                <w:rFonts w:cstheme="minorHAnsi"/>
                <w:sz w:val="17"/>
                <w:szCs w:val="17"/>
              </w:rPr>
              <w:t>4</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849592C"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ADOT &amp; 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0EED43D"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MPO</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550E72D"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FHWA/FTA &amp; ADOT review and comment on metropolitan LRTPs but do not approve them. However, FHWA/FTA must make an air quality conformity determination.</w:t>
            </w:r>
          </w:p>
        </w:tc>
      </w:tr>
      <w:tr w:rsidR="006E728A" w14:paraId="47E85C4E"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8710A04" w14:textId="24C7E855" w:rsidR="006E728A" w:rsidRPr="00020D20" w:rsidRDefault="00202C92">
            <w:pPr>
              <w:pStyle w:val="Title"/>
              <w:rPr>
                <w:sz w:val="17"/>
                <w:szCs w:val="17"/>
              </w:rPr>
            </w:pPr>
            <w:hyperlink r:id="rId231" w:history="1">
              <w:r w:rsidR="006E728A" w:rsidRPr="00020D20">
                <w:rPr>
                  <w:rStyle w:val="Hyperlink"/>
                  <w:rFonts w:asciiTheme="minorHAnsi" w:hAnsiTheme="minorHAnsi" w:cstheme="majorBidi"/>
                  <w:i/>
                  <w:color w:val="CE5B18"/>
                  <w:sz w:val="17"/>
                  <w:szCs w:val="17"/>
                  <w:u w:val="none"/>
                </w:rPr>
                <w:t>Metropolitan Transportation Improvement Program (MTIP)</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39A1D16" w14:textId="5A1CF88A" w:rsidR="006E728A" w:rsidRPr="00020D20" w:rsidRDefault="00814E19" w:rsidP="00020D20">
            <w:pPr>
              <w:jc w:val="center"/>
            </w:pPr>
            <w:r w:rsidRPr="00020D20">
              <w:rPr>
                <w:sz w:val="16"/>
              </w:rPr>
              <w:t xml:space="preserve">23 </w:t>
            </w:r>
            <w:r w:rsidR="009628C0">
              <w:rPr>
                <w:sz w:val="16"/>
              </w:rPr>
              <w:t xml:space="preserve">C.F.R. </w:t>
            </w:r>
            <w:r w:rsidRPr="00020D20">
              <w:rPr>
                <w:sz w:val="16"/>
              </w:rPr>
              <w:t>§</w:t>
            </w:r>
            <w:r w:rsidR="008216A0">
              <w:rPr>
                <w:sz w:val="16"/>
              </w:rPr>
              <w:t xml:space="preserve"> </w:t>
            </w:r>
            <w:r w:rsidRPr="00020D20">
              <w:rPr>
                <w:sz w:val="16"/>
              </w:rPr>
              <w:t>450.326</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D798B80" w14:textId="77777777" w:rsidR="00FE3DA2" w:rsidRDefault="006E728A" w:rsidP="00020D20">
            <w:pPr>
              <w:spacing w:before="0" w:after="0" w:line="240" w:lineRule="auto"/>
              <w:jc w:val="center"/>
              <w:rPr>
                <w:rFonts w:cs="Calibri"/>
                <w:sz w:val="17"/>
                <w:szCs w:val="17"/>
              </w:rPr>
            </w:pPr>
            <w:r w:rsidRPr="00020D20">
              <w:rPr>
                <w:rFonts w:ascii="Calibri" w:hAnsi="Calibri" w:cs="Calibri"/>
                <w:sz w:val="17"/>
                <w:szCs w:val="17"/>
              </w:rPr>
              <w:t>FHWA</w:t>
            </w:r>
            <w:r w:rsidR="00FE3DA2">
              <w:rPr>
                <w:rFonts w:ascii="Calibri" w:hAnsi="Calibri" w:cs="Calibri"/>
                <w:sz w:val="17"/>
                <w:szCs w:val="17"/>
              </w:rPr>
              <w:t xml:space="preserve"> &amp;</w:t>
            </w:r>
          </w:p>
          <w:p w14:paraId="3A5AA278" w14:textId="0C58EC29" w:rsidR="006E728A" w:rsidRPr="00020D20" w:rsidRDefault="00FE3DA2" w:rsidP="00020D20">
            <w:pPr>
              <w:spacing w:before="0" w:after="0" w:line="240" w:lineRule="auto"/>
              <w:jc w:val="center"/>
              <w:rPr>
                <w:rFonts w:cs="Calibri"/>
                <w:sz w:val="17"/>
                <w:szCs w:val="17"/>
              </w:rPr>
            </w:pPr>
            <w:r>
              <w:rPr>
                <w:rFonts w:ascii="Calibri" w:hAnsi="Calibri" w:cs="Calibri"/>
                <w:sz w:val="17"/>
                <w:szCs w:val="17"/>
              </w:rPr>
              <w:t>ADOT (and any affected public transportation operators</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217A864"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 &amp; FTA</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0A3D328"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Minimum 4-year period; update required every 4 years but may be updated more frequently. FHWA also reviews the TIP to determine whether it contains projects consistent with a compliant metropolitan long-range transportation plan (LRTP).</w:t>
            </w:r>
          </w:p>
        </w:tc>
      </w:tr>
      <w:tr w:rsidR="006E728A" w14:paraId="7770603C"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829EDB5" w14:textId="3BECF42B" w:rsidR="006E728A" w:rsidRPr="00020D20" w:rsidRDefault="00202C92">
            <w:pPr>
              <w:pStyle w:val="Title"/>
              <w:rPr>
                <w:sz w:val="17"/>
                <w:szCs w:val="17"/>
              </w:rPr>
            </w:pPr>
            <w:hyperlink r:id="rId232" w:history="1">
              <w:r w:rsidR="006E728A" w:rsidRPr="00020D20">
                <w:rPr>
                  <w:rStyle w:val="Hyperlink"/>
                  <w:rFonts w:asciiTheme="minorHAnsi" w:hAnsiTheme="minorHAnsi" w:cstheme="majorBidi"/>
                  <w:i/>
                  <w:color w:val="CE5B18"/>
                  <w:sz w:val="17"/>
                  <w:szCs w:val="17"/>
                  <w:u w:val="none"/>
                </w:rPr>
                <w:t>Traffic Volume Monthly Automated Traffic Recorder (ATR) Data</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B911CA2" w14:textId="5A82BF0E"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Pr="00020D20">
              <w:rPr>
                <w:rFonts w:cstheme="minorHAnsi"/>
                <w:sz w:val="17"/>
                <w:szCs w:val="17"/>
              </w:rPr>
              <w:t>§</w:t>
            </w:r>
            <w:r w:rsidR="008216A0">
              <w:rPr>
                <w:rFonts w:cstheme="minorHAnsi"/>
                <w:sz w:val="17"/>
                <w:szCs w:val="17"/>
              </w:rPr>
              <w:t xml:space="preserve"> </w:t>
            </w:r>
            <w:r w:rsidRPr="00020D20">
              <w:rPr>
                <w:rFonts w:cstheme="minorHAnsi"/>
                <w:sz w:val="17"/>
                <w:szCs w:val="17"/>
              </w:rPr>
              <w:t>420.105</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9045190"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 HQ</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5B9CB91" w14:textId="579F1E04"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NONE</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3C353BE"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ADOT submits required ATR data reports directly to FHWA HQ.</w:t>
            </w:r>
          </w:p>
        </w:tc>
      </w:tr>
      <w:tr w:rsidR="006E728A" w14:paraId="36EDA9F3"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D28D130" w14:textId="77777777" w:rsidR="006E728A" w:rsidRPr="00020D20" w:rsidRDefault="006E728A" w:rsidP="00020D20">
            <w:pPr>
              <w:pStyle w:val="Heading5"/>
              <w:spacing w:before="0" w:after="0" w:line="240" w:lineRule="auto"/>
              <w:rPr>
                <w:sz w:val="17"/>
                <w:szCs w:val="17"/>
              </w:rPr>
            </w:pPr>
            <w:r w:rsidRPr="00020D20">
              <w:rPr>
                <w:sz w:val="17"/>
                <w:szCs w:val="17"/>
              </w:rPr>
              <w:t>Annual Truck Weight Characteristics Data</w:t>
            </w:r>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1EDEDCA" w14:textId="64E84FEE"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00814E19" w:rsidRPr="00FA4D95">
              <w:rPr>
                <w:rFonts w:cstheme="minorHAnsi"/>
                <w:sz w:val="17"/>
                <w:szCs w:val="17"/>
              </w:rPr>
              <w:t>§</w:t>
            </w:r>
            <w:r w:rsidR="008216A0">
              <w:rPr>
                <w:rFonts w:cstheme="minorHAnsi"/>
                <w:sz w:val="17"/>
                <w:szCs w:val="17"/>
              </w:rPr>
              <w:t xml:space="preserve"> </w:t>
            </w:r>
            <w:r w:rsidRPr="00020D20">
              <w:rPr>
                <w:rFonts w:cstheme="minorHAnsi"/>
                <w:sz w:val="17"/>
                <w:szCs w:val="17"/>
              </w:rPr>
              <w:t>420.105</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FC81F91"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 HQ</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B6FFEED" w14:textId="0E4F51BA"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NONE</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293B0AD"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ADOT annually submits required data directly to FHWA HQ.</w:t>
            </w:r>
          </w:p>
        </w:tc>
      </w:tr>
      <w:tr w:rsidR="006E728A" w14:paraId="77AE18F4"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69DA598" w14:textId="6F5B9E0E" w:rsidR="006E728A" w:rsidRPr="00020D20" w:rsidRDefault="00202C92" w:rsidP="00020D20">
            <w:pPr>
              <w:pStyle w:val="TableSideSub-HeaderHyperlinkADOTTable"/>
              <w:spacing w:before="0" w:after="0" w:line="240" w:lineRule="auto"/>
              <w:rPr>
                <w:rFonts w:asciiTheme="minorHAnsi" w:hAnsiTheme="minorHAnsi" w:cstheme="minorHAnsi"/>
                <w:sz w:val="17"/>
                <w:szCs w:val="17"/>
              </w:rPr>
            </w:pPr>
            <w:hyperlink r:id="rId233" w:history="1">
              <w:r w:rsidR="006E728A" w:rsidRPr="00020D20">
                <w:rPr>
                  <w:rStyle w:val="TitleChar"/>
                  <w:b w:val="0"/>
                  <w:sz w:val="17"/>
                  <w:szCs w:val="17"/>
                </w:rPr>
                <w:t>Highway Performance Monitoring System (HPMS)</w:t>
              </w:r>
            </w:hyperlink>
            <w:r w:rsidR="006E728A" w:rsidRPr="00020D20">
              <w:rPr>
                <w:rFonts w:asciiTheme="minorHAnsi" w:hAnsiTheme="minorHAnsi" w:cstheme="minorHAnsi"/>
                <w:color w:val="323232"/>
                <w:spacing w:val="-6"/>
                <w:sz w:val="17"/>
                <w:szCs w:val="17"/>
              </w:rPr>
              <w:t xml:space="preserve"> </w:t>
            </w:r>
            <w:r w:rsidR="006E728A" w:rsidRPr="00020D20">
              <w:rPr>
                <w:rStyle w:val="Heading5Char"/>
                <w:rFonts w:asciiTheme="minorHAnsi" w:hAnsiTheme="minorHAnsi" w:cstheme="minorHAnsi"/>
                <w:b w:val="0"/>
                <w:sz w:val="17"/>
                <w:szCs w:val="17"/>
              </w:rPr>
              <w:t>Annual Data Submittal from State and Field Verification Review and Report</w:t>
            </w:r>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8E69BA5" w14:textId="3F4F411E"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00814E19" w:rsidRPr="00FA4D95">
              <w:rPr>
                <w:rFonts w:cstheme="minorHAnsi"/>
                <w:sz w:val="17"/>
                <w:szCs w:val="17"/>
              </w:rPr>
              <w:t>§</w:t>
            </w:r>
            <w:r w:rsidR="008216A0">
              <w:rPr>
                <w:rFonts w:cstheme="minorHAnsi"/>
                <w:sz w:val="17"/>
                <w:szCs w:val="17"/>
              </w:rPr>
              <w:t xml:space="preserve"> </w:t>
            </w:r>
            <w:r w:rsidRPr="00020D20">
              <w:rPr>
                <w:rFonts w:cstheme="minorHAnsi"/>
                <w:sz w:val="17"/>
                <w:szCs w:val="17"/>
              </w:rPr>
              <w:t>420.105</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1EE0A91"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4183FCE" w14:textId="13FF10FC"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NONE</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154A797"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FHWA annually conducts field verification review. Based on this review, FHWA recommends to FHWA HQ accepting this HPMS data for funding apportionment and allocation purposes.</w:t>
            </w:r>
          </w:p>
        </w:tc>
      </w:tr>
      <w:tr w:rsidR="006E728A" w14:paraId="0F79CC51"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D004552" w14:textId="247517F4" w:rsidR="006E728A" w:rsidRPr="00020D20" w:rsidRDefault="00202C92">
            <w:pPr>
              <w:pStyle w:val="Title"/>
              <w:rPr>
                <w:sz w:val="17"/>
                <w:szCs w:val="17"/>
              </w:rPr>
            </w:pPr>
            <w:hyperlink r:id="rId234" w:history="1">
              <w:r w:rsidR="006E728A" w:rsidRPr="00020D20">
                <w:rPr>
                  <w:rStyle w:val="Hyperlink"/>
                  <w:rFonts w:asciiTheme="minorHAnsi" w:hAnsiTheme="minorHAnsi" w:cstheme="majorBidi"/>
                  <w:i/>
                  <w:color w:val="CE5B18"/>
                  <w:sz w:val="17"/>
                  <w:szCs w:val="17"/>
                  <w:u w:val="none"/>
                </w:rPr>
                <w:t>Highway Statistics: 500 Series Report</w:t>
              </w:r>
            </w:hyperlink>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E703E38" w14:textId="5E81E5B4" w:rsidR="006E728A" w:rsidRPr="00020D20" w:rsidRDefault="006E728A" w:rsidP="00020D20">
            <w:pPr>
              <w:spacing w:before="0" w:after="0" w:line="240" w:lineRule="auto"/>
              <w:jc w:val="center"/>
              <w:rPr>
                <w:rFonts w:cstheme="minorHAnsi"/>
                <w:sz w:val="17"/>
                <w:szCs w:val="17"/>
              </w:rPr>
            </w:pPr>
            <w:r w:rsidRPr="00020D20">
              <w:rPr>
                <w:rFonts w:cstheme="minorHAnsi"/>
                <w:sz w:val="17"/>
                <w:szCs w:val="17"/>
              </w:rPr>
              <w:t xml:space="preserve">23 </w:t>
            </w:r>
            <w:r w:rsidR="009628C0">
              <w:rPr>
                <w:rFonts w:cstheme="minorHAnsi"/>
                <w:sz w:val="17"/>
                <w:szCs w:val="17"/>
              </w:rPr>
              <w:t xml:space="preserve">C.F.R. </w:t>
            </w:r>
            <w:r w:rsidR="00814E19" w:rsidRPr="00FA4D95">
              <w:rPr>
                <w:rFonts w:cstheme="minorHAnsi"/>
                <w:sz w:val="17"/>
                <w:szCs w:val="17"/>
              </w:rPr>
              <w:t>§</w:t>
            </w:r>
            <w:r w:rsidR="008216A0">
              <w:rPr>
                <w:rFonts w:cstheme="minorHAnsi"/>
                <w:sz w:val="17"/>
                <w:szCs w:val="17"/>
              </w:rPr>
              <w:t xml:space="preserve"> </w:t>
            </w:r>
            <w:r w:rsidRPr="00020D20">
              <w:rPr>
                <w:rFonts w:cstheme="minorHAnsi"/>
                <w:sz w:val="17"/>
                <w:szCs w:val="17"/>
              </w:rPr>
              <w:t>420.105</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730FC5AE"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F1F8E29" w14:textId="3B3B40CE"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NONE</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89D8EBD"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w w:val="97"/>
                <w:sz w:val="17"/>
                <w:szCs w:val="17"/>
              </w:rPr>
              <w:t>FHWA annually conducts field verification review. Based on this review, FHWA recommends to FHWA HQ accepting this HPMS data for funding apportionment and allocation purposes.</w:t>
            </w:r>
          </w:p>
        </w:tc>
      </w:tr>
      <w:tr w:rsidR="006E728A" w14:paraId="1323C4E0" w14:textId="77777777" w:rsidTr="00020D20">
        <w:trPr>
          <w:trHeight w:val="360"/>
        </w:trPr>
        <w:tc>
          <w:tcPr>
            <w:tcW w:w="261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EA0093B" w14:textId="77777777" w:rsidR="006E728A" w:rsidRPr="00020D20" w:rsidRDefault="006E728A" w:rsidP="00020D20">
            <w:pPr>
              <w:pStyle w:val="Heading5"/>
              <w:spacing w:before="0" w:after="0" w:line="240" w:lineRule="auto"/>
              <w:rPr>
                <w:sz w:val="17"/>
                <w:szCs w:val="17"/>
              </w:rPr>
            </w:pPr>
            <w:r w:rsidRPr="00020D20">
              <w:rPr>
                <w:sz w:val="17"/>
                <w:szCs w:val="17"/>
              </w:rPr>
              <w:t>Certification of Public Road Mileage</w:t>
            </w:r>
          </w:p>
        </w:tc>
        <w:tc>
          <w:tcPr>
            <w:tcW w:w="116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C8EF30C" w14:textId="38560102" w:rsidR="006E728A" w:rsidRPr="00020D20" w:rsidRDefault="006E728A" w:rsidP="00020D20">
            <w:pPr>
              <w:spacing w:before="0" w:after="0" w:line="240" w:lineRule="auto"/>
              <w:jc w:val="center"/>
              <w:rPr>
                <w:sz w:val="17"/>
                <w:szCs w:val="17"/>
              </w:rPr>
            </w:pPr>
            <w:r w:rsidRPr="00020D20">
              <w:rPr>
                <w:sz w:val="17"/>
                <w:szCs w:val="17"/>
              </w:rPr>
              <w:t xml:space="preserve">23 </w:t>
            </w:r>
            <w:r w:rsidR="009628C0">
              <w:rPr>
                <w:sz w:val="17"/>
                <w:szCs w:val="17"/>
              </w:rPr>
              <w:t xml:space="preserve">C.F.R. </w:t>
            </w:r>
            <w:r w:rsidR="00814E19" w:rsidRPr="00FA4D95">
              <w:rPr>
                <w:rFonts w:cstheme="minorHAnsi"/>
                <w:sz w:val="17"/>
                <w:szCs w:val="17"/>
              </w:rPr>
              <w:t>§</w:t>
            </w:r>
            <w:r w:rsidR="008216A0">
              <w:rPr>
                <w:rFonts w:cstheme="minorHAnsi"/>
                <w:sz w:val="17"/>
                <w:szCs w:val="17"/>
              </w:rPr>
              <w:t xml:space="preserve"> </w:t>
            </w:r>
            <w:r w:rsidRPr="00020D20">
              <w:rPr>
                <w:sz w:val="17"/>
                <w:szCs w:val="17"/>
              </w:rPr>
              <w:t>460</w:t>
            </w:r>
          </w:p>
        </w:tc>
        <w:tc>
          <w:tcPr>
            <w:tcW w:w="117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30F12AA"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w:t>
            </w:r>
          </w:p>
        </w:tc>
        <w:tc>
          <w:tcPr>
            <w:tcW w:w="99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44BCE9D" w14:textId="77777777" w:rsidR="006E728A" w:rsidRPr="00020D20" w:rsidRDefault="006E728A" w:rsidP="00020D20">
            <w:pPr>
              <w:pStyle w:val="TableTextADOTTable"/>
              <w:spacing w:before="0" w:after="0" w:line="240" w:lineRule="auto"/>
              <w:jc w:val="center"/>
              <w:rPr>
                <w:rFonts w:ascii="Calibri" w:hAnsi="Calibri" w:cs="Calibri"/>
                <w:color w:val="auto"/>
                <w:sz w:val="17"/>
                <w:szCs w:val="17"/>
              </w:rPr>
            </w:pPr>
            <w:r w:rsidRPr="00020D20">
              <w:rPr>
                <w:rFonts w:ascii="Calibri" w:hAnsi="Calibri" w:cs="Calibri"/>
                <w:color w:val="auto"/>
                <w:sz w:val="17"/>
                <w:szCs w:val="17"/>
              </w:rPr>
              <w:t>FHWA HQ</w:t>
            </w:r>
          </w:p>
        </w:tc>
        <w:tc>
          <w:tcPr>
            <w:tcW w:w="342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B42221E" w14:textId="77777777" w:rsidR="006E728A" w:rsidRPr="00020D20" w:rsidRDefault="006E728A" w:rsidP="00020D20">
            <w:pPr>
              <w:spacing w:before="0" w:after="0" w:line="240" w:lineRule="auto"/>
              <w:jc w:val="both"/>
              <w:rPr>
                <w:rFonts w:ascii="Calibri" w:hAnsi="Calibri" w:cs="Calibri"/>
                <w:sz w:val="17"/>
                <w:szCs w:val="17"/>
              </w:rPr>
            </w:pPr>
            <w:r w:rsidRPr="00020D20">
              <w:rPr>
                <w:rFonts w:ascii="Calibri" w:hAnsi="Calibri" w:cs="Calibri"/>
                <w:i/>
                <w:w w:val="97"/>
                <w:sz w:val="17"/>
                <w:szCs w:val="17"/>
              </w:rPr>
              <w:t>Due by June 1 of each year. The governor has delegated the certification authority to the ADOT director.</w:t>
            </w:r>
          </w:p>
        </w:tc>
      </w:tr>
    </w:tbl>
    <w:p w14:paraId="158D58E5" w14:textId="77777777" w:rsidR="0066117A" w:rsidRDefault="0066117A" w:rsidP="00020D20">
      <w:pPr>
        <w:jc w:val="both"/>
        <w:rPr>
          <w:rFonts w:cstheme="minorHAnsi"/>
        </w:rPr>
        <w:sectPr w:rsidR="0066117A" w:rsidSect="00020D20">
          <w:pgSz w:w="12240" w:h="15840"/>
          <w:pgMar w:top="1440" w:right="1440" w:bottom="1440" w:left="1440" w:header="720" w:footer="720" w:gutter="0"/>
          <w:pgNumType w:chapStyle="1"/>
          <w:cols w:space="720"/>
          <w:docGrid w:linePitch="360"/>
        </w:sectPr>
      </w:pPr>
    </w:p>
    <w:p w14:paraId="067B4BA4" w14:textId="759D9C38" w:rsidR="006E728A" w:rsidRPr="006E728A" w:rsidRDefault="006E728A" w:rsidP="00020D20">
      <w:pPr>
        <w:pStyle w:val="SubHeading3"/>
        <w:jc w:val="both"/>
      </w:pPr>
      <w:bookmarkStart w:id="80" w:name="_Ref50028092"/>
      <w:r w:rsidRPr="006E728A">
        <w:t>F</w:t>
      </w:r>
      <w:r>
        <w:t>HWA</w:t>
      </w:r>
      <w:r w:rsidRPr="006E728A">
        <w:t xml:space="preserve"> Division</w:t>
      </w:r>
      <w:bookmarkEnd w:id="80"/>
      <w:r w:rsidR="002A7E5D">
        <w:t xml:space="preserve"> for Arizona</w:t>
      </w:r>
    </w:p>
    <w:p w14:paraId="4D1985EF" w14:textId="7FC7981A" w:rsidR="006E728A" w:rsidRPr="006E728A" w:rsidRDefault="006079D6" w:rsidP="00020D20">
      <w:pPr>
        <w:jc w:val="both"/>
        <w:rPr>
          <w:rFonts w:cstheme="minorHAnsi"/>
        </w:rPr>
      </w:pPr>
      <w:r>
        <w:rPr>
          <w:rFonts w:cstheme="minorHAnsi"/>
          <w:noProof/>
        </w:rPr>
        <mc:AlternateContent>
          <mc:Choice Requires="wps">
            <w:drawing>
              <wp:anchor distT="0" distB="0" distL="114300" distR="114300" simplePos="0" relativeHeight="251618491" behindDoc="1" locked="0" layoutInCell="1" allowOverlap="1" wp14:anchorId="42D12FFF" wp14:editId="4F02D651">
                <wp:simplePos x="0" y="0"/>
                <wp:positionH relativeFrom="column">
                  <wp:posOffset>0</wp:posOffset>
                </wp:positionH>
                <wp:positionV relativeFrom="paragraph">
                  <wp:posOffset>2787650</wp:posOffset>
                </wp:positionV>
                <wp:extent cx="1485900" cy="1880235"/>
                <wp:effectExtent l="76200" t="95250" r="76200" b="100965"/>
                <wp:wrapTight wrapText="bothSides">
                  <wp:wrapPolygon edited="0">
                    <wp:start x="-1108" y="-1094"/>
                    <wp:lineTo x="-1108" y="22541"/>
                    <wp:lineTo x="22431" y="22541"/>
                    <wp:lineTo x="22431" y="-1094"/>
                    <wp:lineTo x="-1108" y="-1094"/>
                  </wp:wrapPolygon>
                </wp:wrapTight>
                <wp:docPr id="816286438" name="Text Box 816286438"/>
                <wp:cNvGraphicFramePr/>
                <a:graphic xmlns:a="http://schemas.openxmlformats.org/drawingml/2006/main">
                  <a:graphicData uri="http://schemas.microsoft.com/office/word/2010/wordprocessingShape">
                    <wps:wsp>
                      <wps:cNvSpPr txBox="1"/>
                      <wps:spPr>
                        <a:xfrm>
                          <a:off x="0" y="0"/>
                          <a:ext cx="1485900" cy="188023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F5D8A15" w14:textId="77777777" w:rsidR="00C6444C" w:rsidRDefault="00C6444C" w:rsidP="00020D20">
                            <w:pPr>
                              <w:jc w:val="center"/>
                            </w:pPr>
                            <w:r>
                              <w:rPr>
                                <w:noProof/>
                              </w:rPr>
                              <w:drawing>
                                <wp:inline distT="0" distB="0" distL="0" distR="0" wp14:anchorId="07263704" wp14:editId="6019369E">
                                  <wp:extent cx="457200" cy="457200"/>
                                  <wp:effectExtent l="0" t="0" r="0" b="0"/>
                                  <wp:docPr id="1690912604" name="Picture 169091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A0EDEB1" w14:textId="77777777"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Planning Region 1</w:t>
                            </w:r>
                          </w:p>
                          <w:p w14:paraId="79ED4CA0" w14:textId="30BE7C7F" w:rsidR="00C6444C" w:rsidRPr="00954116" w:rsidRDefault="00C6444C" w:rsidP="00020D20">
                            <w:pPr>
                              <w:pStyle w:val="Calloutboxes"/>
                            </w:pPr>
                            <w:r w:rsidRPr="00394A74">
                              <w:t>Ed Stillings</w:t>
                            </w:r>
                          </w:p>
                          <w:p w14:paraId="6AC1B8BF" w14:textId="3894AA9D" w:rsidR="00C6444C" w:rsidRPr="005A6734" w:rsidRDefault="00C6444C" w:rsidP="00020D20">
                            <w:pPr>
                              <w:pStyle w:val="Calloutboxes"/>
                            </w:pPr>
                            <w:r w:rsidRPr="0052715B">
                              <w:t>Senior Transportation Planner T: 602-382-8966</w:t>
                            </w:r>
                          </w:p>
                          <w:p w14:paraId="114E742B" w14:textId="77777777" w:rsidR="00C6444C" w:rsidRPr="00020D20" w:rsidRDefault="00C6444C" w:rsidP="00020D20">
                            <w:pPr>
                              <w:spacing w:before="0" w:after="0" w:line="240" w:lineRule="auto"/>
                              <w:jc w:val="center"/>
                              <w:rPr>
                                <w:sz w:val="16"/>
                                <w:szCs w:val="16"/>
                              </w:rPr>
                            </w:pPr>
                          </w:p>
                          <w:p w14:paraId="79B0653B" w14:textId="16BAF34C"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Planning Region 2</w:t>
                            </w:r>
                          </w:p>
                          <w:p w14:paraId="50E1079D" w14:textId="1D147850" w:rsidR="00C6444C" w:rsidRPr="00954116" w:rsidRDefault="00C6444C" w:rsidP="00020D20">
                            <w:pPr>
                              <w:pStyle w:val="Calloutboxes"/>
                            </w:pPr>
                            <w:r w:rsidRPr="00394A74">
                              <w:t>Romare Truely</w:t>
                            </w:r>
                          </w:p>
                          <w:p w14:paraId="2E01BABF" w14:textId="35585667" w:rsidR="00C6444C" w:rsidRPr="005A6734" w:rsidRDefault="00C6444C" w:rsidP="00020D20">
                            <w:pPr>
                              <w:pStyle w:val="Calloutboxes"/>
                            </w:pPr>
                            <w:r w:rsidRPr="0052715B">
                              <w:t>Community Planner</w:t>
                            </w:r>
                          </w:p>
                          <w:p w14:paraId="5771AF71" w14:textId="527D5A65" w:rsidR="00C6444C" w:rsidRPr="00FE3DA2" w:rsidRDefault="00C6444C" w:rsidP="00020D20">
                            <w:pPr>
                              <w:pStyle w:val="Calloutboxes"/>
                            </w:pPr>
                            <w:r w:rsidRPr="00977A9B">
                              <w:t>T: 602-382-8978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12FFF" id="Text Box 816286438" o:spid="_x0000_s1089" type="#_x0000_t202" style="position:absolute;left:0;text-align:left;margin-left:0;margin-top:219.5pt;width:117pt;height:148.05pt;z-index:-251697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" fillcolor="#f7f7f7" stroked="f" strokeweight=".5pt">
                <v:shadow on="t" type="perspective" color="black" opacity="26214f" offset="0,0" matrix="66847f,,,66847f"/>
                <v:textbox>
                  <w:txbxContent>
                    <w:p w14:paraId="7F5D8A15" w14:textId="77777777" w:rsidR="00C6444C" w:rsidRDefault="00C6444C" w:rsidP="00020D20">
                      <w:pPr>
                        <w:jc w:val="center"/>
                      </w:pPr>
                      <w:r>
                        <w:rPr>
                          <w:noProof/>
                        </w:rPr>
                        <w:drawing>
                          <wp:inline distT="0" distB="0" distL="0" distR="0" wp14:anchorId="07263704" wp14:editId="6019369E">
                            <wp:extent cx="457200" cy="457200"/>
                            <wp:effectExtent l="0" t="0" r="0" b="0"/>
                            <wp:docPr id="1690912604" name="Picture 169091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A0EDEB1" w14:textId="77777777"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Planning Region 1</w:t>
                      </w:r>
                    </w:p>
                    <w:p w14:paraId="79ED4CA0" w14:textId="30BE7C7F" w:rsidR="00C6444C" w:rsidRPr="00954116" w:rsidRDefault="00C6444C" w:rsidP="00020D20">
                      <w:pPr>
                        <w:pStyle w:val="Calloutboxes"/>
                      </w:pPr>
                      <w:r w:rsidRPr="00394A74">
                        <w:t>Ed Stillings</w:t>
                      </w:r>
                    </w:p>
                    <w:p w14:paraId="6AC1B8BF" w14:textId="3894AA9D" w:rsidR="00C6444C" w:rsidRPr="005A6734" w:rsidRDefault="00C6444C" w:rsidP="00020D20">
                      <w:pPr>
                        <w:pStyle w:val="Calloutboxes"/>
                      </w:pPr>
                      <w:r w:rsidRPr="0052715B">
                        <w:t>Senior Transportation Planner T: 602-382-8966</w:t>
                      </w:r>
                    </w:p>
                    <w:p w14:paraId="114E742B" w14:textId="77777777" w:rsidR="00C6444C" w:rsidRPr="00020D20" w:rsidRDefault="00C6444C" w:rsidP="00020D20">
                      <w:pPr>
                        <w:spacing w:before="0" w:after="0" w:line="240" w:lineRule="auto"/>
                        <w:jc w:val="center"/>
                        <w:rPr>
                          <w:sz w:val="16"/>
                          <w:szCs w:val="16"/>
                        </w:rPr>
                      </w:pPr>
                    </w:p>
                    <w:p w14:paraId="79B0653B" w14:textId="16BAF34C"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Planning Region 2</w:t>
                      </w:r>
                    </w:p>
                    <w:p w14:paraId="50E1079D" w14:textId="1D147850" w:rsidR="00C6444C" w:rsidRPr="00954116" w:rsidRDefault="00C6444C" w:rsidP="00020D20">
                      <w:pPr>
                        <w:pStyle w:val="Calloutboxes"/>
                      </w:pPr>
                      <w:r w:rsidRPr="00394A74">
                        <w:t>Romare Truely</w:t>
                      </w:r>
                    </w:p>
                    <w:p w14:paraId="2E01BABF" w14:textId="35585667" w:rsidR="00C6444C" w:rsidRPr="005A6734" w:rsidRDefault="00C6444C" w:rsidP="00020D20">
                      <w:pPr>
                        <w:pStyle w:val="Calloutboxes"/>
                      </w:pPr>
                      <w:r w:rsidRPr="0052715B">
                        <w:t>Community Planner</w:t>
                      </w:r>
                    </w:p>
                    <w:p w14:paraId="5771AF71" w14:textId="527D5A65" w:rsidR="00C6444C" w:rsidRPr="00FE3DA2" w:rsidRDefault="00C6444C" w:rsidP="00020D20">
                      <w:pPr>
                        <w:pStyle w:val="Calloutboxes"/>
                      </w:pPr>
                      <w:r w:rsidRPr="00977A9B">
                        <w:t>T: 602-382-8978</w:t>
                      </w:r>
                    </w:p>
                  </w:txbxContent>
                </v:textbox>
                <w10:wrap type="tight"/>
              </v:shape>
            </w:pict>
          </mc:Fallback>
        </mc:AlternateContent>
      </w:r>
      <w:r>
        <w:rPr>
          <w:rFonts w:cstheme="minorHAnsi"/>
          <w:noProof/>
        </w:rPr>
        <mc:AlternateContent>
          <mc:Choice Requires="wps">
            <w:drawing>
              <wp:anchor distT="0" distB="0" distL="114300" distR="114300" simplePos="0" relativeHeight="251618490" behindDoc="1" locked="0" layoutInCell="1" allowOverlap="1" wp14:anchorId="13DF3507" wp14:editId="3AE4BD37">
                <wp:simplePos x="0" y="0"/>
                <wp:positionH relativeFrom="column">
                  <wp:posOffset>0</wp:posOffset>
                </wp:positionH>
                <wp:positionV relativeFrom="paragraph">
                  <wp:posOffset>1188720</wp:posOffset>
                </wp:positionV>
                <wp:extent cx="1485900" cy="1485900"/>
                <wp:effectExtent l="76200" t="95250" r="76200" b="95250"/>
                <wp:wrapTight wrapText="bothSides">
                  <wp:wrapPolygon edited="0">
                    <wp:start x="-1108" y="-1385"/>
                    <wp:lineTo x="-1108" y="22708"/>
                    <wp:lineTo x="22431" y="22708"/>
                    <wp:lineTo x="22431" y="-1385"/>
                    <wp:lineTo x="-1108" y="-1385"/>
                  </wp:wrapPolygon>
                </wp:wrapTight>
                <wp:docPr id="816286436" name="Text Box 816286436"/>
                <wp:cNvGraphicFramePr/>
                <a:graphic xmlns:a="http://schemas.openxmlformats.org/drawingml/2006/main">
                  <a:graphicData uri="http://schemas.microsoft.com/office/word/2010/wordprocessingShape">
                    <wps:wsp>
                      <wps:cNvSpPr txBox="1"/>
                      <wps:spPr>
                        <a:xfrm>
                          <a:off x="0" y="0"/>
                          <a:ext cx="148590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688FDB4" w14:textId="77777777" w:rsidR="00C6444C" w:rsidRDefault="00C6444C" w:rsidP="00020D20">
                            <w:pPr>
                              <w:jc w:val="center"/>
                            </w:pPr>
                            <w:r>
                              <w:rPr>
                                <w:noProof/>
                              </w:rPr>
                              <w:drawing>
                                <wp:inline distT="0" distB="0" distL="0" distR="0" wp14:anchorId="37CECC0B" wp14:editId="382D14CE">
                                  <wp:extent cx="457200" cy="457200"/>
                                  <wp:effectExtent l="0" t="0" r="0" b="0"/>
                                  <wp:docPr id="1690912605" name="Picture 169091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85E3471" w14:textId="78295645" w:rsidR="00C6444C" w:rsidRDefault="00C6444C" w:rsidP="00020D20">
                            <w:pPr>
                              <w:pStyle w:val="Calloutboxes"/>
                            </w:pPr>
                            <w:r w:rsidRPr="00394A74">
                              <w:t>FHWA STAFF DIRECTORY</w:t>
                            </w:r>
                          </w:p>
                          <w:p w14:paraId="32FFC5F1" w14:textId="5A0DA420" w:rsidR="00C6444C" w:rsidRPr="00954116" w:rsidRDefault="00C6444C" w:rsidP="00020D20">
                            <w:pPr>
                              <w:pStyle w:val="Calloutboxes"/>
                            </w:pPr>
                            <w:r w:rsidRPr="00394A74">
                              <w:t>4000 N. Central Ave., Ste. 1500 Phoenix, Arizona 85012-3500 T: 602-379-3646</w:t>
                            </w:r>
                          </w:p>
                          <w:p w14:paraId="5C3392C7" w14:textId="4A4ACF4E" w:rsidR="00C6444C" w:rsidRPr="00957CC4" w:rsidRDefault="00C6444C" w:rsidP="00020D20">
                            <w:pPr>
                              <w:pStyle w:val="Calloutboxes"/>
                            </w:pPr>
                            <w:r w:rsidRPr="00957CC4">
                              <w:t xml:space="preserve">F: 602-382-8998 </w:t>
                            </w:r>
                            <w:r w:rsidRPr="00020D20">
                              <w:rPr>
                                <w:rStyle w:val="TitleChar"/>
                                <w:sz w:val="16"/>
                              </w:rPr>
                              <w:t>http://fhwa.dot.gov/azdiv/staff. cfm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DF3507" id="Text Box 816286436" o:spid="_x0000_s1090" type="#_x0000_t202" style="position:absolute;left:0;text-align:left;margin-left:0;margin-top:93.6pt;width:117pt;height:117pt;z-index:-251697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" fillcolor="#f7f7f7" stroked="f" strokeweight=".5pt">
                <v:shadow on="t" type="perspective" color="black" opacity="26214f" offset="0,0" matrix="66847f,,,66847f"/>
                <v:textbox>
                  <w:txbxContent>
                    <w:p w14:paraId="7688FDB4" w14:textId="77777777" w:rsidR="00C6444C" w:rsidRDefault="00C6444C" w:rsidP="00020D20">
                      <w:pPr>
                        <w:jc w:val="center"/>
                      </w:pPr>
                      <w:r>
                        <w:rPr>
                          <w:noProof/>
                        </w:rPr>
                        <w:drawing>
                          <wp:inline distT="0" distB="0" distL="0" distR="0" wp14:anchorId="37CECC0B" wp14:editId="382D14CE">
                            <wp:extent cx="457200" cy="457200"/>
                            <wp:effectExtent l="0" t="0" r="0" b="0"/>
                            <wp:docPr id="1690912605" name="Picture 169091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85E3471" w14:textId="78295645" w:rsidR="00C6444C" w:rsidRDefault="00C6444C" w:rsidP="00020D20">
                      <w:pPr>
                        <w:pStyle w:val="Calloutboxes"/>
                      </w:pPr>
                      <w:r w:rsidRPr="00394A74">
                        <w:t>FHWA STAFF DIRECTORY</w:t>
                      </w:r>
                    </w:p>
                    <w:p w14:paraId="32FFC5F1" w14:textId="5A0DA420" w:rsidR="00C6444C" w:rsidRPr="00954116" w:rsidRDefault="00C6444C" w:rsidP="00020D20">
                      <w:pPr>
                        <w:pStyle w:val="Calloutboxes"/>
                      </w:pPr>
                      <w:r w:rsidRPr="00394A74">
                        <w:t>4000 N. Central Ave., Ste. 1500 Phoenix, Arizona 85012-3500 T: 602-379-3646</w:t>
                      </w:r>
                    </w:p>
                    <w:p w14:paraId="5C3392C7" w14:textId="4A4ACF4E" w:rsidR="00C6444C" w:rsidRPr="00957CC4" w:rsidRDefault="00C6444C" w:rsidP="00020D20">
                      <w:pPr>
                        <w:pStyle w:val="Calloutboxes"/>
                      </w:pPr>
                      <w:r w:rsidRPr="00957CC4">
                        <w:t xml:space="preserve">F: 602-382-8998 </w:t>
                      </w:r>
                      <w:r w:rsidRPr="00020D20">
                        <w:rPr>
                          <w:rStyle w:val="TitleChar"/>
                          <w:sz w:val="16"/>
                        </w:rPr>
                        <w:t>http://fhwa.dot.gov/azdiv/staff. cfm</w:t>
                      </w:r>
                    </w:p>
                  </w:txbxContent>
                </v:textbox>
                <w10:wrap type="tight"/>
              </v:shape>
            </w:pict>
          </mc:Fallback>
        </mc:AlternateContent>
      </w:r>
      <w:r w:rsidR="006E728A" w:rsidRPr="006E728A">
        <w:rPr>
          <w:rFonts w:cstheme="minorHAnsi"/>
        </w:rPr>
        <w:t>The</w:t>
      </w:r>
      <w:r w:rsidR="006E728A" w:rsidRPr="007B6EEE">
        <w:rPr>
          <w:rStyle w:val="TitleChar"/>
        </w:rPr>
        <w:t xml:space="preserve"> </w:t>
      </w:r>
      <w:hyperlink r:id="rId235" w:history="1">
        <w:r w:rsidR="006E728A" w:rsidRPr="00281E39">
          <w:rPr>
            <w:rStyle w:val="TitleChar"/>
          </w:rPr>
          <w:t>FHWA division</w:t>
        </w:r>
      </w:hyperlink>
      <w:r w:rsidR="006E728A" w:rsidRPr="006E728A">
        <w:rPr>
          <w:rFonts w:cstheme="minorHAnsi"/>
        </w:rPr>
        <w:t xml:space="preserve"> offices are local field offices that provide leadership, guidance, and direction to</w:t>
      </w:r>
      <w:r w:rsidR="00E66DE1">
        <w:rPr>
          <w:rFonts w:cstheme="minorHAnsi"/>
        </w:rPr>
        <w:t xml:space="preserve"> the</w:t>
      </w:r>
      <w:r w:rsidR="006E728A" w:rsidRPr="006E728A">
        <w:rPr>
          <w:rFonts w:cstheme="minorHAnsi"/>
        </w:rPr>
        <w:t xml:space="preserve"> state department of transportation in the planning, construction, and maintenance of transportation projects. Working collaboratively with state partners, FHWA division offices ensure that the nation’s roads, bridges, and tunnels are safe and continue to support economic</w:t>
      </w:r>
      <w:r w:rsidR="00281E39">
        <w:rPr>
          <w:rFonts w:cstheme="minorHAnsi"/>
        </w:rPr>
        <w:t xml:space="preserve"> </w:t>
      </w:r>
      <w:r w:rsidR="006E728A" w:rsidRPr="006E728A">
        <w:rPr>
          <w:rFonts w:cstheme="minorHAnsi"/>
        </w:rPr>
        <w:t>growth and environmental sustainability. Additionally, to ensure accountability, the FHWA division offices work with the state to develop, track, and analyze activities and recommend innovative techniques and strategies to improve the performance of the transportation system. FHWA and its division offices are responsible for working with state departments of transportation to ensure that the nation’s strategic investments preserve and modernize the U.S. highway system—and ultimately save lives. There are two FHWA planning regions in Arizona. The planning regions listed below also list the corresponding MPOs and COGs that they coordinate with:</w:t>
      </w:r>
    </w:p>
    <w:p w14:paraId="3AF280FC" w14:textId="1EE87C3E" w:rsidR="006E728A" w:rsidRPr="0066117A" w:rsidRDefault="006E728A" w:rsidP="00020D20">
      <w:pPr>
        <w:pStyle w:val="Body-Bullets"/>
        <w:jc w:val="both"/>
        <w:rPr>
          <w:rFonts w:cstheme="minorHAnsi"/>
        </w:rPr>
      </w:pPr>
      <w:r w:rsidRPr="0066117A">
        <w:rPr>
          <w:rFonts w:cstheme="minorHAnsi"/>
        </w:rPr>
        <w:t xml:space="preserve">Planning Region 1: CAG, </w:t>
      </w:r>
      <w:r w:rsidR="002951FA">
        <w:rPr>
          <w:rFonts w:cstheme="minorHAnsi"/>
        </w:rPr>
        <w:t>FMPO,</w:t>
      </w:r>
      <w:r w:rsidRPr="0066117A">
        <w:rPr>
          <w:rFonts w:cstheme="minorHAnsi"/>
        </w:rPr>
        <w:t xml:space="preserve"> MAG, </w:t>
      </w:r>
      <w:r w:rsidR="002951FA">
        <w:rPr>
          <w:rFonts w:cstheme="minorHAnsi"/>
        </w:rPr>
        <w:t>SCMPO, SV</w:t>
      </w:r>
      <w:r w:rsidRPr="0066117A">
        <w:rPr>
          <w:rFonts w:cstheme="minorHAnsi"/>
        </w:rPr>
        <w:t>MPO</w:t>
      </w:r>
    </w:p>
    <w:p w14:paraId="044B28EE" w14:textId="43479E44" w:rsidR="006E728A" w:rsidRPr="0066117A" w:rsidRDefault="006E728A" w:rsidP="00020D20">
      <w:pPr>
        <w:pStyle w:val="Body-Bullets"/>
        <w:jc w:val="both"/>
        <w:rPr>
          <w:rFonts w:cstheme="minorHAnsi"/>
        </w:rPr>
      </w:pPr>
      <w:r w:rsidRPr="0066117A">
        <w:rPr>
          <w:rFonts w:cstheme="minorHAnsi"/>
        </w:rPr>
        <w:t xml:space="preserve">Planning Region 2: </w:t>
      </w:r>
      <w:r w:rsidR="002951FA">
        <w:rPr>
          <w:rFonts w:cstheme="minorHAnsi"/>
        </w:rPr>
        <w:t>CYMPO,</w:t>
      </w:r>
      <w:r w:rsidRPr="0066117A">
        <w:rPr>
          <w:rFonts w:cstheme="minorHAnsi"/>
        </w:rPr>
        <w:t xml:space="preserve"> LHMPO, NACOG, PAG, SEAGO, WACOG, YMPO</w:t>
      </w:r>
    </w:p>
    <w:p w14:paraId="526DDCB8" w14:textId="77777777" w:rsidR="006E728A" w:rsidRPr="006E728A" w:rsidRDefault="006E728A" w:rsidP="00020D20">
      <w:pPr>
        <w:pStyle w:val="Heading3"/>
        <w:jc w:val="both"/>
        <w:rPr>
          <w:rFonts w:cstheme="minorHAnsi"/>
          <w:szCs w:val="20"/>
        </w:rPr>
      </w:pPr>
      <w:bookmarkStart w:id="81" w:name="_Ref50027851"/>
      <w:r w:rsidRPr="006E728A">
        <w:rPr>
          <w:rFonts w:cstheme="minorHAnsi"/>
          <w:szCs w:val="20"/>
        </w:rPr>
        <w:t>2.2.2 | Federal Transit Administration</w:t>
      </w:r>
      <w:bookmarkEnd w:id="81"/>
      <w:r w:rsidRPr="006E728A">
        <w:rPr>
          <w:rFonts w:cstheme="minorHAnsi"/>
          <w:szCs w:val="20"/>
        </w:rPr>
        <w:t xml:space="preserve"> </w:t>
      </w:r>
    </w:p>
    <w:p w14:paraId="5BB969C4" w14:textId="2D8F6142" w:rsidR="006E728A" w:rsidRPr="006E728A" w:rsidRDefault="006E728A" w:rsidP="00020D20">
      <w:pPr>
        <w:jc w:val="both"/>
        <w:rPr>
          <w:rFonts w:cstheme="minorHAnsi"/>
        </w:rPr>
      </w:pPr>
      <w:r w:rsidRPr="006E728A">
        <w:rPr>
          <w:rFonts w:cstheme="minorHAnsi"/>
        </w:rPr>
        <w:t>The</w:t>
      </w:r>
      <w:r w:rsidRPr="007B6EEE">
        <w:rPr>
          <w:rStyle w:val="TitleChar"/>
        </w:rPr>
        <w:t xml:space="preserve"> </w:t>
      </w:r>
      <w:hyperlink r:id="rId236" w:history="1">
        <w:r w:rsidRPr="00281E39">
          <w:rPr>
            <w:rStyle w:val="TitleChar"/>
          </w:rPr>
          <w:t>FTA</w:t>
        </w:r>
      </w:hyperlink>
      <w:r w:rsidRPr="006E728A">
        <w:rPr>
          <w:rFonts w:cstheme="minorHAnsi"/>
        </w:rPr>
        <w:t xml:space="preserve"> is an agency within the USDOT. The FTA provides financial and technical assistance to local public transit systems. The FTA is headquartered in Washington, DC, and has 10 regional headquarters. </w:t>
      </w:r>
    </w:p>
    <w:p w14:paraId="731B65C2" w14:textId="77777777" w:rsidR="006E728A" w:rsidRPr="006E728A" w:rsidRDefault="006E728A" w:rsidP="00020D20">
      <w:pPr>
        <w:pStyle w:val="SubHeading3"/>
        <w:jc w:val="both"/>
      </w:pPr>
      <w:bookmarkStart w:id="82" w:name="_Ref50028100"/>
      <w:r w:rsidRPr="006E728A">
        <w:t>FTA Region 9</w:t>
      </w:r>
      <w:bookmarkEnd w:id="82"/>
    </w:p>
    <w:p w14:paraId="7D1BB058" w14:textId="047A2D39" w:rsidR="006E728A" w:rsidRPr="006E728A" w:rsidRDefault="006E728A" w:rsidP="00020D20">
      <w:pPr>
        <w:jc w:val="both"/>
        <w:rPr>
          <w:rFonts w:cstheme="minorHAnsi"/>
        </w:rPr>
      </w:pPr>
      <w:r w:rsidRPr="006E728A">
        <w:rPr>
          <w:rFonts w:cstheme="minorHAnsi"/>
        </w:rPr>
        <w:t>The FTA regional offices work with local transit officials in developing and processing grants applications. FTA Region 9 is headquartered in San Francisco, California, and governs Arizona, California, Hawaii, Nevada, and the territories of Guam, American Samoa, and the Northern Mariana Islands. FTA Region 9 serves 141 grantees and oversees a total portfolio of $12 billion in federal funding distributed among 832 active grants for transit projects and initiatives.</w:t>
      </w:r>
      <w:r w:rsidR="007B4EC9">
        <w:rPr>
          <w:rFonts w:cstheme="minorHAnsi"/>
        </w:rPr>
        <w:t xml:space="preserve"> </w:t>
      </w:r>
      <w:r w:rsidR="007B4EC9">
        <w:rPr>
          <w:rFonts w:cstheme="minorHAnsi"/>
          <w:b/>
        </w:rPr>
        <w:t>(4 Contact Graphics)</w:t>
      </w:r>
    </w:p>
    <w:p w14:paraId="2A491D53" w14:textId="77777777" w:rsidR="006E728A" w:rsidRPr="006E728A" w:rsidRDefault="006E728A" w:rsidP="00020D20">
      <w:pPr>
        <w:pStyle w:val="Heading3"/>
        <w:jc w:val="both"/>
        <w:rPr>
          <w:rFonts w:cstheme="minorHAnsi"/>
          <w:szCs w:val="20"/>
        </w:rPr>
      </w:pPr>
      <w:bookmarkStart w:id="83" w:name="_Ref50027869"/>
      <w:r w:rsidRPr="006E728A">
        <w:rPr>
          <w:rFonts w:cstheme="minorHAnsi"/>
          <w:szCs w:val="20"/>
        </w:rPr>
        <w:t>2.2.3 | Federal Railroad Administration</w:t>
      </w:r>
      <w:bookmarkEnd w:id="83"/>
      <w:r w:rsidRPr="006E728A">
        <w:rPr>
          <w:rFonts w:cstheme="minorHAnsi"/>
          <w:szCs w:val="20"/>
        </w:rPr>
        <w:t xml:space="preserve"> </w:t>
      </w:r>
    </w:p>
    <w:p w14:paraId="51F6CEA5" w14:textId="7092F08C" w:rsidR="006E728A" w:rsidRPr="006E728A" w:rsidRDefault="002008CD" w:rsidP="00020D20">
      <w:pPr>
        <w:jc w:val="both"/>
        <w:rPr>
          <w:rFonts w:cstheme="minorHAnsi"/>
        </w:rPr>
      </w:pPr>
      <w:r>
        <w:rPr>
          <w:rFonts w:cstheme="minorHAnsi"/>
          <w:noProof/>
        </w:rPr>
        <mc:AlternateContent>
          <mc:Choice Requires="wps">
            <w:drawing>
              <wp:anchor distT="0" distB="0" distL="114300" distR="114300" simplePos="0" relativeHeight="251618492" behindDoc="1" locked="0" layoutInCell="1" allowOverlap="1" wp14:anchorId="7760FAA5" wp14:editId="743BAE02">
                <wp:simplePos x="0" y="0"/>
                <wp:positionH relativeFrom="column">
                  <wp:posOffset>1500253</wp:posOffset>
                </wp:positionH>
                <wp:positionV relativeFrom="paragraph">
                  <wp:posOffset>2742888</wp:posOffset>
                </wp:positionV>
                <wp:extent cx="1238250" cy="1562100"/>
                <wp:effectExtent l="76200" t="95250" r="76200" b="95250"/>
                <wp:wrapTight wrapText="bothSides">
                  <wp:wrapPolygon edited="0">
                    <wp:start x="-1329" y="-1317"/>
                    <wp:lineTo x="-1329" y="22654"/>
                    <wp:lineTo x="22597" y="22654"/>
                    <wp:lineTo x="22597" y="-1317"/>
                    <wp:lineTo x="-1329" y="-1317"/>
                  </wp:wrapPolygon>
                </wp:wrapTight>
                <wp:docPr id="816286440" name="Text Box 816286440"/>
                <wp:cNvGraphicFramePr/>
                <a:graphic xmlns:a="http://schemas.openxmlformats.org/drawingml/2006/main">
                  <a:graphicData uri="http://schemas.microsoft.com/office/word/2010/wordprocessingShape">
                    <wps:wsp>
                      <wps:cNvSpPr txBox="1"/>
                      <wps:spPr>
                        <a:xfrm>
                          <a:off x="0" y="0"/>
                          <a:ext cx="1238250" cy="15621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30BA80E" w14:textId="77777777" w:rsidR="00C6444C" w:rsidRDefault="00C6444C" w:rsidP="00020D20">
                            <w:pPr>
                              <w:jc w:val="center"/>
                            </w:pPr>
                            <w:r>
                              <w:rPr>
                                <w:noProof/>
                              </w:rPr>
                              <w:drawing>
                                <wp:inline distT="0" distB="0" distL="0" distR="0" wp14:anchorId="3A15A1AD" wp14:editId="6AE84362">
                                  <wp:extent cx="457200" cy="457200"/>
                                  <wp:effectExtent l="0" t="0" r="0" b="0"/>
                                  <wp:docPr id="1690912606" name="Picture 169091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7A41A3" w14:textId="52EDA972"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FRA Region 7</w:t>
                            </w:r>
                          </w:p>
                          <w:p w14:paraId="3734AA3D" w14:textId="3B5BB264" w:rsidR="00C6444C" w:rsidRPr="00954116" w:rsidRDefault="00C6444C" w:rsidP="00020D20">
                            <w:pPr>
                              <w:pStyle w:val="Calloutboxes"/>
                            </w:pPr>
                            <w:r w:rsidRPr="00394A74">
                              <w:t>801 I St., Ste. 466</w:t>
                            </w:r>
                          </w:p>
                          <w:p w14:paraId="3A66C229" w14:textId="47D77275" w:rsidR="00C6444C" w:rsidRPr="005A6734" w:rsidRDefault="00C6444C" w:rsidP="00020D20">
                            <w:pPr>
                              <w:pStyle w:val="Calloutboxes"/>
                            </w:pPr>
                            <w:r w:rsidRPr="0052715B">
                              <w:t>Sacramento, CA 95814</w:t>
                            </w:r>
                          </w:p>
                          <w:p w14:paraId="5A121B38" w14:textId="2F4EBAF6" w:rsidR="00C6444C" w:rsidRPr="00FE3DA2" w:rsidRDefault="00C6444C" w:rsidP="00020D20">
                            <w:pPr>
                              <w:pStyle w:val="Calloutboxes"/>
                            </w:pPr>
                            <w:r w:rsidRPr="00977A9B">
                              <w:t>T: 916-498-6540</w:t>
                            </w:r>
                          </w:p>
                          <w:p w14:paraId="028A55AE" w14:textId="43CE3D4A" w:rsidR="00C6444C" w:rsidRPr="00C57D06" w:rsidRDefault="00C6444C" w:rsidP="00020D20">
                            <w:pPr>
                              <w:pStyle w:val="Calloutboxes"/>
                            </w:pPr>
                            <w:r w:rsidRPr="000D70F2">
                              <w:t>F: 916-498-6546</w:t>
                            </w:r>
                          </w:p>
                          <w:p w14:paraId="271801FC" w14:textId="2FE71C20" w:rsidR="00C6444C" w:rsidRPr="00AC5D9B" w:rsidRDefault="00202C92">
                            <w:pPr>
                              <w:pStyle w:val="Title"/>
                              <w:rPr>
                                <w:sz w:val="16"/>
                                <w:szCs w:val="16"/>
                              </w:rPr>
                            </w:pPr>
                            <w:hyperlink r:id="rId237" w:history="1">
                              <w:r w:rsidR="00C6444C" w:rsidRPr="00020D20">
                                <w:rPr>
                                  <w:rStyle w:val="Hyperlink"/>
                                  <w:rFonts w:ascii="Calibri" w:hAnsi="Calibri" w:cstheme="majorBidi"/>
                                  <w:i/>
                                  <w:color w:val="CE5B18"/>
                                  <w:szCs w:val="56"/>
                                  <w:u w:val="none"/>
                                </w:rPr>
                                <w:t>https://railroads.dot.gov/</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60FAA5" id="Text Box 816286440" o:spid="_x0000_s1091" type="#_x0000_t202" style="position:absolute;left:0;text-align:left;margin-left:118.15pt;margin-top:3in;width:97.5pt;height:123pt;z-index:-251697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" fillcolor="#f7f7f7" stroked="f" strokeweight=".5pt">
                <v:shadow on="t" type="perspective" color="black" opacity="26214f" offset="0,0" matrix="66847f,,,66847f"/>
                <v:textbox>
                  <w:txbxContent>
                    <w:p w14:paraId="430BA80E" w14:textId="77777777" w:rsidR="00C6444C" w:rsidRDefault="00C6444C" w:rsidP="00020D20">
                      <w:pPr>
                        <w:jc w:val="center"/>
                      </w:pPr>
                      <w:r>
                        <w:rPr>
                          <w:noProof/>
                        </w:rPr>
                        <w:drawing>
                          <wp:inline distT="0" distB="0" distL="0" distR="0" wp14:anchorId="3A15A1AD" wp14:editId="6AE84362">
                            <wp:extent cx="457200" cy="457200"/>
                            <wp:effectExtent l="0" t="0" r="0" b="0"/>
                            <wp:docPr id="1690912606" name="Picture 169091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7A41A3" w14:textId="52EDA972"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FRA Region 7</w:t>
                      </w:r>
                    </w:p>
                    <w:p w14:paraId="3734AA3D" w14:textId="3B5BB264" w:rsidR="00C6444C" w:rsidRPr="00954116" w:rsidRDefault="00C6444C" w:rsidP="00020D20">
                      <w:pPr>
                        <w:pStyle w:val="Calloutboxes"/>
                      </w:pPr>
                      <w:r w:rsidRPr="00394A74">
                        <w:t>801 I St., Ste. 466</w:t>
                      </w:r>
                    </w:p>
                    <w:p w14:paraId="3A66C229" w14:textId="47D77275" w:rsidR="00C6444C" w:rsidRPr="005A6734" w:rsidRDefault="00C6444C" w:rsidP="00020D20">
                      <w:pPr>
                        <w:pStyle w:val="Calloutboxes"/>
                      </w:pPr>
                      <w:r w:rsidRPr="0052715B">
                        <w:t>Sacramento, CA 95814</w:t>
                      </w:r>
                    </w:p>
                    <w:p w14:paraId="5A121B38" w14:textId="2F4EBAF6" w:rsidR="00C6444C" w:rsidRPr="00FE3DA2" w:rsidRDefault="00C6444C" w:rsidP="00020D20">
                      <w:pPr>
                        <w:pStyle w:val="Calloutboxes"/>
                      </w:pPr>
                      <w:r w:rsidRPr="00977A9B">
                        <w:t>T: 916-498-6540</w:t>
                      </w:r>
                    </w:p>
                    <w:p w14:paraId="028A55AE" w14:textId="43CE3D4A" w:rsidR="00C6444C" w:rsidRPr="00C57D06" w:rsidRDefault="00C6444C" w:rsidP="00020D20">
                      <w:pPr>
                        <w:pStyle w:val="Calloutboxes"/>
                      </w:pPr>
                      <w:r w:rsidRPr="000D70F2">
                        <w:t>F: 916-498-6546</w:t>
                      </w:r>
                    </w:p>
                    <w:p w14:paraId="271801FC" w14:textId="2FE71C20" w:rsidR="00C6444C" w:rsidRPr="00AC5D9B" w:rsidRDefault="00C6444C">
                      <w:pPr>
                        <w:pStyle w:val="Title"/>
                        <w:rPr>
                          <w:sz w:val="16"/>
                          <w:szCs w:val="16"/>
                        </w:rPr>
                      </w:pPr>
                      <w:hyperlink r:id="rId238" w:history="1">
                        <w:r w:rsidRPr="00020D20">
                          <w:rPr>
                            <w:rStyle w:val="Hyperlink"/>
                            <w:rFonts w:ascii="Calibri" w:hAnsi="Calibri" w:cstheme="majorBidi"/>
                            <w:i/>
                            <w:color w:val="CE5B18"/>
                            <w:szCs w:val="56"/>
                            <w:u w:val="none"/>
                          </w:rPr>
                          <w:t>https://railroads.dot.gov/</w:t>
                        </w:r>
                      </w:hyperlink>
                    </w:p>
                  </w:txbxContent>
                </v:textbox>
                <w10:wrap type="tight"/>
              </v:shape>
            </w:pict>
          </mc:Fallback>
        </mc:AlternateContent>
      </w:r>
      <w:r w:rsidR="006E728A" w:rsidRPr="006E728A">
        <w:rPr>
          <w:rFonts w:cstheme="minorHAnsi"/>
        </w:rPr>
        <w:t xml:space="preserve">The </w:t>
      </w:r>
      <w:hyperlink r:id="rId239" w:history="1">
        <w:r w:rsidR="006E728A" w:rsidRPr="00281E39">
          <w:rPr>
            <w:rStyle w:val="TitleChar"/>
          </w:rPr>
          <w:t>Federal Railroad Administration</w:t>
        </w:r>
      </w:hyperlink>
      <w:r w:rsidR="006E728A" w:rsidRPr="006E728A">
        <w:rPr>
          <w:rFonts w:cstheme="minorHAnsi"/>
        </w:rPr>
        <w:t xml:space="preserve"> (FRA) was created by the Department of Transportation Act of 1966 (</w:t>
      </w:r>
      <w:hyperlink r:id="rId240" w:history="1">
        <w:r w:rsidR="006E728A" w:rsidRPr="00020D20">
          <w:rPr>
            <w:rStyle w:val="TitleChar"/>
          </w:rPr>
          <w:t>49 U.S.C. § 103</w:t>
        </w:r>
      </w:hyperlink>
      <w:r w:rsidR="006E728A" w:rsidRPr="006E728A">
        <w:rPr>
          <w:rFonts w:cstheme="minorHAnsi"/>
        </w:rPr>
        <w:t>, Section 3(e)(1)). The purpose of FRA is to promulgate and enforce rail safety regulations, administer railroad assistance programs, conduct research and development in support of improved railroad safety and national rail transportation policy, provide for the rehabilitation of the Northeast Corridor rail passenger service, and consolidate government support of rail transportation activities. Today, the FRA is 1 of 10 agencies within USDOT concerned with intermodal transportation. It operates through seven divisions under the offices of the administrator and deputy administrator.</w:t>
      </w:r>
    </w:p>
    <w:p w14:paraId="04627373" w14:textId="3C9E8820" w:rsidR="006E728A" w:rsidRPr="006E728A" w:rsidRDefault="006E728A" w:rsidP="00020D20">
      <w:pPr>
        <w:pStyle w:val="SubHeading3"/>
        <w:jc w:val="both"/>
      </w:pPr>
      <w:bookmarkStart w:id="84" w:name="_Ref50028108"/>
      <w:r w:rsidRPr="006E728A">
        <w:t>FRA Region 7</w:t>
      </w:r>
      <w:bookmarkEnd w:id="84"/>
      <w:r w:rsidRPr="006E728A">
        <w:t xml:space="preserve"> </w:t>
      </w:r>
    </w:p>
    <w:p w14:paraId="4FF3BEA5" w14:textId="708CCF56" w:rsidR="006E728A" w:rsidRPr="006E728A" w:rsidRDefault="006E728A" w:rsidP="00020D20">
      <w:pPr>
        <w:jc w:val="both"/>
        <w:rPr>
          <w:rFonts w:cstheme="minorHAnsi"/>
        </w:rPr>
      </w:pPr>
      <w:r w:rsidRPr="006E728A">
        <w:rPr>
          <w:rFonts w:cstheme="minorHAnsi"/>
        </w:rPr>
        <w:t xml:space="preserve">FRA Region 7 is headquartered in Sacramento, California, and governs Arizona, California, Nevada, and Utah. </w:t>
      </w:r>
    </w:p>
    <w:p w14:paraId="538DC15B" w14:textId="5245FB33" w:rsidR="006E728A" w:rsidRPr="006E728A" w:rsidRDefault="006E728A" w:rsidP="00020D20">
      <w:pPr>
        <w:pStyle w:val="Heading3"/>
        <w:jc w:val="both"/>
        <w:rPr>
          <w:rFonts w:cstheme="minorHAnsi"/>
          <w:szCs w:val="20"/>
        </w:rPr>
      </w:pPr>
      <w:bookmarkStart w:id="85" w:name="_Ref50027878"/>
      <w:r w:rsidRPr="006E728A">
        <w:rPr>
          <w:rFonts w:cstheme="minorHAnsi"/>
          <w:szCs w:val="20"/>
        </w:rPr>
        <w:t>2.2.4 | Federal Aviation Administration</w:t>
      </w:r>
      <w:bookmarkEnd w:id="85"/>
      <w:r w:rsidRPr="006E728A">
        <w:rPr>
          <w:rFonts w:cstheme="minorHAnsi"/>
          <w:szCs w:val="20"/>
        </w:rPr>
        <w:t xml:space="preserve"> </w:t>
      </w:r>
    </w:p>
    <w:p w14:paraId="467D3045" w14:textId="4679A364" w:rsidR="00926E3D" w:rsidRDefault="00F757D1" w:rsidP="00020D20">
      <w:pPr>
        <w:jc w:val="both"/>
        <w:rPr>
          <w:rFonts w:cstheme="minorHAnsi"/>
        </w:rPr>
      </w:pPr>
      <w:r>
        <w:rPr>
          <w:rFonts w:cstheme="minorHAnsi"/>
          <w:noProof/>
        </w:rPr>
        <mc:AlternateContent>
          <mc:Choice Requires="wps">
            <w:drawing>
              <wp:anchor distT="0" distB="0" distL="114300" distR="114300" simplePos="0" relativeHeight="251618493" behindDoc="1" locked="0" layoutInCell="1" allowOverlap="1" wp14:anchorId="123A1880" wp14:editId="308F8A6C">
                <wp:simplePos x="0" y="0"/>
                <wp:positionH relativeFrom="column">
                  <wp:posOffset>1171575</wp:posOffset>
                </wp:positionH>
                <wp:positionV relativeFrom="paragraph">
                  <wp:posOffset>596265</wp:posOffset>
                </wp:positionV>
                <wp:extent cx="1371600" cy="1485900"/>
                <wp:effectExtent l="76200" t="95250" r="76200" b="95250"/>
                <wp:wrapTight wrapText="bothSides">
                  <wp:wrapPolygon edited="0">
                    <wp:start x="-1200" y="-1385"/>
                    <wp:lineTo x="-1200" y="22708"/>
                    <wp:lineTo x="22500" y="22708"/>
                    <wp:lineTo x="22500" y="-1385"/>
                    <wp:lineTo x="-1200" y="-1385"/>
                  </wp:wrapPolygon>
                </wp:wrapTight>
                <wp:docPr id="816286442" name="Text Box 816286442"/>
                <wp:cNvGraphicFramePr/>
                <a:graphic xmlns:a="http://schemas.openxmlformats.org/drawingml/2006/main">
                  <a:graphicData uri="http://schemas.microsoft.com/office/word/2010/wordprocessingShape">
                    <wps:wsp>
                      <wps:cNvSpPr txBox="1"/>
                      <wps:spPr>
                        <a:xfrm>
                          <a:off x="0" y="0"/>
                          <a:ext cx="137160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6A88759" w14:textId="77777777" w:rsidR="00C6444C" w:rsidRDefault="00C6444C" w:rsidP="00020D20">
                            <w:pPr>
                              <w:jc w:val="center"/>
                            </w:pPr>
                            <w:r>
                              <w:rPr>
                                <w:noProof/>
                              </w:rPr>
                              <w:drawing>
                                <wp:inline distT="0" distB="0" distL="0" distR="0" wp14:anchorId="3CF82853" wp14:editId="172FDEE2">
                                  <wp:extent cx="457200" cy="457200"/>
                                  <wp:effectExtent l="0" t="0" r="0" b="0"/>
                                  <wp:docPr id="1690912607" name="Picture 169091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FB2A37F" w14:textId="40CFD8FF" w:rsidR="00C6444C" w:rsidRDefault="00C6444C" w:rsidP="00020D20">
                            <w:pPr>
                              <w:pStyle w:val="Calloutboxes"/>
                            </w:pPr>
                            <w:r w:rsidRPr="00020D20">
                              <w:rPr>
                                <w:u w:val="single"/>
                              </w:rPr>
                              <w:t>FAA Phoenix Field Office</w:t>
                            </w:r>
                            <w:r w:rsidRPr="00394A74">
                              <w:t xml:space="preserve"> William </w:t>
                            </w:r>
                            <w:r>
                              <w:t>W</w:t>
                            </w:r>
                            <w:r w:rsidRPr="00394A74">
                              <w:t>ithycombe</w:t>
                            </w:r>
                          </w:p>
                          <w:p w14:paraId="6B58F3DF" w14:textId="77777777" w:rsidR="00C6444C" w:rsidRDefault="00C6444C" w:rsidP="00020D20">
                            <w:pPr>
                              <w:pStyle w:val="Calloutboxes"/>
                            </w:pPr>
                            <w:r w:rsidRPr="00394A74">
                              <w:t>2800 N. 48th St., Ste. 510</w:t>
                            </w:r>
                          </w:p>
                          <w:p w14:paraId="33A3B5BF" w14:textId="00C48901" w:rsidR="00C6444C" w:rsidRPr="00A4281D" w:rsidRDefault="00C6444C" w:rsidP="00020D20">
                            <w:pPr>
                              <w:pStyle w:val="Calloutboxes"/>
                            </w:pPr>
                            <w:r w:rsidRPr="00957CC4">
                              <w:t>P</w:t>
                            </w:r>
                            <w:r w:rsidRPr="00FC59F1">
                              <w:t>hoenix, AZ 85008</w:t>
                            </w:r>
                          </w:p>
                          <w:p w14:paraId="1C2C7184" w14:textId="12296E83" w:rsidR="00C6444C" w:rsidRPr="00957CC4" w:rsidRDefault="00C6444C" w:rsidP="00020D20">
                            <w:pPr>
                              <w:pStyle w:val="Calloutboxes"/>
                            </w:pPr>
                            <w:r w:rsidRPr="00020D20">
                              <w:t>T:</w:t>
                            </w:r>
                            <w:r w:rsidRPr="00957CC4">
                              <w:t>602-379-4350</w:t>
                            </w:r>
                          </w:p>
                          <w:p w14:paraId="10D42424" w14:textId="76C669EA" w:rsidR="00C6444C" w:rsidRPr="00A4281D" w:rsidRDefault="00C6444C" w:rsidP="00020D20">
                            <w:pPr>
                              <w:pStyle w:val="Calloutboxes"/>
                            </w:pPr>
                            <w:r w:rsidRPr="00FC59F1">
                              <w:t>F: 602-379-3034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3A1880" id="Text Box 816286442" o:spid="_x0000_s1092" type="#_x0000_t202" style="position:absolute;left:0;text-align:left;margin-left:92.25pt;margin-top:46.95pt;width:108pt;height:117pt;z-index:-2516979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" fillcolor="#f7f7f7" stroked="f" strokeweight=".5pt">
                <v:shadow on="t" type="perspective" color="black" opacity="26214f" offset="0,0" matrix="66847f,,,66847f"/>
                <v:textbox>
                  <w:txbxContent>
                    <w:p w14:paraId="56A88759" w14:textId="77777777" w:rsidR="00C6444C" w:rsidRDefault="00C6444C" w:rsidP="00020D20">
                      <w:pPr>
                        <w:jc w:val="center"/>
                      </w:pPr>
                      <w:r>
                        <w:rPr>
                          <w:noProof/>
                        </w:rPr>
                        <w:drawing>
                          <wp:inline distT="0" distB="0" distL="0" distR="0" wp14:anchorId="3CF82853" wp14:editId="172FDEE2">
                            <wp:extent cx="457200" cy="457200"/>
                            <wp:effectExtent l="0" t="0" r="0" b="0"/>
                            <wp:docPr id="1690912607" name="Picture 169091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FB2A37F" w14:textId="40CFD8FF" w:rsidR="00C6444C" w:rsidRDefault="00C6444C" w:rsidP="00020D20">
                      <w:pPr>
                        <w:pStyle w:val="Calloutboxes"/>
                      </w:pPr>
                      <w:r w:rsidRPr="00020D20">
                        <w:rPr>
                          <w:u w:val="single"/>
                        </w:rPr>
                        <w:t>FAA Phoenix Field Office</w:t>
                      </w:r>
                      <w:r w:rsidRPr="00394A74">
                        <w:t xml:space="preserve"> William </w:t>
                      </w:r>
                      <w:r>
                        <w:t>W</w:t>
                      </w:r>
                      <w:r w:rsidRPr="00394A74">
                        <w:t>ithycombe</w:t>
                      </w:r>
                    </w:p>
                    <w:p w14:paraId="6B58F3DF" w14:textId="77777777" w:rsidR="00C6444C" w:rsidRDefault="00C6444C" w:rsidP="00020D20">
                      <w:pPr>
                        <w:pStyle w:val="Calloutboxes"/>
                      </w:pPr>
                      <w:r w:rsidRPr="00394A74">
                        <w:t>2800 N. 48th St., Ste. 510</w:t>
                      </w:r>
                    </w:p>
                    <w:p w14:paraId="33A3B5BF" w14:textId="00C48901" w:rsidR="00C6444C" w:rsidRPr="00A4281D" w:rsidRDefault="00C6444C" w:rsidP="00020D20">
                      <w:pPr>
                        <w:pStyle w:val="Calloutboxes"/>
                      </w:pPr>
                      <w:r w:rsidRPr="00957CC4">
                        <w:t>P</w:t>
                      </w:r>
                      <w:r w:rsidRPr="00FC59F1">
                        <w:t>hoenix, AZ 85008</w:t>
                      </w:r>
                    </w:p>
                    <w:p w14:paraId="1C2C7184" w14:textId="12296E83" w:rsidR="00C6444C" w:rsidRPr="00957CC4" w:rsidRDefault="00C6444C" w:rsidP="00020D20">
                      <w:pPr>
                        <w:pStyle w:val="Calloutboxes"/>
                      </w:pPr>
                      <w:r w:rsidRPr="00020D20">
                        <w:t>T:</w:t>
                      </w:r>
                      <w:r w:rsidRPr="00957CC4">
                        <w:t>602-379-4350</w:t>
                      </w:r>
                    </w:p>
                    <w:p w14:paraId="10D42424" w14:textId="76C669EA" w:rsidR="00C6444C" w:rsidRPr="00A4281D" w:rsidRDefault="00C6444C" w:rsidP="00020D20">
                      <w:pPr>
                        <w:pStyle w:val="Calloutboxes"/>
                      </w:pPr>
                      <w:r w:rsidRPr="00FC59F1">
                        <w:t>F: 602-379-3034</w:t>
                      </w:r>
                    </w:p>
                  </w:txbxContent>
                </v:textbox>
                <w10:wrap type="tight"/>
              </v:shape>
            </w:pict>
          </mc:Fallback>
        </mc:AlternateContent>
      </w:r>
      <w:r w:rsidR="006E728A" w:rsidRPr="006E728A">
        <w:rPr>
          <w:rFonts w:cstheme="minorHAnsi"/>
        </w:rPr>
        <w:t xml:space="preserve">The </w:t>
      </w:r>
      <w:hyperlink r:id="rId241" w:history="1">
        <w:r w:rsidR="006E728A" w:rsidRPr="00281E39">
          <w:rPr>
            <w:rStyle w:val="TitleChar"/>
          </w:rPr>
          <w:t>Federal Aviation Administration</w:t>
        </w:r>
      </w:hyperlink>
      <w:r w:rsidR="006E728A" w:rsidRPr="006E728A">
        <w:rPr>
          <w:rFonts w:cstheme="minorHAnsi"/>
        </w:rPr>
        <w:t xml:space="preserve"> (FAA) is responsible for providing a safe and efficient aerospace system; it is accountable to the American public and the FAA’s stakeholders. The FAA has nine regional offices, an aeronautical center, and the FAA headquarters located in Washington, DC.</w:t>
      </w:r>
    </w:p>
    <w:p w14:paraId="003F32D9" w14:textId="108B6496" w:rsidR="007B4EC9" w:rsidRPr="007B4EC9" w:rsidRDefault="007B4EC9" w:rsidP="00020D20">
      <w:pPr>
        <w:pStyle w:val="SubHeading3"/>
        <w:jc w:val="both"/>
      </w:pPr>
      <w:bookmarkStart w:id="86" w:name="_Ref50028115"/>
      <w:r w:rsidRPr="007B4EC9">
        <w:t>FAA Western-Pacific Region</w:t>
      </w:r>
      <w:bookmarkEnd w:id="86"/>
    </w:p>
    <w:p w14:paraId="138E5858" w14:textId="5C351B40" w:rsidR="007B4EC9" w:rsidRPr="007B4EC9" w:rsidRDefault="007B4EC9" w:rsidP="00020D20">
      <w:pPr>
        <w:jc w:val="both"/>
        <w:rPr>
          <w:rFonts w:cstheme="minorHAnsi"/>
        </w:rPr>
      </w:pPr>
      <w:r w:rsidRPr="007B4EC9">
        <w:rPr>
          <w:rFonts w:cstheme="minorHAnsi"/>
        </w:rPr>
        <w:t>The Western-Pacific Region comprises four states (Arizona, California, Hawaii, and Nevada) and three U.S. territories (American Samoa, Guam, and the Commonwealth of the Northern Mariana Islands). Arizona has a field office for the Western-Pacific Region.</w:t>
      </w:r>
    </w:p>
    <w:p w14:paraId="56DFF392" w14:textId="192524AD" w:rsidR="007B4EC9" w:rsidRPr="007B4EC9" w:rsidRDefault="007B4EC9" w:rsidP="00020D20">
      <w:pPr>
        <w:pStyle w:val="Heading3"/>
        <w:jc w:val="both"/>
        <w:rPr>
          <w:rFonts w:cstheme="minorHAnsi"/>
          <w:szCs w:val="20"/>
        </w:rPr>
      </w:pPr>
      <w:bookmarkStart w:id="87" w:name="_Ref50027885"/>
      <w:r w:rsidRPr="007B4EC9">
        <w:rPr>
          <w:rFonts w:cstheme="minorHAnsi"/>
          <w:szCs w:val="20"/>
        </w:rPr>
        <w:t>2.2.5 | Department of Housing &amp; Urban Development</w:t>
      </w:r>
      <w:bookmarkEnd w:id="87"/>
      <w:r w:rsidRPr="007B4EC9">
        <w:rPr>
          <w:rFonts w:cstheme="minorHAnsi"/>
          <w:szCs w:val="20"/>
        </w:rPr>
        <w:t xml:space="preserve"> </w:t>
      </w:r>
    </w:p>
    <w:p w14:paraId="68901ACF" w14:textId="1F6E5DC7" w:rsidR="007B4EC9" w:rsidRDefault="00076532" w:rsidP="00020D20">
      <w:pPr>
        <w:jc w:val="both"/>
        <w:rPr>
          <w:rFonts w:cstheme="minorHAnsi"/>
        </w:rPr>
      </w:pPr>
      <w:r>
        <w:rPr>
          <w:rFonts w:cstheme="minorHAnsi"/>
          <w:noProof/>
        </w:rPr>
        <mc:AlternateContent>
          <mc:Choice Requires="wps">
            <w:drawing>
              <wp:anchor distT="0" distB="0" distL="114300" distR="114300" simplePos="0" relativeHeight="251618494" behindDoc="1" locked="0" layoutInCell="1" allowOverlap="1" wp14:anchorId="2CC0AE08" wp14:editId="0DBE2947">
                <wp:simplePos x="0" y="0"/>
                <wp:positionH relativeFrom="column">
                  <wp:posOffset>1457325</wp:posOffset>
                </wp:positionH>
                <wp:positionV relativeFrom="paragraph">
                  <wp:posOffset>137795</wp:posOffset>
                </wp:positionV>
                <wp:extent cx="1371600" cy="2505075"/>
                <wp:effectExtent l="95250" t="95250" r="95250" b="104775"/>
                <wp:wrapTight wrapText="bothSides">
                  <wp:wrapPolygon edited="0">
                    <wp:start x="-900" y="-821"/>
                    <wp:lineTo x="-1500" y="-657"/>
                    <wp:lineTo x="-1500" y="20368"/>
                    <wp:lineTo x="-900" y="22339"/>
                    <wp:lineTo x="22200" y="22339"/>
                    <wp:lineTo x="22800" y="20368"/>
                    <wp:lineTo x="22800" y="1971"/>
                    <wp:lineTo x="22200" y="-493"/>
                    <wp:lineTo x="22200" y="-821"/>
                    <wp:lineTo x="-900" y="-821"/>
                  </wp:wrapPolygon>
                </wp:wrapTight>
                <wp:docPr id="816286444" name="Text Box 816286444"/>
                <wp:cNvGraphicFramePr/>
                <a:graphic xmlns:a="http://schemas.openxmlformats.org/drawingml/2006/main">
                  <a:graphicData uri="http://schemas.microsoft.com/office/word/2010/wordprocessingShape">
                    <wps:wsp>
                      <wps:cNvSpPr txBox="1"/>
                      <wps:spPr>
                        <a:xfrm>
                          <a:off x="0" y="0"/>
                          <a:ext cx="1371600" cy="25050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8DD62F1" w14:textId="77777777" w:rsidR="00C6444C" w:rsidRDefault="00C6444C" w:rsidP="00020D20">
                            <w:pPr>
                              <w:jc w:val="center"/>
                            </w:pPr>
                            <w:r>
                              <w:rPr>
                                <w:noProof/>
                              </w:rPr>
                              <w:drawing>
                                <wp:inline distT="0" distB="0" distL="0" distR="0" wp14:anchorId="1E01CE6E" wp14:editId="46590549">
                                  <wp:extent cx="457200" cy="457200"/>
                                  <wp:effectExtent l="0" t="0" r="0" b="0"/>
                                  <wp:docPr id="1690912737" name="Picture 169091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1B5E23" w14:textId="3239303C" w:rsidR="00C6444C" w:rsidRPr="00954116" w:rsidRDefault="00C6444C" w:rsidP="00020D20">
                            <w:pPr>
                              <w:pStyle w:val="Calloutboxes"/>
                            </w:pPr>
                            <w:r w:rsidRPr="00020D20">
                              <w:rPr>
                                <w:u w:val="single"/>
                              </w:rPr>
                              <w:t>HUD Phoenix Field Office</w:t>
                            </w:r>
                            <w:r w:rsidRPr="00394A74">
                              <w:t xml:space="preserve"> Tony Ramirez</w:t>
                            </w:r>
                          </w:p>
                          <w:p w14:paraId="03C8C5D2" w14:textId="3E79A873" w:rsidR="00C6444C" w:rsidRDefault="00C6444C" w:rsidP="00020D20">
                            <w:pPr>
                              <w:pStyle w:val="Calloutboxes"/>
                            </w:pPr>
                            <w:r w:rsidRPr="0052715B">
                              <w:rPr>
                                <w:rFonts w:cstheme="minorBidi"/>
                              </w:rPr>
                              <w:t>One North Central Ave., Ste.</w:t>
                            </w:r>
                          </w:p>
                          <w:p w14:paraId="2A67670E" w14:textId="3E1697C2" w:rsidR="00C6444C" w:rsidRPr="00954116" w:rsidRDefault="00C6444C" w:rsidP="00020D20">
                            <w:pPr>
                              <w:pStyle w:val="Calloutboxes"/>
                            </w:pPr>
                            <w:r w:rsidRPr="00394A74">
                              <w:t>600 Phoenix, AZ 85004</w:t>
                            </w:r>
                          </w:p>
                          <w:p w14:paraId="09B51DD9" w14:textId="2538A234" w:rsidR="00C6444C" w:rsidRPr="00957CC4" w:rsidRDefault="00C6444C" w:rsidP="00020D20">
                            <w:pPr>
                              <w:pStyle w:val="Calloutboxes"/>
                            </w:pPr>
                            <w:r w:rsidRPr="00957CC4">
                              <w:t>T: 602-379-7100</w:t>
                            </w:r>
                          </w:p>
                          <w:p w14:paraId="38B2BED9" w14:textId="77777777" w:rsidR="00C6444C" w:rsidRPr="00A4281D" w:rsidRDefault="00C6444C" w:rsidP="00020D20">
                            <w:pPr>
                              <w:pStyle w:val="Calloutboxes"/>
                            </w:pPr>
                            <w:r w:rsidRPr="00FC59F1">
                              <w:t>F: 602-379-3985</w:t>
                            </w:r>
                          </w:p>
                          <w:p w14:paraId="06105E9A" w14:textId="5C40094F" w:rsidR="00C6444C" w:rsidRPr="00020D20" w:rsidRDefault="00C6444C" w:rsidP="00020D20">
                            <w:pPr>
                              <w:pStyle w:val="Calloutboxes"/>
                            </w:pPr>
                            <w:r w:rsidRPr="00020D20">
                              <w:t>TTY: 602-379-7181</w:t>
                            </w:r>
                          </w:p>
                          <w:p w14:paraId="2CA91A65" w14:textId="77777777" w:rsidR="00C6444C" w:rsidRPr="00020D20" w:rsidRDefault="00C6444C" w:rsidP="00020D20">
                            <w:pPr>
                              <w:spacing w:before="0" w:after="0" w:line="240" w:lineRule="auto"/>
                              <w:jc w:val="center"/>
                              <w:rPr>
                                <w:sz w:val="16"/>
                                <w:szCs w:val="16"/>
                              </w:rPr>
                            </w:pPr>
                          </w:p>
                          <w:p w14:paraId="76114236" w14:textId="646013A9" w:rsidR="00C6444C" w:rsidRPr="0052715B" w:rsidRDefault="00C6444C" w:rsidP="00020D20">
                            <w:pPr>
                              <w:pStyle w:val="Calloutboxes"/>
                            </w:pPr>
                            <w:r w:rsidRPr="00020D20">
                              <w:rPr>
                                <w:u w:val="single"/>
                              </w:rPr>
                              <w:t xml:space="preserve">HUD Tucson Field Office </w:t>
                            </w:r>
                            <w:r w:rsidRPr="00394A74">
                              <w:t xml:space="preserve">Tony </w:t>
                            </w:r>
                            <w:r w:rsidRPr="00954116">
                              <w:t>Ramirez</w:t>
                            </w:r>
                          </w:p>
                          <w:p w14:paraId="23DBF093" w14:textId="1FB20B1F" w:rsidR="00C6444C" w:rsidRDefault="00C6444C" w:rsidP="00020D20">
                            <w:pPr>
                              <w:pStyle w:val="Calloutboxes"/>
                            </w:pPr>
                            <w:r w:rsidRPr="005A6734">
                              <w:t>6245 East Broadway, Ste.</w:t>
                            </w:r>
                          </w:p>
                          <w:p w14:paraId="0EA712C2" w14:textId="4FB668B6" w:rsidR="00C6444C" w:rsidRPr="00954116" w:rsidRDefault="00C6444C" w:rsidP="00020D20">
                            <w:pPr>
                              <w:pStyle w:val="Calloutboxes"/>
                            </w:pPr>
                            <w:r w:rsidRPr="00394A74">
                              <w:t>350 Tucson, AZ 85711</w:t>
                            </w:r>
                          </w:p>
                          <w:p w14:paraId="3093F878" w14:textId="1236D880" w:rsidR="00C6444C" w:rsidRPr="005A6734" w:rsidRDefault="00C6444C" w:rsidP="00020D20">
                            <w:pPr>
                              <w:pStyle w:val="Calloutboxes"/>
                            </w:pPr>
                            <w:r w:rsidRPr="0052715B">
                              <w:t>T: 520-308-3007</w:t>
                            </w:r>
                          </w:p>
                          <w:p w14:paraId="143FF5D9" w14:textId="720E7B10" w:rsidR="00C6444C" w:rsidRPr="00FE3DA2" w:rsidRDefault="00C6444C" w:rsidP="00020D20">
                            <w:pPr>
                              <w:pStyle w:val="Calloutboxes"/>
                            </w:pPr>
                            <w:r w:rsidRPr="00977A9B">
                              <w:t>F: 520-670-6207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C0AE08" id="Text Box 816286444" o:spid="_x0000_s1093" type="#_x0000_t202" style="position:absolute;left:0;text-align:left;margin-left:114.75pt;margin-top:10.85pt;width:108pt;height:197.25pt;z-index:-251697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" fillcolor="#f7f7f7" stroked="f" strokeweight=".5pt">
                <v:shadow on="t" type="perspective" color="black" opacity="26214f" offset="0,0" matrix="66847f,,,66847f"/>
                <v:textbox>
                  <w:txbxContent>
                    <w:p w14:paraId="28DD62F1" w14:textId="77777777" w:rsidR="00C6444C" w:rsidRDefault="00C6444C" w:rsidP="00020D20">
                      <w:pPr>
                        <w:jc w:val="center"/>
                      </w:pPr>
                      <w:r>
                        <w:rPr>
                          <w:noProof/>
                        </w:rPr>
                        <w:drawing>
                          <wp:inline distT="0" distB="0" distL="0" distR="0" wp14:anchorId="1E01CE6E" wp14:editId="46590549">
                            <wp:extent cx="457200" cy="457200"/>
                            <wp:effectExtent l="0" t="0" r="0" b="0"/>
                            <wp:docPr id="1690912737" name="Picture 169091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1B5E23" w14:textId="3239303C" w:rsidR="00C6444C" w:rsidRPr="00954116" w:rsidRDefault="00C6444C" w:rsidP="00020D20">
                      <w:pPr>
                        <w:pStyle w:val="Calloutboxes"/>
                      </w:pPr>
                      <w:r w:rsidRPr="00020D20">
                        <w:rPr>
                          <w:u w:val="single"/>
                        </w:rPr>
                        <w:t>HUD Phoenix Field Office</w:t>
                      </w:r>
                      <w:r w:rsidRPr="00394A74">
                        <w:t xml:space="preserve"> Tony Ramirez</w:t>
                      </w:r>
                    </w:p>
                    <w:p w14:paraId="03C8C5D2" w14:textId="3E79A873" w:rsidR="00C6444C" w:rsidRDefault="00C6444C" w:rsidP="00020D20">
                      <w:pPr>
                        <w:pStyle w:val="Calloutboxes"/>
                      </w:pPr>
                      <w:r w:rsidRPr="0052715B">
                        <w:rPr>
                          <w:rFonts w:cstheme="minorBidi"/>
                        </w:rPr>
                        <w:t>One North Central Ave., Ste.</w:t>
                      </w:r>
                    </w:p>
                    <w:p w14:paraId="2A67670E" w14:textId="3E1697C2" w:rsidR="00C6444C" w:rsidRPr="00954116" w:rsidRDefault="00C6444C" w:rsidP="00020D20">
                      <w:pPr>
                        <w:pStyle w:val="Calloutboxes"/>
                      </w:pPr>
                      <w:r w:rsidRPr="00394A74">
                        <w:t>600 Phoenix, AZ 85004</w:t>
                      </w:r>
                    </w:p>
                    <w:p w14:paraId="09B51DD9" w14:textId="2538A234" w:rsidR="00C6444C" w:rsidRPr="00957CC4" w:rsidRDefault="00C6444C" w:rsidP="00020D20">
                      <w:pPr>
                        <w:pStyle w:val="Calloutboxes"/>
                      </w:pPr>
                      <w:r w:rsidRPr="00957CC4">
                        <w:t>T: 602-379-7100</w:t>
                      </w:r>
                    </w:p>
                    <w:p w14:paraId="38B2BED9" w14:textId="77777777" w:rsidR="00C6444C" w:rsidRPr="00A4281D" w:rsidRDefault="00C6444C" w:rsidP="00020D20">
                      <w:pPr>
                        <w:pStyle w:val="Calloutboxes"/>
                      </w:pPr>
                      <w:r w:rsidRPr="00FC59F1">
                        <w:t>F: 602-379-3985</w:t>
                      </w:r>
                    </w:p>
                    <w:p w14:paraId="06105E9A" w14:textId="5C40094F" w:rsidR="00C6444C" w:rsidRPr="00020D20" w:rsidRDefault="00C6444C" w:rsidP="00020D20">
                      <w:pPr>
                        <w:pStyle w:val="Calloutboxes"/>
                      </w:pPr>
                      <w:r w:rsidRPr="00020D20">
                        <w:t>TTY: 602-379-7181</w:t>
                      </w:r>
                    </w:p>
                    <w:p w14:paraId="2CA91A65" w14:textId="77777777" w:rsidR="00C6444C" w:rsidRPr="00020D20" w:rsidRDefault="00C6444C" w:rsidP="00020D20">
                      <w:pPr>
                        <w:spacing w:before="0" w:after="0" w:line="240" w:lineRule="auto"/>
                        <w:jc w:val="center"/>
                        <w:rPr>
                          <w:sz w:val="16"/>
                          <w:szCs w:val="16"/>
                        </w:rPr>
                      </w:pPr>
                    </w:p>
                    <w:p w14:paraId="76114236" w14:textId="646013A9" w:rsidR="00C6444C" w:rsidRPr="0052715B" w:rsidRDefault="00C6444C" w:rsidP="00020D20">
                      <w:pPr>
                        <w:pStyle w:val="Calloutboxes"/>
                      </w:pPr>
                      <w:r w:rsidRPr="00020D20">
                        <w:rPr>
                          <w:u w:val="single"/>
                        </w:rPr>
                        <w:t xml:space="preserve">HUD Tucson Field Office </w:t>
                      </w:r>
                      <w:r w:rsidRPr="00394A74">
                        <w:t xml:space="preserve">Tony </w:t>
                      </w:r>
                      <w:r w:rsidRPr="00954116">
                        <w:t>Ramirez</w:t>
                      </w:r>
                    </w:p>
                    <w:p w14:paraId="23DBF093" w14:textId="1FB20B1F" w:rsidR="00C6444C" w:rsidRDefault="00C6444C" w:rsidP="00020D20">
                      <w:pPr>
                        <w:pStyle w:val="Calloutboxes"/>
                      </w:pPr>
                      <w:r w:rsidRPr="005A6734">
                        <w:t>6245 East Broadway, Ste.</w:t>
                      </w:r>
                    </w:p>
                    <w:p w14:paraId="0EA712C2" w14:textId="4FB668B6" w:rsidR="00C6444C" w:rsidRPr="00954116" w:rsidRDefault="00C6444C" w:rsidP="00020D20">
                      <w:pPr>
                        <w:pStyle w:val="Calloutboxes"/>
                      </w:pPr>
                      <w:r w:rsidRPr="00394A74">
                        <w:t>350 Tucson, AZ 85711</w:t>
                      </w:r>
                    </w:p>
                    <w:p w14:paraId="3093F878" w14:textId="1236D880" w:rsidR="00C6444C" w:rsidRPr="005A6734" w:rsidRDefault="00C6444C" w:rsidP="00020D20">
                      <w:pPr>
                        <w:pStyle w:val="Calloutboxes"/>
                      </w:pPr>
                      <w:r w:rsidRPr="0052715B">
                        <w:t>T: 520-308-3007</w:t>
                      </w:r>
                    </w:p>
                    <w:p w14:paraId="143FF5D9" w14:textId="720E7B10" w:rsidR="00C6444C" w:rsidRPr="00FE3DA2" w:rsidRDefault="00C6444C" w:rsidP="00020D20">
                      <w:pPr>
                        <w:pStyle w:val="Calloutboxes"/>
                      </w:pPr>
                      <w:r w:rsidRPr="00977A9B">
                        <w:t>F: 520-670-6207</w:t>
                      </w:r>
                    </w:p>
                  </w:txbxContent>
                </v:textbox>
                <w10:wrap type="tight"/>
              </v:shape>
            </w:pict>
          </mc:Fallback>
        </mc:AlternateContent>
      </w:r>
      <w:r w:rsidR="00E66DE1">
        <w:rPr>
          <w:rFonts w:cstheme="minorHAnsi"/>
        </w:rPr>
        <w:t xml:space="preserve">The FAST Act </w:t>
      </w:r>
      <w:r w:rsidR="00DF0ED5">
        <w:rPr>
          <w:rFonts w:cstheme="minorHAnsi"/>
        </w:rPr>
        <w:t xml:space="preserve">streamlined regulatory requirements affecting the </w:t>
      </w:r>
      <w:hyperlink r:id="rId242" w:history="1">
        <w:r w:rsidR="00DF0ED5" w:rsidRPr="00281E39">
          <w:rPr>
            <w:rStyle w:val="TitleChar"/>
          </w:rPr>
          <w:t>Department of Housing and Urban Development</w:t>
        </w:r>
      </w:hyperlink>
      <w:r w:rsidR="00DF0ED5">
        <w:rPr>
          <w:rFonts w:cstheme="minorHAnsi"/>
        </w:rPr>
        <w:t xml:space="preserve"> (HUD). </w:t>
      </w:r>
      <w:r w:rsidR="007B4EC9" w:rsidRPr="007B4EC9">
        <w:rPr>
          <w:rFonts w:cstheme="minorHAnsi"/>
        </w:rPr>
        <w:t>According to</w:t>
      </w:r>
      <w:r w:rsidR="007B4EC9" w:rsidRPr="00281E39">
        <w:t xml:space="preserve"> the </w:t>
      </w:r>
      <w:r w:rsidR="007B4EC9" w:rsidRPr="007B4EC9">
        <w:rPr>
          <w:rFonts w:cstheme="minorHAnsi"/>
        </w:rPr>
        <w:t xml:space="preserve">HUD website, their mission is to generate strong, sustainable, inclusive communities and quality affordable homes for all. HUD is working to strengthen the housing market to bolster the economy and protect consumers; meet the need for quality affordable rental homes: utilize housing as a platform for improving quality of life; build inclusive and sustainable communities free from discrimination; and transform the way HUD does business. HUD does not have a regional structure but operates two Arizona field offices, which are located in Phoenix and Tucson. The Phoenix office operates in areas north of Casa Grande, and the Tucson office operates in areas south of Casa Grande. </w:t>
      </w:r>
    </w:p>
    <w:p w14:paraId="7B616364" w14:textId="20C6D115" w:rsidR="007B4EC9" w:rsidRPr="007B4EC9" w:rsidRDefault="007B4EC9" w:rsidP="00020D20">
      <w:pPr>
        <w:pStyle w:val="Heading3"/>
        <w:jc w:val="both"/>
      </w:pPr>
      <w:bookmarkStart w:id="88" w:name="_Ref50027890"/>
      <w:r w:rsidRPr="007B4EC9">
        <w:rPr>
          <w:rFonts w:cstheme="minorHAnsi"/>
          <w:szCs w:val="20"/>
        </w:rPr>
        <w:t>2.2.6 | Environmental Protection Agency</w:t>
      </w:r>
      <w:bookmarkEnd w:id="88"/>
      <w:r w:rsidRPr="007B4EC9">
        <w:rPr>
          <w:rFonts w:cstheme="minorHAnsi"/>
          <w:szCs w:val="20"/>
        </w:rPr>
        <w:t xml:space="preserve"> </w:t>
      </w:r>
    </w:p>
    <w:p w14:paraId="622EFE9E" w14:textId="53CABA00" w:rsidR="007B4EC9" w:rsidRPr="007B4EC9" w:rsidRDefault="007B4EC9" w:rsidP="00020D20">
      <w:pPr>
        <w:jc w:val="both"/>
        <w:rPr>
          <w:rFonts w:cstheme="minorHAnsi"/>
        </w:rPr>
      </w:pPr>
      <w:r w:rsidRPr="007B4EC9">
        <w:rPr>
          <w:rFonts w:cstheme="minorHAnsi"/>
        </w:rPr>
        <w:t xml:space="preserve">According to the </w:t>
      </w:r>
      <w:hyperlink r:id="rId243" w:history="1">
        <w:r w:rsidRPr="00281E39">
          <w:rPr>
            <w:rStyle w:val="TitleChar"/>
          </w:rPr>
          <w:t>EPA</w:t>
        </w:r>
      </w:hyperlink>
      <w:r w:rsidRPr="007B4EC9">
        <w:rPr>
          <w:rFonts w:cstheme="minorHAnsi"/>
        </w:rPr>
        <w:t xml:space="preserve"> website, their mission is to protect human health and the environment. Air quality and water quality, in particular, are two aspects of the environment that interface directly with the planning, delivery, and operation of transportation facilities and services. The EPA has offices headquartered in Washington, DC, and 10 regional offices located throughout the United States. </w:t>
      </w:r>
    </w:p>
    <w:p w14:paraId="3FEAE703" w14:textId="4E3E2105" w:rsidR="007B4EC9" w:rsidRPr="007B4EC9" w:rsidRDefault="007B4EC9" w:rsidP="00020D20">
      <w:pPr>
        <w:pStyle w:val="SubHeading3"/>
        <w:jc w:val="both"/>
      </w:pPr>
      <w:bookmarkStart w:id="89" w:name="_Ref50028123"/>
      <w:r w:rsidRPr="007B4EC9">
        <w:t>EPA Region 9</w:t>
      </w:r>
      <w:bookmarkEnd w:id="89"/>
    </w:p>
    <w:p w14:paraId="31AD4258" w14:textId="234E6FAA" w:rsidR="007B4EC9" w:rsidRPr="007B4EC9" w:rsidRDefault="00B43F67" w:rsidP="00020D20">
      <w:pPr>
        <w:jc w:val="both"/>
        <w:rPr>
          <w:rFonts w:cstheme="minorHAnsi"/>
        </w:rPr>
      </w:pPr>
      <w:r>
        <w:rPr>
          <w:rFonts w:cstheme="minorHAnsi"/>
          <w:noProof/>
        </w:rPr>
        <mc:AlternateContent>
          <mc:Choice Requires="wps">
            <w:drawing>
              <wp:anchor distT="0" distB="0" distL="114300" distR="114300" simplePos="0" relativeHeight="251618495" behindDoc="1" locked="0" layoutInCell="1" allowOverlap="1" wp14:anchorId="50AC54F9" wp14:editId="53424CAD">
                <wp:simplePos x="0" y="0"/>
                <wp:positionH relativeFrom="column">
                  <wp:posOffset>1371600</wp:posOffset>
                </wp:positionH>
                <wp:positionV relativeFrom="paragraph">
                  <wp:posOffset>1000125</wp:posOffset>
                </wp:positionV>
                <wp:extent cx="1371600" cy="1362075"/>
                <wp:effectExtent l="95250" t="95250" r="95250" b="104775"/>
                <wp:wrapTight wrapText="bothSides">
                  <wp:wrapPolygon edited="0">
                    <wp:start x="-900" y="-1510"/>
                    <wp:lineTo x="-1500" y="-906"/>
                    <wp:lineTo x="-1200" y="22959"/>
                    <wp:lineTo x="22500" y="22959"/>
                    <wp:lineTo x="22800" y="3927"/>
                    <wp:lineTo x="22200" y="-604"/>
                    <wp:lineTo x="22200" y="-1510"/>
                    <wp:lineTo x="-900" y="-1510"/>
                  </wp:wrapPolygon>
                </wp:wrapTight>
                <wp:docPr id="816286446" name="Text Box 816286446"/>
                <wp:cNvGraphicFramePr/>
                <a:graphic xmlns:a="http://schemas.openxmlformats.org/drawingml/2006/main">
                  <a:graphicData uri="http://schemas.microsoft.com/office/word/2010/wordprocessingShape">
                    <wps:wsp>
                      <wps:cNvSpPr txBox="1"/>
                      <wps:spPr>
                        <a:xfrm>
                          <a:off x="0" y="0"/>
                          <a:ext cx="1371600" cy="13620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56C3995" w14:textId="77777777" w:rsidR="00C6444C" w:rsidRDefault="00C6444C" w:rsidP="00020D20">
                            <w:pPr>
                              <w:jc w:val="center"/>
                            </w:pPr>
                            <w:r>
                              <w:rPr>
                                <w:noProof/>
                              </w:rPr>
                              <w:drawing>
                                <wp:inline distT="0" distB="0" distL="0" distR="0" wp14:anchorId="45DA51BB" wp14:editId="637E46DA">
                                  <wp:extent cx="457200" cy="457200"/>
                                  <wp:effectExtent l="0" t="0" r="0" b="0"/>
                                  <wp:docPr id="1690912746" name="Picture 169091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925BEAD" w14:textId="6BEDFC3C"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EPA Region 9</w:t>
                            </w:r>
                          </w:p>
                          <w:p w14:paraId="1E94ACA3" w14:textId="4644E2D1" w:rsidR="00C6444C" w:rsidRDefault="00C6444C" w:rsidP="00020D20">
                            <w:pPr>
                              <w:pStyle w:val="Calloutboxes"/>
                            </w:pPr>
                            <w:r w:rsidRPr="00394A74">
                              <w:t>Jared Blumenfeld</w:t>
                            </w:r>
                          </w:p>
                          <w:p w14:paraId="390E0F88" w14:textId="77777777" w:rsidR="00C6444C" w:rsidRDefault="00C6444C" w:rsidP="00020D20">
                            <w:pPr>
                              <w:pStyle w:val="Calloutboxes"/>
                            </w:pPr>
                            <w:r w:rsidRPr="00394A74">
                              <w:t>75 Hawthorne St.</w:t>
                            </w:r>
                          </w:p>
                          <w:p w14:paraId="46B8D4CC" w14:textId="5BBE4F5B" w:rsidR="00C6444C" w:rsidRPr="00957CC4" w:rsidRDefault="00C6444C" w:rsidP="00020D20">
                            <w:pPr>
                              <w:pStyle w:val="Calloutboxes"/>
                            </w:pPr>
                            <w:r w:rsidRPr="00954116">
                              <w:t>San</w:t>
                            </w:r>
                            <w:r w:rsidRPr="00957CC4">
                              <w:t xml:space="preserve"> Francisco, CA 94105 </w:t>
                            </w:r>
                          </w:p>
                          <w:p w14:paraId="3CFFEE9D" w14:textId="24616051" w:rsidR="00C6444C" w:rsidRPr="00BD48AE" w:rsidRDefault="00C6444C" w:rsidP="00020D20">
                            <w:pPr>
                              <w:pStyle w:val="Calloutboxes"/>
                            </w:pPr>
                            <w:r w:rsidRPr="00FC59F1">
                              <w:t xml:space="preserve">T: </w:t>
                            </w:r>
                            <w:r w:rsidRPr="00A4281D">
                              <w:t>415-947-8000</w:t>
                            </w:r>
                          </w:p>
                          <w:p w14:paraId="371E473A" w14:textId="77777777" w:rsidR="00C6444C" w:rsidRPr="00020D20" w:rsidRDefault="00C6444C" w:rsidP="00020D20">
                            <w:pPr>
                              <w:spacing w:before="0"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AC54F9" id="Text Box 816286446" o:spid="_x0000_s1094" type="#_x0000_t202" style="position:absolute;left:0;text-align:left;margin-left:108pt;margin-top:78.75pt;width:108pt;height:107.25pt;z-index:-2516979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" fillcolor="#f7f7f7" stroked="f" strokeweight=".5pt">
                <v:shadow on="t" type="perspective" color="black" opacity="26214f" offset="0,0" matrix="66847f,,,66847f"/>
                <v:textbox>
                  <w:txbxContent>
                    <w:p w14:paraId="356C3995" w14:textId="77777777" w:rsidR="00C6444C" w:rsidRDefault="00C6444C" w:rsidP="00020D20">
                      <w:pPr>
                        <w:jc w:val="center"/>
                      </w:pPr>
                      <w:r>
                        <w:rPr>
                          <w:noProof/>
                        </w:rPr>
                        <w:drawing>
                          <wp:inline distT="0" distB="0" distL="0" distR="0" wp14:anchorId="45DA51BB" wp14:editId="637E46DA">
                            <wp:extent cx="457200" cy="457200"/>
                            <wp:effectExtent l="0" t="0" r="0" b="0"/>
                            <wp:docPr id="1690912746" name="Picture 169091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925BEAD" w14:textId="6BEDFC3C"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EPA Region 9</w:t>
                      </w:r>
                    </w:p>
                    <w:p w14:paraId="1E94ACA3" w14:textId="4644E2D1" w:rsidR="00C6444C" w:rsidRDefault="00C6444C" w:rsidP="00020D20">
                      <w:pPr>
                        <w:pStyle w:val="Calloutboxes"/>
                      </w:pPr>
                      <w:r w:rsidRPr="00394A74">
                        <w:t>Jared Blumenfeld</w:t>
                      </w:r>
                    </w:p>
                    <w:p w14:paraId="390E0F88" w14:textId="77777777" w:rsidR="00C6444C" w:rsidRDefault="00C6444C" w:rsidP="00020D20">
                      <w:pPr>
                        <w:pStyle w:val="Calloutboxes"/>
                      </w:pPr>
                      <w:r w:rsidRPr="00394A74">
                        <w:t>75 Hawthorne St.</w:t>
                      </w:r>
                    </w:p>
                    <w:p w14:paraId="46B8D4CC" w14:textId="5BBE4F5B" w:rsidR="00C6444C" w:rsidRPr="00957CC4" w:rsidRDefault="00C6444C" w:rsidP="00020D20">
                      <w:pPr>
                        <w:pStyle w:val="Calloutboxes"/>
                      </w:pPr>
                      <w:r w:rsidRPr="00954116">
                        <w:t>San</w:t>
                      </w:r>
                      <w:r w:rsidRPr="00957CC4">
                        <w:t xml:space="preserve"> Francisco, CA 94105 </w:t>
                      </w:r>
                    </w:p>
                    <w:p w14:paraId="3CFFEE9D" w14:textId="24616051" w:rsidR="00C6444C" w:rsidRPr="00BD48AE" w:rsidRDefault="00C6444C" w:rsidP="00020D20">
                      <w:pPr>
                        <w:pStyle w:val="Calloutboxes"/>
                      </w:pPr>
                      <w:r w:rsidRPr="00FC59F1">
                        <w:t xml:space="preserve">T: </w:t>
                      </w:r>
                      <w:r w:rsidRPr="00A4281D">
                        <w:t>415-947-8000</w:t>
                      </w:r>
                    </w:p>
                    <w:p w14:paraId="371E473A" w14:textId="77777777" w:rsidR="00C6444C" w:rsidRPr="00020D20" w:rsidRDefault="00C6444C" w:rsidP="00020D20">
                      <w:pPr>
                        <w:spacing w:before="0" w:after="0" w:line="240" w:lineRule="auto"/>
                        <w:jc w:val="center"/>
                        <w:rPr>
                          <w:sz w:val="16"/>
                          <w:szCs w:val="16"/>
                        </w:rPr>
                      </w:pPr>
                    </w:p>
                  </w:txbxContent>
                </v:textbox>
                <w10:wrap type="tight"/>
              </v:shape>
            </w:pict>
          </mc:Fallback>
        </mc:AlternateContent>
      </w:r>
      <w:r w:rsidR="007B4EC9" w:rsidRPr="007B4EC9">
        <w:rPr>
          <w:rFonts w:cstheme="minorHAnsi"/>
        </w:rPr>
        <w:t xml:space="preserve">EPA’s Region 9, located in San Francisco, covers the Pacific Southwest Region including Arizona, California, Hawaii, Nevada, the Pacific Islands, and 148 tribal nations. The region’s key issues include: cleanup sites, watershed priorities, air quality, agriculture, Environmental Justice, compliance and enforcement, climate change, tribes, Pacific Islands, and the U.S.-Mexico border. </w:t>
      </w:r>
    </w:p>
    <w:p w14:paraId="5ED70528" w14:textId="77777777" w:rsidR="007B4EC9" w:rsidRPr="007B4EC9" w:rsidRDefault="007B4EC9" w:rsidP="00020D20">
      <w:pPr>
        <w:pStyle w:val="Heading3"/>
        <w:jc w:val="both"/>
        <w:rPr>
          <w:rFonts w:cstheme="minorHAnsi"/>
          <w:szCs w:val="20"/>
        </w:rPr>
      </w:pPr>
      <w:bookmarkStart w:id="90" w:name="_Ref50027895"/>
      <w:r w:rsidRPr="007B4EC9">
        <w:rPr>
          <w:rFonts w:cstheme="minorHAnsi"/>
          <w:szCs w:val="20"/>
        </w:rPr>
        <w:t>2.2.7 | Bureau of Indian Affairs</w:t>
      </w:r>
      <w:bookmarkEnd w:id="90"/>
      <w:r w:rsidRPr="007B4EC9">
        <w:rPr>
          <w:rFonts w:cstheme="minorHAnsi"/>
          <w:szCs w:val="20"/>
        </w:rPr>
        <w:t xml:space="preserve"> </w:t>
      </w:r>
    </w:p>
    <w:p w14:paraId="79EDAB8A" w14:textId="5155274F" w:rsidR="007B4EC9" w:rsidRPr="007B4EC9" w:rsidRDefault="007B4EC9" w:rsidP="00020D20">
      <w:pPr>
        <w:jc w:val="both"/>
        <w:rPr>
          <w:rFonts w:cstheme="minorHAnsi"/>
        </w:rPr>
      </w:pPr>
      <w:r w:rsidRPr="007B4EC9">
        <w:rPr>
          <w:rFonts w:cstheme="minorHAnsi"/>
        </w:rPr>
        <w:t xml:space="preserve">The </w:t>
      </w:r>
      <w:hyperlink r:id="rId244" w:history="1">
        <w:r w:rsidRPr="00281E39">
          <w:rPr>
            <w:rStyle w:val="TitleChar"/>
          </w:rPr>
          <w:t xml:space="preserve">Bureau of Indian Affairs </w:t>
        </w:r>
      </w:hyperlink>
      <w:r w:rsidRPr="007B4EC9">
        <w:rPr>
          <w:rFonts w:cstheme="minorHAnsi"/>
        </w:rPr>
        <w:t xml:space="preserve">(BIA) is part of the U.S. Department of the Interior (DOI) and provides services directly or through contracts, grants, or compacts to 566 federally recognized tribes with a service population of about 1.9 million American Indian and Alaska Natives. Delivery of BIA program services to the federally recognized tribes and individual Indians and Alaska Natives, whether </w:t>
      </w:r>
      <w:r w:rsidR="00F72488">
        <w:rPr>
          <w:rFonts w:cstheme="minorHAnsi"/>
          <w:noProof/>
        </w:rPr>
        <mc:AlternateContent>
          <mc:Choice Requires="wps">
            <w:drawing>
              <wp:anchor distT="0" distB="0" distL="114300" distR="114300" simplePos="0" relativeHeight="251618496" behindDoc="1" locked="0" layoutInCell="1" allowOverlap="1" wp14:anchorId="5E93C863" wp14:editId="3184786B">
                <wp:simplePos x="0" y="0"/>
                <wp:positionH relativeFrom="column">
                  <wp:posOffset>4533900</wp:posOffset>
                </wp:positionH>
                <wp:positionV relativeFrom="paragraph">
                  <wp:posOffset>137160</wp:posOffset>
                </wp:positionV>
                <wp:extent cx="1371600" cy="1876425"/>
                <wp:effectExtent l="76200" t="95250" r="76200" b="104775"/>
                <wp:wrapTight wrapText="bothSides">
                  <wp:wrapPolygon edited="0">
                    <wp:start x="-1200" y="-1096"/>
                    <wp:lineTo x="-1200" y="22587"/>
                    <wp:lineTo x="22500" y="22587"/>
                    <wp:lineTo x="22500" y="-1096"/>
                    <wp:lineTo x="-1200" y="-1096"/>
                  </wp:wrapPolygon>
                </wp:wrapTight>
                <wp:docPr id="1690911441" name="Text Box 1690911441"/>
                <wp:cNvGraphicFramePr/>
                <a:graphic xmlns:a="http://schemas.openxmlformats.org/drawingml/2006/main">
                  <a:graphicData uri="http://schemas.microsoft.com/office/word/2010/wordprocessingShape">
                    <wps:wsp>
                      <wps:cNvSpPr txBox="1"/>
                      <wps:spPr>
                        <a:xfrm>
                          <a:off x="0" y="0"/>
                          <a:ext cx="1371600" cy="18764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3AE3A60" w14:textId="77777777" w:rsidR="00C6444C" w:rsidRDefault="00C6444C" w:rsidP="00020D20">
                            <w:pPr>
                              <w:jc w:val="center"/>
                            </w:pPr>
                            <w:r>
                              <w:rPr>
                                <w:noProof/>
                              </w:rPr>
                              <w:drawing>
                                <wp:inline distT="0" distB="0" distL="0" distR="0" wp14:anchorId="1D7AE239" wp14:editId="0E455F4E">
                                  <wp:extent cx="457200" cy="457200"/>
                                  <wp:effectExtent l="0" t="0" r="0" b="0"/>
                                  <wp:docPr id="1690912747" name="Picture 169091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E02493F" w14:textId="1A5CF8FF"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BIA Western Region</w:t>
                            </w:r>
                          </w:p>
                          <w:p w14:paraId="55A010D2" w14:textId="77777777" w:rsidR="00C6444C" w:rsidRDefault="00C6444C" w:rsidP="00020D20">
                            <w:pPr>
                              <w:pStyle w:val="Calloutboxes"/>
                            </w:pPr>
                            <w:r w:rsidRPr="00394A74">
                              <w:t>Bryan Bowker</w:t>
                            </w:r>
                          </w:p>
                          <w:p w14:paraId="4857E3E9" w14:textId="6A17EF7B" w:rsidR="00C6444C" w:rsidRDefault="00C6444C" w:rsidP="00020D20">
                            <w:pPr>
                              <w:pStyle w:val="Calloutboxes"/>
                            </w:pPr>
                            <w:r w:rsidRPr="00954116">
                              <w:t>2600 N. Central Ave., 4th Floor Mailroom</w:t>
                            </w:r>
                          </w:p>
                          <w:p w14:paraId="08C0BD99" w14:textId="334B2C28" w:rsidR="00C6444C" w:rsidRPr="00FC59F1" w:rsidRDefault="00C6444C" w:rsidP="00020D20">
                            <w:pPr>
                              <w:pStyle w:val="Calloutboxes"/>
                            </w:pPr>
                            <w:r w:rsidRPr="00957CC4">
                              <w:t>Phoenix, AZ 85004-3050</w:t>
                            </w:r>
                          </w:p>
                          <w:p w14:paraId="65364389" w14:textId="6D429796" w:rsidR="00C6444C" w:rsidRPr="00BD48AE" w:rsidRDefault="00C6444C" w:rsidP="00020D20">
                            <w:pPr>
                              <w:pStyle w:val="Calloutboxes"/>
                            </w:pPr>
                            <w:r w:rsidRPr="00A4281D">
                              <w:t>T: 602-379-6600</w:t>
                            </w:r>
                          </w:p>
                          <w:p w14:paraId="6DC9DE5F" w14:textId="77777777" w:rsidR="00C6444C" w:rsidRPr="00020D20" w:rsidRDefault="00C6444C" w:rsidP="00020D20">
                            <w:pPr>
                              <w:pStyle w:val="Calloutboxes"/>
                            </w:pPr>
                            <w:r w:rsidRPr="00020D20">
                              <w:t>F: 602-379-4413</w:t>
                            </w:r>
                          </w:p>
                          <w:p w14:paraId="7464C929" w14:textId="77777777" w:rsidR="00C6444C" w:rsidRPr="00B43F67" w:rsidRDefault="00202C92">
                            <w:pPr>
                              <w:pStyle w:val="Title"/>
                              <w:rPr>
                                <w:sz w:val="16"/>
                                <w:szCs w:val="16"/>
                              </w:rPr>
                            </w:pPr>
                            <w:hyperlink r:id="rId245" w:history="1">
                              <w:r w:rsidR="00C6444C" w:rsidRPr="00020D20">
                                <w:rPr>
                                  <w:rStyle w:val="Hyperlink"/>
                                  <w:rFonts w:ascii="Calibri" w:hAnsi="Calibri" w:cstheme="majorBidi"/>
                                  <w:i/>
                                  <w:color w:val="CE5B18"/>
                                  <w:szCs w:val="56"/>
                                  <w:u w:val="none"/>
                                </w:rPr>
                                <w:t>https://www.bia.gov/regional-offices/western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93C863" id="Text Box 1690911441" o:spid="_x0000_s1095" type="#_x0000_t202" style="position:absolute;left:0;text-align:left;margin-left:357pt;margin-top:10.8pt;width:108pt;height:147.75pt;z-index:-2516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" fillcolor="#f7f7f7" stroked="f" strokeweight=".5pt">
                <v:shadow on="t" type="perspective" color="black" opacity="26214f" offset="0,0" matrix="66847f,,,66847f"/>
                <v:textbox>
                  <w:txbxContent>
                    <w:p w14:paraId="43AE3A60" w14:textId="77777777" w:rsidR="00C6444C" w:rsidRDefault="00C6444C" w:rsidP="00020D20">
                      <w:pPr>
                        <w:jc w:val="center"/>
                      </w:pPr>
                      <w:r>
                        <w:rPr>
                          <w:noProof/>
                        </w:rPr>
                        <w:drawing>
                          <wp:inline distT="0" distB="0" distL="0" distR="0" wp14:anchorId="1D7AE239" wp14:editId="0E455F4E">
                            <wp:extent cx="457200" cy="457200"/>
                            <wp:effectExtent l="0" t="0" r="0" b="0"/>
                            <wp:docPr id="1690912747" name="Picture 169091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E02493F" w14:textId="1A5CF8FF" w:rsidR="00C6444C" w:rsidRPr="00020D20" w:rsidRDefault="00C6444C" w:rsidP="00020D20">
                      <w:pPr>
                        <w:spacing w:before="0" w:after="0" w:line="240" w:lineRule="auto"/>
                        <w:jc w:val="center"/>
                        <w:rPr>
                          <w:rFonts w:cs="MyriadPro-Regular"/>
                          <w:color w:val="58585B"/>
                          <w:sz w:val="16"/>
                          <w:szCs w:val="16"/>
                          <w:u w:val="single"/>
                        </w:rPr>
                      </w:pPr>
                      <w:r w:rsidRPr="00020D20">
                        <w:rPr>
                          <w:rFonts w:cs="MyriadPro-Regular"/>
                          <w:color w:val="58585B"/>
                          <w:sz w:val="16"/>
                          <w:szCs w:val="16"/>
                          <w:u w:val="single"/>
                        </w:rPr>
                        <w:t>BIA Western Region</w:t>
                      </w:r>
                    </w:p>
                    <w:p w14:paraId="55A010D2" w14:textId="77777777" w:rsidR="00C6444C" w:rsidRDefault="00C6444C" w:rsidP="00020D20">
                      <w:pPr>
                        <w:pStyle w:val="Calloutboxes"/>
                      </w:pPr>
                      <w:r w:rsidRPr="00394A74">
                        <w:t>Bryan Bowker</w:t>
                      </w:r>
                    </w:p>
                    <w:p w14:paraId="4857E3E9" w14:textId="6A17EF7B" w:rsidR="00C6444C" w:rsidRDefault="00C6444C" w:rsidP="00020D20">
                      <w:pPr>
                        <w:pStyle w:val="Calloutboxes"/>
                      </w:pPr>
                      <w:r w:rsidRPr="00954116">
                        <w:t>2600 N. Central Ave., 4th Floor Mailroom</w:t>
                      </w:r>
                    </w:p>
                    <w:p w14:paraId="08C0BD99" w14:textId="334B2C28" w:rsidR="00C6444C" w:rsidRPr="00FC59F1" w:rsidRDefault="00C6444C" w:rsidP="00020D20">
                      <w:pPr>
                        <w:pStyle w:val="Calloutboxes"/>
                      </w:pPr>
                      <w:r w:rsidRPr="00957CC4">
                        <w:t>Phoenix, AZ 85004-3050</w:t>
                      </w:r>
                    </w:p>
                    <w:p w14:paraId="65364389" w14:textId="6D429796" w:rsidR="00C6444C" w:rsidRPr="00BD48AE" w:rsidRDefault="00C6444C" w:rsidP="00020D20">
                      <w:pPr>
                        <w:pStyle w:val="Calloutboxes"/>
                      </w:pPr>
                      <w:r w:rsidRPr="00A4281D">
                        <w:t>T: 602-379-6600</w:t>
                      </w:r>
                    </w:p>
                    <w:p w14:paraId="6DC9DE5F" w14:textId="77777777" w:rsidR="00C6444C" w:rsidRPr="00020D20" w:rsidRDefault="00C6444C" w:rsidP="00020D20">
                      <w:pPr>
                        <w:pStyle w:val="Calloutboxes"/>
                      </w:pPr>
                      <w:r w:rsidRPr="00020D20">
                        <w:t>F: 602-379-4413</w:t>
                      </w:r>
                    </w:p>
                    <w:p w14:paraId="7464C929" w14:textId="77777777" w:rsidR="00C6444C" w:rsidRPr="00B43F67" w:rsidRDefault="00C6444C">
                      <w:pPr>
                        <w:pStyle w:val="Title"/>
                        <w:rPr>
                          <w:sz w:val="16"/>
                          <w:szCs w:val="16"/>
                        </w:rPr>
                      </w:pPr>
                      <w:hyperlink r:id="rId246" w:history="1">
                        <w:r w:rsidRPr="00020D20">
                          <w:rPr>
                            <w:rStyle w:val="Hyperlink"/>
                            <w:rFonts w:ascii="Calibri" w:hAnsi="Calibri" w:cstheme="majorBidi"/>
                            <w:i/>
                            <w:color w:val="CE5B18"/>
                            <w:szCs w:val="56"/>
                            <w:u w:val="none"/>
                          </w:rPr>
                          <w:t>https://www.bia.gov/regional-offices/western</w:t>
                        </w:r>
                      </w:hyperlink>
                    </w:p>
                  </w:txbxContent>
                </v:textbox>
                <w10:wrap type="tight"/>
              </v:shape>
            </w:pict>
          </mc:Fallback>
        </mc:AlternateContent>
      </w:r>
      <w:r w:rsidRPr="007B4EC9">
        <w:rPr>
          <w:rFonts w:cstheme="minorHAnsi"/>
        </w:rPr>
        <w:t xml:space="preserve">directly or through contracts, grants, or compacts, is administered by the 12 regional offices and 83 agencies that report to the BIA deputy director-field operations, located in Washington, DC. </w:t>
      </w:r>
    </w:p>
    <w:p w14:paraId="2DDACF6F" w14:textId="71F92497" w:rsidR="007B4EC9" w:rsidRPr="007B4EC9" w:rsidRDefault="007B4EC9" w:rsidP="00020D20">
      <w:pPr>
        <w:jc w:val="both"/>
        <w:rPr>
          <w:rFonts w:cstheme="minorHAnsi"/>
        </w:rPr>
      </w:pPr>
      <w:r w:rsidRPr="007B4EC9">
        <w:rPr>
          <w:rFonts w:cstheme="minorHAnsi"/>
        </w:rPr>
        <w:t xml:space="preserve">BIA has its own </w:t>
      </w:r>
      <w:hyperlink r:id="rId247" w:history="1">
        <w:r w:rsidRPr="00281E39">
          <w:rPr>
            <w:rStyle w:val="TitleChar"/>
          </w:rPr>
          <w:t>Division of Transportation</w:t>
        </w:r>
      </w:hyperlink>
      <w:r w:rsidRPr="007B4EC9">
        <w:rPr>
          <w:rFonts w:cstheme="minorHAnsi"/>
        </w:rPr>
        <w:t xml:space="preserve"> (BIADOT) whose mission is to assist tribes to develop their capacity to plan, construct, and maintain safe and efficient transportation networks and to promote tribal tourism. BIADOT oversees road maintenance and road construction for the</w:t>
      </w:r>
      <w:hyperlink r:id="rId248" w:history="1">
        <w:r w:rsidRPr="004C025D">
          <w:rPr>
            <w:rStyle w:val="TitleChar"/>
          </w:rPr>
          <w:t xml:space="preserve"> </w:t>
        </w:r>
        <w:r w:rsidR="00A172AE" w:rsidRPr="004C025D">
          <w:rPr>
            <w:rStyle w:val="TitleChar"/>
          </w:rPr>
          <w:t>Tribal Transportation Program</w:t>
        </w:r>
      </w:hyperlink>
      <w:r w:rsidR="00A172AE">
        <w:rPr>
          <w:rFonts w:cstheme="minorHAnsi"/>
        </w:rPr>
        <w:t xml:space="preserve"> (TTP)</w:t>
      </w:r>
      <w:r w:rsidRPr="007B4EC9">
        <w:rPr>
          <w:rFonts w:cstheme="minorHAnsi"/>
        </w:rPr>
        <w:t xml:space="preserve">in </w:t>
      </w:r>
      <w:r w:rsidR="00A172AE">
        <w:rPr>
          <w:rFonts w:cstheme="minorHAnsi"/>
        </w:rPr>
        <w:t>BIA land</w:t>
      </w:r>
      <w:r w:rsidRPr="007B4EC9">
        <w:rPr>
          <w:rFonts w:cstheme="minorHAnsi"/>
        </w:rPr>
        <w:t xml:space="preserve"> through the following efforts: </w:t>
      </w:r>
    </w:p>
    <w:p w14:paraId="3E54AA5E" w14:textId="77777777" w:rsidR="007B4EC9" w:rsidRPr="007B4EC9" w:rsidRDefault="007B4EC9" w:rsidP="00020D20">
      <w:pPr>
        <w:pStyle w:val="Body-Bullets"/>
        <w:jc w:val="both"/>
      </w:pPr>
      <w:r w:rsidRPr="007B4EC9">
        <w:t>operating and maintaining BIA roads;</w:t>
      </w:r>
    </w:p>
    <w:p w14:paraId="620EE44A" w14:textId="7DFDB162" w:rsidR="007B4EC9" w:rsidRPr="007B4EC9" w:rsidRDefault="007B4EC9" w:rsidP="00020D20">
      <w:pPr>
        <w:pStyle w:val="Body-Bullets"/>
        <w:jc w:val="both"/>
      </w:pPr>
      <w:r w:rsidRPr="007B4EC9">
        <w:t xml:space="preserve">administering the </w:t>
      </w:r>
      <w:r w:rsidR="00A172AE">
        <w:t>TTP</w:t>
      </w:r>
      <w:r w:rsidR="00A172AE" w:rsidRPr="007B4EC9">
        <w:t xml:space="preserve"> </w:t>
      </w:r>
      <w:r w:rsidRPr="007B4EC9">
        <w:t>Program; and</w:t>
      </w:r>
    </w:p>
    <w:p w14:paraId="6D6EE37D" w14:textId="088AF89D" w:rsidR="007B4EC9" w:rsidRPr="007B4EC9" w:rsidRDefault="007B4EC9" w:rsidP="00020D20">
      <w:pPr>
        <w:pStyle w:val="Body-Bullets"/>
        <w:jc w:val="both"/>
      </w:pPr>
      <w:r w:rsidRPr="007B4EC9">
        <w:t xml:space="preserve">administrating other FHWA programs that are specifically related to </w:t>
      </w:r>
      <w:r w:rsidR="00A172AE">
        <w:t>TTP</w:t>
      </w:r>
      <w:r w:rsidRPr="007B4EC9">
        <w:t>.</w:t>
      </w:r>
    </w:p>
    <w:p w14:paraId="6CC27998" w14:textId="276DEB75" w:rsidR="007B4EC9" w:rsidRPr="007B4EC9" w:rsidRDefault="007B4EC9" w:rsidP="00020D20">
      <w:pPr>
        <w:jc w:val="both"/>
        <w:rPr>
          <w:rFonts w:cstheme="minorHAnsi"/>
        </w:rPr>
      </w:pPr>
      <w:r w:rsidRPr="007B4EC9">
        <w:rPr>
          <w:rFonts w:cstheme="minorHAnsi"/>
        </w:rPr>
        <w:t xml:space="preserve">Federal transportation funds available to tribal governments may be used for tribal transportation planning activities, as specified in </w:t>
      </w:r>
      <w:hyperlink r:id="rId249" w:history="1">
        <w:r w:rsidRPr="00020D20">
          <w:rPr>
            <w:rStyle w:val="TitleChar"/>
          </w:rPr>
          <w:t xml:space="preserve">25 </w:t>
        </w:r>
        <w:r w:rsidR="009628C0">
          <w:rPr>
            <w:rStyle w:val="TitleChar"/>
          </w:rPr>
          <w:t xml:space="preserve">C.F.R. </w:t>
        </w:r>
        <w:r w:rsidRPr="00020D20">
          <w:rPr>
            <w:rStyle w:val="TitleChar"/>
          </w:rPr>
          <w:t>§</w:t>
        </w:r>
        <w:r w:rsidR="008216A0" w:rsidRPr="00020D20">
          <w:rPr>
            <w:rStyle w:val="TitleChar"/>
          </w:rPr>
          <w:t xml:space="preserve"> </w:t>
        </w:r>
        <w:r w:rsidRPr="00020D20">
          <w:rPr>
            <w:rStyle w:val="TitleChar"/>
          </w:rPr>
          <w:t>170.403</w:t>
        </w:r>
      </w:hyperlink>
      <w:r w:rsidRPr="007B4EC9">
        <w:rPr>
          <w:rFonts w:cstheme="minorHAnsi"/>
        </w:rPr>
        <w:t>. Transportation planning funds are only available upon request to a tribal government and with the approval of the BIA regional office. A tribe may develop an LRTP itself, in accordance with the</w:t>
      </w:r>
      <w:r w:rsidRPr="007B6EEE">
        <w:rPr>
          <w:rStyle w:val="TitleChar"/>
        </w:rPr>
        <w:t xml:space="preserve"> </w:t>
      </w:r>
      <w:hyperlink r:id="rId250" w:history="1">
        <w:r w:rsidRPr="00C03D69">
          <w:rPr>
            <w:rStyle w:val="TitleChar"/>
          </w:rPr>
          <w:t xml:space="preserve">Indian Self-Determination and Education Assistance Act </w:t>
        </w:r>
      </w:hyperlink>
      <w:r w:rsidRPr="007B4EC9">
        <w:rPr>
          <w:rFonts w:cstheme="minorHAnsi"/>
        </w:rPr>
        <w:t xml:space="preserve">of 1975 (ISDEAA), as amended, or may ask BIA to develop the plan on the tribe’s behalf. Similarly, federal funding may be used to prepare a </w:t>
      </w:r>
      <w:hyperlink r:id="rId251" w:history="1">
        <w:r w:rsidRPr="00C03D69">
          <w:rPr>
            <w:rStyle w:val="TitleChar"/>
          </w:rPr>
          <w:t>Tribal Transportation Improvement Program</w:t>
        </w:r>
      </w:hyperlink>
      <w:r w:rsidRPr="007B4EC9">
        <w:rPr>
          <w:rFonts w:cstheme="minorHAnsi"/>
        </w:rPr>
        <w:t xml:space="preserve"> (TTIP), in accordance with </w:t>
      </w:r>
      <w:hyperlink r:id="rId252" w:history="1">
        <w:r w:rsidRPr="00020D20">
          <w:rPr>
            <w:rStyle w:val="TitleChar"/>
          </w:rPr>
          <w:t xml:space="preserve">25 </w:t>
        </w:r>
        <w:r w:rsidR="009628C0">
          <w:rPr>
            <w:rStyle w:val="TitleChar"/>
          </w:rPr>
          <w:t xml:space="preserve">C.F.R. </w:t>
        </w:r>
        <w:r w:rsidRPr="00020D20">
          <w:rPr>
            <w:rStyle w:val="TitleChar"/>
          </w:rPr>
          <w:t>§</w:t>
        </w:r>
        <w:r w:rsidR="008216A0" w:rsidRPr="00020D20">
          <w:rPr>
            <w:rStyle w:val="TitleChar"/>
          </w:rPr>
          <w:t xml:space="preserve"> </w:t>
        </w:r>
        <w:r w:rsidRPr="00020D20">
          <w:rPr>
            <w:rStyle w:val="TitleChar"/>
          </w:rPr>
          <w:t>170.421</w:t>
        </w:r>
      </w:hyperlink>
      <w:r w:rsidRPr="007B4EC9">
        <w:rPr>
          <w:rFonts w:cstheme="minorHAnsi"/>
        </w:rPr>
        <w:t xml:space="preserve">. The basic goals of these tribal planning efforts are the same as the goals of the metropolitan planning process: to identify foreseeable transportation needs and prioritize use of available funds to meet those needs. </w:t>
      </w:r>
    </w:p>
    <w:p w14:paraId="7BBFA52E" w14:textId="77777777" w:rsidR="007B4EC9" w:rsidRPr="007B4EC9" w:rsidRDefault="007B4EC9" w:rsidP="00020D20">
      <w:pPr>
        <w:pStyle w:val="SubHeading3"/>
        <w:jc w:val="both"/>
      </w:pPr>
      <w:bookmarkStart w:id="91" w:name="_Ref50028128"/>
      <w:r w:rsidRPr="007B4EC9">
        <w:t>BIA Western Region</w:t>
      </w:r>
      <w:bookmarkEnd w:id="91"/>
    </w:p>
    <w:p w14:paraId="0230D910" w14:textId="5B07906D" w:rsidR="007B4EC9" w:rsidRPr="007B4EC9" w:rsidRDefault="007B4EC9" w:rsidP="00020D20">
      <w:pPr>
        <w:jc w:val="both"/>
        <w:rPr>
          <w:rFonts w:cstheme="minorHAnsi"/>
        </w:rPr>
      </w:pPr>
      <w:r w:rsidRPr="007B4EC9">
        <w:rPr>
          <w:rFonts w:cstheme="minorHAnsi"/>
        </w:rPr>
        <w:t xml:space="preserve">BIA’s Western Region office located in Phoenix, Arizona, serves a population of approximately 143,000 American Indian people enrolled in 42 tribes. The BIA states that it is responsible for 12,950,000 acres primarily in the states of Arizona (excluding the Navajo Region), Nevada, and Utah. Portions are also in California, Oregon, and Idaho. Thirteen Indian Agencies and an Irrigation Project are Western Regional Office partners. Currently, three Arizona tribes have intergovernmental charters in place with the BIA, FHWA, ADOT, counties in which they border or coordinate with, and other entities as appropriate to commit to ongoing, cooperative transportation planning efforts. These are the Navajo Nation, Hopi Tribe, and San Carlos Apache Tribe. </w:t>
      </w:r>
    </w:p>
    <w:p w14:paraId="74F4BDE2" w14:textId="77777777" w:rsidR="00F72488" w:rsidRDefault="00F72488" w:rsidP="00020D20">
      <w:pPr>
        <w:jc w:val="both"/>
        <w:sectPr w:rsidR="00F72488" w:rsidSect="00020D20">
          <w:pgSz w:w="12240" w:h="15840"/>
          <w:pgMar w:top="1440" w:right="1440" w:bottom="1440" w:left="1440" w:header="720" w:footer="720" w:gutter="0"/>
          <w:pgNumType w:chapStyle="1"/>
          <w:cols w:num="2" w:space="720"/>
          <w:docGrid w:linePitch="360"/>
        </w:sectPr>
      </w:pPr>
    </w:p>
    <w:p w14:paraId="739DDCAD" w14:textId="5EB23053" w:rsidR="00F72488" w:rsidRDefault="00F72488" w:rsidP="00020D20">
      <w:pPr>
        <w:jc w:val="both"/>
      </w:pPr>
      <w:r>
        <w:br w:type="page"/>
      </w:r>
    </w:p>
    <w:p w14:paraId="2703FE53" w14:textId="50A0D4E3" w:rsidR="007B4EC9" w:rsidRPr="007B4EC9" w:rsidRDefault="007B4EC9" w:rsidP="00020D20">
      <w:pPr>
        <w:pStyle w:val="Heading2"/>
      </w:pPr>
      <w:bookmarkStart w:id="92" w:name="_Ref50027904"/>
      <w:r w:rsidRPr="007B4EC9">
        <w:t>2.3 | CONTACT INFORMATION</w:t>
      </w:r>
      <w:bookmarkEnd w:id="92"/>
    </w:p>
    <w:p w14:paraId="73A2C53F" w14:textId="368EA483" w:rsidR="00926E3D" w:rsidRDefault="007B4EC9" w:rsidP="00020D20">
      <w:pPr>
        <w:jc w:val="both"/>
        <w:rPr>
          <w:rFonts w:cstheme="minorHAnsi"/>
        </w:rPr>
      </w:pPr>
      <w:r w:rsidRPr="007B4EC9">
        <w:rPr>
          <w:rFonts w:cstheme="minorHAnsi"/>
        </w:rPr>
        <w:t>Table 2-2 provides the primary contact information for ADOT as well as FHWA, FTA, FRA, FAA, HUD, BIA, and EPA.</w:t>
      </w:r>
    </w:p>
    <w:p w14:paraId="194A03BE" w14:textId="660168C3" w:rsidR="007B4EC9" w:rsidRDefault="007B4EC9" w:rsidP="00020D20">
      <w:pPr>
        <w:pStyle w:val="Heading4"/>
        <w:jc w:val="both"/>
        <w:rPr>
          <w:rFonts w:cstheme="minorHAnsi"/>
        </w:rPr>
      </w:pPr>
      <w:r w:rsidRPr="007B4EC9">
        <w:rPr>
          <w:rFonts w:cstheme="minorHAnsi"/>
        </w:rPr>
        <w:t>Table 2-2 | Contact Information</w:t>
      </w:r>
    </w:p>
    <w:tbl>
      <w:tblPr>
        <w:tblW w:w="909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450"/>
        <w:gridCol w:w="1350"/>
        <w:gridCol w:w="2520"/>
        <w:gridCol w:w="450"/>
        <w:gridCol w:w="1530"/>
        <w:gridCol w:w="2790"/>
      </w:tblGrid>
      <w:tr w:rsidR="00A91053" w:rsidRPr="008365D2" w14:paraId="02CD4760" w14:textId="77777777" w:rsidTr="00A91053">
        <w:tc>
          <w:tcPr>
            <w:tcW w:w="1800" w:type="dxa"/>
            <w:gridSpan w:val="2"/>
            <w:tcBorders>
              <w:top w:val="single" w:sz="8" w:space="0" w:color="auto"/>
              <w:left w:val="single" w:sz="8" w:space="0" w:color="auto"/>
            </w:tcBorders>
            <w:shd w:val="clear" w:color="auto" w:fill="012768"/>
          </w:tcPr>
          <w:p w14:paraId="47BBA168" w14:textId="77777777" w:rsidR="00A91053" w:rsidRPr="008365D2" w:rsidRDefault="00A91053" w:rsidP="00020D20">
            <w:pPr>
              <w:jc w:val="center"/>
              <w:rPr>
                <w:rFonts w:ascii="Calibri" w:eastAsia="Calibri" w:hAnsi="Calibri" w:cs="Times New Roman"/>
                <w:sz w:val="22"/>
              </w:rPr>
            </w:pPr>
            <w:r w:rsidRPr="008365D2">
              <w:rPr>
                <w:rFonts w:ascii="Calibri" w:eastAsia="Calibri" w:hAnsi="Calibri" w:cs="Times New Roman"/>
                <w:sz w:val="22"/>
              </w:rPr>
              <w:t>Organization</w:t>
            </w:r>
          </w:p>
        </w:tc>
        <w:tc>
          <w:tcPr>
            <w:tcW w:w="2520" w:type="dxa"/>
            <w:tcBorders>
              <w:top w:val="single" w:sz="8" w:space="0" w:color="auto"/>
            </w:tcBorders>
            <w:shd w:val="clear" w:color="auto" w:fill="012768"/>
          </w:tcPr>
          <w:p w14:paraId="042BEE59" w14:textId="77777777" w:rsidR="00A91053" w:rsidRPr="008365D2" w:rsidRDefault="00A91053" w:rsidP="00020D20">
            <w:pPr>
              <w:jc w:val="center"/>
              <w:rPr>
                <w:rFonts w:ascii="Calibri" w:eastAsia="Calibri" w:hAnsi="Calibri" w:cs="Times New Roman"/>
                <w:sz w:val="22"/>
              </w:rPr>
            </w:pPr>
            <w:r w:rsidRPr="008365D2">
              <w:rPr>
                <w:rFonts w:ascii="Calibri" w:eastAsia="Calibri" w:hAnsi="Calibri" w:cs="Times New Roman"/>
                <w:sz w:val="22"/>
              </w:rPr>
              <w:t>Contact Information</w:t>
            </w:r>
          </w:p>
        </w:tc>
        <w:tc>
          <w:tcPr>
            <w:tcW w:w="1980" w:type="dxa"/>
            <w:gridSpan w:val="2"/>
            <w:tcBorders>
              <w:top w:val="single" w:sz="8" w:space="0" w:color="auto"/>
            </w:tcBorders>
            <w:shd w:val="clear" w:color="auto" w:fill="012768"/>
          </w:tcPr>
          <w:p w14:paraId="24637E76" w14:textId="77777777" w:rsidR="00A91053" w:rsidRDefault="00A91053" w:rsidP="00020D20">
            <w:pPr>
              <w:jc w:val="center"/>
              <w:rPr>
                <w:rFonts w:ascii="Calibri" w:eastAsia="Calibri" w:hAnsi="Calibri" w:cs="Times New Roman"/>
                <w:sz w:val="22"/>
              </w:rPr>
            </w:pPr>
            <w:r w:rsidRPr="008365D2">
              <w:rPr>
                <w:rFonts w:ascii="Calibri" w:eastAsia="Calibri" w:hAnsi="Calibri" w:cs="Times New Roman"/>
                <w:sz w:val="22"/>
              </w:rPr>
              <w:t>Organization</w:t>
            </w:r>
          </w:p>
        </w:tc>
        <w:tc>
          <w:tcPr>
            <w:tcW w:w="2790" w:type="dxa"/>
            <w:tcBorders>
              <w:top w:val="single" w:sz="8" w:space="0" w:color="auto"/>
              <w:right w:val="single" w:sz="4" w:space="0" w:color="auto"/>
            </w:tcBorders>
            <w:shd w:val="clear" w:color="auto" w:fill="012768"/>
          </w:tcPr>
          <w:p w14:paraId="17F73C34" w14:textId="5E203F44" w:rsidR="00A91053" w:rsidRPr="008365D2" w:rsidRDefault="00A91053" w:rsidP="00020D20">
            <w:pPr>
              <w:tabs>
                <w:tab w:val="right" w:pos="3294"/>
              </w:tabs>
              <w:jc w:val="center"/>
              <w:rPr>
                <w:rFonts w:ascii="Calibri" w:eastAsia="Calibri" w:hAnsi="Calibri" w:cs="Times New Roman"/>
                <w:sz w:val="22"/>
              </w:rPr>
            </w:pPr>
            <w:r w:rsidRPr="008365D2">
              <w:rPr>
                <w:rFonts w:ascii="Calibri" w:eastAsia="Calibri" w:hAnsi="Calibri" w:cs="Times New Roman"/>
                <w:sz w:val="22"/>
              </w:rPr>
              <w:t>Contact Information</w:t>
            </w:r>
          </w:p>
        </w:tc>
      </w:tr>
      <w:tr w:rsidR="00A91053" w:rsidRPr="00A06C2D" w14:paraId="56499DA0" w14:textId="77777777" w:rsidTr="00020D20">
        <w:tc>
          <w:tcPr>
            <w:tcW w:w="450" w:type="dxa"/>
            <w:tcBorders>
              <w:left w:val="single" w:sz="8" w:space="0" w:color="auto"/>
              <w:right w:val="single" w:sz="8" w:space="0" w:color="auto"/>
            </w:tcBorders>
            <w:shd w:val="clear" w:color="auto" w:fill="012768"/>
            <w:textDirection w:val="btLr"/>
          </w:tcPr>
          <w:p w14:paraId="1837CEFF"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ADOT</w:t>
            </w:r>
          </w:p>
        </w:tc>
        <w:tc>
          <w:tcPr>
            <w:tcW w:w="1350" w:type="dxa"/>
            <w:tcBorders>
              <w:top w:val="single" w:sz="8" w:space="0" w:color="auto"/>
              <w:left w:val="single" w:sz="8" w:space="0" w:color="auto"/>
              <w:bottom w:val="single" w:sz="8" w:space="0" w:color="auto"/>
              <w:right w:val="single" w:sz="8" w:space="0" w:color="auto"/>
            </w:tcBorders>
            <w:vAlign w:val="center"/>
          </w:tcPr>
          <w:p w14:paraId="300CCB0E" w14:textId="77777777" w:rsidR="00A91053" w:rsidRPr="009B61EE" w:rsidRDefault="00A91053">
            <w:pPr>
              <w:tabs>
                <w:tab w:val="clear" w:pos="180"/>
                <w:tab w:val="clear" w:pos="360"/>
                <w:tab w:val="clear" w:pos="540"/>
                <w:tab w:val="clear" w:pos="720"/>
              </w:tabs>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Multi-modal Planning Division (MPD)</w:t>
            </w:r>
          </w:p>
        </w:tc>
        <w:tc>
          <w:tcPr>
            <w:tcW w:w="2520" w:type="dxa"/>
            <w:tcBorders>
              <w:top w:val="single" w:sz="8" w:space="0" w:color="auto"/>
              <w:left w:val="single" w:sz="8" w:space="0" w:color="auto"/>
              <w:bottom w:val="single" w:sz="8" w:space="0" w:color="auto"/>
              <w:right w:val="single" w:sz="8" w:space="0" w:color="auto"/>
            </w:tcBorders>
            <w:vAlign w:val="center"/>
          </w:tcPr>
          <w:p w14:paraId="42E01087" w14:textId="77777777" w:rsidR="00DC0C98" w:rsidRDefault="00A91053">
            <w:pPr>
              <w:tabs>
                <w:tab w:val="clear" w:pos="180"/>
                <w:tab w:val="clear" w:pos="360"/>
                <w:tab w:val="clear" w:pos="540"/>
                <w:tab w:val="clear" w:pos="720"/>
              </w:tabs>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206 S. 17th Ave.</w:t>
            </w:r>
          </w:p>
          <w:p w14:paraId="75D6AE53" w14:textId="1F3EAF84" w:rsidR="00A91053" w:rsidRPr="00A06C2D" w:rsidRDefault="00A91053">
            <w:pPr>
              <w:tabs>
                <w:tab w:val="clear" w:pos="180"/>
                <w:tab w:val="clear" w:pos="360"/>
                <w:tab w:val="clear" w:pos="540"/>
                <w:tab w:val="clear" w:pos="720"/>
              </w:tabs>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Phoenix, AZ 85007</w:t>
            </w:r>
          </w:p>
          <w:p w14:paraId="47EAA8FA"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Mail Drop: 310B</w:t>
            </w:r>
          </w:p>
          <w:p w14:paraId="10615E5B" w14:textId="6BFE9684"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T: 602-712-</w:t>
            </w:r>
            <w:r w:rsidR="00DC0C98">
              <w:rPr>
                <w:rFonts w:ascii="Calibri" w:eastAsia="Calibri" w:hAnsi="Calibri" w:cs="Times New Roman"/>
                <w:sz w:val="18"/>
                <w:szCs w:val="18"/>
              </w:rPr>
              <w:t>7333</w:t>
            </w:r>
          </w:p>
          <w:p w14:paraId="026D933E" w14:textId="77777777" w:rsidR="00A91053" w:rsidRPr="00A06C2D" w:rsidRDefault="00202C92">
            <w:pPr>
              <w:pStyle w:val="Title"/>
              <w:rPr>
                <w:rFonts w:eastAsia="Times New Roman"/>
              </w:rPr>
            </w:pPr>
            <w:hyperlink r:id="rId253" w:history="1">
              <w:r w:rsidR="00A91053" w:rsidRPr="00A06C2D">
                <w:rPr>
                  <w:rFonts w:eastAsia="Times New Roman"/>
                </w:rPr>
                <w:t>https://azdot.gov/planning</w:t>
              </w:r>
            </w:hyperlink>
          </w:p>
        </w:tc>
        <w:tc>
          <w:tcPr>
            <w:tcW w:w="450" w:type="dxa"/>
            <w:tcBorders>
              <w:left w:val="single" w:sz="8" w:space="0" w:color="auto"/>
              <w:right w:val="single" w:sz="4" w:space="0" w:color="auto"/>
            </w:tcBorders>
            <w:shd w:val="clear" w:color="auto" w:fill="012768"/>
            <w:textDirection w:val="btLr"/>
          </w:tcPr>
          <w:p w14:paraId="40B65E42"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FAA</w:t>
            </w:r>
          </w:p>
        </w:tc>
        <w:tc>
          <w:tcPr>
            <w:tcW w:w="1530" w:type="dxa"/>
            <w:tcBorders>
              <w:top w:val="single" w:sz="8" w:space="0" w:color="auto"/>
              <w:left w:val="single" w:sz="4" w:space="0" w:color="auto"/>
              <w:bottom w:val="single" w:sz="8" w:space="0" w:color="auto"/>
              <w:right w:val="single" w:sz="8" w:space="0" w:color="auto"/>
            </w:tcBorders>
            <w:vAlign w:val="center"/>
          </w:tcPr>
          <w:p w14:paraId="2F4ACE51" w14:textId="77777777" w:rsidR="00A91053" w:rsidRPr="009B61EE" w:rsidRDefault="00A91053">
            <w:pPr>
              <w:tabs>
                <w:tab w:val="clear" w:pos="180"/>
                <w:tab w:val="clear" w:pos="360"/>
                <w:tab w:val="clear" w:pos="540"/>
                <w:tab w:val="clear" w:pos="720"/>
              </w:tabs>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Western-Pacific Region</w:t>
            </w:r>
          </w:p>
        </w:tc>
        <w:tc>
          <w:tcPr>
            <w:tcW w:w="2790" w:type="dxa"/>
            <w:tcBorders>
              <w:top w:val="single" w:sz="8" w:space="0" w:color="auto"/>
              <w:left w:val="single" w:sz="8" w:space="0" w:color="auto"/>
              <w:bottom w:val="single" w:sz="8" w:space="0" w:color="auto"/>
              <w:right w:val="single" w:sz="8" w:space="0" w:color="auto"/>
            </w:tcBorders>
            <w:vAlign w:val="center"/>
          </w:tcPr>
          <w:p w14:paraId="63D9B6B7"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15000 Aviation Blvd.</w:t>
            </w:r>
          </w:p>
          <w:p w14:paraId="32437AA6"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Lawndale, CA 90261</w:t>
            </w:r>
          </w:p>
          <w:p w14:paraId="61C508EC" w14:textId="77777777" w:rsidR="00A91053" w:rsidRPr="00823207" w:rsidRDefault="00A91053">
            <w:pPr>
              <w:tabs>
                <w:tab w:val="clear" w:pos="180"/>
                <w:tab w:val="clear" w:pos="360"/>
                <w:tab w:val="clear" w:pos="540"/>
                <w:tab w:val="clear" w:pos="720"/>
              </w:tabs>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T: 310-725-3550</w:t>
            </w:r>
          </w:p>
          <w:p w14:paraId="5EF41EAC" w14:textId="77777777" w:rsidR="00A91053" w:rsidRPr="00A06C2D" w:rsidRDefault="00202C92">
            <w:pPr>
              <w:pStyle w:val="Title"/>
              <w:rPr>
                <w:rFonts w:eastAsia="Calibri" w:cs="Times New Roman"/>
              </w:rPr>
            </w:pPr>
            <w:hyperlink r:id="rId254" w:history="1">
              <w:r w:rsidR="00A91053" w:rsidRPr="00823207">
                <w:rPr>
                  <w:rFonts w:eastAsia="Times New Roman"/>
                </w:rPr>
                <w:t>https://www.faa.gov/about/office_org/headquarters_offices/arc/ro_center/?file_name=contact_us_western_pacific</w:t>
              </w:r>
            </w:hyperlink>
          </w:p>
        </w:tc>
      </w:tr>
      <w:tr w:rsidR="00A91053" w:rsidRPr="00A06C2D" w14:paraId="02BFE2CE" w14:textId="77777777" w:rsidTr="00020D20">
        <w:tc>
          <w:tcPr>
            <w:tcW w:w="450" w:type="dxa"/>
            <w:tcBorders>
              <w:left w:val="single" w:sz="8" w:space="0" w:color="auto"/>
              <w:right w:val="single" w:sz="8" w:space="0" w:color="auto"/>
            </w:tcBorders>
            <w:shd w:val="clear" w:color="auto" w:fill="012768"/>
            <w:textDirection w:val="btLr"/>
          </w:tcPr>
          <w:p w14:paraId="6130E79A"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FHWA</w:t>
            </w:r>
          </w:p>
        </w:tc>
        <w:tc>
          <w:tcPr>
            <w:tcW w:w="1350" w:type="dxa"/>
            <w:tcBorders>
              <w:top w:val="single" w:sz="8" w:space="0" w:color="auto"/>
              <w:left w:val="single" w:sz="8" w:space="0" w:color="auto"/>
              <w:bottom w:val="single" w:sz="8" w:space="0" w:color="auto"/>
              <w:right w:val="single" w:sz="8" w:space="0" w:color="auto"/>
            </w:tcBorders>
            <w:vAlign w:val="center"/>
          </w:tcPr>
          <w:p w14:paraId="2C31EF0A" w14:textId="77777777" w:rsidR="00A91053" w:rsidRPr="009B61EE" w:rsidRDefault="00A91053">
            <w:pPr>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 xml:space="preserve">Arizona </w:t>
            </w:r>
            <w:r w:rsidRPr="009B61EE">
              <w:rPr>
                <w:rFonts w:ascii="Calibri" w:eastAsia="Calibri" w:hAnsi="Calibri" w:cs="Times New Roman"/>
                <w:sz w:val="18"/>
                <w:szCs w:val="18"/>
              </w:rPr>
              <w:t>Division</w:t>
            </w:r>
          </w:p>
        </w:tc>
        <w:tc>
          <w:tcPr>
            <w:tcW w:w="2520" w:type="dxa"/>
            <w:tcBorders>
              <w:top w:val="single" w:sz="8" w:space="0" w:color="auto"/>
              <w:left w:val="single" w:sz="8" w:space="0" w:color="auto"/>
              <w:bottom w:val="single" w:sz="8" w:space="0" w:color="auto"/>
              <w:right w:val="single" w:sz="8" w:space="0" w:color="auto"/>
            </w:tcBorders>
            <w:vAlign w:val="center"/>
          </w:tcPr>
          <w:p w14:paraId="12AC2249"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4000 N. Central Ave., Ste. 1500</w:t>
            </w:r>
          </w:p>
          <w:p w14:paraId="70AC0137"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Phoenix, AZ 85012-3500</w:t>
            </w:r>
          </w:p>
          <w:p w14:paraId="11B78BC0"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T: 602-379-3646</w:t>
            </w:r>
          </w:p>
          <w:p w14:paraId="49790676" w14:textId="77777777" w:rsidR="00A91053" w:rsidRPr="00A06C2D" w:rsidRDefault="00202C92">
            <w:pPr>
              <w:pStyle w:val="Title"/>
              <w:rPr>
                <w:rFonts w:eastAsia="Times New Roman"/>
              </w:rPr>
            </w:pPr>
            <w:hyperlink r:id="rId255" w:history="1">
              <w:r w:rsidR="00A91053" w:rsidRPr="00A06C2D">
                <w:rPr>
                  <w:rFonts w:eastAsia="Times New Roman"/>
                </w:rPr>
                <w:t>https://www.fhwa.dot.gov/azdiv/</w:t>
              </w:r>
            </w:hyperlink>
          </w:p>
        </w:tc>
        <w:tc>
          <w:tcPr>
            <w:tcW w:w="450" w:type="dxa"/>
            <w:tcBorders>
              <w:left w:val="single" w:sz="8" w:space="0" w:color="auto"/>
              <w:right w:val="single" w:sz="4" w:space="0" w:color="auto"/>
            </w:tcBorders>
            <w:shd w:val="clear" w:color="auto" w:fill="012768"/>
            <w:textDirection w:val="btLr"/>
          </w:tcPr>
          <w:p w14:paraId="42F9C22C"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HUD</w:t>
            </w:r>
          </w:p>
        </w:tc>
        <w:tc>
          <w:tcPr>
            <w:tcW w:w="1530" w:type="dxa"/>
            <w:tcBorders>
              <w:top w:val="single" w:sz="8" w:space="0" w:color="auto"/>
              <w:left w:val="single" w:sz="4" w:space="0" w:color="auto"/>
              <w:bottom w:val="single" w:sz="8" w:space="0" w:color="auto"/>
              <w:right w:val="single" w:sz="8" w:space="0" w:color="auto"/>
            </w:tcBorders>
            <w:vAlign w:val="center"/>
          </w:tcPr>
          <w:p w14:paraId="029ADBA5" w14:textId="77777777" w:rsidR="00A91053" w:rsidRPr="009B61EE" w:rsidRDefault="00A91053">
            <w:pPr>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Arizona Field Office</w:t>
            </w:r>
          </w:p>
        </w:tc>
        <w:tc>
          <w:tcPr>
            <w:tcW w:w="2790" w:type="dxa"/>
            <w:tcBorders>
              <w:top w:val="single" w:sz="8" w:space="0" w:color="auto"/>
              <w:left w:val="single" w:sz="8" w:space="0" w:color="auto"/>
              <w:bottom w:val="single" w:sz="8" w:space="0" w:color="auto"/>
              <w:right w:val="single" w:sz="8" w:space="0" w:color="auto"/>
            </w:tcBorders>
            <w:vAlign w:val="center"/>
          </w:tcPr>
          <w:p w14:paraId="09E8EB43"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One North Central Ave., Ste. 600</w:t>
            </w:r>
          </w:p>
          <w:p w14:paraId="47962429"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Phoenix, AZ 85004</w:t>
            </w:r>
          </w:p>
          <w:p w14:paraId="65F619EA"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T: 602-379-7100</w:t>
            </w:r>
          </w:p>
          <w:p w14:paraId="2D4D1F8B" w14:textId="77777777" w:rsidR="00A91053" w:rsidRPr="00A06C2D" w:rsidRDefault="00202C92">
            <w:pPr>
              <w:pStyle w:val="Title"/>
              <w:rPr>
                <w:rFonts w:eastAsia="Calibri" w:cs="Times New Roman"/>
              </w:rPr>
            </w:pPr>
            <w:hyperlink r:id="rId256" w:history="1">
              <w:r w:rsidR="00A91053" w:rsidRPr="00823207">
                <w:rPr>
                  <w:rFonts w:eastAsia="Times New Roman"/>
                </w:rPr>
                <w:t>https://www.hud.gov/states/arizona/offices</w:t>
              </w:r>
            </w:hyperlink>
          </w:p>
        </w:tc>
      </w:tr>
      <w:tr w:rsidR="00A91053" w:rsidRPr="00A06C2D" w14:paraId="02174777" w14:textId="77777777" w:rsidTr="00020D20">
        <w:tc>
          <w:tcPr>
            <w:tcW w:w="450" w:type="dxa"/>
            <w:tcBorders>
              <w:left w:val="single" w:sz="8" w:space="0" w:color="auto"/>
              <w:right w:val="single" w:sz="8" w:space="0" w:color="auto"/>
            </w:tcBorders>
            <w:shd w:val="clear" w:color="auto" w:fill="012768"/>
            <w:textDirection w:val="btLr"/>
          </w:tcPr>
          <w:p w14:paraId="166C9B02"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FTA</w:t>
            </w:r>
          </w:p>
        </w:tc>
        <w:tc>
          <w:tcPr>
            <w:tcW w:w="1350" w:type="dxa"/>
            <w:tcBorders>
              <w:top w:val="single" w:sz="8" w:space="0" w:color="auto"/>
              <w:left w:val="single" w:sz="8" w:space="0" w:color="auto"/>
              <w:bottom w:val="single" w:sz="8" w:space="0" w:color="auto"/>
              <w:right w:val="single" w:sz="8" w:space="0" w:color="auto"/>
            </w:tcBorders>
            <w:vAlign w:val="center"/>
          </w:tcPr>
          <w:p w14:paraId="5F83489C" w14:textId="77777777" w:rsidR="00A91053" w:rsidRPr="009B61EE" w:rsidRDefault="00A91053">
            <w:pPr>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Region 9</w:t>
            </w:r>
          </w:p>
        </w:tc>
        <w:tc>
          <w:tcPr>
            <w:tcW w:w="2520" w:type="dxa"/>
            <w:tcBorders>
              <w:top w:val="single" w:sz="8" w:space="0" w:color="auto"/>
              <w:left w:val="single" w:sz="8" w:space="0" w:color="auto"/>
              <w:bottom w:val="single" w:sz="8" w:space="0" w:color="auto"/>
              <w:right w:val="single" w:sz="8" w:space="0" w:color="auto"/>
            </w:tcBorders>
            <w:vAlign w:val="center"/>
          </w:tcPr>
          <w:p w14:paraId="4A8571F2"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201 Mission St., Ste. 1650</w:t>
            </w:r>
          </w:p>
          <w:p w14:paraId="7C71329E"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San Francisco, CA 94105-1839</w:t>
            </w:r>
          </w:p>
          <w:p w14:paraId="1DAFD235"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T: 415-744-3133</w:t>
            </w:r>
          </w:p>
          <w:p w14:paraId="7D200A00" w14:textId="77777777" w:rsidR="00A91053" w:rsidRPr="00A06C2D" w:rsidRDefault="00202C92">
            <w:pPr>
              <w:pStyle w:val="Title"/>
              <w:rPr>
                <w:rFonts w:eastAsia="Times New Roman"/>
              </w:rPr>
            </w:pPr>
            <w:hyperlink r:id="rId257" w:history="1">
              <w:r w:rsidR="00A91053" w:rsidRPr="00A06C2D">
                <w:rPr>
                  <w:rFonts w:eastAsia="Times New Roman"/>
                </w:rPr>
                <w:t>https://www.transit.dot.gov/region9</w:t>
              </w:r>
            </w:hyperlink>
          </w:p>
        </w:tc>
        <w:tc>
          <w:tcPr>
            <w:tcW w:w="450" w:type="dxa"/>
            <w:tcBorders>
              <w:left w:val="single" w:sz="8" w:space="0" w:color="auto"/>
              <w:right w:val="single" w:sz="4" w:space="0" w:color="auto"/>
            </w:tcBorders>
            <w:shd w:val="clear" w:color="auto" w:fill="012768"/>
            <w:textDirection w:val="btLr"/>
          </w:tcPr>
          <w:p w14:paraId="512C9E88"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EPA</w:t>
            </w:r>
          </w:p>
        </w:tc>
        <w:tc>
          <w:tcPr>
            <w:tcW w:w="1530" w:type="dxa"/>
            <w:tcBorders>
              <w:top w:val="single" w:sz="8" w:space="0" w:color="auto"/>
              <w:left w:val="single" w:sz="4" w:space="0" w:color="auto"/>
              <w:bottom w:val="single" w:sz="8" w:space="0" w:color="auto"/>
              <w:right w:val="single" w:sz="8" w:space="0" w:color="auto"/>
            </w:tcBorders>
            <w:vAlign w:val="center"/>
          </w:tcPr>
          <w:p w14:paraId="37CA9D0D" w14:textId="77777777" w:rsidR="00A91053" w:rsidRPr="009B61EE" w:rsidRDefault="00A91053">
            <w:pPr>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Region 9</w:t>
            </w:r>
          </w:p>
        </w:tc>
        <w:tc>
          <w:tcPr>
            <w:tcW w:w="2790" w:type="dxa"/>
            <w:tcBorders>
              <w:top w:val="single" w:sz="8" w:space="0" w:color="auto"/>
              <w:left w:val="single" w:sz="8" w:space="0" w:color="auto"/>
              <w:bottom w:val="single" w:sz="8" w:space="0" w:color="auto"/>
              <w:right w:val="single" w:sz="8" w:space="0" w:color="auto"/>
            </w:tcBorders>
            <w:vAlign w:val="center"/>
          </w:tcPr>
          <w:p w14:paraId="72F7C6CC"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75 Hawthorne St.</w:t>
            </w:r>
          </w:p>
          <w:p w14:paraId="26928077"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San Francisco, CA 94105</w:t>
            </w:r>
          </w:p>
          <w:p w14:paraId="5D570E8D"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T: 415-947-8000</w:t>
            </w:r>
          </w:p>
          <w:p w14:paraId="6FD60F56" w14:textId="77777777" w:rsidR="00A91053" w:rsidRPr="00A06C2D" w:rsidRDefault="00202C92">
            <w:pPr>
              <w:pStyle w:val="Title"/>
              <w:rPr>
                <w:rFonts w:eastAsia="Calibri" w:cs="Times New Roman"/>
              </w:rPr>
            </w:pPr>
            <w:hyperlink r:id="rId258" w:history="1">
              <w:r w:rsidR="00A91053" w:rsidRPr="00823207">
                <w:rPr>
                  <w:rFonts w:eastAsia="Times New Roman"/>
                </w:rPr>
                <w:t>https://www.epa.gov/aboutepa/epa-region-9-pacific-southwest</w:t>
              </w:r>
            </w:hyperlink>
          </w:p>
        </w:tc>
      </w:tr>
      <w:tr w:rsidR="00A91053" w:rsidRPr="00A06C2D" w14:paraId="411E2F9D" w14:textId="77777777" w:rsidTr="00020D20">
        <w:tc>
          <w:tcPr>
            <w:tcW w:w="450" w:type="dxa"/>
            <w:tcBorders>
              <w:left w:val="single" w:sz="8" w:space="0" w:color="auto"/>
              <w:bottom w:val="single" w:sz="8" w:space="0" w:color="auto"/>
              <w:right w:val="single" w:sz="8" w:space="0" w:color="auto"/>
            </w:tcBorders>
            <w:shd w:val="clear" w:color="auto" w:fill="012768"/>
            <w:textDirection w:val="btLr"/>
          </w:tcPr>
          <w:p w14:paraId="521D3F06"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FRA</w:t>
            </w:r>
          </w:p>
        </w:tc>
        <w:tc>
          <w:tcPr>
            <w:tcW w:w="1350" w:type="dxa"/>
            <w:tcBorders>
              <w:top w:val="single" w:sz="8" w:space="0" w:color="auto"/>
              <w:left w:val="single" w:sz="8" w:space="0" w:color="auto"/>
              <w:bottom w:val="single" w:sz="8" w:space="0" w:color="auto"/>
              <w:right w:val="single" w:sz="8" w:space="0" w:color="auto"/>
            </w:tcBorders>
            <w:vAlign w:val="center"/>
          </w:tcPr>
          <w:p w14:paraId="4707BC1F" w14:textId="77777777" w:rsidR="00A91053" w:rsidRPr="009B61EE" w:rsidRDefault="00A91053">
            <w:pPr>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Region</w:t>
            </w:r>
            <w:r w:rsidRPr="009B61EE">
              <w:rPr>
                <w:rFonts w:ascii="Calibri" w:eastAsia="Calibri" w:hAnsi="Calibri" w:cs="Times New Roman"/>
                <w:sz w:val="18"/>
                <w:szCs w:val="18"/>
              </w:rPr>
              <w:t xml:space="preserve"> 7</w:t>
            </w:r>
          </w:p>
        </w:tc>
        <w:tc>
          <w:tcPr>
            <w:tcW w:w="2520" w:type="dxa"/>
            <w:tcBorders>
              <w:top w:val="single" w:sz="8" w:space="0" w:color="auto"/>
              <w:left w:val="single" w:sz="8" w:space="0" w:color="auto"/>
              <w:bottom w:val="single" w:sz="8" w:space="0" w:color="auto"/>
              <w:right w:val="single" w:sz="8" w:space="0" w:color="auto"/>
            </w:tcBorders>
            <w:vAlign w:val="center"/>
          </w:tcPr>
          <w:p w14:paraId="0EC8D42C"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801 I St., Ste. 466</w:t>
            </w:r>
          </w:p>
          <w:p w14:paraId="49804678"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Sacramento, CA 95814</w:t>
            </w:r>
          </w:p>
          <w:p w14:paraId="591C430F" w14:textId="77777777" w:rsidR="00A91053" w:rsidRPr="00A06C2D" w:rsidRDefault="00A91053">
            <w:pPr>
              <w:spacing w:before="0" w:after="0" w:line="240" w:lineRule="auto"/>
              <w:jc w:val="center"/>
              <w:rPr>
                <w:rFonts w:ascii="Calibri" w:eastAsia="Calibri" w:hAnsi="Calibri" w:cs="Times New Roman"/>
                <w:sz w:val="18"/>
                <w:szCs w:val="18"/>
              </w:rPr>
            </w:pPr>
            <w:r w:rsidRPr="00A06C2D">
              <w:rPr>
                <w:rFonts w:ascii="Calibri" w:eastAsia="Calibri" w:hAnsi="Calibri" w:cs="Times New Roman"/>
                <w:sz w:val="18"/>
                <w:szCs w:val="18"/>
              </w:rPr>
              <w:t>T: 916498-6540</w:t>
            </w:r>
          </w:p>
          <w:p w14:paraId="2C456BA5" w14:textId="77777777" w:rsidR="00A91053" w:rsidRPr="00A06C2D" w:rsidRDefault="00202C92">
            <w:pPr>
              <w:pStyle w:val="Title"/>
              <w:rPr>
                <w:rFonts w:eastAsia="Times New Roman"/>
              </w:rPr>
            </w:pPr>
            <w:hyperlink r:id="rId259" w:history="1">
              <w:r w:rsidR="00A91053" w:rsidRPr="00A06C2D">
                <w:rPr>
                  <w:rFonts w:eastAsia="Times New Roman"/>
                </w:rPr>
                <w:t>https://railroads.dot.gov/divisions/regional-offices/region-7-sacramento-ca</w:t>
              </w:r>
            </w:hyperlink>
          </w:p>
        </w:tc>
        <w:tc>
          <w:tcPr>
            <w:tcW w:w="450" w:type="dxa"/>
            <w:tcBorders>
              <w:left w:val="single" w:sz="8" w:space="0" w:color="auto"/>
              <w:bottom w:val="single" w:sz="8" w:space="0" w:color="auto"/>
              <w:right w:val="single" w:sz="4" w:space="0" w:color="auto"/>
            </w:tcBorders>
            <w:shd w:val="clear" w:color="auto" w:fill="012768"/>
            <w:textDirection w:val="btLr"/>
          </w:tcPr>
          <w:p w14:paraId="7E3F6092" w14:textId="77777777" w:rsidR="00A91053" w:rsidRPr="00A06C2D" w:rsidRDefault="00A91053">
            <w:pPr>
              <w:spacing w:before="0" w:after="0" w:line="240" w:lineRule="auto"/>
              <w:jc w:val="center"/>
              <w:rPr>
                <w:rFonts w:ascii="Calibri" w:eastAsia="Calibri" w:hAnsi="Calibri" w:cs="Times New Roman"/>
                <w:color w:val="FFFFFF" w:themeColor="background1"/>
              </w:rPr>
            </w:pPr>
            <w:r w:rsidRPr="00A06C2D">
              <w:rPr>
                <w:rFonts w:ascii="Calibri" w:eastAsia="Calibri" w:hAnsi="Calibri" w:cs="Times New Roman"/>
                <w:color w:val="FFFFFF" w:themeColor="background1"/>
              </w:rPr>
              <w:t>BIA</w:t>
            </w:r>
          </w:p>
        </w:tc>
        <w:tc>
          <w:tcPr>
            <w:tcW w:w="1530" w:type="dxa"/>
            <w:tcBorders>
              <w:top w:val="single" w:sz="8" w:space="0" w:color="auto"/>
              <w:left w:val="single" w:sz="4" w:space="0" w:color="auto"/>
              <w:bottom w:val="single" w:sz="8" w:space="0" w:color="auto"/>
              <w:right w:val="single" w:sz="8" w:space="0" w:color="auto"/>
            </w:tcBorders>
            <w:vAlign w:val="center"/>
          </w:tcPr>
          <w:p w14:paraId="6068B3C1" w14:textId="77777777" w:rsidR="00A91053" w:rsidRPr="009B61EE" w:rsidRDefault="00A91053">
            <w:pPr>
              <w:spacing w:before="0" w:after="0" w:line="240" w:lineRule="auto"/>
              <w:jc w:val="center"/>
              <w:rPr>
                <w:rFonts w:ascii="Calibri" w:eastAsia="Calibri" w:hAnsi="Calibri" w:cs="Times New Roman"/>
                <w:sz w:val="18"/>
                <w:szCs w:val="18"/>
              </w:rPr>
            </w:pPr>
            <w:r w:rsidRPr="00E9042F">
              <w:rPr>
                <w:rFonts w:ascii="Calibri" w:eastAsia="Calibri" w:hAnsi="Calibri" w:cs="Times New Roman"/>
                <w:sz w:val="18"/>
                <w:szCs w:val="18"/>
              </w:rPr>
              <w:t>Western Region</w:t>
            </w:r>
          </w:p>
        </w:tc>
        <w:tc>
          <w:tcPr>
            <w:tcW w:w="2790" w:type="dxa"/>
            <w:tcBorders>
              <w:top w:val="single" w:sz="8" w:space="0" w:color="auto"/>
              <w:left w:val="single" w:sz="8" w:space="0" w:color="auto"/>
              <w:bottom w:val="single" w:sz="8" w:space="0" w:color="auto"/>
              <w:right w:val="single" w:sz="8" w:space="0" w:color="auto"/>
            </w:tcBorders>
            <w:vAlign w:val="center"/>
          </w:tcPr>
          <w:p w14:paraId="2BC4D08D"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2600 N. Central Ave., 4th Floor Mailroom</w:t>
            </w:r>
          </w:p>
          <w:p w14:paraId="3881781B"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Phoenix, AZ 85004-3050</w:t>
            </w:r>
          </w:p>
          <w:p w14:paraId="59E97734" w14:textId="77777777" w:rsidR="00A91053" w:rsidRPr="00823207" w:rsidRDefault="00A91053">
            <w:pPr>
              <w:spacing w:before="0" w:after="0" w:line="240" w:lineRule="auto"/>
              <w:jc w:val="center"/>
              <w:rPr>
                <w:rFonts w:ascii="Calibri" w:eastAsia="Calibri" w:hAnsi="Calibri" w:cs="Times New Roman"/>
                <w:sz w:val="18"/>
                <w:szCs w:val="18"/>
              </w:rPr>
            </w:pPr>
            <w:r w:rsidRPr="00823207">
              <w:rPr>
                <w:rFonts w:ascii="Calibri" w:eastAsia="Calibri" w:hAnsi="Calibri" w:cs="Times New Roman"/>
                <w:sz w:val="18"/>
                <w:szCs w:val="18"/>
              </w:rPr>
              <w:t>T: 602-379-6600</w:t>
            </w:r>
          </w:p>
          <w:p w14:paraId="6C8EE619" w14:textId="77777777" w:rsidR="00A91053" w:rsidRPr="00A06C2D" w:rsidRDefault="00202C92">
            <w:pPr>
              <w:pStyle w:val="Title"/>
              <w:rPr>
                <w:rFonts w:eastAsia="Calibri" w:cs="Times New Roman"/>
              </w:rPr>
            </w:pPr>
            <w:hyperlink r:id="rId260" w:history="1">
              <w:r w:rsidR="00A91053" w:rsidRPr="00823207">
                <w:rPr>
                  <w:rFonts w:eastAsia="Times New Roman"/>
                </w:rPr>
                <w:t>https://www.bia.gov/regional-offices/western</w:t>
              </w:r>
            </w:hyperlink>
          </w:p>
        </w:tc>
      </w:tr>
    </w:tbl>
    <w:p w14:paraId="31BF6025" w14:textId="77777777" w:rsidR="00A91053" w:rsidRPr="00394A74" w:rsidRDefault="00A91053" w:rsidP="00020D20">
      <w:pPr>
        <w:jc w:val="both"/>
      </w:pPr>
    </w:p>
    <w:p w14:paraId="5775ED1B" w14:textId="74715D16" w:rsidR="008365D2" w:rsidRDefault="008365D2" w:rsidP="00020D20">
      <w:pPr>
        <w:jc w:val="both"/>
      </w:pPr>
    </w:p>
    <w:p w14:paraId="53CC5DCC" w14:textId="77777777" w:rsidR="00BC4C68" w:rsidRDefault="00BC4C68" w:rsidP="00020D20">
      <w:pPr>
        <w:jc w:val="both"/>
        <w:sectPr w:rsidR="00BC4C68" w:rsidSect="00020D20">
          <w:type w:val="continuous"/>
          <w:pgSz w:w="12240" w:h="15840"/>
          <w:pgMar w:top="1440" w:right="1440" w:bottom="1440" w:left="1440" w:header="720" w:footer="720" w:gutter="0"/>
          <w:pgNumType w:chapStyle="1"/>
          <w:cols w:space="720"/>
          <w:docGrid w:linePitch="360"/>
        </w:sectPr>
      </w:pPr>
    </w:p>
    <w:p w14:paraId="7B0043F5" w14:textId="0B2E0B6A" w:rsidR="00407829" w:rsidRDefault="003C4E4F" w:rsidP="00020D20">
      <w:pPr>
        <w:pStyle w:val="BodyTextTitle"/>
        <w:spacing w:before="0" w:after="0" w:line="240" w:lineRule="auto"/>
        <w:jc w:val="both"/>
      </w:pPr>
      <w:r>
        <w:t>3</w:t>
      </w:r>
      <w:r w:rsidR="00904690">
        <w:t xml:space="preserve"> </w:t>
      </w:r>
      <w:r>
        <w:t xml:space="preserve">| </w:t>
      </w:r>
      <w:r w:rsidR="00C10FAA">
        <w:t xml:space="preserve">MPO </w:t>
      </w:r>
      <w:r w:rsidR="00407829">
        <w:t>FORMATION</w:t>
      </w:r>
    </w:p>
    <w:p w14:paraId="3811B06B" w14:textId="0138CC3F" w:rsidR="003C4E4F" w:rsidRPr="00020D20" w:rsidRDefault="003C4E4F" w:rsidP="00020D20">
      <w:pPr>
        <w:pStyle w:val="BodyTextTitle"/>
        <w:spacing w:before="0" w:line="240" w:lineRule="auto"/>
        <w:jc w:val="both"/>
        <w:rPr>
          <w:sz w:val="36"/>
        </w:rPr>
      </w:pPr>
      <w:r w:rsidRPr="00020D20">
        <w:rPr>
          <w:sz w:val="36"/>
        </w:rPr>
        <w:t>TABLE OF CONTENTS</w:t>
      </w:r>
    </w:p>
    <w:p w14:paraId="10D4486F" w14:textId="6382A32C" w:rsidR="001A022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_Ref50028323 \h </w:instrText>
      </w:r>
      <w:r w:rsidR="002D38FC">
        <w:instrText xml:space="preserve"> \* MERGEFORMAT </w:instrText>
      </w:r>
      <w:r>
        <w:fldChar w:fldCharType="separate"/>
      </w:r>
      <w:r w:rsidRPr="005A6F1D">
        <w:t>3.1 | PURPOSE</w:t>
      </w:r>
      <w:r>
        <w:fldChar w:fldCharType="end"/>
      </w:r>
    </w:p>
    <w:p w14:paraId="6B83A2F9" w14:textId="25BAC4D9"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_Ref50028327 \h </w:instrText>
      </w:r>
      <w:r w:rsidR="002D38FC">
        <w:instrText xml:space="preserve"> \* MERGEFORMAT </w:instrText>
      </w:r>
      <w:r>
        <w:fldChar w:fldCharType="separate"/>
      </w:r>
      <w:r w:rsidRPr="005A6F1D">
        <w:t>3.2 | AUTHORITY</w:t>
      </w:r>
      <w:r>
        <w:fldChar w:fldCharType="end"/>
      </w:r>
    </w:p>
    <w:p w14:paraId="2201AE28" w14:textId="091E87F6"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_Ref50028332 \h </w:instrText>
      </w:r>
      <w:r w:rsidR="002D38FC">
        <w:instrText xml:space="preserve"> \* MERGEFORMAT </w:instrText>
      </w:r>
      <w:r>
        <w:fldChar w:fldCharType="separate"/>
      </w:r>
      <w:r w:rsidRPr="005A6F1D">
        <w:t>3.3 | CENSUS DESIGNATION OF URBANIZED AREAS</w:t>
      </w:r>
      <w:r>
        <w:fldChar w:fldCharType="end"/>
      </w:r>
    </w:p>
    <w:p w14:paraId="4E9BB424" w14:textId="735294A6"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_Ref50028336 \h </w:instrText>
      </w:r>
      <w:r w:rsidR="002D38FC">
        <w:instrText xml:space="preserve"> \* MERGEFORMAT </w:instrText>
      </w:r>
      <w:r>
        <w:fldChar w:fldCharType="separate"/>
      </w:r>
      <w:r w:rsidRPr="005A6F1D">
        <w:t>3.4 | METROPOLITAN PLANNING AREA</w:t>
      </w:r>
      <w:r>
        <w:fldChar w:fldCharType="end"/>
      </w:r>
    </w:p>
    <w:p w14:paraId="28834243" w14:textId="421D8B8E"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_Ref50028340 \h </w:instrText>
      </w:r>
      <w:r w:rsidR="002D38FC">
        <w:instrText xml:space="preserve"> \* MERGEFORMAT </w:instrText>
      </w:r>
      <w:r>
        <w:fldChar w:fldCharType="separate"/>
      </w:r>
      <w:r w:rsidRPr="005A6F1D">
        <w:rPr>
          <w:rFonts w:cstheme="minorHAnsi"/>
        </w:rPr>
        <w:t>3.5 | DESIGNATION OF AN MPO</w:t>
      </w:r>
      <w:r>
        <w:fldChar w:fldCharType="end"/>
      </w:r>
    </w:p>
    <w:p w14:paraId="69152011" w14:textId="027FAC1E"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_Ref50028343 \h </w:instrText>
      </w:r>
      <w:r w:rsidR="002D38FC">
        <w:instrText xml:space="preserve"> \* MERGEFORMAT </w:instrText>
      </w:r>
      <w:r>
        <w:fldChar w:fldCharType="separate"/>
      </w:r>
      <w:r w:rsidRPr="00AF3EFA">
        <w:rPr>
          <w:rFonts w:cstheme="minorHAnsi"/>
        </w:rPr>
        <w:t>3.6 | MEMBERSHIP</w:t>
      </w:r>
      <w:r>
        <w:fldChar w:fldCharType="end"/>
      </w:r>
    </w:p>
    <w:p w14:paraId="633ACF09" w14:textId="76FAB317"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_Ref50028349 \h </w:instrText>
      </w:r>
      <w:r w:rsidR="002D38FC">
        <w:instrText xml:space="preserve"> \* MERGEFORMAT </w:instrText>
      </w:r>
      <w:r>
        <w:fldChar w:fldCharType="separate"/>
      </w:r>
      <w:r w:rsidRPr="00AF3EFA">
        <w:rPr>
          <w:rFonts w:cstheme="minorHAnsi"/>
        </w:rPr>
        <w:t>3.6.1 | Voting Membership</w:t>
      </w:r>
      <w:r>
        <w:fldChar w:fldCharType="end"/>
      </w:r>
    </w:p>
    <w:p w14:paraId="5E703127" w14:textId="0AB58268"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_Ref50028352 \h </w:instrText>
      </w:r>
      <w:r w:rsidR="002D38FC">
        <w:instrText xml:space="preserve"> \* MERGEFORMAT </w:instrText>
      </w:r>
      <w:r>
        <w:fldChar w:fldCharType="separate"/>
      </w:r>
      <w:r w:rsidRPr="00AF3EFA">
        <w:rPr>
          <w:rFonts w:cstheme="minorHAnsi"/>
        </w:rPr>
        <w:t>3.6.2 | Nonvoting Membership</w:t>
      </w:r>
      <w:r>
        <w:fldChar w:fldCharType="end"/>
      </w:r>
    </w:p>
    <w:p w14:paraId="59FA3948" w14:textId="70587C5C"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_Ref50028356 \h </w:instrText>
      </w:r>
      <w:r w:rsidR="002D38FC">
        <w:instrText xml:space="preserve"> \* MERGEFORMAT </w:instrText>
      </w:r>
      <w:r>
        <w:fldChar w:fldCharType="separate"/>
      </w:r>
      <w:r w:rsidRPr="00AF3EFA">
        <w:rPr>
          <w:rFonts w:cstheme="minorHAnsi"/>
        </w:rPr>
        <w:t>3.6.3 | Agreements &amp; Contracts</w:t>
      </w:r>
      <w:r>
        <w:fldChar w:fldCharType="end"/>
      </w:r>
    </w:p>
    <w:p w14:paraId="120477BB" w14:textId="0DA7D88D"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_Ref50028361 \h </w:instrText>
      </w:r>
      <w:r w:rsidR="002D38FC">
        <w:instrText xml:space="preserve"> \* MERGEFORMAT </w:instrText>
      </w:r>
      <w:r>
        <w:fldChar w:fldCharType="separate"/>
      </w:r>
      <w:r w:rsidRPr="00AF3EFA">
        <w:rPr>
          <w:rFonts w:cstheme="minorHAnsi"/>
        </w:rPr>
        <w:t>3.7 | MPO ORGANIZATIONAL STRUCTURE</w:t>
      </w:r>
      <w:r>
        <w:fldChar w:fldCharType="end"/>
      </w:r>
    </w:p>
    <w:p w14:paraId="42D43893" w14:textId="7B2B47E6"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_Ref50028365 \h </w:instrText>
      </w:r>
      <w:r w:rsidR="002D38FC">
        <w:instrText xml:space="preserve"> \* MERGEFORMAT </w:instrText>
      </w:r>
      <w:r>
        <w:fldChar w:fldCharType="separate"/>
      </w:r>
      <w:r w:rsidRPr="00AF3EFA">
        <w:rPr>
          <w:rFonts w:cstheme="minorHAnsi"/>
        </w:rPr>
        <w:t>3.7.1 | Policy Board</w:t>
      </w:r>
      <w:r>
        <w:fldChar w:fldCharType="end"/>
      </w:r>
    </w:p>
    <w:p w14:paraId="4E46F8EF" w14:textId="467248FA"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_Ref50028369 \h </w:instrText>
      </w:r>
      <w:r w:rsidR="002D38FC">
        <w:instrText xml:space="preserve"> \* MERGEFORMAT </w:instrText>
      </w:r>
      <w:r>
        <w:fldChar w:fldCharType="separate"/>
      </w:r>
      <w:r w:rsidRPr="005D36CF">
        <w:rPr>
          <w:rFonts w:cstheme="minorHAnsi"/>
        </w:rPr>
        <w:t>3.7.2 | Executive/Management Committee</w:t>
      </w:r>
      <w:r>
        <w:fldChar w:fldCharType="end"/>
      </w:r>
    </w:p>
    <w:p w14:paraId="792C6F93" w14:textId="29667391"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_Ref50028372 \h </w:instrText>
      </w:r>
      <w:r w:rsidR="002D38FC">
        <w:instrText xml:space="preserve"> \* MERGEFORMAT </w:instrText>
      </w:r>
      <w:r>
        <w:fldChar w:fldCharType="separate"/>
      </w:r>
      <w:r w:rsidRPr="005D36CF">
        <w:rPr>
          <w:rFonts w:cstheme="minorHAnsi"/>
        </w:rPr>
        <w:t>3.7.3 | Advisory Committees</w:t>
      </w:r>
      <w:r>
        <w:fldChar w:fldCharType="end"/>
      </w:r>
    </w:p>
    <w:p w14:paraId="091533BC" w14:textId="5A6C45DC"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_Ref50028375 \h </w:instrText>
      </w:r>
      <w:r w:rsidR="002D38FC">
        <w:instrText xml:space="preserve"> \* MERGEFORMAT </w:instrText>
      </w:r>
      <w:r>
        <w:fldChar w:fldCharType="separate"/>
      </w:r>
      <w:r w:rsidRPr="005D36CF">
        <w:rPr>
          <w:rFonts w:cstheme="minorHAnsi"/>
        </w:rPr>
        <w:t>3.7.4 | MPO Director &amp; Staff</w:t>
      </w:r>
      <w:r>
        <w:fldChar w:fldCharType="end"/>
      </w:r>
    </w:p>
    <w:p w14:paraId="509E7E14" w14:textId="06C0EE01"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_Ref50028383 \h </w:instrText>
      </w:r>
      <w:r w:rsidR="002D38FC">
        <w:instrText xml:space="preserve"> \* MERGEFORMAT </w:instrText>
      </w:r>
      <w:r>
        <w:fldChar w:fldCharType="separate"/>
      </w:r>
      <w:r w:rsidRPr="005D36CF">
        <w:rPr>
          <w:rFonts w:cstheme="minorHAnsi"/>
        </w:rPr>
        <w:t>3.8 | INSTITUTIONAL STRUCTURE</w:t>
      </w:r>
      <w:r>
        <w:fldChar w:fldCharType="end"/>
      </w:r>
    </w:p>
    <w:p w14:paraId="62369AE8" w14:textId="3277511D"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_Ref50028387 \h </w:instrText>
      </w:r>
      <w:r w:rsidR="002D38FC">
        <w:instrText xml:space="preserve"> \* MERGEFORMAT </w:instrText>
      </w:r>
      <w:r>
        <w:fldChar w:fldCharType="separate"/>
      </w:r>
      <w:r w:rsidRPr="005D36CF">
        <w:rPr>
          <w:rFonts w:cstheme="minorHAnsi"/>
        </w:rPr>
        <w:t>3.8.1 | Hosted MPOs</w:t>
      </w:r>
      <w:r>
        <w:fldChar w:fldCharType="end"/>
      </w:r>
    </w:p>
    <w:p w14:paraId="1001989A" w14:textId="266F9A95" w:rsidR="00A6650B" w:rsidRDefault="00462B8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_Ref50028593 \h </w:instrText>
      </w:r>
      <w:r w:rsidR="002D38FC">
        <w:instrText xml:space="preserve"> \* MERGEFORMAT </w:instrText>
      </w:r>
      <w:r>
        <w:fldChar w:fldCharType="separate"/>
      </w:r>
      <w:r w:rsidRPr="005D36CF">
        <w:t>All-In-One Agency</w:t>
      </w:r>
      <w:r>
        <w:fldChar w:fldCharType="end"/>
      </w:r>
    </w:p>
    <w:p w14:paraId="2068646D" w14:textId="5B9C765B" w:rsidR="00A6650B" w:rsidRDefault="00462B8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_Ref50028596 \h </w:instrText>
      </w:r>
      <w:r w:rsidR="002D38FC">
        <w:instrText xml:space="preserve"> \* MERGEFORMAT </w:instrText>
      </w:r>
      <w:r>
        <w:fldChar w:fldCharType="separate"/>
      </w:r>
      <w:r>
        <w:t>Dual Purpose MPO</w:t>
      </w:r>
      <w:r>
        <w:fldChar w:fldCharType="end"/>
      </w:r>
    </w:p>
    <w:p w14:paraId="1C757221" w14:textId="140C6AC2" w:rsidR="00B63F92" w:rsidRDefault="00B63F92"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_Ref57987716 \h </w:instrText>
      </w:r>
      <w:r>
        <w:fldChar w:fldCharType="separate"/>
      </w:r>
      <w:r w:rsidRPr="005D36CF">
        <w:t>Component MPO</w:t>
      </w:r>
      <w:r>
        <w:fldChar w:fldCharType="end"/>
      </w:r>
    </w:p>
    <w:p w14:paraId="21312F5C" w14:textId="53EA4B7F" w:rsidR="00D33094" w:rsidRDefault="00D3309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_Ref50028390 \h </w:instrText>
      </w:r>
      <w:r w:rsidR="002D38FC">
        <w:instrText xml:space="preserve"> \* MERGEFORMAT </w:instrText>
      </w:r>
      <w:r>
        <w:fldChar w:fldCharType="separate"/>
      </w:r>
      <w:r w:rsidRPr="005D36CF">
        <w:rPr>
          <w:rFonts w:cstheme="minorHAnsi"/>
        </w:rPr>
        <w:t>3.8.2 | Independent MPOs</w:t>
      </w:r>
      <w:r>
        <w:fldChar w:fldCharType="end"/>
      </w:r>
    </w:p>
    <w:p w14:paraId="24856C7A" w14:textId="5E5F3475" w:rsidR="00A6650B" w:rsidRDefault="00462B8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_Ref50028606 \h </w:instrText>
      </w:r>
      <w:r w:rsidR="002D38FC">
        <w:instrText xml:space="preserve"> \* MERGEFORMAT </w:instrText>
      </w:r>
      <w:r>
        <w:fldChar w:fldCharType="separate"/>
      </w:r>
      <w:r w:rsidRPr="005D36CF">
        <w:t>Leaning Independent MPO</w:t>
      </w:r>
      <w:r>
        <w:fldChar w:fldCharType="end"/>
      </w:r>
    </w:p>
    <w:p w14:paraId="6EEAA828" w14:textId="056C46DF" w:rsidR="00A6650B" w:rsidRDefault="00462B8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_Ref50028609 \h </w:instrText>
      </w:r>
      <w:r w:rsidR="002D38FC">
        <w:instrText xml:space="preserve"> \* MERGEFORMAT </w:instrText>
      </w:r>
      <w:r>
        <w:fldChar w:fldCharType="separate"/>
      </w:r>
      <w:r w:rsidRPr="005D36CF">
        <w:t>Freestanding Independent MPO</w:t>
      </w:r>
      <w:r>
        <w:fldChar w:fldCharType="end"/>
      </w:r>
    </w:p>
    <w:p w14:paraId="568A3629" w14:textId="25E78EBD" w:rsidR="00A6650B" w:rsidRDefault="00A6650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_Ref50028409 \h </w:instrText>
      </w:r>
      <w:r w:rsidR="002D38FC">
        <w:instrText xml:space="preserve"> \* MERGEFORMAT </w:instrText>
      </w:r>
      <w:r>
        <w:fldChar w:fldCharType="separate"/>
      </w:r>
      <w:r w:rsidRPr="005D36CF">
        <w:rPr>
          <w:rFonts w:cstheme="minorHAnsi"/>
        </w:rPr>
        <w:t>3.9 | RESPONSIBILITIES OF AN MPO</w:t>
      </w:r>
      <w:r>
        <w:fldChar w:fldCharType="end"/>
      </w:r>
    </w:p>
    <w:p w14:paraId="6A3853FA" w14:textId="3F5BA534" w:rsidR="00A6650B" w:rsidRDefault="00A6650B"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_Ref50028416 \h </w:instrText>
      </w:r>
      <w:r w:rsidR="002D38FC">
        <w:instrText xml:space="preserve"> \* MERGEFORMAT </w:instrText>
      </w:r>
      <w:r>
        <w:fldChar w:fldCharType="separate"/>
      </w:r>
      <w:r w:rsidRPr="005D36CF">
        <w:rPr>
          <w:rFonts w:cstheme="minorHAnsi"/>
        </w:rPr>
        <w:t>3.9.1 | Policy Board</w:t>
      </w:r>
      <w:r>
        <w:fldChar w:fldCharType="end"/>
      </w:r>
    </w:p>
    <w:p w14:paraId="4E923CE7" w14:textId="39DD8CBD" w:rsidR="00A6650B" w:rsidRDefault="00A6650B"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_Ref50028421 \h </w:instrText>
      </w:r>
      <w:r w:rsidR="002D38FC">
        <w:instrText xml:space="preserve"> \* MERGEFORMAT </w:instrText>
      </w:r>
      <w:r>
        <w:fldChar w:fldCharType="separate"/>
      </w:r>
      <w:r w:rsidRPr="007B2753">
        <w:rPr>
          <w:rFonts w:cstheme="minorHAnsi"/>
        </w:rPr>
        <w:t>3.9.2 | Regional Planning</w:t>
      </w:r>
      <w:r>
        <w:fldChar w:fldCharType="end"/>
      </w:r>
    </w:p>
    <w:p w14:paraId="20EA667D" w14:textId="036D0821" w:rsidR="00A6650B" w:rsidRDefault="00462B8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_Ref50028615 \h </w:instrText>
      </w:r>
      <w:r w:rsidR="002D38FC">
        <w:instrText xml:space="preserve"> \* MERGEFORMAT </w:instrText>
      </w:r>
      <w:r>
        <w:fldChar w:fldCharType="separate"/>
      </w:r>
      <w:r w:rsidRPr="007B2753">
        <w:t>Fiscally Constrained Planning</w:t>
      </w:r>
      <w:r>
        <w:fldChar w:fldCharType="end"/>
      </w:r>
    </w:p>
    <w:p w14:paraId="2470D15B" w14:textId="08DD88D2" w:rsidR="00A6650B" w:rsidRDefault="00462B8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_Ref50028618 \h </w:instrText>
      </w:r>
      <w:r w:rsidR="002D38FC">
        <w:instrText xml:space="preserve"> \* MERGEFORMAT </w:instrText>
      </w:r>
      <w:r>
        <w:fldChar w:fldCharType="separate"/>
      </w:r>
      <w:r w:rsidRPr="007B2753">
        <w:t>Annual Element (AE)</w:t>
      </w:r>
      <w:r>
        <w:fldChar w:fldCharType="end"/>
      </w:r>
    </w:p>
    <w:p w14:paraId="63596207" w14:textId="35D6A7EC" w:rsidR="00A6650B" w:rsidRDefault="00A6650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_Ref50028430 \h </w:instrText>
      </w:r>
      <w:r w:rsidR="002D38FC">
        <w:instrText xml:space="preserve"> \* MERGEFORMAT </w:instrText>
      </w:r>
      <w:r>
        <w:fldChar w:fldCharType="separate"/>
      </w:r>
      <w:r w:rsidRPr="009B56FF">
        <w:rPr>
          <w:rFonts w:cstheme="minorHAnsi"/>
        </w:rPr>
        <w:t>3.9.3 | Special Technical Responsibilities</w:t>
      </w:r>
      <w:r>
        <w:fldChar w:fldCharType="end"/>
      </w:r>
      <w:r>
        <w:t xml:space="preserve"> </w:t>
      </w:r>
    </w:p>
    <w:p w14:paraId="5B15BB53" w14:textId="77777777" w:rsidR="00492D0B" w:rsidRDefault="003C4E4F"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076532">
          <w:footerReference w:type="default" r:id="rId261"/>
          <w:pgSz w:w="12240" w:h="15840"/>
          <w:pgMar w:top="1440" w:right="1440" w:bottom="1440" w:left="1440" w:header="720" w:footer="720" w:gutter="0"/>
          <w:pgNumType w:start="1" w:chapStyle="1"/>
          <w:cols w:space="720"/>
          <w:docGrid w:linePitch="360"/>
        </w:sectPr>
      </w:pPr>
      <w:r>
        <w:br w:type="page"/>
      </w:r>
    </w:p>
    <w:p w14:paraId="25EC4DC8" w14:textId="55A73018" w:rsidR="005A6F1D" w:rsidRDefault="005A6F1D" w:rsidP="00020D20">
      <w:pPr>
        <w:pStyle w:val="Heading1"/>
        <w:tabs>
          <w:tab w:val="left" w:pos="360"/>
        </w:tabs>
        <w:jc w:val="both"/>
      </w:pPr>
      <w:bookmarkStart w:id="93" w:name="_Toc49866699"/>
      <w:bookmarkStart w:id="94" w:name="_Toc49867599"/>
      <w:bookmarkStart w:id="95" w:name="_Toc49867645"/>
      <w:bookmarkStart w:id="96" w:name="_Toc49868799"/>
      <w:bookmarkStart w:id="97" w:name="_Toc49868864"/>
      <w:bookmarkStart w:id="98" w:name="_Toc49868901"/>
      <w:bookmarkStart w:id="99" w:name="_Toc49868947"/>
      <w:bookmarkStart w:id="100" w:name="_Toc49869116"/>
      <w:bookmarkStart w:id="101" w:name="_Toc49869165"/>
      <w:bookmarkStart w:id="102" w:name="_Toc49870621"/>
      <w:bookmarkStart w:id="103" w:name="_Toc49870666"/>
      <w:bookmarkStart w:id="104" w:name="_Toc50539517"/>
      <w:bookmarkStart w:id="105" w:name="_Toc50539560"/>
      <w:bookmarkStart w:id="106" w:name="_Toc50539724"/>
      <w:bookmarkStart w:id="107" w:name="_Toc50539803"/>
      <w:bookmarkStart w:id="108" w:name="_Toc50539846"/>
      <w:bookmarkStart w:id="109" w:name="_Toc50539964"/>
      <w:bookmarkStart w:id="110" w:name="_Toc50540050"/>
      <w:bookmarkStart w:id="111" w:name="_Toc50540217"/>
      <w:bookmarkStart w:id="112" w:name="_|_Formation"/>
      <w:bookmarkStart w:id="113" w:name="_Toc49862230"/>
      <w:bookmarkStart w:id="114" w:name="_Toc49870622"/>
      <w:bookmarkStart w:id="115" w:name="_Toc50540218"/>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t xml:space="preserve">| </w:t>
      </w:r>
      <w:r w:rsidR="00C10FAA">
        <w:t xml:space="preserve">MPO </w:t>
      </w:r>
      <w:r>
        <w:t>Formation</w:t>
      </w:r>
      <w:bookmarkEnd w:id="113"/>
      <w:bookmarkEnd w:id="114"/>
      <w:bookmarkEnd w:id="115"/>
    </w:p>
    <w:p w14:paraId="1BE3E86F" w14:textId="77777777" w:rsidR="00814B19" w:rsidRDefault="00814B19" w:rsidP="00020D20">
      <w:pPr>
        <w:pStyle w:val="SectionHeadersADOTText"/>
        <w:jc w:val="both"/>
        <w:sectPr w:rsidR="00814B19" w:rsidSect="00020D20">
          <w:footerReference w:type="default" r:id="rId262"/>
          <w:type w:val="continuous"/>
          <w:pgSz w:w="12240" w:h="15840"/>
          <w:pgMar w:top="1440" w:right="1440" w:bottom="1440" w:left="1440" w:header="720" w:footer="720" w:gutter="0"/>
          <w:pgNumType w:start="1" w:chapStyle="1"/>
          <w:cols w:space="720"/>
          <w:docGrid w:linePitch="360"/>
        </w:sectPr>
      </w:pPr>
    </w:p>
    <w:p w14:paraId="09780519" w14:textId="2201032F" w:rsidR="005A6F1D" w:rsidRPr="005A6F1D" w:rsidRDefault="005A6F1D" w:rsidP="00020D20">
      <w:pPr>
        <w:pStyle w:val="Heading2"/>
      </w:pPr>
      <w:bookmarkStart w:id="116" w:name="_Ref50028323"/>
      <w:r w:rsidRPr="005A6F1D">
        <w:t>3.1 | PURPOSE</w:t>
      </w:r>
      <w:bookmarkEnd w:id="116"/>
    </w:p>
    <w:p w14:paraId="5C6844D5" w14:textId="7B748D39" w:rsidR="005A6F1D" w:rsidRPr="005A6F1D" w:rsidRDefault="005A6F1D" w:rsidP="00020D20">
      <w:pPr>
        <w:jc w:val="both"/>
        <w:rPr>
          <w:rFonts w:cstheme="minorHAnsi"/>
        </w:rPr>
      </w:pPr>
      <w:r w:rsidRPr="009755F5">
        <w:t xml:space="preserve">This chapter explains the framework for the formation of an MPO. It describes the way </w:t>
      </w:r>
      <w:r w:rsidRPr="005A6F1D">
        <w:t>an urbanized area (UZA) is defined, the way relevant transportation planning boundaries are created, the way MPOs designations are established, and the way an MPO is structured to serve its member governments.</w:t>
      </w:r>
      <w:r>
        <w:t xml:space="preserve"> </w:t>
      </w:r>
      <w:r>
        <w:rPr>
          <w:rFonts w:cstheme="minorHAnsi"/>
        </w:rPr>
        <w:t>(Resource Graphic)</w:t>
      </w:r>
    </w:p>
    <w:p w14:paraId="2725746D" w14:textId="77777777" w:rsidR="005A6F1D" w:rsidRPr="005A6F1D" w:rsidRDefault="005A6F1D" w:rsidP="00020D20">
      <w:pPr>
        <w:pStyle w:val="Heading2"/>
      </w:pPr>
      <w:bookmarkStart w:id="117" w:name="_Ref50028327"/>
      <w:r w:rsidRPr="005A6F1D">
        <w:t>3.2 | AUTHORITY</w:t>
      </w:r>
      <w:bookmarkEnd w:id="117"/>
    </w:p>
    <w:p w14:paraId="62F0334A" w14:textId="2118D47C" w:rsidR="005A6F1D" w:rsidRPr="005A6F1D" w:rsidRDefault="005A6F1D" w:rsidP="00020D20">
      <w:pPr>
        <w:jc w:val="both"/>
        <w:rPr>
          <w:b/>
          <w:bCs/>
        </w:rPr>
      </w:pPr>
      <w:r w:rsidRPr="005A6F1D">
        <w:t xml:space="preserve">This section discusses the historical basis for the establishment of MPOs and cites the authority that mandates their establishment. The authority supporting establishment, organization, operation, and administration of an MPO lies in various Federal and Arizona State laws and regulations. The laws are described in table 3-1 below. </w:t>
      </w:r>
    </w:p>
    <w:p w14:paraId="33EC98D7" w14:textId="77777777" w:rsidR="005A6F1D" w:rsidRPr="005A6F1D" w:rsidRDefault="005A6F1D" w:rsidP="00020D20">
      <w:pPr>
        <w:pStyle w:val="Heading2"/>
      </w:pPr>
      <w:bookmarkStart w:id="118" w:name="_Ref50028332"/>
      <w:r w:rsidRPr="005A6F1D">
        <w:t>3.3 | CENSUS DESIGNATION OF URBANIZED AREAS</w:t>
      </w:r>
      <w:bookmarkEnd w:id="118"/>
      <w:r w:rsidRPr="005A6F1D">
        <w:t xml:space="preserve"> </w:t>
      </w:r>
    </w:p>
    <w:p w14:paraId="16B04CB8" w14:textId="27322433" w:rsidR="005A6F1D" w:rsidRPr="005A6F1D" w:rsidRDefault="005A6F1D" w:rsidP="00020D20">
      <w:pPr>
        <w:jc w:val="both"/>
      </w:pPr>
      <w:r w:rsidRPr="005A6F1D">
        <w:t xml:space="preserve">Federal law requires the formation of an MPO to coordinate transportation planning in a UZA, defined in </w:t>
      </w:r>
      <w:hyperlink r:id="rId263" w:history="1">
        <w:r w:rsidRPr="00DA7D92">
          <w:rPr>
            <w:rStyle w:val="TitleChar"/>
            <w:rFonts w:cstheme="minorHAnsi"/>
          </w:rPr>
          <w:t>23 U.S.C. § 134 (b) (7)</w:t>
        </w:r>
      </w:hyperlink>
      <w:r w:rsidRPr="00DA7D92">
        <w:t xml:space="preserve"> </w:t>
      </w:r>
      <w:r w:rsidRPr="005A6F1D">
        <w:t xml:space="preserve">as “a geographic area with a population of 50,000 or more, as determined by the Bureau of the Census.” A UZA may consist of one or more municipalities as well as unincorporated areas between municipalities as long as the UZA includes a central core and adjacent densely settled territory that together contain at least 50,000 residents. </w:t>
      </w:r>
    </w:p>
    <w:p w14:paraId="1545E646" w14:textId="3951DD17" w:rsidR="00A80CF2" w:rsidRDefault="005A6F1D" w:rsidP="00020D20">
      <w:pPr>
        <w:jc w:val="both"/>
        <w:rPr>
          <w:rFonts w:cstheme="minorHAnsi"/>
        </w:rPr>
      </w:pPr>
      <w:r w:rsidRPr="005A6F1D">
        <w:rPr>
          <w:rFonts w:cstheme="minorHAnsi"/>
        </w:rPr>
        <w:t>Census defined UZAs are statistically based on results of each decennial Census and any special</w:t>
      </w:r>
      <w:r>
        <w:rPr>
          <w:rFonts w:cstheme="minorHAnsi"/>
        </w:rPr>
        <w:t xml:space="preserve"> </w:t>
      </w:r>
      <w:r w:rsidRPr="005A6F1D">
        <w:rPr>
          <w:rFonts w:cstheme="minorHAnsi"/>
        </w:rPr>
        <w:t>censuses that may be taken by request of a recognized governing jurisdiction (e.g., the city, county, state, etc.). The Census Bureau follows a delineation process that is applied consistently across the country and results are not subject to review.</w:t>
      </w:r>
    </w:p>
    <w:p w14:paraId="7960AD77" w14:textId="77777777" w:rsidR="00A80CF2" w:rsidRDefault="00A80CF2" w:rsidP="00020D20">
      <w:pPr>
        <w:jc w:val="both"/>
        <w:rPr>
          <w:rFonts w:cstheme="minorHAnsi"/>
        </w:rPr>
        <w:sectPr w:rsidR="00A80CF2" w:rsidSect="00020D20">
          <w:type w:val="continuous"/>
          <w:pgSz w:w="12240" w:h="15840"/>
          <w:pgMar w:top="1440" w:right="1440" w:bottom="1440" w:left="1440" w:header="720" w:footer="720" w:gutter="0"/>
          <w:cols w:num="2" w:space="720"/>
          <w:docGrid w:linePitch="360"/>
        </w:sectPr>
      </w:pPr>
    </w:p>
    <w:p w14:paraId="527882B5" w14:textId="77777777" w:rsidR="001470A6" w:rsidRDefault="00A80CF2">
      <w:pPr>
        <w:jc w:val="both"/>
        <w:rPr>
          <w:rFonts w:cstheme="minorHAnsi"/>
        </w:rPr>
        <w:sectPr w:rsidR="001470A6" w:rsidSect="00076532">
          <w:type w:val="continuous"/>
          <w:pgSz w:w="12240" w:h="15840"/>
          <w:pgMar w:top="1440" w:right="1440" w:bottom="1440" w:left="1440" w:header="720" w:footer="720" w:gutter="0"/>
          <w:pgNumType w:chapStyle="1"/>
          <w:cols w:space="720"/>
          <w:docGrid w:linePitch="360"/>
        </w:sectPr>
      </w:pPr>
      <w:r>
        <w:rPr>
          <w:rFonts w:cstheme="minorHAnsi"/>
        </w:rPr>
        <w:br w:type="page"/>
      </w:r>
    </w:p>
    <w:p w14:paraId="7997569F" w14:textId="7E258B27" w:rsidR="005A6F1D" w:rsidRDefault="005A6F1D" w:rsidP="00020D20">
      <w:pPr>
        <w:pStyle w:val="Heading4"/>
        <w:jc w:val="both"/>
        <w:rPr>
          <w:rFonts w:cstheme="minorHAnsi"/>
        </w:rPr>
      </w:pPr>
      <w:r w:rsidRPr="005A6F1D">
        <w:rPr>
          <w:rFonts w:cstheme="minorHAnsi"/>
        </w:rPr>
        <w:t>Table 3-1 | Authority</w:t>
      </w:r>
    </w:p>
    <w:tbl>
      <w:tblPr>
        <w:tblW w:w="9360" w:type="dxa"/>
        <w:tblInd w:w="-10" w:type="dxa"/>
        <w:tblLayout w:type="fixed"/>
        <w:tblCellMar>
          <w:left w:w="0" w:type="dxa"/>
          <w:right w:w="0" w:type="dxa"/>
        </w:tblCellMar>
        <w:tblLook w:val="0000" w:firstRow="0" w:lastRow="0" w:firstColumn="0" w:lastColumn="0" w:noHBand="0" w:noVBand="0"/>
      </w:tblPr>
      <w:tblGrid>
        <w:gridCol w:w="540"/>
        <w:gridCol w:w="4106"/>
        <w:gridCol w:w="4714"/>
      </w:tblGrid>
      <w:tr w:rsidR="005A6F1D" w:rsidRPr="005A6F1D" w14:paraId="27492183" w14:textId="77777777" w:rsidTr="00020D20">
        <w:trPr>
          <w:trHeight w:val="280"/>
        </w:trPr>
        <w:tc>
          <w:tcPr>
            <w:tcW w:w="4646"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4DBC61ED" w14:textId="77777777" w:rsidR="005A6F1D" w:rsidRPr="00020D20" w:rsidRDefault="005A6F1D" w:rsidP="00020D20">
            <w:pPr>
              <w:spacing w:before="0" w:after="0" w:line="240" w:lineRule="auto"/>
              <w:jc w:val="center"/>
              <w:rPr>
                <w:sz w:val="22"/>
              </w:rPr>
            </w:pPr>
            <w:r w:rsidRPr="00020D20">
              <w:rPr>
                <w:sz w:val="22"/>
              </w:rPr>
              <w:t>Code</w:t>
            </w:r>
          </w:p>
        </w:tc>
        <w:tc>
          <w:tcPr>
            <w:tcW w:w="4714"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4F05A99F" w14:textId="77777777" w:rsidR="005A6F1D" w:rsidRPr="00020D20" w:rsidRDefault="005A6F1D" w:rsidP="00020D20">
            <w:pPr>
              <w:spacing w:before="0" w:after="0" w:line="240" w:lineRule="auto"/>
              <w:jc w:val="center"/>
              <w:rPr>
                <w:sz w:val="22"/>
              </w:rPr>
            </w:pPr>
            <w:r w:rsidRPr="00020D20">
              <w:rPr>
                <w:sz w:val="22"/>
              </w:rPr>
              <w:t>Description</w:t>
            </w:r>
          </w:p>
        </w:tc>
      </w:tr>
      <w:tr w:rsidR="005B156E" w:rsidRPr="005A6F1D" w14:paraId="50BFDEDB" w14:textId="77777777" w:rsidTr="00020D20">
        <w:trPr>
          <w:trHeight w:hRule="exact" w:val="505"/>
        </w:trPr>
        <w:tc>
          <w:tcPr>
            <w:tcW w:w="540"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tcPr>
          <w:p w14:paraId="3B9775E2" w14:textId="77777777" w:rsidR="0087793A" w:rsidRPr="00020D20" w:rsidRDefault="0087793A" w:rsidP="00020D20">
            <w:pPr>
              <w:spacing w:before="0" w:after="0" w:line="240" w:lineRule="auto"/>
              <w:jc w:val="center"/>
              <w:rPr>
                <w:sz w:val="22"/>
              </w:rPr>
            </w:pPr>
            <w:r w:rsidRPr="00020D20">
              <w:rPr>
                <w:sz w:val="22"/>
              </w:rPr>
              <w:t>Federal</w:t>
            </w: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C922A08" w14:textId="2457A552" w:rsidR="0087793A" w:rsidRPr="00F26208" w:rsidRDefault="00202C92">
            <w:pPr>
              <w:pStyle w:val="Title"/>
              <w:rPr>
                <w:sz w:val="18"/>
              </w:rPr>
            </w:pPr>
            <w:hyperlink r:id="rId264" w:history="1">
              <w:r w:rsidR="0087793A" w:rsidRPr="00F26208">
                <w:rPr>
                  <w:rStyle w:val="Hyperlink"/>
                  <w:rFonts w:asciiTheme="minorHAnsi" w:hAnsiTheme="minorHAnsi" w:cstheme="majorBidi"/>
                  <w:i/>
                  <w:iCs w:val="0"/>
                  <w:color w:val="CE5B18"/>
                  <w:sz w:val="18"/>
                  <w:szCs w:val="56"/>
                  <w:u w:val="none"/>
                </w:rPr>
                <w:t>23 U.S.C. § 134(e)</w:t>
              </w:r>
            </w:hyperlink>
          </w:p>
        </w:tc>
        <w:tc>
          <w:tcPr>
            <w:tcW w:w="4714"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E6340F5" w14:textId="77777777" w:rsidR="0087793A" w:rsidRPr="00394A74" w:rsidRDefault="0087793A" w:rsidP="00020D20">
            <w:pPr>
              <w:spacing w:before="0" w:after="0" w:line="240" w:lineRule="auto"/>
              <w:jc w:val="both"/>
            </w:pPr>
            <w:r w:rsidRPr="00020D20">
              <w:rPr>
                <w:sz w:val="18"/>
                <w:szCs w:val="18"/>
              </w:rPr>
              <w:t>These laws outline the requirements and process for the establishment of transportation planning boundaries of an MPO.</w:t>
            </w:r>
          </w:p>
        </w:tc>
      </w:tr>
      <w:tr w:rsidR="005B156E" w:rsidRPr="005A6F1D" w14:paraId="5872091E" w14:textId="77777777" w:rsidTr="00020D20">
        <w:trPr>
          <w:trHeight w:hRule="exact" w:val="568"/>
        </w:trPr>
        <w:tc>
          <w:tcPr>
            <w:tcW w:w="540" w:type="dxa"/>
            <w:vMerge/>
            <w:tcBorders>
              <w:left w:val="single" w:sz="4" w:space="0" w:color="auto"/>
              <w:bottom w:val="single" w:sz="4" w:space="0" w:color="FFFFFF" w:themeColor="background1"/>
              <w:right w:val="single" w:sz="4" w:space="0" w:color="auto"/>
            </w:tcBorders>
            <w:shd w:val="clear" w:color="auto" w:fill="012768"/>
          </w:tcPr>
          <w:p w14:paraId="6BD547F4"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0365805" w14:textId="641BEEC7" w:rsidR="0087793A" w:rsidRPr="00F26208" w:rsidRDefault="00202C92">
            <w:pPr>
              <w:pStyle w:val="Title"/>
              <w:rPr>
                <w:sz w:val="18"/>
              </w:rPr>
            </w:pPr>
            <w:hyperlink r:id="rId265" w:history="1">
              <w:r w:rsidR="0087793A" w:rsidRPr="00F26208">
                <w:rPr>
                  <w:rStyle w:val="Hyperlink"/>
                  <w:rFonts w:asciiTheme="minorHAnsi" w:hAnsiTheme="minorHAnsi" w:cstheme="majorBidi"/>
                  <w:i/>
                  <w:iCs w:val="0"/>
                  <w:color w:val="CE5B18"/>
                  <w:sz w:val="18"/>
                  <w:szCs w:val="56"/>
                  <w:u w:val="none"/>
                </w:rPr>
                <w:t>49 U.S.C. § 5303(e)</w:t>
              </w:r>
            </w:hyperlink>
          </w:p>
        </w:tc>
        <w:tc>
          <w:tcPr>
            <w:tcW w:w="4714" w:type="dxa"/>
            <w:vMerge/>
            <w:tcBorders>
              <w:top w:val="single" w:sz="4" w:space="0" w:color="auto"/>
              <w:left w:val="single" w:sz="4" w:space="0" w:color="auto"/>
              <w:bottom w:val="single" w:sz="4" w:space="0" w:color="auto"/>
              <w:right w:val="single" w:sz="4" w:space="0" w:color="auto"/>
            </w:tcBorders>
          </w:tcPr>
          <w:p w14:paraId="6FDBA5BC" w14:textId="77777777" w:rsidR="0087793A" w:rsidRPr="00020D20" w:rsidRDefault="0087793A" w:rsidP="00020D20">
            <w:pPr>
              <w:spacing w:before="0" w:after="0" w:line="240" w:lineRule="auto"/>
              <w:jc w:val="both"/>
            </w:pPr>
          </w:p>
        </w:tc>
      </w:tr>
      <w:tr w:rsidR="005B156E" w:rsidRPr="005A6F1D" w14:paraId="27C46009" w14:textId="77777777" w:rsidTr="00020D20">
        <w:trPr>
          <w:trHeight w:hRule="exact" w:val="622"/>
        </w:trPr>
        <w:tc>
          <w:tcPr>
            <w:tcW w:w="540" w:type="dxa"/>
            <w:vMerge/>
            <w:tcBorders>
              <w:left w:val="single" w:sz="4" w:space="0" w:color="auto"/>
              <w:bottom w:val="single" w:sz="4" w:space="0" w:color="FFFFFF" w:themeColor="background1"/>
              <w:right w:val="single" w:sz="4" w:space="0" w:color="auto"/>
            </w:tcBorders>
            <w:shd w:val="clear" w:color="auto" w:fill="012768"/>
          </w:tcPr>
          <w:p w14:paraId="29D4AC6D"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EE793FC" w14:textId="03658C24" w:rsidR="0087793A" w:rsidRPr="00F26208" w:rsidRDefault="00202C92">
            <w:pPr>
              <w:pStyle w:val="Title"/>
              <w:rPr>
                <w:sz w:val="18"/>
              </w:rPr>
            </w:pPr>
            <w:hyperlink r:id="rId266" w:history="1">
              <w:r w:rsidR="0087793A" w:rsidRPr="00F26208">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87793A" w:rsidRPr="00F26208">
                <w:rPr>
                  <w:rStyle w:val="Hyperlink"/>
                  <w:rFonts w:asciiTheme="minorHAnsi" w:hAnsiTheme="minorHAnsi" w:cstheme="majorBidi"/>
                  <w:i/>
                  <w:iCs w:val="0"/>
                  <w:color w:val="CE5B18"/>
                  <w:sz w:val="18"/>
                  <w:szCs w:val="56"/>
                  <w:u w:val="none"/>
                </w:rPr>
                <w:t>§ 450.312</w:t>
              </w:r>
            </w:hyperlink>
          </w:p>
        </w:tc>
        <w:tc>
          <w:tcPr>
            <w:tcW w:w="4714" w:type="dxa"/>
            <w:vMerge/>
            <w:tcBorders>
              <w:top w:val="single" w:sz="4" w:space="0" w:color="auto"/>
              <w:left w:val="single" w:sz="4" w:space="0" w:color="auto"/>
              <w:bottom w:val="single" w:sz="4" w:space="0" w:color="auto"/>
              <w:right w:val="single" w:sz="4" w:space="0" w:color="auto"/>
            </w:tcBorders>
          </w:tcPr>
          <w:p w14:paraId="752501D6" w14:textId="77777777" w:rsidR="0087793A" w:rsidRPr="00020D20" w:rsidRDefault="0087793A" w:rsidP="00020D20">
            <w:pPr>
              <w:spacing w:before="0" w:after="0" w:line="240" w:lineRule="auto"/>
              <w:jc w:val="both"/>
            </w:pPr>
          </w:p>
        </w:tc>
      </w:tr>
      <w:tr w:rsidR="005B156E" w:rsidRPr="005A6F1D" w14:paraId="008ED5D8" w14:textId="77777777" w:rsidTr="00020D20">
        <w:trPr>
          <w:trHeight w:hRule="exact" w:val="640"/>
        </w:trPr>
        <w:tc>
          <w:tcPr>
            <w:tcW w:w="540" w:type="dxa"/>
            <w:vMerge/>
            <w:tcBorders>
              <w:left w:val="single" w:sz="4" w:space="0" w:color="auto"/>
              <w:bottom w:val="single" w:sz="4" w:space="0" w:color="FFFFFF" w:themeColor="background1"/>
              <w:right w:val="single" w:sz="4" w:space="0" w:color="auto"/>
            </w:tcBorders>
            <w:shd w:val="clear" w:color="auto" w:fill="012768"/>
          </w:tcPr>
          <w:p w14:paraId="33A50553"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shd w:val="solid" w:color="C1C1C1" w:fill="auto"/>
            <w:tcMar>
              <w:top w:w="80" w:type="dxa"/>
              <w:left w:w="80" w:type="dxa"/>
              <w:bottom w:w="80" w:type="dxa"/>
              <w:right w:w="80" w:type="dxa"/>
            </w:tcMar>
            <w:vAlign w:val="center"/>
          </w:tcPr>
          <w:p w14:paraId="5CCA02A3" w14:textId="78DE3F77" w:rsidR="0087793A" w:rsidRPr="00F26208" w:rsidRDefault="00202C92">
            <w:pPr>
              <w:pStyle w:val="Title"/>
              <w:rPr>
                <w:sz w:val="18"/>
              </w:rPr>
            </w:pPr>
            <w:hyperlink r:id="rId267" w:history="1">
              <w:r w:rsidR="0087793A" w:rsidRPr="00F26208">
                <w:rPr>
                  <w:rStyle w:val="Hyperlink"/>
                  <w:rFonts w:asciiTheme="minorHAnsi" w:hAnsiTheme="minorHAnsi" w:cstheme="majorBidi"/>
                  <w:i/>
                  <w:iCs w:val="0"/>
                  <w:color w:val="CE5B18"/>
                  <w:sz w:val="18"/>
                  <w:szCs w:val="56"/>
                  <w:u w:val="none"/>
                </w:rPr>
                <w:t>23 U.S.C. § 134(d) (e)</w:t>
              </w:r>
            </w:hyperlink>
          </w:p>
        </w:tc>
        <w:tc>
          <w:tcPr>
            <w:tcW w:w="4714" w:type="dxa"/>
            <w:vMerge w:val="restart"/>
            <w:tcBorders>
              <w:top w:val="single" w:sz="4" w:space="0" w:color="auto"/>
              <w:left w:val="single" w:sz="4" w:space="0" w:color="auto"/>
              <w:bottom w:val="single" w:sz="4" w:space="0" w:color="auto"/>
              <w:right w:val="single" w:sz="4" w:space="0" w:color="auto"/>
            </w:tcBorders>
            <w:shd w:val="solid" w:color="C1C1C1" w:fill="auto"/>
            <w:tcMar>
              <w:top w:w="80" w:type="dxa"/>
              <w:left w:w="80" w:type="dxa"/>
              <w:bottom w:w="80" w:type="dxa"/>
              <w:right w:w="80" w:type="dxa"/>
            </w:tcMar>
            <w:vAlign w:val="center"/>
          </w:tcPr>
          <w:p w14:paraId="4CD41DFA" w14:textId="77777777" w:rsidR="0087793A" w:rsidRPr="00394A74" w:rsidRDefault="0087793A" w:rsidP="00020D20">
            <w:pPr>
              <w:spacing w:before="0" w:after="0" w:line="240" w:lineRule="auto"/>
              <w:jc w:val="both"/>
            </w:pPr>
            <w:r w:rsidRPr="00020D20">
              <w:rPr>
                <w:sz w:val="18"/>
                <w:szCs w:val="18"/>
              </w:rPr>
              <w:t>These laws describe the requirements for the designation and redesignation of MPOs.</w:t>
            </w:r>
          </w:p>
        </w:tc>
      </w:tr>
      <w:tr w:rsidR="005B156E" w:rsidRPr="005A6F1D" w14:paraId="1FD53E09" w14:textId="77777777" w:rsidTr="00020D20">
        <w:trPr>
          <w:trHeight w:hRule="exact" w:val="640"/>
        </w:trPr>
        <w:tc>
          <w:tcPr>
            <w:tcW w:w="540" w:type="dxa"/>
            <w:vMerge/>
            <w:tcBorders>
              <w:left w:val="single" w:sz="4" w:space="0" w:color="auto"/>
              <w:bottom w:val="single" w:sz="4" w:space="0" w:color="FFFFFF" w:themeColor="background1"/>
              <w:right w:val="single" w:sz="4" w:space="0" w:color="auto"/>
            </w:tcBorders>
            <w:shd w:val="clear" w:color="auto" w:fill="012768"/>
          </w:tcPr>
          <w:p w14:paraId="02AE60AB"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shd w:val="solid" w:color="C1C1C1" w:fill="auto"/>
            <w:tcMar>
              <w:top w:w="80" w:type="dxa"/>
              <w:left w:w="80" w:type="dxa"/>
              <w:bottom w:w="80" w:type="dxa"/>
              <w:right w:w="80" w:type="dxa"/>
            </w:tcMar>
            <w:vAlign w:val="center"/>
          </w:tcPr>
          <w:p w14:paraId="76BF1F24" w14:textId="6874324E" w:rsidR="0087793A" w:rsidRPr="00F26208" w:rsidRDefault="00202C92">
            <w:pPr>
              <w:pStyle w:val="Title"/>
              <w:rPr>
                <w:sz w:val="18"/>
              </w:rPr>
            </w:pPr>
            <w:hyperlink r:id="rId268" w:history="1">
              <w:r w:rsidR="0087793A" w:rsidRPr="00F26208">
                <w:rPr>
                  <w:rStyle w:val="Hyperlink"/>
                  <w:rFonts w:asciiTheme="minorHAnsi" w:hAnsiTheme="minorHAnsi" w:cstheme="majorBidi"/>
                  <w:i/>
                  <w:iCs w:val="0"/>
                  <w:color w:val="CE5B18"/>
                  <w:sz w:val="18"/>
                  <w:szCs w:val="56"/>
                  <w:u w:val="none"/>
                </w:rPr>
                <w:t>49 U.S.C. § 5303(d) (e)</w:t>
              </w:r>
            </w:hyperlink>
          </w:p>
        </w:tc>
        <w:tc>
          <w:tcPr>
            <w:tcW w:w="4714" w:type="dxa"/>
            <w:vMerge/>
            <w:tcBorders>
              <w:top w:val="single" w:sz="4" w:space="0" w:color="auto"/>
              <w:left w:val="single" w:sz="4" w:space="0" w:color="auto"/>
              <w:bottom w:val="single" w:sz="4" w:space="0" w:color="auto"/>
              <w:right w:val="single" w:sz="4" w:space="0" w:color="auto"/>
            </w:tcBorders>
          </w:tcPr>
          <w:p w14:paraId="1D1A9510" w14:textId="77777777" w:rsidR="0087793A" w:rsidRPr="00020D20" w:rsidRDefault="0087793A" w:rsidP="00020D20">
            <w:pPr>
              <w:spacing w:before="0" w:after="0" w:line="240" w:lineRule="auto"/>
              <w:jc w:val="both"/>
            </w:pPr>
          </w:p>
        </w:tc>
      </w:tr>
      <w:tr w:rsidR="005B156E" w:rsidRPr="005A6F1D" w14:paraId="1186BB91" w14:textId="77777777" w:rsidTr="00020D20">
        <w:trPr>
          <w:trHeight w:hRule="exact" w:val="730"/>
        </w:trPr>
        <w:tc>
          <w:tcPr>
            <w:tcW w:w="540" w:type="dxa"/>
            <w:vMerge/>
            <w:tcBorders>
              <w:left w:val="single" w:sz="4" w:space="0" w:color="auto"/>
              <w:bottom w:val="single" w:sz="4" w:space="0" w:color="FFFFFF" w:themeColor="background1"/>
              <w:right w:val="single" w:sz="4" w:space="0" w:color="auto"/>
            </w:tcBorders>
            <w:shd w:val="clear" w:color="auto" w:fill="012768"/>
          </w:tcPr>
          <w:p w14:paraId="52B9B416"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shd w:val="solid" w:color="C1C1C1" w:fill="auto"/>
            <w:tcMar>
              <w:top w:w="80" w:type="dxa"/>
              <w:left w:w="80" w:type="dxa"/>
              <w:bottom w:w="80" w:type="dxa"/>
              <w:right w:w="80" w:type="dxa"/>
            </w:tcMar>
            <w:vAlign w:val="center"/>
          </w:tcPr>
          <w:p w14:paraId="393EA182" w14:textId="69BDE63E" w:rsidR="0087793A" w:rsidRPr="00F26208" w:rsidRDefault="00202C92">
            <w:pPr>
              <w:pStyle w:val="Title"/>
              <w:rPr>
                <w:sz w:val="18"/>
              </w:rPr>
            </w:pPr>
            <w:hyperlink r:id="rId269" w:history="1">
              <w:r w:rsidR="0087793A" w:rsidRPr="00F26208">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87793A" w:rsidRPr="00F26208">
                <w:rPr>
                  <w:rStyle w:val="Hyperlink"/>
                  <w:rFonts w:asciiTheme="minorHAnsi" w:hAnsiTheme="minorHAnsi" w:cstheme="majorBidi"/>
                  <w:i/>
                  <w:iCs w:val="0"/>
                  <w:color w:val="CE5B18"/>
                  <w:sz w:val="18"/>
                  <w:szCs w:val="56"/>
                  <w:u w:val="none"/>
                </w:rPr>
                <w:t>§ 450.310</w:t>
              </w:r>
            </w:hyperlink>
          </w:p>
        </w:tc>
        <w:tc>
          <w:tcPr>
            <w:tcW w:w="4714" w:type="dxa"/>
            <w:vMerge/>
            <w:tcBorders>
              <w:top w:val="single" w:sz="4" w:space="0" w:color="auto"/>
              <w:left w:val="single" w:sz="4" w:space="0" w:color="auto"/>
              <w:bottom w:val="single" w:sz="4" w:space="0" w:color="auto"/>
              <w:right w:val="single" w:sz="4" w:space="0" w:color="auto"/>
            </w:tcBorders>
          </w:tcPr>
          <w:p w14:paraId="32C6D92F" w14:textId="77777777" w:rsidR="0087793A" w:rsidRPr="00020D20" w:rsidRDefault="0087793A" w:rsidP="00020D20">
            <w:pPr>
              <w:spacing w:before="0" w:after="0" w:line="240" w:lineRule="auto"/>
              <w:jc w:val="both"/>
            </w:pPr>
          </w:p>
        </w:tc>
      </w:tr>
      <w:tr w:rsidR="005B156E" w:rsidRPr="005A6F1D" w14:paraId="58349EB9" w14:textId="77777777" w:rsidTr="00020D20">
        <w:trPr>
          <w:trHeight w:hRule="exact" w:val="640"/>
        </w:trPr>
        <w:tc>
          <w:tcPr>
            <w:tcW w:w="540" w:type="dxa"/>
            <w:vMerge/>
            <w:tcBorders>
              <w:left w:val="single" w:sz="4" w:space="0" w:color="auto"/>
              <w:bottom w:val="single" w:sz="4" w:space="0" w:color="FFFFFF" w:themeColor="background1"/>
              <w:right w:val="single" w:sz="4" w:space="0" w:color="auto"/>
            </w:tcBorders>
            <w:shd w:val="clear" w:color="auto" w:fill="012768"/>
          </w:tcPr>
          <w:p w14:paraId="78D654D5"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1816132" w14:textId="598149A9" w:rsidR="0087793A" w:rsidRPr="00F26208" w:rsidRDefault="00202C92">
            <w:pPr>
              <w:pStyle w:val="Title"/>
              <w:rPr>
                <w:sz w:val="18"/>
              </w:rPr>
            </w:pPr>
            <w:hyperlink r:id="rId270" w:history="1">
              <w:r w:rsidR="0087793A" w:rsidRPr="00F26208">
                <w:rPr>
                  <w:rStyle w:val="Hyperlink"/>
                  <w:rFonts w:asciiTheme="minorHAnsi" w:hAnsiTheme="minorHAnsi" w:cstheme="majorBidi"/>
                  <w:i/>
                  <w:iCs w:val="0"/>
                  <w:color w:val="CE5B18"/>
                  <w:sz w:val="18"/>
                  <w:szCs w:val="56"/>
                  <w:u w:val="none"/>
                </w:rPr>
                <w:t>23 U.S.C. § 134(d) (2)</w:t>
              </w:r>
            </w:hyperlink>
          </w:p>
        </w:tc>
        <w:tc>
          <w:tcPr>
            <w:tcW w:w="4714"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B7A91B4" w14:textId="77777777" w:rsidR="0087793A" w:rsidRPr="00394A74" w:rsidRDefault="0087793A" w:rsidP="00020D20">
            <w:pPr>
              <w:spacing w:before="0" w:after="0" w:line="240" w:lineRule="auto"/>
              <w:jc w:val="both"/>
            </w:pPr>
            <w:r w:rsidRPr="00020D20">
              <w:rPr>
                <w:sz w:val="18"/>
                <w:szCs w:val="18"/>
              </w:rPr>
              <w:t>These laws describe voting membership and membership apportionment of the MPO.</w:t>
            </w:r>
          </w:p>
        </w:tc>
      </w:tr>
      <w:tr w:rsidR="005B156E" w:rsidRPr="005A6F1D" w14:paraId="7FFD8344" w14:textId="77777777" w:rsidTr="00020D20">
        <w:trPr>
          <w:trHeight w:hRule="exact" w:val="640"/>
        </w:trPr>
        <w:tc>
          <w:tcPr>
            <w:tcW w:w="540" w:type="dxa"/>
            <w:vMerge/>
            <w:tcBorders>
              <w:left w:val="single" w:sz="4" w:space="0" w:color="auto"/>
              <w:bottom w:val="single" w:sz="4" w:space="0" w:color="FFFFFF" w:themeColor="background1"/>
              <w:right w:val="single" w:sz="4" w:space="0" w:color="auto"/>
            </w:tcBorders>
            <w:shd w:val="clear" w:color="auto" w:fill="012768"/>
          </w:tcPr>
          <w:p w14:paraId="75BA149E"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EB5E370" w14:textId="3536B5F6" w:rsidR="0087793A" w:rsidRPr="00F26208" w:rsidRDefault="00202C92">
            <w:pPr>
              <w:pStyle w:val="Title"/>
              <w:rPr>
                <w:sz w:val="18"/>
              </w:rPr>
            </w:pPr>
            <w:hyperlink r:id="rId271" w:history="1">
              <w:r w:rsidR="0087793A" w:rsidRPr="00F26208">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87793A" w:rsidRPr="00F26208">
                <w:rPr>
                  <w:rStyle w:val="Hyperlink"/>
                  <w:rFonts w:asciiTheme="minorHAnsi" w:hAnsiTheme="minorHAnsi" w:cstheme="majorBidi"/>
                  <w:i/>
                  <w:iCs w:val="0"/>
                  <w:color w:val="CE5B18"/>
                  <w:sz w:val="18"/>
                  <w:szCs w:val="56"/>
                  <w:u w:val="none"/>
                </w:rPr>
                <w:t>§ 450.310(d)</w:t>
              </w:r>
            </w:hyperlink>
          </w:p>
        </w:tc>
        <w:tc>
          <w:tcPr>
            <w:tcW w:w="4714" w:type="dxa"/>
            <w:vMerge/>
            <w:tcBorders>
              <w:top w:val="single" w:sz="4" w:space="0" w:color="auto"/>
              <w:left w:val="single" w:sz="4" w:space="0" w:color="auto"/>
              <w:bottom w:val="single" w:sz="4" w:space="0" w:color="auto"/>
              <w:right w:val="single" w:sz="4" w:space="0" w:color="auto"/>
            </w:tcBorders>
          </w:tcPr>
          <w:p w14:paraId="22E32B36" w14:textId="77777777" w:rsidR="0087793A" w:rsidRPr="00020D20" w:rsidRDefault="0087793A" w:rsidP="00020D20">
            <w:pPr>
              <w:spacing w:before="0" w:after="0" w:line="240" w:lineRule="auto"/>
              <w:jc w:val="both"/>
            </w:pPr>
          </w:p>
        </w:tc>
      </w:tr>
      <w:tr w:rsidR="005B156E" w:rsidRPr="005A6F1D" w14:paraId="328F140E" w14:textId="77777777" w:rsidTr="00020D20">
        <w:trPr>
          <w:trHeight w:hRule="exact" w:val="640"/>
        </w:trPr>
        <w:tc>
          <w:tcPr>
            <w:tcW w:w="540" w:type="dxa"/>
            <w:vMerge/>
            <w:tcBorders>
              <w:left w:val="single" w:sz="4" w:space="0" w:color="auto"/>
              <w:bottom w:val="single" w:sz="4" w:space="0" w:color="FFFFFF" w:themeColor="background1"/>
              <w:right w:val="single" w:sz="4" w:space="0" w:color="auto"/>
            </w:tcBorders>
            <w:shd w:val="clear" w:color="auto" w:fill="012768"/>
          </w:tcPr>
          <w:p w14:paraId="3BA1C0F0"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7738D21" w14:textId="6CA37C4B" w:rsidR="0087793A" w:rsidRPr="00F26208" w:rsidRDefault="00202C92">
            <w:pPr>
              <w:pStyle w:val="Title"/>
              <w:rPr>
                <w:sz w:val="18"/>
              </w:rPr>
            </w:pPr>
            <w:hyperlink r:id="rId272" w:history="1">
              <w:r w:rsidR="0087793A" w:rsidRPr="00F26208">
                <w:rPr>
                  <w:rStyle w:val="Hyperlink"/>
                  <w:rFonts w:asciiTheme="minorHAnsi" w:hAnsiTheme="minorHAnsi" w:cstheme="majorBidi"/>
                  <w:i/>
                  <w:iCs w:val="0"/>
                  <w:color w:val="CE5B18"/>
                  <w:sz w:val="18"/>
                  <w:szCs w:val="56"/>
                  <w:u w:val="none"/>
                </w:rPr>
                <w:t>49 U.S.C. § 5303(d) (2)</w:t>
              </w:r>
            </w:hyperlink>
          </w:p>
        </w:tc>
        <w:tc>
          <w:tcPr>
            <w:tcW w:w="4714" w:type="dxa"/>
            <w:vMerge/>
            <w:tcBorders>
              <w:top w:val="single" w:sz="4" w:space="0" w:color="auto"/>
              <w:left w:val="single" w:sz="4" w:space="0" w:color="auto"/>
              <w:bottom w:val="single" w:sz="4" w:space="0" w:color="auto"/>
              <w:right w:val="single" w:sz="4" w:space="0" w:color="auto"/>
            </w:tcBorders>
          </w:tcPr>
          <w:p w14:paraId="36FA11F1" w14:textId="77777777" w:rsidR="0087793A" w:rsidRPr="00020D20" w:rsidRDefault="0087793A" w:rsidP="00020D20">
            <w:pPr>
              <w:spacing w:before="0" w:after="0" w:line="240" w:lineRule="auto"/>
              <w:jc w:val="both"/>
            </w:pPr>
          </w:p>
        </w:tc>
      </w:tr>
      <w:tr w:rsidR="005B156E" w:rsidRPr="005A6F1D" w14:paraId="785DD9E5" w14:textId="77777777" w:rsidTr="00020D20">
        <w:trPr>
          <w:trHeight w:hRule="exact" w:val="721"/>
        </w:trPr>
        <w:tc>
          <w:tcPr>
            <w:tcW w:w="540" w:type="dxa"/>
            <w:vMerge/>
            <w:tcBorders>
              <w:left w:val="single" w:sz="4" w:space="0" w:color="auto"/>
              <w:bottom w:val="single" w:sz="4" w:space="0" w:color="FFFFFF" w:themeColor="background1"/>
              <w:right w:val="single" w:sz="4" w:space="0" w:color="auto"/>
            </w:tcBorders>
          </w:tcPr>
          <w:p w14:paraId="36013E32"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68BBC739" w14:textId="0EEF6541" w:rsidR="0087793A" w:rsidRPr="00F26208" w:rsidRDefault="00202C92">
            <w:pPr>
              <w:pStyle w:val="Title"/>
              <w:rPr>
                <w:sz w:val="18"/>
              </w:rPr>
            </w:pPr>
            <w:hyperlink r:id="rId273" w:history="1">
              <w:r w:rsidR="0087793A" w:rsidRPr="00F26208">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87793A" w:rsidRPr="00F26208">
                <w:rPr>
                  <w:rStyle w:val="Hyperlink"/>
                  <w:rFonts w:asciiTheme="minorHAnsi" w:hAnsiTheme="minorHAnsi" w:cstheme="majorBidi"/>
                  <w:i/>
                  <w:iCs w:val="0"/>
                  <w:color w:val="CE5B18"/>
                  <w:sz w:val="18"/>
                  <w:szCs w:val="56"/>
                  <w:u w:val="none"/>
                </w:rPr>
                <w:t>§ 450.314</w:t>
              </w:r>
            </w:hyperlink>
          </w:p>
        </w:tc>
        <w:tc>
          <w:tcPr>
            <w:tcW w:w="4714"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06D6C55B" w14:textId="77777777" w:rsidR="0087793A" w:rsidRPr="00394A74" w:rsidRDefault="0087793A" w:rsidP="00020D20">
            <w:pPr>
              <w:spacing w:before="0" w:after="0" w:line="240" w:lineRule="auto"/>
              <w:jc w:val="both"/>
            </w:pPr>
            <w:r w:rsidRPr="00020D20">
              <w:rPr>
                <w:sz w:val="18"/>
                <w:szCs w:val="18"/>
              </w:rPr>
              <w:t>This law describes the types of agreements necessary to implement the metropolitan transportation planning process.</w:t>
            </w:r>
          </w:p>
        </w:tc>
      </w:tr>
      <w:tr w:rsidR="005B156E" w:rsidRPr="005A6F1D" w14:paraId="046D5764" w14:textId="77777777" w:rsidTr="00020D20">
        <w:trPr>
          <w:trHeight w:hRule="exact" w:val="712"/>
        </w:trPr>
        <w:tc>
          <w:tcPr>
            <w:tcW w:w="540" w:type="dxa"/>
            <w:vMerge/>
            <w:tcBorders>
              <w:left w:val="single" w:sz="4" w:space="0" w:color="auto"/>
              <w:bottom w:val="single" w:sz="4" w:space="0" w:color="FFFFFF" w:themeColor="background1"/>
              <w:right w:val="single" w:sz="4" w:space="0" w:color="auto"/>
            </w:tcBorders>
            <w:shd w:val="clear" w:color="auto" w:fill="012768"/>
          </w:tcPr>
          <w:p w14:paraId="437D1BFB" w14:textId="77777777" w:rsidR="0087793A" w:rsidRPr="00020D20" w:rsidRDefault="0087793A" w:rsidP="00020D20">
            <w:pPr>
              <w:spacing w:before="0" w:after="0" w:line="240" w:lineRule="auto"/>
              <w:jc w:val="center"/>
              <w:rPr>
                <w:sz w:val="22"/>
              </w:rP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1A73457" w14:textId="110C1BA6" w:rsidR="0087793A" w:rsidRPr="00F26208" w:rsidRDefault="00202C92">
            <w:pPr>
              <w:pStyle w:val="Title"/>
              <w:rPr>
                <w:sz w:val="18"/>
              </w:rPr>
            </w:pPr>
            <w:hyperlink r:id="rId274" w:history="1">
              <w:r w:rsidR="0087793A" w:rsidRPr="00F26208">
                <w:rPr>
                  <w:rStyle w:val="Hyperlink"/>
                  <w:rFonts w:asciiTheme="minorHAnsi" w:hAnsiTheme="minorHAnsi" w:cstheme="majorBidi"/>
                  <w:i/>
                  <w:iCs w:val="0"/>
                  <w:color w:val="CE5B18"/>
                  <w:sz w:val="18"/>
                  <w:szCs w:val="56"/>
                  <w:u w:val="none"/>
                </w:rPr>
                <w:t xml:space="preserve">27 </w:t>
              </w:r>
              <w:r w:rsidR="009628C0">
                <w:rPr>
                  <w:rStyle w:val="Hyperlink"/>
                  <w:rFonts w:asciiTheme="minorHAnsi" w:hAnsiTheme="minorHAnsi" w:cstheme="majorBidi"/>
                  <w:i/>
                  <w:iCs w:val="0"/>
                  <w:color w:val="CE5B18"/>
                  <w:sz w:val="18"/>
                  <w:szCs w:val="56"/>
                  <w:u w:val="none"/>
                </w:rPr>
                <w:t xml:space="preserve">C.F.R. </w:t>
              </w:r>
              <w:r w:rsidR="0087793A" w:rsidRPr="00F26208">
                <w:rPr>
                  <w:rStyle w:val="Hyperlink"/>
                  <w:rFonts w:asciiTheme="minorHAnsi" w:hAnsiTheme="minorHAnsi" w:cstheme="majorBidi"/>
                  <w:i/>
                  <w:iCs w:val="0"/>
                  <w:color w:val="CE5B18"/>
                  <w:sz w:val="18"/>
                  <w:szCs w:val="56"/>
                  <w:u w:val="none"/>
                </w:rPr>
                <w:t>Parts 40-46</w:t>
              </w:r>
            </w:hyperlink>
          </w:p>
        </w:tc>
        <w:tc>
          <w:tcPr>
            <w:tcW w:w="4714"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68FC45F" w14:textId="77777777" w:rsidR="0087793A" w:rsidRPr="00394A74" w:rsidRDefault="0087793A" w:rsidP="00020D20">
            <w:pPr>
              <w:spacing w:before="0" w:after="0" w:line="240" w:lineRule="auto"/>
              <w:jc w:val="both"/>
            </w:pPr>
            <w:r w:rsidRPr="00020D20">
              <w:rPr>
                <w:sz w:val="18"/>
                <w:szCs w:val="18"/>
              </w:rPr>
              <w:t>Final Urban Area Criteria for the 2010 Census.</w:t>
            </w:r>
          </w:p>
        </w:tc>
      </w:tr>
      <w:tr w:rsidR="005B156E" w:rsidRPr="005A6F1D" w14:paraId="58723390" w14:textId="77777777" w:rsidTr="00020D20">
        <w:trPr>
          <w:trHeight w:hRule="exact" w:val="1270"/>
        </w:trPr>
        <w:tc>
          <w:tcPr>
            <w:tcW w:w="540"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tcPr>
          <w:p w14:paraId="71BE59F0" w14:textId="77777777" w:rsidR="005A6F1D" w:rsidRPr="00020D20" w:rsidRDefault="005A6F1D" w:rsidP="00020D20">
            <w:pPr>
              <w:spacing w:before="0" w:after="0" w:line="240" w:lineRule="auto"/>
              <w:jc w:val="center"/>
              <w:rPr>
                <w:sz w:val="22"/>
              </w:rPr>
            </w:pPr>
            <w:r w:rsidRPr="00020D20">
              <w:rPr>
                <w:sz w:val="22"/>
              </w:rPr>
              <w:t>State</w:t>
            </w:r>
          </w:p>
        </w:tc>
        <w:tc>
          <w:tcPr>
            <w:tcW w:w="4106" w:type="dxa"/>
            <w:tcBorders>
              <w:top w:val="single" w:sz="4" w:space="0" w:color="auto"/>
              <w:left w:val="single" w:sz="4" w:space="0" w:color="auto"/>
              <w:bottom w:val="single" w:sz="4" w:space="0" w:color="auto"/>
              <w:right w:val="single" w:sz="4" w:space="0" w:color="auto"/>
            </w:tcBorders>
            <w:shd w:val="solid" w:color="C1C1C1" w:fill="auto"/>
            <w:tcMar>
              <w:top w:w="80" w:type="dxa"/>
              <w:left w:w="80" w:type="dxa"/>
              <w:bottom w:w="80" w:type="dxa"/>
              <w:right w:w="80" w:type="dxa"/>
            </w:tcMar>
            <w:vAlign w:val="center"/>
          </w:tcPr>
          <w:p w14:paraId="2E8D3863" w14:textId="0462A6C5" w:rsidR="005A6F1D" w:rsidRPr="00F26208" w:rsidRDefault="00F26208">
            <w:pPr>
              <w:pStyle w:val="Title"/>
              <w:rPr>
                <w:rStyle w:val="Hyperlink"/>
                <w:rFonts w:asciiTheme="minorHAnsi" w:eastAsiaTheme="minorHAnsi" w:hAnsiTheme="minorHAnsi" w:cstheme="majorBidi"/>
                <w:i/>
                <w:color w:val="CE5B18"/>
                <w:spacing w:val="0"/>
                <w:kern w:val="0"/>
                <w:sz w:val="18"/>
                <w:szCs w:val="56"/>
                <w:u w:val="none"/>
              </w:rPr>
            </w:pPr>
            <w:r w:rsidRPr="00F26208">
              <w:fldChar w:fldCharType="begin"/>
            </w:r>
            <w:r w:rsidRPr="00F26208">
              <w:instrText xml:space="preserve"> HYPERLINK "https://azmemory.azlibrary.gov/digital/collection/execorders/id/1611" </w:instrText>
            </w:r>
            <w:r w:rsidRPr="00F26208">
              <w:fldChar w:fldCharType="separate"/>
            </w:r>
            <w:r w:rsidR="005A6F1D" w:rsidRPr="00F26208">
              <w:rPr>
                <w:rStyle w:val="Hyperlink"/>
                <w:rFonts w:asciiTheme="minorHAnsi" w:hAnsiTheme="minorHAnsi" w:cstheme="majorBidi"/>
                <w:i/>
                <w:iCs w:val="0"/>
                <w:color w:val="CE5B18"/>
                <w:sz w:val="18"/>
                <w:szCs w:val="56"/>
                <w:u w:val="none"/>
              </w:rPr>
              <w:t>Executive Order 70-2 -</w:t>
            </w:r>
          </w:p>
          <w:p w14:paraId="7AB8EC87" w14:textId="52B26FE3" w:rsidR="005A6F1D" w:rsidRPr="00F06813" w:rsidRDefault="005A6F1D">
            <w:pPr>
              <w:pStyle w:val="Title"/>
            </w:pPr>
            <w:r w:rsidRPr="00F26208">
              <w:rPr>
                <w:rStyle w:val="Hyperlink"/>
                <w:rFonts w:asciiTheme="minorHAnsi" w:hAnsiTheme="minorHAnsi" w:cstheme="majorBidi"/>
                <w:i/>
                <w:iCs w:val="0"/>
                <w:color w:val="CE5B18"/>
                <w:sz w:val="18"/>
                <w:szCs w:val="56"/>
                <w:u w:val="none"/>
              </w:rPr>
              <w:t>Intergovernmental Cooperation Act of 1968</w:t>
            </w:r>
            <w:r w:rsidR="00F26208" w:rsidRPr="00F26208">
              <w:fldChar w:fldCharType="end"/>
            </w:r>
          </w:p>
        </w:tc>
        <w:tc>
          <w:tcPr>
            <w:tcW w:w="4714" w:type="dxa"/>
            <w:tcBorders>
              <w:top w:val="single" w:sz="4" w:space="0" w:color="auto"/>
              <w:left w:val="single" w:sz="4" w:space="0" w:color="auto"/>
              <w:bottom w:val="single" w:sz="4" w:space="0" w:color="auto"/>
              <w:right w:val="single" w:sz="4" w:space="0" w:color="auto"/>
            </w:tcBorders>
            <w:shd w:val="solid" w:color="C1C1C1" w:fill="auto"/>
            <w:tcMar>
              <w:top w:w="80" w:type="dxa"/>
              <w:left w:w="80" w:type="dxa"/>
              <w:bottom w:w="80" w:type="dxa"/>
              <w:right w:w="80" w:type="dxa"/>
            </w:tcMar>
            <w:vAlign w:val="center"/>
          </w:tcPr>
          <w:p w14:paraId="2356EA96" w14:textId="00457F70" w:rsidR="005A6F1D" w:rsidRPr="00394A74" w:rsidRDefault="005A6F1D" w:rsidP="00020D20">
            <w:pPr>
              <w:spacing w:before="0" w:after="0" w:line="240" w:lineRule="auto"/>
              <w:jc w:val="both"/>
            </w:pPr>
            <w:r w:rsidRPr="00020D20">
              <w:rPr>
                <w:sz w:val="18"/>
                <w:szCs w:val="18"/>
              </w:rPr>
              <w:t>In 1970, Arizona Governor Jack Williams signed Executive Order 70-2 relating to the</w:t>
            </w:r>
            <w:r w:rsidRPr="009B0C2C">
              <w:rPr>
                <w:rStyle w:val="TitleChar"/>
                <w:i w:val="0"/>
                <w:sz w:val="18"/>
                <w:szCs w:val="18"/>
              </w:rPr>
              <w:t xml:space="preserve"> </w:t>
            </w:r>
            <w:hyperlink r:id="rId275" w:anchor="page=1" w:history="1">
              <w:r w:rsidRPr="009B0C2C">
                <w:rPr>
                  <w:rStyle w:val="TitleChar"/>
                  <w:i w:val="0"/>
                  <w:sz w:val="18"/>
                  <w:szCs w:val="18"/>
                </w:rPr>
                <w:t xml:space="preserve">Intergovernmental Cooperation Act of 1968 </w:t>
              </w:r>
            </w:hyperlink>
            <w:r w:rsidRPr="00020D20">
              <w:rPr>
                <w:sz w:val="18"/>
                <w:szCs w:val="18"/>
              </w:rPr>
              <w:t xml:space="preserve">and the establishment of planning districts within the state of Arizona. </w:t>
            </w:r>
          </w:p>
        </w:tc>
      </w:tr>
      <w:tr w:rsidR="005B156E" w:rsidRPr="005A6F1D" w14:paraId="4002A1E1" w14:textId="77777777" w:rsidTr="00020D20">
        <w:trPr>
          <w:trHeight w:hRule="exact" w:val="1243"/>
        </w:trPr>
        <w:tc>
          <w:tcPr>
            <w:tcW w:w="540" w:type="dxa"/>
            <w:vMerge/>
            <w:tcBorders>
              <w:top w:val="single" w:sz="4" w:space="0" w:color="auto"/>
              <w:left w:val="single" w:sz="4" w:space="0" w:color="auto"/>
              <w:bottom w:val="single" w:sz="4" w:space="0" w:color="auto"/>
              <w:right w:val="single" w:sz="4" w:space="0" w:color="auto"/>
            </w:tcBorders>
            <w:shd w:val="clear" w:color="auto" w:fill="012768"/>
          </w:tcPr>
          <w:p w14:paraId="3031088F" w14:textId="77777777" w:rsidR="005A6F1D" w:rsidRPr="00F06813" w:rsidRDefault="005A6F1D" w:rsidP="00020D20">
            <w:pPr>
              <w:spacing w:before="0" w:after="0" w:line="240" w:lineRule="auto"/>
              <w:jc w:val="center"/>
            </w:pPr>
          </w:p>
        </w:tc>
        <w:tc>
          <w:tcPr>
            <w:tcW w:w="410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4222958" w14:textId="0F9423B9" w:rsidR="005A6F1D" w:rsidRPr="00F26208" w:rsidRDefault="00202C92">
            <w:pPr>
              <w:pStyle w:val="Title"/>
            </w:pPr>
            <w:hyperlink r:id="rId276" w:history="1">
              <w:r w:rsidR="005A6F1D" w:rsidRPr="00F26208">
                <w:rPr>
                  <w:rStyle w:val="Hyperlink"/>
                  <w:rFonts w:asciiTheme="minorHAnsi" w:hAnsiTheme="minorHAnsi" w:cstheme="majorBidi"/>
                  <w:i/>
                  <w:iCs w:val="0"/>
                  <w:color w:val="CE5B18"/>
                  <w:sz w:val="18"/>
                  <w:szCs w:val="56"/>
                  <w:u w:val="none"/>
                </w:rPr>
                <w:t xml:space="preserve">A.R.S. §§ 49-406 </w:t>
              </w:r>
            </w:hyperlink>
            <w:hyperlink r:id="rId277" w:history="1">
              <w:r w:rsidR="005A6F1D" w:rsidRPr="00F26208">
                <w:rPr>
                  <w:rStyle w:val="Hyperlink"/>
                  <w:rFonts w:asciiTheme="minorHAnsi" w:hAnsiTheme="minorHAnsi" w:cstheme="majorBidi"/>
                  <w:i/>
                  <w:iCs w:val="0"/>
                  <w:color w:val="CE5B18"/>
                  <w:sz w:val="18"/>
                  <w:szCs w:val="56"/>
                  <w:u w:val="none"/>
                </w:rPr>
                <w:t>and 408</w:t>
              </w:r>
            </w:hyperlink>
          </w:p>
        </w:tc>
        <w:tc>
          <w:tcPr>
            <w:tcW w:w="4714"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D98F52E" w14:textId="0407B957" w:rsidR="005A6F1D" w:rsidRPr="00FE3DA2" w:rsidRDefault="00202C92" w:rsidP="00020D20">
            <w:pPr>
              <w:spacing w:before="0" w:after="0" w:line="240" w:lineRule="auto"/>
              <w:jc w:val="both"/>
              <w:rPr>
                <w:rFonts w:cstheme="minorHAnsi"/>
                <w:color w:val="323232"/>
              </w:rPr>
            </w:pPr>
            <w:hyperlink r:id="rId278" w:history="1">
              <w:r w:rsidR="005A6F1D" w:rsidRPr="00020D20">
                <w:rPr>
                  <w:rStyle w:val="TitleChar"/>
                  <w:i w:val="0"/>
                  <w:sz w:val="18"/>
                  <w:szCs w:val="18"/>
                </w:rPr>
                <w:t xml:space="preserve">A.R.S. § 49-406 </w:t>
              </w:r>
            </w:hyperlink>
            <w:r w:rsidR="005A6F1D" w:rsidRPr="00394A74">
              <w:rPr>
                <w:rFonts w:cstheme="minorHAnsi"/>
                <w:color w:val="323232"/>
                <w:sz w:val="18"/>
                <w:szCs w:val="18"/>
              </w:rPr>
              <w:t xml:space="preserve">and </w:t>
            </w:r>
            <w:hyperlink r:id="rId279" w:history="1">
              <w:r w:rsidR="005A6F1D" w:rsidRPr="00020D20">
                <w:rPr>
                  <w:rStyle w:val="TitleChar"/>
                  <w:i w:val="0"/>
                  <w:sz w:val="18"/>
                  <w:szCs w:val="18"/>
                </w:rPr>
                <w:t>408</w:t>
              </w:r>
            </w:hyperlink>
            <w:r w:rsidR="005A6F1D" w:rsidRPr="00394A74">
              <w:rPr>
                <w:rFonts w:cstheme="minorHAnsi"/>
                <w:color w:val="323232"/>
                <w:sz w:val="18"/>
                <w:szCs w:val="18"/>
              </w:rPr>
              <w:t xml:space="preserve"> stipulate that the MPO is respons</w:t>
            </w:r>
            <w:r w:rsidR="005A6F1D" w:rsidRPr="00954116">
              <w:rPr>
                <w:rFonts w:cstheme="minorHAnsi"/>
                <w:color w:val="323232"/>
                <w:sz w:val="18"/>
                <w:szCs w:val="18"/>
              </w:rPr>
              <w:t>ible for development of a Non</w:t>
            </w:r>
            <w:r w:rsidR="00CC67E7" w:rsidRPr="0052715B">
              <w:rPr>
                <w:rFonts w:cstheme="minorHAnsi"/>
                <w:color w:val="323232"/>
                <w:sz w:val="18"/>
                <w:szCs w:val="18"/>
              </w:rPr>
              <w:t>-</w:t>
            </w:r>
            <w:r w:rsidR="005A6F1D" w:rsidRPr="00977A9B">
              <w:rPr>
                <w:rFonts w:cstheme="minorHAnsi"/>
                <w:color w:val="323232"/>
                <w:sz w:val="18"/>
                <w:szCs w:val="18"/>
              </w:rPr>
              <w:t>attainment Plan or Maintenance Area Plan, and it inhibits any state agency, the MPO, or local transportation agency from taking actions more stringent than required under federal air quality laws.</w:t>
            </w:r>
          </w:p>
        </w:tc>
      </w:tr>
    </w:tbl>
    <w:p w14:paraId="221EBD7A" w14:textId="77777777" w:rsidR="00F06813" w:rsidRDefault="00F06813" w:rsidP="00020D20">
      <w:pPr>
        <w:jc w:val="both"/>
        <w:rPr>
          <w:rFonts w:cstheme="minorHAnsi"/>
        </w:rPr>
        <w:sectPr w:rsidR="00F06813" w:rsidSect="00020D20">
          <w:type w:val="continuous"/>
          <w:pgSz w:w="12240" w:h="15840"/>
          <w:pgMar w:top="1440" w:right="1440" w:bottom="1440" w:left="1440" w:header="720" w:footer="720" w:gutter="0"/>
          <w:pgNumType w:chapStyle="1"/>
          <w:cols w:space="720"/>
          <w:docGrid w:linePitch="360"/>
        </w:sectPr>
      </w:pPr>
    </w:p>
    <w:p w14:paraId="64978E3F" w14:textId="14461C4E" w:rsidR="005A6F1D" w:rsidRDefault="00382034" w:rsidP="00020D20">
      <w:pPr>
        <w:jc w:val="both"/>
        <w:rPr>
          <w:rFonts w:cstheme="minorHAnsi"/>
        </w:rPr>
      </w:pPr>
      <w:r>
        <w:rPr>
          <w:rFonts w:cstheme="minorHAnsi"/>
          <w:noProof/>
        </w:rPr>
        <mc:AlternateContent>
          <mc:Choice Requires="wps">
            <w:drawing>
              <wp:anchor distT="0" distB="0" distL="114300" distR="114300" simplePos="0" relativeHeight="251618497" behindDoc="1" locked="0" layoutInCell="1" allowOverlap="1" wp14:anchorId="2E9F1966" wp14:editId="420C661B">
                <wp:simplePos x="0" y="0"/>
                <wp:positionH relativeFrom="column">
                  <wp:posOffset>-8890</wp:posOffset>
                </wp:positionH>
                <wp:positionV relativeFrom="paragraph">
                  <wp:posOffset>95250</wp:posOffset>
                </wp:positionV>
                <wp:extent cx="1371600" cy="1567815"/>
                <wp:effectExtent l="76200" t="95250" r="76200" b="89535"/>
                <wp:wrapTight wrapText="bothSides">
                  <wp:wrapPolygon edited="0">
                    <wp:start x="-1200" y="-1312"/>
                    <wp:lineTo x="-1200" y="22571"/>
                    <wp:lineTo x="22500" y="22571"/>
                    <wp:lineTo x="22500" y="-1312"/>
                    <wp:lineTo x="-1200" y="-1312"/>
                  </wp:wrapPolygon>
                </wp:wrapTight>
                <wp:docPr id="816286450" name="Text Box 816286450"/>
                <wp:cNvGraphicFramePr/>
                <a:graphic xmlns:a="http://schemas.openxmlformats.org/drawingml/2006/main">
                  <a:graphicData uri="http://schemas.microsoft.com/office/word/2010/wordprocessingShape">
                    <wps:wsp>
                      <wps:cNvSpPr txBox="1"/>
                      <wps:spPr>
                        <a:xfrm>
                          <a:off x="0" y="0"/>
                          <a:ext cx="1371600" cy="156781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B0174AB" w14:textId="77777777" w:rsidR="00C6444C" w:rsidRDefault="00C6444C" w:rsidP="00020D20">
                            <w:pPr>
                              <w:jc w:val="center"/>
                            </w:pPr>
                            <w:r>
                              <w:rPr>
                                <w:noProof/>
                              </w:rPr>
                              <w:drawing>
                                <wp:inline distT="0" distB="0" distL="0" distR="0" wp14:anchorId="2F4BCAAA" wp14:editId="1085783B">
                                  <wp:extent cx="457200" cy="457200"/>
                                  <wp:effectExtent l="0" t="0" r="0" b="0"/>
                                  <wp:docPr id="1690912749" name="Picture 169091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1E5932C" w14:textId="683D26A6" w:rsidR="00C6444C" w:rsidRPr="0052715B" w:rsidRDefault="00C6444C" w:rsidP="00020D20">
                            <w:pPr>
                              <w:pStyle w:val="Calloutboxes"/>
                            </w:pPr>
                            <w:r w:rsidRPr="00394A74">
                              <w:t xml:space="preserve">Census </w:t>
                            </w:r>
                            <w:r w:rsidRPr="00954116">
                              <w:t>Urbanized Areas and MPO/TMA Designation details can be found at:</w:t>
                            </w:r>
                          </w:p>
                          <w:p w14:paraId="5F1563BA" w14:textId="56414750" w:rsidR="00C6444C" w:rsidRPr="00020D20" w:rsidRDefault="00202C92">
                            <w:pPr>
                              <w:pStyle w:val="Title"/>
                              <w:rPr>
                                <w:sz w:val="16"/>
                                <w:szCs w:val="16"/>
                              </w:rPr>
                            </w:pPr>
                            <w:hyperlink r:id="rId280" w:history="1">
                              <w:r w:rsidR="00C6444C" w:rsidRPr="00020D20">
                                <w:rPr>
                                  <w:rStyle w:val="Hyperlink"/>
                                  <w:rFonts w:ascii="Calibri" w:hAnsi="Calibri" w:cstheme="majorBidi"/>
                                  <w:i/>
                                  <w:color w:val="CE5B18"/>
                                  <w:szCs w:val="56"/>
                                  <w:u w:val="none"/>
                                </w:rPr>
                                <w:t>https://www.fhwa.dot.gov/planning/census_issues/urbanized_areas_and_mpo_tma/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9F1966" id="Text Box 816286450" o:spid="_x0000_s1096" type="#_x0000_t202" style="position:absolute;left:0;text-align:left;margin-left:-.7pt;margin-top:7.5pt;width:108pt;height:123.45pt;z-index:-251697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" fillcolor="#f7f7f7" stroked="f" strokeweight=".5pt">
                <v:shadow on="t" type="perspective" color="black" opacity="26214f" offset="0,0" matrix="66847f,,,66847f"/>
                <v:textbox>
                  <w:txbxContent>
                    <w:p w14:paraId="4B0174AB" w14:textId="77777777" w:rsidR="00C6444C" w:rsidRDefault="00C6444C" w:rsidP="00020D20">
                      <w:pPr>
                        <w:jc w:val="center"/>
                      </w:pPr>
                      <w:r>
                        <w:rPr>
                          <w:noProof/>
                        </w:rPr>
                        <w:drawing>
                          <wp:inline distT="0" distB="0" distL="0" distR="0" wp14:anchorId="2F4BCAAA" wp14:editId="1085783B">
                            <wp:extent cx="457200" cy="457200"/>
                            <wp:effectExtent l="0" t="0" r="0" b="0"/>
                            <wp:docPr id="1690912749" name="Picture 169091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1E5932C" w14:textId="683D26A6" w:rsidR="00C6444C" w:rsidRPr="0052715B" w:rsidRDefault="00C6444C" w:rsidP="00020D20">
                      <w:pPr>
                        <w:pStyle w:val="Calloutboxes"/>
                      </w:pPr>
                      <w:r w:rsidRPr="00394A74">
                        <w:t xml:space="preserve">Census </w:t>
                      </w:r>
                      <w:r w:rsidRPr="00954116">
                        <w:t>Urbanized Areas and MPO/TMA Designation details can be found at:</w:t>
                      </w:r>
                    </w:p>
                    <w:p w14:paraId="5F1563BA" w14:textId="56414750" w:rsidR="00C6444C" w:rsidRPr="00020D20" w:rsidRDefault="00C6444C">
                      <w:pPr>
                        <w:pStyle w:val="Title"/>
                        <w:rPr>
                          <w:sz w:val="16"/>
                          <w:szCs w:val="16"/>
                        </w:rPr>
                      </w:pPr>
                      <w:hyperlink r:id="rId281" w:history="1">
                        <w:r w:rsidRPr="00020D20">
                          <w:rPr>
                            <w:rStyle w:val="Hyperlink"/>
                            <w:rFonts w:ascii="Calibri" w:hAnsi="Calibri" w:cstheme="majorBidi"/>
                            <w:i/>
                            <w:color w:val="CE5B18"/>
                            <w:szCs w:val="56"/>
                            <w:u w:val="none"/>
                          </w:rPr>
                          <w:t>https://www.fhwa.dot.gov/planning/census_issues/urbanized_areas_and_mpo_tma/</w:t>
                        </w:r>
                      </w:hyperlink>
                    </w:p>
                  </w:txbxContent>
                </v:textbox>
                <w10:wrap type="tight"/>
              </v:shape>
            </w:pict>
          </mc:Fallback>
        </mc:AlternateContent>
      </w:r>
      <w:r w:rsidR="005A6F1D" w:rsidRPr="005A6F1D">
        <w:rPr>
          <w:rFonts w:cstheme="minorHAnsi"/>
        </w:rPr>
        <w:t xml:space="preserve">Federal transportation legislation provides state and local officials with the ability to cooperatively expand or extend the Census defined UZA boundaries. However, adjustments, typically undertaken to smooth irregular UZA boundaries, are subject to approval by the FHWA in accordance with </w:t>
      </w:r>
      <w:hyperlink r:id="rId282" w:history="1">
        <w:r w:rsidR="005A6F1D" w:rsidRPr="00C07EF6">
          <w:rPr>
            <w:rStyle w:val="TitleChar"/>
          </w:rPr>
          <w:t>23 U.S.C. § 101(a)</w:t>
        </w:r>
        <w:r w:rsidR="00C07EF6" w:rsidRPr="00C07EF6">
          <w:rPr>
            <w:rStyle w:val="TitleChar"/>
          </w:rPr>
          <w:t xml:space="preserve"> </w:t>
        </w:r>
        <w:r w:rsidR="005A6F1D" w:rsidRPr="00C07EF6">
          <w:rPr>
            <w:rStyle w:val="TitleChar"/>
          </w:rPr>
          <w:t>(36, 37)</w:t>
        </w:r>
      </w:hyperlink>
      <w:r w:rsidR="005A6F1D" w:rsidRPr="005A6F1D">
        <w:rPr>
          <w:rFonts w:cstheme="minorHAnsi"/>
        </w:rPr>
        <w:t xml:space="preserve"> and</w:t>
      </w:r>
      <w:r w:rsidR="005A6F1D" w:rsidRPr="007B6EEE">
        <w:rPr>
          <w:rStyle w:val="TitleChar"/>
        </w:rPr>
        <w:t xml:space="preserve"> </w:t>
      </w:r>
      <w:hyperlink r:id="rId283" w:history="1">
        <w:r w:rsidR="005A6F1D" w:rsidRPr="00C07EF6">
          <w:rPr>
            <w:rStyle w:val="TitleChar"/>
          </w:rPr>
          <w:t>49 U.S.C. § 5302(a) (16, 17)</w:t>
        </w:r>
      </w:hyperlink>
      <w:r w:rsidR="005A6F1D" w:rsidRPr="005A6F1D">
        <w:rPr>
          <w:rFonts w:cstheme="minorHAnsi"/>
        </w:rPr>
        <w:t xml:space="preserve">. ADOT submits the proposed UZA boundary adjustment to the FHWA. This submittal must include maps indicating the proposed adjustments to UZA boundaries as well as approval letters from the MPO(s) and Governor(s). The Arizona FHWA Division Planners determine the best method for submitting the revised boundary map. </w:t>
      </w:r>
    </w:p>
    <w:p w14:paraId="2538EB38" w14:textId="66FB39D7" w:rsidR="005A6F1D" w:rsidRPr="005A6F1D" w:rsidRDefault="005A6F1D">
      <w:pPr>
        <w:pStyle w:val="Heading2"/>
      </w:pPr>
      <w:bookmarkStart w:id="119" w:name="_Ref50028336"/>
      <w:r w:rsidRPr="005A6F1D">
        <w:t>3.4 | METROPOLITAN PLANNING AREA</w:t>
      </w:r>
      <w:bookmarkEnd w:id="119"/>
    </w:p>
    <w:p w14:paraId="13A47F24" w14:textId="46258E20" w:rsidR="005A6F1D" w:rsidRPr="005A6F1D" w:rsidRDefault="005A6F1D" w:rsidP="00020D20">
      <w:pPr>
        <w:jc w:val="both"/>
        <w:rPr>
          <w:rFonts w:cstheme="minorHAnsi"/>
        </w:rPr>
      </w:pPr>
      <w:r w:rsidRPr="005A6F1D">
        <w:rPr>
          <w:rFonts w:cstheme="minorHAnsi"/>
        </w:rPr>
        <w:t xml:space="preserve">A </w:t>
      </w:r>
      <w:hyperlink r:id="rId284" w:history="1">
        <w:r w:rsidRPr="00C07EF6">
          <w:rPr>
            <w:rStyle w:val="TitleChar"/>
          </w:rPr>
          <w:t>Metropolitan Planning Area</w:t>
        </w:r>
      </w:hyperlink>
      <w:r w:rsidRPr="005A6F1D">
        <w:rPr>
          <w:rFonts w:cstheme="minorHAnsi"/>
        </w:rPr>
        <w:t xml:space="preserve"> (MPA) is a geographic area in which the 3-C transportation planning process required by </w:t>
      </w:r>
      <w:hyperlink r:id="rId285" w:history="1">
        <w:r w:rsidRPr="00C07EF6">
          <w:rPr>
            <w:rStyle w:val="TitleChar"/>
          </w:rPr>
          <w:t>23 U.S.C. §</w:t>
        </w:r>
        <w:r w:rsidR="008216A0">
          <w:rPr>
            <w:rStyle w:val="TitleChar"/>
          </w:rPr>
          <w:t xml:space="preserve"> </w:t>
        </w:r>
        <w:r w:rsidRPr="00C07EF6">
          <w:rPr>
            <w:rStyle w:val="TitleChar"/>
          </w:rPr>
          <w:t>134</w:t>
        </w:r>
        <w:r w:rsidRPr="00C07EF6">
          <w:t xml:space="preserve"> </w:t>
        </w:r>
      </w:hyperlink>
      <w:r w:rsidRPr="005A6F1D">
        <w:rPr>
          <w:rFonts w:cstheme="minorHAnsi"/>
        </w:rPr>
        <w:t xml:space="preserve">and Section 8 of the </w:t>
      </w:r>
      <w:hyperlink r:id="rId286" w:history="1">
        <w:r w:rsidRPr="00C07EF6">
          <w:rPr>
            <w:rStyle w:val="TitleChar"/>
          </w:rPr>
          <w:t>Federal Transit Act</w:t>
        </w:r>
      </w:hyperlink>
      <w:r w:rsidRPr="005A6F1D">
        <w:rPr>
          <w:rFonts w:cstheme="minorHAnsi"/>
        </w:rPr>
        <w:t xml:space="preserve"> (49 U.S.C. app. 1607) must be accomplished in accordance with </w:t>
      </w:r>
      <w:hyperlink r:id="rId287" w:history="1">
        <w:r w:rsidRPr="00C07EF6">
          <w:rPr>
            <w:rStyle w:val="TitleChar"/>
          </w:rPr>
          <w:t xml:space="preserve">23 </w:t>
        </w:r>
        <w:r w:rsidR="009628C0">
          <w:rPr>
            <w:rStyle w:val="TitleChar"/>
          </w:rPr>
          <w:t xml:space="preserve">C.F.R. </w:t>
        </w:r>
        <w:r w:rsidRPr="00C07EF6">
          <w:rPr>
            <w:rStyle w:val="TitleChar"/>
          </w:rPr>
          <w:t>§ 420</w:t>
        </w:r>
      </w:hyperlink>
      <w:r w:rsidRPr="005A6F1D">
        <w:rPr>
          <w:rFonts w:cstheme="minorHAnsi"/>
        </w:rPr>
        <w:t xml:space="preserve">. </w:t>
      </w:r>
      <w:r w:rsidR="00F9550D">
        <w:rPr>
          <w:rFonts w:cstheme="minorHAnsi"/>
        </w:rPr>
        <w:t xml:space="preserve">AS stated in </w:t>
      </w:r>
      <w:hyperlink r:id="rId288" w:history="1">
        <w:r w:rsidR="00F9550D" w:rsidRPr="00020D20">
          <w:rPr>
            <w:rStyle w:val="TitleChar"/>
          </w:rPr>
          <w:t>23 §</w:t>
        </w:r>
        <w:r w:rsidR="008216A0">
          <w:rPr>
            <w:rStyle w:val="TitleChar"/>
          </w:rPr>
          <w:t xml:space="preserve"> </w:t>
        </w:r>
        <w:r w:rsidR="00F9550D" w:rsidRPr="00020D20">
          <w:rPr>
            <w:rStyle w:val="TitleChar"/>
          </w:rPr>
          <w:t>450.312</w:t>
        </w:r>
      </w:hyperlink>
      <w:r w:rsidR="00F9550D">
        <w:rPr>
          <w:rFonts w:cstheme="minorHAnsi"/>
        </w:rPr>
        <w:t>, a</w:t>
      </w:r>
      <w:r w:rsidRPr="005A6F1D">
        <w:rPr>
          <w:rFonts w:cstheme="minorHAnsi"/>
        </w:rPr>
        <w:t>n MPA must encompass the UZA, as this is the formal geographic area within which planning actions are implemented by an MPO. An MPA must encompass the UZA and contiguous geographic area(s) expected to become urbanized within the following 20 years.</w:t>
      </w:r>
    </w:p>
    <w:p w14:paraId="28AE399C" w14:textId="3A2ADB33" w:rsidR="005A6F1D" w:rsidRPr="005A6F1D" w:rsidRDefault="00F9550D" w:rsidP="00020D20">
      <w:pPr>
        <w:jc w:val="both"/>
        <w:rPr>
          <w:rFonts w:cstheme="minorHAnsi"/>
        </w:rPr>
      </w:pPr>
      <w:r w:rsidRPr="00F9550D">
        <w:rPr>
          <w:rFonts w:cstheme="minorHAnsi"/>
        </w:rPr>
        <w:t>The MPO</w:t>
      </w:r>
      <w:r>
        <w:rPr>
          <w:rFonts w:cstheme="minorHAnsi"/>
        </w:rPr>
        <w:t xml:space="preserve">, </w:t>
      </w:r>
      <w:r w:rsidRPr="00F9550D">
        <w:rPr>
          <w:rFonts w:cstheme="minorHAnsi"/>
        </w:rPr>
        <w:t>in cooperation with the State and</w:t>
      </w:r>
      <w:r>
        <w:rPr>
          <w:rFonts w:cstheme="minorHAnsi"/>
        </w:rPr>
        <w:t xml:space="preserve"> any affected public transportation operator, </w:t>
      </w:r>
      <w:r w:rsidRPr="00F9550D">
        <w:rPr>
          <w:rFonts w:cstheme="minorHAnsi"/>
        </w:rPr>
        <w:t xml:space="preserve">shall review the MPA boundaries after each </w:t>
      </w:r>
      <w:r>
        <w:rPr>
          <w:rFonts w:cstheme="minorHAnsi"/>
        </w:rPr>
        <w:t xml:space="preserve">decennial </w:t>
      </w:r>
      <w:r w:rsidRPr="00F9550D">
        <w:rPr>
          <w:rFonts w:cstheme="minorHAnsi"/>
        </w:rPr>
        <w:t xml:space="preserve">Census to determine if existing MPA boundaries meet the minimum statutory requirements for </w:t>
      </w:r>
      <w:r>
        <w:rPr>
          <w:rFonts w:cstheme="minorHAnsi"/>
        </w:rPr>
        <w:t xml:space="preserve">new and updated UZAs. </w:t>
      </w:r>
      <w:r w:rsidR="005A6F1D" w:rsidRPr="005A6F1D">
        <w:rPr>
          <w:rFonts w:cstheme="minorHAnsi"/>
        </w:rPr>
        <w:t xml:space="preserve">If an MPO’s UZA has been changed by the U.S. Census Bureau and has affected jurisdictional boundaries, the MPA is then determined by the governor in cooperation with the existing MPO’s policy board. For example, continuing rapid population growth in Arizona may cause an existing UZA area served by an MPO to expand outward and reach other nearby municipalities that in the previous Census were separated by undeveloped land. As a result of the growth over 10 years, the Census Bureau newly designates that the two previously separate urban areas now together constitute joined </w:t>
      </w:r>
      <w:r w:rsidR="001470A6">
        <w:rPr>
          <w:rFonts w:cstheme="minorHAnsi"/>
        </w:rPr>
        <w:t xml:space="preserve">a </w:t>
      </w:r>
      <w:r w:rsidR="005A6F1D" w:rsidRPr="005A6F1D">
        <w:rPr>
          <w:rFonts w:cstheme="minorHAnsi"/>
        </w:rPr>
        <w:t>single urban area. Accordingly, a new MPA boundary is established, and the existing MPO adjusts its membership and voting allocations to incorporate the new member jurisdictions.</w:t>
      </w:r>
    </w:p>
    <w:p w14:paraId="3EE4CB9F" w14:textId="29CA2A02" w:rsidR="005A6F1D" w:rsidRPr="005A6F1D" w:rsidRDefault="005A6F1D" w:rsidP="00020D20">
      <w:pPr>
        <w:jc w:val="both"/>
        <w:rPr>
          <w:rFonts w:cstheme="minorHAnsi"/>
        </w:rPr>
      </w:pPr>
      <w:r w:rsidRPr="005A6F1D">
        <w:rPr>
          <w:rFonts w:cstheme="minorHAnsi"/>
        </w:rPr>
        <w:t xml:space="preserve">The MPA may encompass the entire </w:t>
      </w:r>
      <w:hyperlink r:id="rId289" w:history="1">
        <w:r w:rsidRPr="00C07EF6">
          <w:rPr>
            <w:rStyle w:val="TitleChar"/>
          </w:rPr>
          <w:t>Metropolitan Statistical Area</w:t>
        </w:r>
      </w:hyperlink>
      <w:r w:rsidRPr="005A6F1D">
        <w:rPr>
          <w:rFonts w:cstheme="minorHAnsi"/>
        </w:rPr>
        <w:t xml:space="preserve"> (MSA) or </w:t>
      </w:r>
      <w:r w:rsidRPr="00F06813">
        <w:rPr>
          <w:rStyle w:val="Heading5Char"/>
        </w:rPr>
        <w:t>Consolidated Metropolitan Statistical Area</w:t>
      </w:r>
      <w:r w:rsidRPr="005A6F1D">
        <w:rPr>
          <w:rFonts w:cstheme="minorHAnsi"/>
        </w:rPr>
        <w:t xml:space="preserve"> (CMSA), as defined by the </w:t>
      </w:r>
      <w:hyperlink r:id="rId290" w:history="1">
        <w:r w:rsidRPr="00C07EF6">
          <w:rPr>
            <w:rStyle w:val="TitleChar"/>
          </w:rPr>
          <w:t>U.S. Office of Management and Budget</w:t>
        </w:r>
      </w:hyperlink>
      <w:r w:rsidRPr="007B6EEE">
        <w:rPr>
          <w:rStyle w:val="TitleChar"/>
        </w:rPr>
        <w:t xml:space="preserve"> </w:t>
      </w:r>
      <w:r w:rsidRPr="005A6F1D">
        <w:rPr>
          <w:rFonts w:cstheme="minorHAnsi"/>
        </w:rPr>
        <w:t>(OMB) for the purpose of tabulating statistical data relative to the metropolitan areas (</w:t>
      </w:r>
      <w:hyperlink r:id="rId291" w:history="1">
        <w:r w:rsidRPr="00C07EF6">
          <w:rPr>
            <w:rStyle w:val="TitleChar"/>
          </w:rPr>
          <w:t xml:space="preserve">23 </w:t>
        </w:r>
        <w:r w:rsidR="009628C0">
          <w:rPr>
            <w:rStyle w:val="TitleChar"/>
          </w:rPr>
          <w:t xml:space="preserve">C.F.R. </w:t>
        </w:r>
        <w:r w:rsidRPr="00C07EF6">
          <w:rPr>
            <w:rStyle w:val="TitleChar"/>
          </w:rPr>
          <w:t>§ 450.104</w:t>
        </w:r>
      </w:hyperlink>
      <w:r w:rsidRPr="005A6F1D">
        <w:rPr>
          <w:rFonts w:cstheme="minorHAnsi"/>
        </w:rPr>
        <w:t>). Both the MSA and CMSA are simply geographical regions with a relatively high population density at its core and close economic ties throughout the area.</w:t>
      </w:r>
    </w:p>
    <w:p w14:paraId="6A646435" w14:textId="77777777" w:rsidR="005A6F1D" w:rsidRPr="005A6F1D" w:rsidRDefault="005A6F1D" w:rsidP="00020D20">
      <w:pPr>
        <w:pStyle w:val="Heading2"/>
      </w:pPr>
      <w:bookmarkStart w:id="120" w:name="_Ref50028340"/>
      <w:r w:rsidRPr="005A6F1D">
        <w:t>3.5 | DESIGNATION OF AN MPO</w:t>
      </w:r>
      <w:bookmarkEnd w:id="120"/>
    </w:p>
    <w:p w14:paraId="6CEA90BF" w14:textId="14AD7A1C" w:rsidR="005A6F1D" w:rsidRPr="005A6F1D" w:rsidRDefault="00570C95" w:rsidP="00020D20">
      <w:pPr>
        <w:jc w:val="both"/>
        <w:rPr>
          <w:rFonts w:cstheme="minorHAnsi"/>
        </w:rPr>
      </w:pPr>
      <w:r>
        <w:rPr>
          <w:rFonts w:cstheme="minorHAnsi"/>
          <w:noProof/>
        </w:rPr>
        <mc:AlternateContent>
          <mc:Choice Requires="wps">
            <w:drawing>
              <wp:anchor distT="0" distB="0" distL="114300" distR="114300" simplePos="0" relativeHeight="251618498" behindDoc="1" locked="0" layoutInCell="1" allowOverlap="1" wp14:anchorId="1A91E960" wp14:editId="70B5ED5A">
                <wp:simplePos x="0" y="0"/>
                <wp:positionH relativeFrom="column">
                  <wp:posOffset>1257036</wp:posOffset>
                </wp:positionH>
                <wp:positionV relativeFrom="paragraph">
                  <wp:posOffset>603753</wp:posOffset>
                </wp:positionV>
                <wp:extent cx="1494155" cy="2175510"/>
                <wp:effectExtent l="95250" t="95250" r="86995" b="91440"/>
                <wp:wrapTight wrapText="bothSides">
                  <wp:wrapPolygon edited="0">
                    <wp:start x="-1102" y="-946"/>
                    <wp:lineTo x="-1377" y="21373"/>
                    <wp:lineTo x="-826" y="22319"/>
                    <wp:lineTo x="22031" y="22319"/>
                    <wp:lineTo x="22582" y="20616"/>
                    <wp:lineTo x="22307" y="-946"/>
                    <wp:lineTo x="-1102" y="-946"/>
                  </wp:wrapPolygon>
                </wp:wrapTight>
                <wp:docPr id="816286452" name="Text Box 816286452"/>
                <wp:cNvGraphicFramePr/>
                <a:graphic xmlns:a="http://schemas.openxmlformats.org/drawingml/2006/main">
                  <a:graphicData uri="http://schemas.microsoft.com/office/word/2010/wordprocessingShape">
                    <wps:wsp>
                      <wps:cNvSpPr txBox="1"/>
                      <wps:spPr>
                        <a:xfrm>
                          <a:off x="0" y="0"/>
                          <a:ext cx="1494155" cy="217551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83C60EC" w14:textId="77777777" w:rsidR="00C6444C" w:rsidRDefault="00C6444C" w:rsidP="00020D20">
                            <w:pPr>
                              <w:jc w:val="center"/>
                            </w:pPr>
                            <w:r>
                              <w:rPr>
                                <w:noProof/>
                              </w:rPr>
                              <w:drawing>
                                <wp:inline distT="0" distB="0" distL="0" distR="0" wp14:anchorId="2AF611F7" wp14:editId="425D9D5C">
                                  <wp:extent cx="457200" cy="457200"/>
                                  <wp:effectExtent l="0" t="0" r="0" b="0"/>
                                  <wp:docPr id="1690912751" name="Picture 169091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F5F3E16" w14:textId="446C9E1C" w:rsidR="00C6444C" w:rsidRDefault="00202C92">
                            <w:pPr>
                              <w:pStyle w:val="Title"/>
                              <w:rPr>
                                <w:sz w:val="16"/>
                                <w:szCs w:val="16"/>
                              </w:rPr>
                            </w:pPr>
                            <w:hyperlink r:id="rId293" w:history="1">
                              <w:r w:rsidR="00C6444C" w:rsidRPr="00020D20">
                                <w:rPr>
                                  <w:rStyle w:val="Hyperlink"/>
                                  <w:rFonts w:ascii="Calibri" w:hAnsi="Calibri" w:cstheme="majorBidi"/>
                                  <w:i/>
                                  <w:color w:val="CE5B18"/>
                                  <w:szCs w:val="56"/>
                                  <w:u w:val="none"/>
                                </w:rPr>
                                <w:t>https://www.nado.org/metropolitan-and-rural-transportation-planning-case-studies-and-checklists-for-regional-collaboration/</w:t>
                              </w:r>
                            </w:hyperlink>
                          </w:p>
                          <w:p w14:paraId="23C398E6" w14:textId="04D61166" w:rsidR="00C6444C" w:rsidRPr="0052715B" w:rsidRDefault="00C6444C" w:rsidP="00020D20">
                            <w:pPr>
                              <w:pStyle w:val="Calloutboxes"/>
                            </w:pPr>
                            <w:r w:rsidRPr="00394A74">
                              <w:t>provides guidance in</w:t>
                            </w:r>
                            <w:r w:rsidRPr="00954116">
                              <w:t xml:space="preserve"> improving collaboration, communication, and partnerships among MPOs, rural transportation planning organizations, state departments of transportation, and other entities.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A91E960" id="Text Box 816286452" o:spid="_x0000_s1097" type="#_x0000_t202" style="position:absolute;left:0;text-align:left;margin-left:99pt;margin-top:47.55pt;width:117.65pt;height:171.3pt;z-index:-2516979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" fillcolor="#f7f7f7" stroked="f" strokeweight=".5pt">
                <v:shadow on="t" type="perspective" color="black" opacity="26214f" offset="0,0" matrix="66847f,,,66847f"/>
                <v:textbox>
                  <w:txbxContent>
                    <w:p w14:paraId="783C60EC" w14:textId="77777777" w:rsidR="00C6444C" w:rsidRDefault="00C6444C" w:rsidP="00020D20">
                      <w:pPr>
                        <w:jc w:val="center"/>
                      </w:pPr>
                      <w:r>
                        <w:rPr>
                          <w:noProof/>
                        </w:rPr>
                        <w:drawing>
                          <wp:inline distT="0" distB="0" distL="0" distR="0" wp14:anchorId="2AF611F7" wp14:editId="425D9D5C">
                            <wp:extent cx="457200" cy="457200"/>
                            <wp:effectExtent l="0" t="0" r="0" b="0"/>
                            <wp:docPr id="1690912751" name="Picture 169091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F5F3E16" w14:textId="446C9E1C" w:rsidR="00C6444C" w:rsidRDefault="00C6444C">
                      <w:pPr>
                        <w:pStyle w:val="Title"/>
                        <w:rPr>
                          <w:sz w:val="16"/>
                          <w:szCs w:val="16"/>
                        </w:rPr>
                      </w:pPr>
                      <w:hyperlink r:id="rId295" w:history="1">
                        <w:r w:rsidRPr="00020D20">
                          <w:rPr>
                            <w:rStyle w:val="Hyperlink"/>
                            <w:rFonts w:ascii="Calibri" w:hAnsi="Calibri" w:cstheme="majorBidi"/>
                            <w:i/>
                            <w:color w:val="CE5B18"/>
                            <w:szCs w:val="56"/>
                            <w:u w:val="none"/>
                          </w:rPr>
                          <w:t>https://www.nado.org/metropolitan-and-rural-transportation-planning-case-studies-and-checklists-for-regional-collaboration/</w:t>
                        </w:r>
                      </w:hyperlink>
                    </w:p>
                    <w:p w14:paraId="23C398E6" w14:textId="04D61166" w:rsidR="00C6444C" w:rsidRPr="0052715B" w:rsidRDefault="00C6444C" w:rsidP="00020D20">
                      <w:pPr>
                        <w:pStyle w:val="Calloutboxes"/>
                      </w:pPr>
                      <w:r w:rsidRPr="00394A74">
                        <w:t>provides guidance in</w:t>
                      </w:r>
                      <w:r w:rsidRPr="00954116">
                        <w:t xml:space="preserve"> improving collaboration, communication, and partnerships among MPOs, rural transportation planning organizations, state departments of transportation, and other entities.</w:t>
                      </w:r>
                    </w:p>
                  </w:txbxContent>
                </v:textbox>
                <w10:wrap type="tight"/>
              </v:shape>
            </w:pict>
          </mc:Fallback>
        </mc:AlternateContent>
      </w:r>
      <w:r w:rsidR="005A6F1D" w:rsidRPr="005A6F1D">
        <w:rPr>
          <w:rFonts w:cstheme="minorHAnsi"/>
        </w:rPr>
        <w:t>An MPO is a local decision-making body responsible for carrying out the 3-C transportation planning process within a defined MPA. The USDOT recognizes the UZAs published in the Federal Register for purposes of disseminating federal transportation funds for highways, public transit, and other travel and freight modes. Every UZA must be represented by an MPO in accordance with</w:t>
      </w:r>
      <w:r w:rsidR="005A6F1D" w:rsidRPr="00020D20">
        <w:rPr>
          <w:rStyle w:val="TitleChar"/>
        </w:rPr>
        <w:t xml:space="preserve"> </w:t>
      </w:r>
      <w:hyperlink r:id="rId296" w:history="1">
        <w:r w:rsidR="005A6F1D" w:rsidRPr="00020D20">
          <w:rPr>
            <w:rStyle w:val="TitleChar"/>
          </w:rPr>
          <w:t>23 U.S.C. §</w:t>
        </w:r>
        <w:r w:rsidR="008216A0" w:rsidRPr="00020D20">
          <w:rPr>
            <w:rStyle w:val="TitleChar"/>
          </w:rPr>
          <w:t xml:space="preserve"> </w:t>
        </w:r>
        <w:r w:rsidR="005A6F1D" w:rsidRPr="00020D20">
          <w:rPr>
            <w:rStyle w:val="TitleChar"/>
          </w:rPr>
          <w:t>134(b)</w:t>
        </w:r>
      </w:hyperlink>
      <w:r w:rsidR="005A6F1D" w:rsidRPr="005A6F1D">
        <w:rPr>
          <w:rFonts w:cstheme="minorHAnsi"/>
        </w:rPr>
        <w:t xml:space="preserve"> and </w:t>
      </w:r>
      <w:hyperlink r:id="rId297" w:history="1">
        <w:r w:rsidR="005A6F1D" w:rsidRPr="00020D20">
          <w:rPr>
            <w:rStyle w:val="TitleChar"/>
          </w:rPr>
          <w:t>49 U.S.C. §</w:t>
        </w:r>
        <w:r w:rsidR="008216A0" w:rsidRPr="00020D20">
          <w:rPr>
            <w:rStyle w:val="TitleChar"/>
          </w:rPr>
          <w:t xml:space="preserve"> </w:t>
        </w:r>
        <w:r w:rsidR="005A6F1D" w:rsidRPr="00020D20">
          <w:rPr>
            <w:rStyle w:val="TitleChar"/>
          </w:rPr>
          <w:t>5303(c)</w:t>
        </w:r>
      </w:hyperlink>
      <w:r w:rsidR="005A6F1D" w:rsidRPr="005A6F1D">
        <w:rPr>
          <w:rFonts w:cstheme="minorHAnsi"/>
        </w:rPr>
        <w:t>. Federal laws and regulations (</w:t>
      </w:r>
      <w:hyperlink r:id="rId298" w:history="1">
        <w:r w:rsidR="005A6F1D" w:rsidRPr="00020D20">
          <w:rPr>
            <w:rStyle w:val="TitleChar"/>
          </w:rPr>
          <w:t>23 U.S.C. §</w:t>
        </w:r>
        <w:r w:rsidR="008216A0" w:rsidRPr="00020D20">
          <w:rPr>
            <w:rStyle w:val="TitleChar"/>
          </w:rPr>
          <w:t xml:space="preserve"> </w:t>
        </w:r>
        <w:r w:rsidR="005A6F1D" w:rsidRPr="00020D20">
          <w:rPr>
            <w:rStyle w:val="TitleChar"/>
          </w:rPr>
          <w:t>134(d)</w:t>
        </w:r>
      </w:hyperlink>
      <w:r w:rsidR="005A6F1D" w:rsidRPr="005A6F1D">
        <w:rPr>
          <w:rFonts w:cstheme="minorHAnsi"/>
        </w:rPr>
        <w:t xml:space="preserve"> and </w:t>
      </w:r>
      <w:hyperlink r:id="rId299" w:history="1">
        <w:r w:rsidR="005A6F1D" w:rsidRPr="00020D20">
          <w:rPr>
            <w:rStyle w:val="TitleChar"/>
          </w:rPr>
          <w:t xml:space="preserve">23 </w:t>
        </w:r>
        <w:r w:rsidR="009628C0">
          <w:rPr>
            <w:rStyle w:val="TitleChar"/>
          </w:rPr>
          <w:t xml:space="preserve">C.F.R. </w:t>
        </w:r>
        <w:r w:rsidR="005A6F1D" w:rsidRPr="00020D20">
          <w:rPr>
            <w:rStyle w:val="TitleChar"/>
          </w:rPr>
          <w:t>§</w:t>
        </w:r>
        <w:r w:rsidR="008216A0" w:rsidRPr="00020D20">
          <w:rPr>
            <w:rStyle w:val="TitleChar"/>
          </w:rPr>
          <w:t xml:space="preserve"> </w:t>
        </w:r>
        <w:r w:rsidR="005A6F1D" w:rsidRPr="00020D20">
          <w:rPr>
            <w:rStyle w:val="TitleChar"/>
          </w:rPr>
          <w:t>450.310(b)</w:t>
        </w:r>
      </w:hyperlink>
      <w:r w:rsidR="005A6F1D" w:rsidRPr="005A6F1D">
        <w:rPr>
          <w:rFonts w:cstheme="minorHAnsi"/>
        </w:rPr>
        <w:t>) require that the governor of each state in cooperation with local officials establish an MPO within 12 months of a place being designated a UZA by the Census Bureau.</w:t>
      </w:r>
    </w:p>
    <w:p w14:paraId="7DBFD12A" w14:textId="23DF6C1B" w:rsidR="005A6F1D" w:rsidRPr="005A6F1D" w:rsidRDefault="005A6F1D" w:rsidP="00020D20">
      <w:pPr>
        <w:jc w:val="both"/>
        <w:rPr>
          <w:rFonts w:cstheme="minorHAnsi"/>
        </w:rPr>
      </w:pPr>
      <w:r w:rsidRPr="005A6F1D">
        <w:rPr>
          <w:rFonts w:cstheme="minorHAnsi"/>
        </w:rPr>
        <w:t xml:space="preserve">Once ADOT is informed of the designated UZAs, ADOT MPD and </w:t>
      </w:r>
      <w:hyperlink r:id="rId300" w:history="1">
        <w:r w:rsidRPr="00C07EF6">
          <w:rPr>
            <w:rStyle w:val="TitleChar"/>
          </w:rPr>
          <w:t>FHWA Arizona Division</w:t>
        </w:r>
      </w:hyperlink>
      <w:r w:rsidRPr="007B6EEE">
        <w:rPr>
          <w:rStyle w:val="TitleChar"/>
        </w:rPr>
        <w:t xml:space="preserve"> </w:t>
      </w:r>
      <w:r w:rsidRPr="005A6F1D">
        <w:rPr>
          <w:rFonts w:cstheme="minorHAnsi"/>
        </w:rPr>
        <w:t>are contacted and provided with relevant information, including the Census defined UZA boundary and population data. ADOT MPD and FHWA then provide information to existing MPOs and local jurisdictions to help with MPO redesignation or formation, respectively. If a new UZA is not contiguous to an existing MPO, ADOT MPD provides all relevant information to affected local governments in that area as well as to transportation mode operators, local and regional planning agencies, and tribal governments. This group then meets to discuss the new MPO formation. An existing MPO must review the Census data to assess potential changes in its boundaries or governing board membership.</w:t>
      </w:r>
    </w:p>
    <w:p w14:paraId="42C83A1C" w14:textId="464052FB" w:rsidR="005A6F1D" w:rsidRPr="005A6F1D" w:rsidRDefault="005A6F1D" w:rsidP="00020D20">
      <w:pPr>
        <w:jc w:val="both"/>
        <w:rPr>
          <w:rFonts w:cstheme="minorHAnsi"/>
        </w:rPr>
      </w:pPr>
      <w:r w:rsidRPr="005A6F1D">
        <w:rPr>
          <w:rFonts w:cstheme="minorHAnsi"/>
        </w:rPr>
        <w:t xml:space="preserve">Designation of a new UZA does not necessarily require that a new MPO be formed. The newly designated UZA may be combined with or integrated into an existing MPO. To the extent possible, only one MPO ideally is designated for each UZA or group of contiguous UZAs. More than one MPO may be designated in a UZA when the governor and any existing MPOs determine that the size and complexity of a combined planning area makes designation of the new MPO appropriate (see </w:t>
      </w:r>
      <w:hyperlink r:id="rId301" w:history="1">
        <w:r w:rsidRPr="00020D20">
          <w:rPr>
            <w:rStyle w:val="TitleChar"/>
          </w:rPr>
          <w:t>23 U.S.C. §</w:t>
        </w:r>
        <w:r w:rsidR="008216A0" w:rsidRPr="00020D20">
          <w:rPr>
            <w:rStyle w:val="TitleChar"/>
          </w:rPr>
          <w:t xml:space="preserve"> </w:t>
        </w:r>
        <w:r w:rsidRPr="00020D20">
          <w:rPr>
            <w:rStyle w:val="TitleChar"/>
          </w:rPr>
          <w:t>134</w:t>
        </w:r>
        <w:r w:rsidRPr="00020D20" w:rsidDel="008216A0">
          <w:rPr>
            <w:rStyle w:val="TitleChar"/>
          </w:rPr>
          <w:t xml:space="preserve"> </w:t>
        </w:r>
        <w:r w:rsidRPr="00020D20">
          <w:rPr>
            <w:rStyle w:val="TitleChar"/>
          </w:rPr>
          <w:t>(d)</w:t>
        </w:r>
        <w:r w:rsidRPr="00020D20" w:rsidDel="008216A0">
          <w:rPr>
            <w:rStyle w:val="TitleChar"/>
          </w:rPr>
          <w:t xml:space="preserve"> </w:t>
        </w:r>
        <w:r w:rsidRPr="00020D20">
          <w:rPr>
            <w:rStyle w:val="TitleChar"/>
          </w:rPr>
          <w:t>(6)</w:t>
        </w:r>
      </w:hyperlink>
      <w:r w:rsidRPr="005A6F1D">
        <w:rPr>
          <w:rFonts w:cstheme="minorHAnsi"/>
        </w:rPr>
        <w:t xml:space="preserve"> and </w:t>
      </w:r>
      <w:hyperlink r:id="rId302" w:history="1">
        <w:r w:rsidRPr="00020D20">
          <w:rPr>
            <w:rStyle w:val="TitleChar"/>
          </w:rPr>
          <w:t xml:space="preserve">23 </w:t>
        </w:r>
        <w:r w:rsidR="009628C0">
          <w:rPr>
            <w:rStyle w:val="TitleChar"/>
          </w:rPr>
          <w:t xml:space="preserve">C.F.R. </w:t>
        </w:r>
        <w:r w:rsidRPr="00020D20">
          <w:rPr>
            <w:rStyle w:val="TitleChar"/>
          </w:rPr>
          <w:t>§</w:t>
        </w:r>
        <w:r w:rsidR="008216A0" w:rsidRPr="00020D20">
          <w:rPr>
            <w:rStyle w:val="TitleChar"/>
          </w:rPr>
          <w:t xml:space="preserve"> </w:t>
        </w:r>
        <w:r w:rsidRPr="00020D20">
          <w:rPr>
            <w:rStyle w:val="TitleChar"/>
          </w:rPr>
          <w:t>450.310(e)</w:t>
        </w:r>
      </w:hyperlink>
      <w:r w:rsidRPr="005A6F1D">
        <w:rPr>
          <w:rFonts w:cstheme="minorHAnsi"/>
        </w:rPr>
        <w:t>).</w:t>
      </w:r>
    </w:p>
    <w:p w14:paraId="166A15C6" w14:textId="62D2CD98" w:rsidR="005A6F1D" w:rsidRDefault="005A6F1D" w:rsidP="00020D20">
      <w:pPr>
        <w:jc w:val="both"/>
        <w:rPr>
          <w:rFonts w:cstheme="minorHAnsi"/>
        </w:rPr>
      </w:pPr>
      <w:r w:rsidRPr="005A6F1D">
        <w:rPr>
          <w:rFonts w:cstheme="minorHAnsi"/>
        </w:rPr>
        <w:t>If it is determined that the MPA for an existing MPO’s boundaries has changed or that formation of a new MPO is justified, ADOT MPD must schedule all meetings in accordance with federal and state requirements, to discuss the following aspects and attributes of the UZA:</w:t>
      </w:r>
    </w:p>
    <w:p w14:paraId="7ED1F8FC" w14:textId="06CABA42" w:rsidR="005A6F1D" w:rsidRPr="005A6F1D" w:rsidRDefault="008216A0" w:rsidP="00020D20">
      <w:pPr>
        <w:pStyle w:val="Body-Bullets"/>
        <w:jc w:val="both"/>
      </w:pPr>
      <w:r>
        <w:rPr>
          <w:rFonts w:cstheme="minorHAnsi"/>
        </w:rPr>
        <w:br w:type="column"/>
      </w:r>
      <w:r w:rsidR="005A6F1D" w:rsidRPr="005A6F1D">
        <w:t>the Census population;</w:t>
      </w:r>
    </w:p>
    <w:p w14:paraId="5849D441" w14:textId="77777777" w:rsidR="005A6F1D" w:rsidRPr="005A6F1D" w:rsidRDefault="005A6F1D" w:rsidP="00020D20">
      <w:pPr>
        <w:pStyle w:val="Body-Bullets"/>
        <w:jc w:val="both"/>
      </w:pPr>
      <w:r w:rsidRPr="005A6F1D">
        <w:t>the legal agreements for formation, organization, transportation planning, and funding;</w:t>
      </w:r>
    </w:p>
    <w:p w14:paraId="2360B36E" w14:textId="77777777" w:rsidR="005A6F1D" w:rsidRPr="005A6F1D" w:rsidRDefault="005A6F1D" w:rsidP="00020D20">
      <w:pPr>
        <w:pStyle w:val="Body-Bullets"/>
        <w:jc w:val="both"/>
      </w:pPr>
      <w:r w:rsidRPr="005A6F1D">
        <w:t xml:space="preserve">the establishment of bylaws and procedures; </w:t>
      </w:r>
    </w:p>
    <w:p w14:paraId="4FD0596D" w14:textId="77777777" w:rsidR="005A6F1D" w:rsidRPr="005A6F1D" w:rsidRDefault="005A6F1D" w:rsidP="00020D20">
      <w:pPr>
        <w:pStyle w:val="Body-Bullets"/>
        <w:jc w:val="both"/>
      </w:pPr>
      <w:r w:rsidRPr="005A6F1D">
        <w:t>the delineation of the MPO MPA;</w:t>
      </w:r>
    </w:p>
    <w:p w14:paraId="07039BF8" w14:textId="77777777" w:rsidR="005A6F1D" w:rsidRPr="005A6F1D" w:rsidRDefault="005A6F1D" w:rsidP="00020D20">
      <w:pPr>
        <w:pStyle w:val="Body-Bullets"/>
        <w:jc w:val="both"/>
      </w:pPr>
      <w:r w:rsidRPr="005A6F1D">
        <w:t xml:space="preserve">funds available to an MPO; </w:t>
      </w:r>
    </w:p>
    <w:p w14:paraId="308325C1" w14:textId="77777777" w:rsidR="005A6F1D" w:rsidRPr="005A6F1D" w:rsidRDefault="005A6F1D" w:rsidP="00020D20">
      <w:pPr>
        <w:pStyle w:val="Body-Bullets"/>
        <w:jc w:val="both"/>
      </w:pPr>
      <w:r w:rsidRPr="005A6F1D">
        <w:t xml:space="preserve">federal regulations regarding the formation and responsibilities of an MPO; </w:t>
      </w:r>
    </w:p>
    <w:p w14:paraId="324C1A7B" w14:textId="77777777" w:rsidR="005A6F1D" w:rsidRPr="005A6F1D" w:rsidRDefault="005A6F1D" w:rsidP="00020D20">
      <w:pPr>
        <w:pStyle w:val="Body-Bullets"/>
        <w:jc w:val="both"/>
      </w:pPr>
      <w:r w:rsidRPr="005A6F1D">
        <w:t>state laws and rules for the organization, operation, and responsibilities of an MPO;</w:t>
      </w:r>
    </w:p>
    <w:p w14:paraId="2CA0B175" w14:textId="77777777" w:rsidR="005A6F1D" w:rsidRPr="005A6F1D" w:rsidRDefault="005A6F1D" w:rsidP="00020D20">
      <w:pPr>
        <w:pStyle w:val="Body-Bullets"/>
        <w:jc w:val="both"/>
      </w:pPr>
      <w:r w:rsidRPr="005A6F1D">
        <w:t xml:space="preserve">all ADOT procedures, handbooks, and manuals to assist in meeting the requirements of federal and state funding and the requirements for transportation planning in a defined MPA; </w:t>
      </w:r>
    </w:p>
    <w:p w14:paraId="2BC4A800" w14:textId="77777777" w:rsidR="005A6F1D" w:rsidRPr="005A6F1D" w:rsidRDefault="005A6F1D" w:rsidP="00020D20">
      <w:pPr>
        <w:pStyle w:val="Body-Bullets"/>
        <w:jc w:val="both"/>
      </w:pPr>
      <w:r w:rsidRPr="005A6F1D">
        <w:t>all ADOT procedures, software, and manuals for travel demand forecasting models;</w:t>
      </w:r>
    </w:p>
    <w:p w14:paraId="326DE151" w14:textId="77777777" w:rsidR="005A6F1D" w:rsidRPr="005A6F1D" w:rsidRDefault="005A6F1D" w:rsidP="00020D20">
      <w:pPr>
        <w:pStyle w:val="Body-Bullets"/>
        <w:jc w:val="both"/>
      </w:pPr>
      <w:r w:rsidRPr="005A6F1D">
        <w:t>the overall role of ADOT and ADOT contact persons; and</w:t>
      </w:r>
    </w:p>
    <w:p w14:paraId="3C69A7AF" w14:textId="77777777" w:rsidR="005A6F1D" w:rsidRPr="005A6F1D" w:rsidRDefault="005A6F1D" w:rsidP="00020D20">
      <w:pPr>
        <w:pStyle w:val="Body-Bullets"/>
        <w:jc w:val="both"/>
      </w:pPr>
      <w:r w:rsidRPr="005A6F1D">
        <w:t xml:space="preserve">the role of the MPO and its intergovernmental relationships with state and local governments, regional planning agencies, and other land or transportation agencies. </w:t>
      </w:r>
    </w:p>
    <w:p w14:paraId="66B3B601" w14:textId="62EF3B52" w:rsidR="00862640" w:rsidRDefault="005A6F1D" w:rsidP="00020D20">
      <w:pPr>
        <w:jc w:val="both"/>
        <w:rPr>
          <w:rFonts w:cstheme="minorHAnsi"/>
        </w:rPr>
      </w:pPr>
      <w:r w:rsidRPr="005A6F1D">
        <w:rPr>
          <w:rFonts w:cstheme="minorHAnsi"/>
        </w:rPr>
        <w:t>The MPO and its MPA are established and designated by agreement between the governor and local governments that together represent at least 75 percent of the affected population (including the incorporated city with the largest population) designated for inclusion in the MPA. The agreement includes formation and identification of the MPO and adoption of bylaws that identify membership and voting rights. Figure 3-1 illustrates a generalized process for MPO designation and formation.</w:t>
      </w:r>
    </w:p>
    <w:p w14:paraId="721406C5" w14:textId="7A6D1D2E" w:rsidR="00862640" w:rsidRDefault="00A93737" w:rsidP="00020D20">
      <w:pPr>
        <w:jc w:val="both"/>
        <w:rPr>
          <w:rFonts w:cstheme="minorHAnsi"/>
        </w:rPr>
      </w:pPr>
      <w:r>
        <w:rPr>
          <w:rFonts w:cstheme="minorHAnsi"/>
        </w:rPr>
        <w:br w:type="page"/>
      </w:r>
    </w:p>
    <w:p w14:paraId="0B788883" w14:textId="77777777" w:rsidR="00862640" w:rsidRDefault="00862640" w:rsidP="00020D20">
      <w:pPr>
        <w:jc w:val="both"/>
        <w:rPr>
          <w:rFonts w:cstheme="minorHAnsi"/>
        </w:rPr>
        <w:sectPr w:rsidR="00862640" w:rsidSect="00076532">
          <w:pgSz w:w="12240" w:h="15840"/>
          <w:pgMar w:top="1440" w:right="1440" w:bottom="1440" w:left="1440" w:header="720" w:footer="720" w:gutter="0"/>
          <w:pgNumType w:chapStyle="1"/>
          <w:cols w:num="2" w:space="720"/>
          <w:docGrid w:linePitch="360"/>
        </w:sectPr>
      </w:pPr>
    </w:p>
    <w:p w14:paraId="03E59231" w14:textId="60D137F4" w:rsidR="00D852C3" w:rsidRDefault="00AF3EFA" w:rsidP="00020D20">
      <w:pPr>
        <w:pStyle w:val="Heading4"/>
        <w:jc w:val="both"/>
      </w:pPr>
      <w:r w:rsidRPr="00AF3EFA">
        <w:t>Figure 3-1</w:t>
      </w:r>
      <w:r w:rsidR="00D852C3">
        <w:t xml:space="preserve"> |</w:t>
      </w:r>
      <w:r w:rsidRPr="00AF3EFA">
        <w:t xml:space="preserve"> |MPO Process Flow Chart</w:t>
      </w:r>
    </w:p>
    <w:p w14:paraId="53DFD64A" w14:textId="77777777" w:rsidR="00FE2B53" w:rsidRDefault="00FE2B53" w:rsidP="00020D20">
      <w:pPr>
        <w:jc w:val="both"/>
        <w:sectPr w:rsidR="00FE2B53" w:rsidSect="00020D20">
          <w:type w:val="continuous"/>
          <w:pgSz w:w="12240" w:h="15840"/>
          <w:pgMar w:top="1440" w:right="1440" w:bottom="1440" w:left="1440" w:header="720" w:footer="720" w:gutter="0"/>
          <w:pgNumType w:chapStyle="1"/>
          <w:cols w:space="720"/>
          <w:docGrid w:linePitch="360"/>
        </w:sectPr>
      </w:pPr>
      <w:r>
        <w:rPr>
          <w:noProof/>
        </w:rPr>
        <w:drawing>
          <wp:inline distT="0" distB="0" distL="0" distR="0" wp14:anchorId="03C649C3" wp14:editId="0E5F83D8">
            <wp:extent cx="5967406" cy="251078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_Figure3-1_MPOFlowChart.jpg"/>
                    <pic:cNvPicPr/>
                  </pic:nvPicPr>
                  <pic:blipFill>
                    <a:blip r:embed="rId303" cstate="hqprint">
                      <a:extLst>
                        <a:ext uri="{28A0092B-C50C-407E-A947-70E740481C1C}">
                          <a14:useLocalDpi xmlns:a14="http://schemas.microsoft.com/office/drawing/2010/main" val="0"/>
                        </a:ext>
                      </a:extLst>
                    </a:blip>
                    <a:stretch>
                      <a:fillRect/>
                    </a:stretch>
                  </pic:blipFill>
                  <pic:spPr>
                    <a:xfrm>
                      <a:off x="0" y="0"/>
                      <a:ext cx="5967406" cy="2510786"/>
                    </a:xfrm>
                    <a:prstGeom prst="rect">
                      <a:avLst/>
                    </a:prstGeom>
                  </pic:spPr>
                </pic:pic>
              </a:graphicData>
            </a:graphic>
          </wp:inline>
        </w:drawing>
      </w:r>
    </w:p>
    <w:p w14:paraId="149D3242" w14:textId="77777777" w:rsidR="00AF3EFA" w:rsidRPr="00AF3EFA" w:rsidRDefault="00AF3EFA" w:rsidP="00020D20">
      <w:pPr>
        <w:pStyle w:val="Heading2"/>
      </w:pPr>
      <w:bookmarkStart w:id="121" w:name="_Ref50028343"/>
      <w:r w:rsidRPr="00AF3EFA">
        <w:t>3.6 | MEMBERSHIP</w:t>
      </w:r>
      <w:bookmarkEnd w:id="121"/>
    </w:p>
    <w:p w14:paraId="6D9DCAD1" w14:textId="4B34EA01" w:rsidR="00AF3EFA" w:rsidRPr="00AF3EFA" w:rsidRDefault="00AF3EFA" w:rsidP="00020D20">
      <w:pPr>
        <w:jc w:val="both"/>
        <w:rPr>
          <w:rFonts w:cstheme="minorHAnsi"/>
        </w:rPr>
      </w:pPr>
      <w:r w:rsidRPr="00AF3EFA">
        <w:rPr>
          <w:rFonts w:cstheme="minorHAnsi"/>
        </w:rPr>
        <w:t>An MPO is defined by its membership, which varies from region to region, depending on the size of the region and its transportation issues. Membership composition is not established by federal law or regulation nor does the state of Arizona have any statute or regulation pertaining to this matter.</w:t>
      </w:r>
      <w:r w:rsidR="009258D9">
        <w:rPr>
          <w:rStyle w:val="FootnoteReference"/>
          <w:rFonts w:cstheme="minorHAnsi"/>
        </w:rPr>
        <w:footnoteReference w:id="2"/>
      </w:r>
      <w:r w:rsidRPr="00AF3EFA">
        <w:rPr>
          <w:rFonts w:cstheme="minorHAnsi"/>
        </w:rPr>
        <w:t xml:space="preserve"> Nevertheless, </w:t>
      </w:r>
      <w:r w:rsidR="001A2414">
        <w:rPr>
          <w:rFonts w:cstheme="minorHAnsi"/>
        </w:rPr>
        <w:t xml:space="preserve">FAST Act </w:t>
      </w:r>
      <w:r w:rsidRPr="00AF3EFA">
        <w:rPr>
          <w:rFonts w:cstheme="minorHAnsi"/>
        </w:rPr>
        <w:t xml:space="preserve">specifically requires MPOs for regions with a population of 200,000 and more to have representatives of public transit operators and member tribal agencies. The governor and local governments determine membership when the MPO is formed. </w:t>
      </w:r>
      <w:r w:rsidRPr="009258D9">
        <w:rPr>
          <w:rStyle w:val="Heading5Char"/>
        </w:rPr>
        <w:t>Memoranda of Agreement</w:t>
      </w:r>
      <w:r w:rsidRPr="00AF3EFA">
        <w:rPr>
          <w:rFonts w:cstheme="minorHAnsi"/>
        </w:rPr>
        <w:t xml:space="preserve"> (MOA) are developed stipulating the relationship of each member to the MPO.</w:t>
      </w:r>
    </w:p>
    <w:p w14:paraId="597AA0A5" w14:textId="48020E6A" w:rsidR="00AF3EFA" w:rsidRPr="00AF3EFA" w:rsidRDefault="00AF3EFA" w:rsidP="00020D20">
      <w:pPr>
        <w:jc w:val="both"/>
        <w:rPr>
          <w:rFonts w:cstheme="minorHAnsi"/>
        </w:rPr>
      </w:pPr>
      <w:r w:rsidRPr="00AF3EFA">
        <w:rPr>
          <w:rFonts w:cstheme="minorHAnsi"/>
        </w:rPr>
        <w:t>A core function of MPO membership is to establish and manage a fair and impartial setting for effective transportation decision making in a</w:t>
      </w:r>
      <w:r w:rsidR="00957F47">
        <w:rPr>
          <w:rFonts w:cstheme="minorHAnsi"/>
        </w:rPr>
        <w:t>n</w:t>
      </w:r>
      <w:r w:rsidRPr="00AF3EFA">
        <w:rPr>
          <w:rFonts w:cstheme="minorHAnsi"/>
        </w:rPr>
        <w:t xml:space="preserve"> </w:t>
      </w:r>
      <w:r w:rsidR="00957F47">
        <w:rPr>
          <w:rFonts w:cstheme="minorHAnsi"/>
        </w:rPr>
        <w:t>MPA</w:t>
      </w:r>
      <w:r w:rsidRPr="00AF3EFA">
        <w:rPr>
          <w:rFonts w:cstheme="minorHAnsi"/>
        </w:rPr>
        <w:t>. Therefore, membership generally is representative of key municipal jurisdictions, important agencies, and major interests present in the MPA. Voting members and nonvoting members are identified, as appropriate to meet the needs and issues of the MPO and MPA.</w:t>
      </w:r>
    </w:p>
    <w:p w14:paraId="5071C95C" w14:textId="77777777" w:rsidR="00AF3EFA" w:rsidRPr="00AF3EFA" w:rsidRDefault="00AF3EFA" w:rsidP="00020D20">
      <w:pPr>
        <w:pStyle w:val="Heading3"/>
        <w:jc w:val="both"/>
        <w:rPr>
          <w:rFonts w:cstheme="minorHAnsi"/>
          <w:szCs w:val="20"/>
        </w:rPr>
      </w:pPr>
      <w:bookmarkStart w:id="122" w:name="_Ref50028349"/>
      <w:r w:rsidRPr="00AF3EFA">
        <w:rPr>
          <w:rFonts w:cstheme="minorHAnsi"/>
          <w:szCs w:val="20"/>
        </w:rPr>
        <w:t>3.6.1 | Voting Membership</w:t>
      </w:r>
      <w:bookmarkEnd w:id="122"/>
    </w:p>
    <w:p w14:paraId="3846AC15" w14:textId="3AAA17E1" w:rsidR="00AF3EFA" w:rsidRPr="00AF3EFA" w:rsidRDefault="00AF3EFA" w:rsidP="00020D20">
      <w:pPr>
        <w:jc w:val="both"/>
        <w:rPr>
          <w:rFonts w:cstheme="minorHAnsi"/>
        </w:rPr>
      </w:pPr>
      <w:r w:rsidRPr="00AF3EFA">
        <w:rPr>
          <w:rFonts w:cstheme="minorHAnsi"/>
        </w:rPr>
        <w:t>The voting membership of an MPO consists of elected officials of affected local governments and is apportioned on an equitable geographic population basis. The voting membership can include representatives of statutorily authorized planning boards, an official of an agency/operator of a major mode of transportation, and any authority or agency created by law to perform transportation functions (e.g., an aviation authority, a school board).</w:t>
      </w:r>
    </w:p>
    <w:p w14:paraId="0A447D6B" w14:textId="4E50A6C1" w:rsidR="00AF3EFA" w:rsidRPr="00AF3EFA" w:rsidRDefault="00AF3EFA" w:rsidP="00020D20">
      <w:pPr>
        <w:jc w:val="both"/>
        <w:rPr>
          <w:rFonts w:cstheme="minorHAnsi"/>
        </w:rPr>
      </w:pPr>
      <w:r w:rsidRPr="00AF3EFA">
        <w:rPr>
          <w:rFonts w:cstheme="minorHAnsi"/>
        </w:rPr>
        <w:t>For an MPO that is additionally designated as a TMA (population of 200,000 or more residents) federal law (</w:t>
      </w:r>
      <w:hyperlink r:id="rId304" w:history="1">
        <w:r w:rsidRPr="00020D20">
          <w:rPr>
            <w:rStyle w:val="TitleChar"/>
          </w:rPr>
          <w:t>23 U.S.C. §</w:t>
        </w:r>
        <w:r w:rsidR="008216A0" w:rsidRPr="00020D20">
          <w:rPr>
            <w:rStyle w:val="TitleChar"/>
          </w:rPr>
          <w:t xml:space="preserve"> </w:t>
        </w:r>
        <w:r w:rsidRPr="00020D20">
          <w:rPr>
            <w:rStyle w:val="TitleChar"/>
          </w:rPr>
          <w:t>134(d)(2)</w:t>
        </w:r>
      </w:hyperlink>
      <w:r w:rsidRPr="00AF3EFA">
        <w:rPr>
          <w:rFonts w:cstheme="minorHAnsi"/>
        </w:rPr>
        <w:t xml:space="preserve"> and </w:t>
      </w:r>
      <w:hyperlink r:id="rId305" w:history="1">
        <w:r w:rsidRPr="00020D20">
          <w:rPr>
            <w:rStyle w:val="TitleChar"/>
          </w:rPr>
          <w:t xml:space="preserve">23 </w:t>
        </w:r>
        <w:r w:rsidR="009628C0">
          <w:rPr>
            <w:rStyle w:val="TitleChar"/>
          </w:rPr>
          <w:t xml:space="preserve">C.F.R. </w:t>
        </w:r>
        <w:r w:rsidRPr="00020D20">
          <w:rPr>
            <w:rStyle w:val="TitleChar"/>
          </w:rPr>
          <w:t>§</w:t>
        </w:r>
        <w:r w:rsidR="008216A0">
          <w:rPr>
            <w:rStyle w:val="TitleChar"/>
          </w:rPr>
          <w:t xml:space="preserve"> </w:t>
        </w:r>
        <w:r w:rsidRPr="00020D20">
          <w:rPr>
            <w:rStyle w:val="TitleChar"/>
          </w:rPr>
          <w:t>450.310(d)</w:t>
        </w:r>
      </w:hyperlink>
      <w:r w:rsidRPr="00AF3EFA">
        <w:rPr>
          <w:rFonts w:cstheme="minorHAnsi"/>
        </w:rPr>
        <w:t xml:space="preserve">) specifically requires that its voting membership include: </w:t>
      </w:r>
    </w:p>
    <w:p w14:paraId="008C38E8" w14:textId="77777777" w:rsidR="00AF3EFA" w:rsidRPr="00AF3EFA" w:rsidRDefault="00AF3EFA" w:rsidP="00020D20">
      <w:pPr>
        <w:pStyle w:val="Body-Bullets"/>
        <w:jc w:val="both"/>
      </w:pPr>
      <w:r w:rsidRPr="00AF3EFA">
        <w:t>local elected officials;</w:t>
      </w:r>
    </w:p>
    <w:p w14:paraId="1E6FD741" w14:textId="2A62F7AB" w:rsidR="00AF3EFA" w:rsidRPr="00AF3EFA" w:rsidRDefault="00AF3EFA" w:rsidP="00020D20">
      <w:pPr>
        <w:pStyle w:val="Body-Bullets"/>
        <w:jc w:val="both"/>
      </w:pPr>
      <w:r w:rsidRPr="00AF3EFA">
        <w:t>officials of agencies administering major transportation systems; and</w:t>
      </w:r>
    </w:p>
    <w:p w14:paraId="6346FCF1" w14:textId="645158AC" w:rsidR="00AF3EFA" w:rsidRDefault="00AF3EFA" w:rsidP="00020D20">
      <w:pPr>
        <w:pStyle w:val="Body-Bullets"/>
        <w:jc w:val="both"/>
      </w:pPr>
      <w:r w:rsidRPr="00AF3EFA">
        <w:t>appropriate state officials (e.g., ADOT).</w:t>
      </w:r>
    </w:p>
    <w:p w14:paraId="530AE712" w14:textId="46BABDA4" w:rsidR="00AF3EFA" w:rsidRPr="00AF3EFA" w:rsidRDefault="00AF3EFA" w:rsidP="00020D20">
      <w:pPr>
        <w:pStyle w:val="Heading3"/>
        <w:jc w:val="both"/>
        <w:rPr>
          <w:rFonts w:cstheme="minorHAnsi"/>
          <w:szCs w:val="20"/>
        </w:rPr>
      </w:pPr>
      <w:bookmarkStart w:id="123" w:name="_Ref50028352"/>
      <w:r w:rsidRPr="00AF3EFA">
        <w:rPr>
          <w:rFonts w:cstheme="minorHAnsi"/>
          <w:szCs w:val="20"/>
        </w:rPr>
        <w:t>3.6.2 | Nonvoting Membership</w:t>
      </w:r>
      <w:bookmarkEnd w:id="123"/>
    </w:p>
    <w:p w14:paraId="644F7CEC" w14:textId="31C4284C" w:rsidR="00AF3EFA" w:rsidRPr="00AF3EFA" w:rsidRDefault="00AF3EFA" w:rsidP="00020D20">
      <w:pPr>
        <w:jc w:val="both"/>
        <w:rPr>
          <w:rFonts w:cstheme="minorHAnsi"/>
        </w:rPr>
      </w:pPr>
      <w:r w:rsidRPr="00AF3EFA">
        <w:rPr>
          <w:rFonts w:cstheme="minorHAnsi"/>
        </w:rPr>
        <w:t>The MPO may identify and designate nonvoting members among agencies, organizations, and institutions within the MPA. FHWA and FTA are nonvoting</w:t>
      </w:r>
      <w:r w:rsidR="002951FA">
        <w:rPr>
          <w:rFonts w:cstheme="minorHAnsi"/>
        </w:rPr>
        <w:t xml:space="preserve"> ex officio</w:t>
      </w:r>
      <w:r w:rsidRPr="00AF3EFA">
        <w:rPr>
          <w:rFonts w:cstheme="minorHAnsi"/>
        </w:rPr>
        <w:t xml:space="preserve"> members. Other nonvoting members may include major military installations and state, federal, and tribal agencies with land and transportation interests.</w:t>
      </w:r>
    </w:p>
    <w:p w14:paraId="58784C57" w14:textId="77777777" w:rsidR="00AF3EFA" w:rsidRPr="00AF3EFA" w:rsidRDefault="00AF3EFA" w:rsidP="00020D20">
      <w:pPr>
        <w:pStyle w:val="Heading3"/>
        <w:jc w:val="both"/>
        <w:rPr>
          <w:rFonts w:cstheme="minorHAnsi"/>
          <w:szCs w:val="20"/>
        </w:rPr>
      </w:pPr>
      <w:bookmarkStart w:id="124" w:name="_Ref50028356"/>
      <w:r w:rsidRPr="00AF3EFA">
        <w:rPr>
          <w:rFonts w:cstheme="minorHAnsi"/>
          <w:szCs w:val="20"/>
        </w:rPr>
        <w:t>3.6.3 | Agreements &amp; Contracts</w:t>
      </w:r>
      <w:bookmarkEnd w:id="124"/>
    </w:p>
    <w:p w14:paraId="1A1580F2" w14:textId="77777777" w:rsidR="00AF3EFA" w:rsidRPr="00AF3EFA" w:rsidRDefault="00AF3EFA" w:rsidP="00020D20">
      <w:pPr>
        <w:jc w:val="both"/>
        <w:rPr>
          <w:rFonts w:cstheme="minorHAnsi"/>
        </w:rPr>
      </w:pPr>
      <w:r w:rsidRPr="00AF3EFA">
        <w:rPr>
          <w:rFonts w:cstheme="minorHAnsi"/>
        </w:rPr>
        <w:t xml:space="preserve">Recognition of MPO status and acceptance for funding assistance follows execution of certain required agreements and contracts, as prescribed in: </w:t>
      </w:r>
    </w:p>
    <w:p w14:paraId="46008780" w14:textId="2A605912" w:rsidR="00AF3EFA" w:rsidRPr="00AF3EFA" w:rsidRDefault="00202C92" w:rsidP="00020D20">
      <w:pPr>
        <w:pStyle w:val="Body-Bullets"/>
        <w:jc w:val="both"/>
        <w:rPr>
          <w:rFonts w:cstheme="minorHAnsi"/>
        </w:rPr>
      </w:pPr>
      <w:hyperlink r:id="rId306" w:history="1">
        <w:r w:rsidR="00AF3EFA" w:rsidRPr="00C07EF6">
          <w:rPr>
            <w:rStyle w:val="TitleChar"/>
          </w:rPr>
          <w:t>23 U.S.C. § 134 (c</w:t>
        </w:r>
        <w:r w:rsidR="00C07EF6" w:rsidRPr="00C07EF6">
          <w:rPr>
            <w:rStyle w:val="TitleChar"/>
          </w:rPr>
          <w:t>), (</w:t>
        </w:r>
        <w:r w:rsidR="00AF3EFA" w:rsidRPr="00C07EF6">
          <w:rPr>
            <w:rStyle w:val="TitleChar"/>
          </w:rPr>
          <w:t>d</w:t>
        </w:r>
        <w:r w:rsidR="00C07EF6" w:rsidRPr="00C07EF6">
          <w:rPr>
            <w:rStyle w:val="TitleChar"/>
          </w:rPr>
          <w:t>), (</w:t>
        </w:r>
        <w:r w:rsidR="00AF3EFA" w:rsidRPr="00C07EF6">
          <w:rPr>
            <w:rStyle w:val="TitleChar"/>
          </w:rPr>
          <w:t>f</w:t>
        </w:r>
        <w:r w:rsidR="00C07EF6" w:rsidRPr="00C07EF6">
          <w:rPr>
            <w:rStyle w:val="TitleChar"/>
          </w:rPr>
          <w:t>), (</w:t>
        </w:r>
        <w:r w:rsidR="00AF3EFA" w:rsidRPr="00C07EF6">
          <w:rPr>
            <w:rStyle w:val="TitleChar"/>
          </w:rPr>
          <w:t>i</w:t>
        </w:r>
        <w:r w:rsidR="00C07EF6" w:rsidRPr="00C07EF6">
          <w:rPr>
            <w:rStyle w:val="TitleChar"/>
          </w:rPr>
          <w:t>), (</w:t>
        </w:r>
        <w:r w:rsidR="00AF3EFA" w:rsidRPr="00C07EF6">
          <w:rPr>
            <w:rStyle w:val="TitleChar"/>
          </w:rPr>
          <w:t>j)</w:t>
        </w:r>
      </w:hyperlink>
      <w:r w:rsidR="00AF3EFA" w:rsidRPr="00AF3EFA">
        <w:rPr>
          <w:rFonts w:cstheme="minorHAnsi"/>
        </w:rPr>
        <w:t xml:space="preserve">; </w:t>
      </w:r>
    </w:p>
    <w:p w14:paraId="1D5B0D33" w14:textId="7B67B3EA" w:rsidR="00AF3EFA" w:rsidRPr="00AF3EFA" w:rsidRDefault="00202C92" w:rsidP="00020D20">
      <w:pPr>
        <w:pStyle w:val="Body-Bullets"/>
        <w:jc w:val="both"/>
        <w:rPr>
          <w:rFonts w:cstheme="minorHAnsi"/>
        </w:rPr>
      </w:pPr>
      <w:hyperlink r:id="rId307" w:history="1">
        <w:r w:rsidR="00AF3EFA" w:rsidRPr="00C07EF6">
          <w:rPr>
            <w:rStyle w:val="TitleChar"/>
          </w:rPr>
          <w:t>49 U.S.C. § 5303(c</w:t>
        </w:r>
        <w:r w:rsidR="00C07EF6" w:rsidRPr="00C07EF6">
          <w:rPr>
            <w:rStyle w:val="TitleChar"/>
          </w:rPr>
          <w:t>), (</w:t>
        </w:r>
        <w:r w:rsidR="00AF3EFA" w:rsidRPr="00C07EF6">
          <w:rPr>
            <w:rStyle w:val="TitleChar"/>
          </w:rPr>
          <w:t>d</w:t>
        </w:r>
        <w:r w:rsidR="00C07EF6" w:rsidRPr="00C07EF6">
          <w:rPr>
            <w:rStyle w:val="TitleChar"/>
          </w:rPr>
          <w:t>), (</w:t>
        </w:r>
        <w:r w:rsidR="00AF3EFA" w:rsidRPr="00C07EF6">
          <w:rPr>
            <w:rStyle w:val="TitleChar"/>
          </w:rPr>
          <w:t>f</w:t>
        </w:r>
        <w:r w:rsidR="00C07EF6" w:rsidRPr="00C07EF6">
          <w:rPr>
            <w:rStyle w:val="TitleChar"/>
          </w:rPr>
          <w:t>), (</w:t>
        </w:r>
        <w:r w:rsidR="00AF3EFA" w:rsidRPr="00C07EF6">
          <w:rPr>
            <w:rStyle w:val="TitleChar"/>
          </w:rPr>
          <w:t>i</w:t>
        </w:r>
        <w:r w:rsidR="00C07EF6" w:rsidRPr="00C07EF6">
          <w:rPr>
            <w:rStyle w:val="TitleChar"/>
          </w:rPr>
          <w:t>), (</w:t>
        </w:r>
        <w:r w:rsidR="00AF3EFA" w:rsidRPr="00C07EF6">
          <w:rPr>
            <w:rStyle w:val="TitleChar"/>
          </w:rPr>
          <w:t>j)</w:t>
        </w:r>
      </w:hyperlink>
      <w:r w:rsidR="00AF3EFA" w:rsidRPr="00AF3EFA">
        <w:rPr>
          <w:rFonts w:cstheme="minorHAnsi"/>
        </w:rPr>
        <w:t xml:space="preserve">; </w:t>
      </w:r>
    </w:p>
    <w:p w14:paraId="49160CE2" w14:textId="36211CD1" w:rsidR="00AF3EFA" w:rsidRPr="00AF3EFA" w:rsidRDefault="00202C92" w:rsidP="00020D20">
      <w:pPr>
        <w:pStyle w:val="Body-Bullets"/>
        <w:jc w:val="both"/>
        <w:rPr>
          <w:rFonts w:cstheme="minorHAnsi"/>
        </w:rPr>
      </w:pPr>
      <w:hyperlink r:id="rId308" w:history="1">
        <w:r w:rsidR="00AF3EFA" w:rsidRPr="00C07EF6">
          <w:rPr>
            <w:rStyle w:val="TitleChar"/>
          </w:rPr>
          <w:t>49 U.S.C. § 5304</w:t>
        </w:r>
      </w:hyperlink>
      <w:r w:rsidR="00AF3EFA" w:rsidRPr="00AF3EFA">
        <w:rPr>
          <w:rFonts w:cstheme="minorHAnsi"/>
        </w:rPr>
        <w:t xml:space="preserve">; </w:t>
      </w:r>
    </w:p>
    <w:p w14:paraId="6DF90C25" w14:textId="4D4AC8E5" w:rsidR="00AF3EFA" w:rsidRPr="00AF3EFA" w:rsidRDefault="00202C92" w:rsidP="00020D20">
      <w:pPr>
        <w:pStyle w:val="Body-Bullets"/>
        <w:jc w:val="both"/>
        <w:rPr>
          <w:rFonts w:cstheme="minorHAnsi"/>
        </w:rPr>
      </w:pPr>
      <w:hyperlink r:id="rId309" w:history="1">
        <w:r w:rsidR="00AF3EFA" w:rsidRPr="00C07EF6">
          <w:rPr>
            <w:rStyle w:val="TitleChar"/>
          </w:rPr>
          <w:t xml:space="preserve">23 </w:t>
        </w:r>
        <w:r w:rsidR="009628C0">
          <w:rPr>
            <w:rStyle w:val="TitleChar"/>
          </w:rPr>
          <w:t xml:space="preserve">C.F.R. </w:t>
        </w:r>
        <w:r w:rsidR="00AF3EFA" w:rsidRPr="00C07EF6">
          <w:rPr>
            <w:rStyle w:val="TitleChar"/>
          </w:rPr>
          <w:t>§ 450.314</w:t>
        </w:r>
      </w:hyperlink>
      <w:r w:rsidR="00AF3EFA" w:rsidRPr="00AF3EFA">
        <w:rPr>
          <w:rFonts w:cstheme="minorHAnsi"/>
        </w:rPr>
        <w:t xml:space="preserve">; and </w:t>
      </w:r>
    </w:p>
    <w:p w14:paraId="0653E3AD" w14:textId="4909D880" w:rsidR="00AF3EFA" w:rsidRPr="00AF3EFA" w:rsidRDefault="00202C92" w:rsidP="00020D20">
      <w:pPr>
        <w:pStyle w:val="Body-Bullets"/>
        <w:jc w:val="both"/>
        <w:rPr>
          <w:rFonts w:cstheme="minorHAnsi"/>
        </w:rPr>
      </w:pPr>
      <w:hyperlink r:id="rId310" w:history="1">
        <w:r w:rsidR="00AF3EFA" w:rsidRPr="00C07EF6">
          <w:rPr>
            <w:rStyle w:val="TitleChar"/>
          </w:rPr>
          <w:t xml:space="preserve">49 </w:t>
        </w:r>
        <w:r w:rsidR="009628C0">
          <w:rPr>
            <w:rStyle w:val="TitleChar"/>
          </w:rPr>
          <w:t xml:space="preserve">C.F.R. </w:t>
        </w:r>
        <w:r w:rsidR="00AF3EFA" w:rsidRPr="00C07EF6">
          <w:rPr>
            <w:rStyle w:val="TitleChar"/>
          </w:rPr>
          <w:t>§ 613.100</w:t>
        </w:r>
      </w:hyperlink>
      <w:r w:rsidR="00AF3EFA" w:rsidRPr="00AF3EFA">
        <w:rPr>
          <w:rFonts w:cstheme="minorHAnsi"/>
        </w:rPr>
        <w:t xml:space="preserve">. </w:t>
      </w:r>
    </w:p>
    <w:p w14:paraId="5B521D9E" w14:textId="77777777" w:rsidR="00AF3EFA" w:rsidRPr="00AF3EFA" w:rsidRDefault="00AF3EFA" w:rsidP="00020D20">
      <w:pPr>
        <w:jc w:val="both"/>
        <w:rPr>
          <w:rFonts w:cstheme="minorHAnsi"/>
        </w:rPr>
      </w:pPr>
      <w:r w:rsidRPr="00AF3EFA">
        <w:rPr>
          <w:rFonts w:cstheme="minorHAnsi"/>
        </w:rPr>
        <w:t>Primarily, the MPO, ADOT, and public transportation agencies (as may be applicable) must cooperatively determine their mutual responsibilities, which must be identified in written agreements. To the extent possible, a single written agreement should be developed including all member agencies or groups. Written agreement(s) must include specific provisions for cooperatively developing and sharing information related to the development of financial plans that support regional transportation planning activities. Essentially, the membership must agree to cooperate in the 3-C transportation planning process.</w:t>
      </w:r>
    </w:p>
    <w:p w14:paraId="784711F5" w14:textId="3097798F" w:rsidR="00AF3EFA" w:rsidRPr="00AF3EFA" w:rsidRDefault="00AF3EFA" w:rsidP="00020D20">
      <w:pPr>
        <w:jc w:val="both"/>
        <w:rPr>
          <w:rFonts w:cstheme="minorHAnsi"/>
          <w:b/>
        </w:rPr>
      </w:pPr>
      <w:r w:rsidRPr="00AF3EFA">
        <w:rPr>
          <w:rFonts w:cstheme="minorHAnsi"/>
        </w:rPr>
        <w:t xml:space="preserve">MPOs must follow the 3-C process to be certified and eligible to receive federal funds. Completing and maintaining the documentation requirements cited in the previous chapter fulfills the 3-C planning process. In addition, the MPO must define and ratify agreements between the organization and ADOT through the annual </w:t>
      </w:r>
      <w:r w:rsidR="00BD216C">
        <w:rPr>
          <w:rFonts w:cstheme="minorHAnsi"/>
        </w:rPr>
        <w:t>GRT</w:t>
      </w:r>
      <w:r w:rsidRPr="00AF3EFA">
        <w:rPr>
          <w:rFonts w:cstheme="minorHAnsi"/>
        </w:rPr>
        <w:t xml:space="preserve"> contract, between the organization and the area public transportation operator (as may be applicable), and, if in an air quality non</w:t>
      </w:r>
      <w:r w:rsidR="009203E3">
        <w:rPr>
          <w:rFonts w:cstheme="minorHAnsi"/>
        </w:rPr>
        <w:t>-</w:t>
      </w:r>
      <w:r w:rsidRPr="00AF3EFA">
        <w:rPr>
          <w:rFonts w:cstheme="minorHAnsi"/>
        </w:rPr>
        <w:t>attainment area, between the organization and the designated air quality agency (or agencies). Should there be more than one MPO in a metropolitan area, these agreements must be inclusive of all affected agencies and organizations.</w:t>
      </w:r>
      <w:r>
        <w:rPr>
          <w:rFonts w:cstheme="minorHAnsi"/>
        </w:rPr>
        <w:t xml:space="preserve"> </w:t>
      </w:r>
    </w:p>
    <w:p w14:paraId="5988E2DB" w14:textId="050A08C9" w:rsidR="00AF3EFA" w:rsidRPr="00AF3EFA" w:rsidRDefault="007A4926" w:rsidP="00020D20">
      <w:pPr>
        <w:jc w:val="both"/>
        <w:rPr>
          <w:rFonts w:cstheme="minorHAnsi"/>
        </w:rPr>
      </w:pPr>
      <w:r>
        <w:rPr>
          <w:rFonts w:cstheme="minorHAnsi"/>
          <w:noProof/>
        </w:rPr>
        <mc:AlternateContent>
          <mc:Choice Requires="wps">
            <w:drawing>
              <wp:anchor distT="0" distB="0" distL="114300" distR="114300" simplePos="0" relativeHeight="251618499" behindDoc="1" locked="0" layoutInCell="1" allowOverlap="1" wp14:anchorId="498EED7F" wp14:editId="0151A98C">
                <wp:simplePos x="0" y="0"/>
                <wp:positionH relativeFrom="column">
                  <wp:posOffset>1371600</wp:posOffset>
                </wp:positionH>
                <wp:positionV relativeFrom="paragraph">
                  <wp:posOffset>977277</wp:posOffset>
                </wp:positionV>
                <wp:extent cx="1371600" cy="1442720"/>
                <wp:effectExtent l="76200" t="95250" r="76200" b="100330"/>
                <wp:wrapTight wrapText="bothSides">
                  <wp:wrapPolygon edited="0">
                    <wp:start x="-1200" y="-1426"/>
                    <wp:lineTo x="-1200" y="22817"/>
                    <wp:lineTo x="22500" y="22817"/>
                    <wp:lineTo x="22500" y="-1426"/>
                    <wp:lineTo x="-1200" y="-1426"/>
                  </wp:wrapPolygon>
                </wp:wrapTight>
                <wp:docPr id="816286454" name="Text Box 816286454"/>
                <wp:cNvGraphicFramePr/>
                <a:graphic xmlns:a="http://schemas.openxmlformats.org/drawingml/2006/main">
                  <a:graphicData uri="http://schemas.microsoft.com/office/word/2010/wordprocessingShape">
                    <wps:wsp>
                      <wps:cNvSpPr txBox="1"/>
                      <wps:spPr>
                        <a:xfrm>
                          <a:off x="0" y="0"/>
                          <a:ext cx="1371600" cy="144272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3E8059E" w14:textId="77777777" w:rsidR="00C6444C" w:rsidRDefault="00C6444C" w:rsidP="00020D20">
                            <w:pPr>
                              <w:jc w:val="center"/>
                            </w:pPr>
                            <w:r>
                              <w:rPr>
                                <w:noProof/>
                              </w:rPr>
                              <w:drawing>
                                <wp:inline distT="0" distB="0" distL="0" distR="0" wp14:anchorId="61F9C561" wp14:editId="46161199">
                                  <wp:extent cx="457200" cy="457200"/>
                                  <wp:effectExtent l="0" t="0" r="0" b="0"/>
                                  <wp:docPr id="1690912781" name="Picture 169091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46FF88" w14:textId="354E8351" w:rsidR="00C6444C" w:rsidRPr="00394A74" w:rsidRDefault="00C6444C" w:rsidP="00020D20">
                            <w:pPr>
                              <w:pStyle w:val="Calloutboxes"/>
                            </w:pPr>
                            <w:r w:rsidRPr="00394A74">
                              <w:t>Contracts and agreements are discussed in detail i</w:t>
                            </w:r>
                            <w:r w:rsidRPr="00954116">
                              <w:t xml:space="preserve">n chapter 4, </w:t>
                            </w:r>
                            <w:r w:rsidRPr="00020D20">
                              <w:rPr>
                                <w:i/>
                              </w:rPr>
                              <w:t>“MPO Unified Planning Work Program &amp; Contract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8EED7F" id="Text Box 816286454" o:spid="_x0000_s1098" type="#_x0000_t202" style="position:absolute;left:0;text-align:left;margin-left:108pt;margin-top:76.95pt;width:108pt;height:113.6pt;z-index:-2516979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" fillcolor="#f7f7f7" stroked="f" strokeweight=".5pt">
                <v:shadow on="t" type="perspective" color="black" opacity="26214f" offset="0,0" matrix="66847f,,,66847f"/>
                <v:textbox>
                  <w:txbxContent>
                    <w:p w14:paraId="63E8059E" w14:textId="77777777" w:rsidR="00C6444C" w:rsidRDefault="00C6444C" w:rsidP="00020D20">
                      <w:pPr>
                        <w:jc w:val="center"/>
                      </w:pPr>
                      <w:r>
                        <w:rPr>
                          <w:noProof/>
                        </w:rPr>
                        <w:drawing>
                          <wp:inline distT="0" distB="0" distL="0" distR="0" wp14:anchorId="61F9C561" wp14:editId="46161199">
                            <wp:extent cx="457200" cy="457200"/>
                            <wp:effectExtent l="0" t="0" r="0" b="0"/>
                            <wp:docPr id="1690912781" name="Picture 169091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46FF88" w14:textId="354E8351" w:rsidR="00C6444C" w:rsidRPr="00394A74" w:rsidRDefault="00C6444C" w:rsidP="00020D20">
                      <w:pPr>
                        <w:pStyle w:val="Calloutboxes"/>
                      </w:pPr>
                      <w:r w:rsidRPr="00394A74">
                        <w:t>Contracts and agreements are discussed in detail i</w:t>
                      </w:r>
                      <w:r w:rsidRPr="00954116">
                        <w:t xml:space="preserve">n chapter 4, </w:t>
                      </w:r>
                      <w:r w:rsidRPr="00020D20">
                        <w:rPr>
                          <w:i/>
                        </w:rPr>
                        <w:t>“MPO Unified Planning Work Program &amp; Contract Activities.”</w:t>
                      </w:r>
                    </w:p>
                  </w:txbxContent>
                </v:textbox>
                <w10:wrap type="tight"/>
              </v:shape>
            </w:pict>
          </mc:Fallback>
        </mc:AlternateContent>
      </w:r>
      <w:r w:rsidR="00AF3EFA" w:rsidRPr="00AF3EFA">
        <w:rPr>
          <w:rFonts w:cstheme="minorHAnsi"/>
        </w:rPr>
        <w:t>Execution of required agreements and contracts provides the basis for attaining certification of the MPO as the regional planning body. The agreements must reflect the most recent legislation/regulations and correspond fully to the 3-C planning process. Additionally, adopted planning procedures must reflect the content of agreements and contracts ratified by the MPO’s policy board.</w:t>
      </w:r>
    </w:p>
    <w:p w14:paraId="7373D953" w14:textId="77777777" w:rsidR="00AF3EFA" w:rsidRPr="00AF3EFA" w:rsidRDefault="00AF3EFA" w:rsidP="00020D20">
      <w:pPr>
        <w:pStyle w:val="Heading2"/>
      </w:pPr>
      <w:bookmarkStart w:id="125" w:name="_Ref50028361"/>
      <w:r w:rsidRPr="00AF3EFA">
        <w:t>3.7 | MPO ORGANIZATIONAL STRUCTURE</w:t>
      </w:r>
      <w:bookmarkEnd w:id="125"/>
    </w:p>
    <w:p w14:paraId="3E654954" w14:textId="4F0A2773" w:rsidR="00AF3EFA" w:rsidRPr="00AF3EFA" w:rsidRDefault="00AF3EFA" w:rsidP="00020D20">
      <w:pPr>
        <w:jc w:val="both"/>
        <w:rPr>
          <w:rFonts w:cstheme="minorHAnsi"/>
        </w:rPr>
      </w:pPr>
      <w:r w:rsidRPr="00AF3EFA">
        <w:rPr>
          <w:rFonts w:cstheme="minorHAnsi"/>
        </w:rPr>
        <w:t xml:space="preserve">The organizational structure of an MPO is determined by agreement between its members during the designation process and documented in the MPO bylaws. It is customary for an MPO to have a governing board charged with setting policy for the transportation planning process in the designated MPA. </w:t>
      </w:r>
    </w:p>
    <w:p w14:paraId="4EBADEE0" w14:textId="7041612F" w:rsidR="00AF3EFA" w:rsidRDefault="00AF3EFA" w:rsidP="00020D20">
      <w:pPr>
        <w:jc w:val="both"/>
        <w:rPr>
          <w:rFonts w:cstheme="minorHAnsi"/>
        </w:rPr>
      </w:pPr>
      <w:r w:rsidRPr="00AF3EFA">
        <w:rPr>
          <w:rFonts w:cstheme="minorHAnsi"/>
        </w:rPr>
        <w:t>The governing board generally is assisted in its activities by an executive director, a professional staff, and advisory committees, as may be deemed necessary or appropriate. This section presents a generalized structure and composition of MPO governance and outlines the principal characteristics of the organizational elements of an MPO.</w:t>
      </w:r>
      <w:r w:rsidR="00F9550D">
        <w:rPr>
          <w:rFonts w:cstheme="minorHAnsi"/>
        </w:rPr>
        <w:t xml:space="preserve"> </w:t>
      </w:r>
      <w:r w:rsidR="00F9550D" w:rsidRPr="00AF3EFA">
        <w:rPr>
          <w:rFonts w:cstheme="minorHAnsi"/>
        </w:rPr>
        <w:t>An organizational chart for a typical MPO is shown in Figure 3-2.</w:t>
      </w:r>
    </w:p>
    <w:p w14:paraId="4D006379" w14:textId="3530BEC8" w:rsidR="005D36CF" w:rsidRDefault="005D36CF" w:rsidP="00020D20">
      <w:pPr>
        <w:pStyle w:val="Heading4"/>
        <w:jc w:val="both"/>
      </w:pPr>
      <w:r w:rsidRPr="005D36CF">
        <w:t>Figure 3-2 | MPO Organizational Structure</w:t>
      </w:r>
    </w:p>
    <w:p w14:paraId="36AFB2DE" w14:textId="54882919" w:rsidR="00186FFF" w:rsidRPr="00186FFF" w:rsidRDefault="002022BB" w:rsidP="00020D20">
      <w:pPr>
        <w:jc w:val="both"/>
      </w:pPr>
      <w:r>
        <w:rPr>
          <w:noProof/>
        </w:rPr>
        <w:drawing>
          <wp:inline distT="0" distB="0" distL="0" distR="0" wp14:anchorId="069D8BA3" wp14:editId="34E21C8D">
            <wp:extent cx="2743200" cy="1582420"/>
            <wp:effectExtent l="0" t="0" r="0" b="0"/>
            <wp:docPr id="6" name="Picture 6"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_Figure3-2_MPO-Organization-Structure.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743200" cy="1582420"/>
                    </a:xfrm>
                    <a:prstGeom prst="rect">
                      <a:avLst/>
                    </a:prstGeom>
                  </pic:spPr>
                </pic:pic>
              </a:graphicData>
            </a:graphic>
          </wp:inline>
        </w:drawing>
      </w:r>
    </w:p>
    <w:p w14:paraId="72051C87" w14:textId="77777777" w:rsidR="00AF3EFA" w:rsidRPr="00AF3EFA" w:rsidRDefault="00AF3EFA" w:rsidP="00020D20">
      <w:pPr>
        <w:pStyle w:val="Heading3"/>
        <w:jc w:val="both"/>
        <w:rPr>
          <w:rFonts w:cstheme="minorHAnsi"/>
          <w:szCs w:val="20"/>
        </w:rPr>
      </w:pPr>
      <w:bookmarkStart w:id="126" w:name="_Ref50028365"/>
      <w:r w:rsidRPr="00AF3EFA">
        <w:rPr>
          <w:rFonts w:cstheme="minorHAnsi"/>
          <w:szCs w:val="20"/>
        </w:rPr>
        <w:t>3.7.1 | Policy Board</w:t>
      </w:r>
      <w:bookmarkEnd w:id="126"/>
    </w:p>
    <w:p w14:paraId="6C7A2C77" w14:textId="77777777" w:rsidR="005D36CF" w:rsidRPr="005D36CF" w:rsidRDefault="00AF3EFA" w:rsidP="00020D20">
      <w:pPr>
        <w:jc w:val="both"/>
        <w:rPr>
          <w:rFonts w:cstheme="minorHAnsi"/>
        </w:rPr>
      </w:pPr>
      <w:r w:rsidRPr="00AF3EFA">
        <w:rPr>
          <w:rFonts w:cstheme="minorHAnsi"/>
        </w:rPr>
        <w:t>The policy board serves as the decision-making body of the MPO as well as the primary forum for</w:t>
      </w:r>
      <w:r w:rsidR="005D36CF">
        <w:rPr>
          <w:rFonts w:cstheme="minorHAnsi"/>
        </w:rPr>
        <w:t xml:space="preserve"> </w:t>
      </w:r>
      <w:r w:rsidR="005D36CF" w:rsidRPr="005D36CF">
        <w:rPr>
          <w:rFonts w:cstheme="minorHAnsi"/>
        </w:rPr>
        <w:t>stakeholder input into the MPO decision-making process. The policy board is the key element of an MPO’s composition and function. Each policy board member has the legal authority to speak and act in the MPO setting on behalf of the jurisdiction that he or she represents. The policy board debates issues, proposals, and projects and makes decisions regarding key MPO actions relating to the federal transportation planning process. It plays an active role in key decisions or at important milestones associated with MPO plans and studies, as well as conducts public hearings and meetings. The policy board makes specific prioritization recommendations regarding future projects in the region after formally reviewing, discussing, and adopting plans developed through regional collaboration.</w:t>
      </w:r>
    </w:p>
    <w:p w14:paraId="2608B9FB" w14:textId="0C1EFD85" w:rsidR="005D36CF" w:rsidRPr="005D36CF" w:rsidRDefault="005D36CF" w:rsidP="00020D20">
      <w:pPr>
        <w:jc w:val="both"/>
        <w:rPr>
          <w:rFonts w:cstheme="minorHAnsi"/>
        </w:rPr>
      </w:pPr>
      <w:r w:rsidRPr="005D36CF">
        <w:rPr>
          <w:rFonts w:cstheme="minorHAnsi"/>
        </w:rPr>
        <w:t xml:space="preserve">Federal law provides authority to states and their local governments to determine the composition of an MPO, as prescribed in </w:t>
      </w:r>
      <w:hyperlink r:id="rId312" w:history="1">
        <w:r w:rsidRPr="00020D20">
          <w:rPr>
            <w:rStyle w:val="TitleChar"/>
          </w:rPr>
          <w:t>23 U.S.C. § 134(d)(2)</w:t>
        </w:r>
      </w:hyperlink>
      <w:r w:rsidRPr="005D36CF">
        <w:rPr>
          <w:rFonts w:cstheme="minorHAnsi"/>
        </w:rPr>
        <w:t xml:space="preserve">, </w:t>
      </w:r>
      <w:hyperlink r:id="rId313" w:history="1">
        <w:r w:rsidRPr="00020D20">
          <w:rPr>
            <w:rStyle w:val="TitleChar"/>
          </w:rPr>
          <w:t>49 U.S.C. § 5303(d)</w:t>
        </w:r>
      </w:hyperlink>
      <w:r w:rsidRPr="005D36CF">
        <w:rPr>
          <w:rFonts w:cstheme="minorHAnsi"/>
        </w:rPr>
        <w:t xml:space="preserve">, </w:t>
      </w:r>
      <w:hyperlink r:id="rId314" w:history="1">
        <w:r w:rsidRPr="00020D20">
          <w:rPr>
            <w:rStyle w:val="TitleChar"/>
          </w:rPr>
          <w:t xml:space="preserve">23 </w:t>
        </w:r>
        <w:r w:rsidR="009628C0">
          <w:rPr>
            <w:rStyle w:val="TitleChar"/>
          </w:rPr>
          <w:t xml:space="preserve">C.F.R. </w:t>
        </w:r>
        <w:r w:rsidRPr="00020D20">
          <w:rPr>
            <w:rStyle w:val="TitleChar"/>
          </w:rPr>
          <w:t>§ 450.310</w:t>
        </w:r>
      </w:hyperlink>
      <w:r w:rsidRPr="005D36CF">
        <w:rPr>
          <w:rFonts w:cstheme="minorHAnsi"/>
        </w:rPr>
        <w:t xml:space="preserve">, and </w:t>
      </w:r>
      <w:hyperlink r:id="rId315" w:history="1">
        <w:r w:rsidRPr="00020D20">
          <w:rPr>
            <w:rStyle w:val="TitleChar"/>
          </w:rPr>
          <w:t xml:space="preserve">49 </w:t>
        </w:r>
        <w:r w:rsidR="009628C0">
          <w:rPr>
            <w:rStyle w:val="TitleChar"/>
          </w:rPr>
          <w:t xml:space="preserve">C.F.R. </w:t>
        </w:r>
        <w:r w:rsidRPr="00020D20">
          <w:rPr>
            <w:rStyle w:val="TitleChar"/>
          </w:rPr>
          <w:t>§ 613.100</w:t>
        </w:r>
      </w:hyperlink>
      <w:r w:rsidRPr="005D36CF">
        <w:rPr>
          <w:rFonts w:cstheme="minorHAnsi"/>
        </w:rPr>
        <w:t xml:space="preserve">. There is wide variation in policy board size, which is dependent on a number of factors that vary by locality and size of the MPA. </w:t>
      </w:r>
    </w:p>
    <w:p w14:paraId="37D3A9A0" w14:textId="77777777" w:rsidR="005D36CF" w:rsidRPr="005D36CF" w:rsidRDefault="005D36CF" w:rsidP="00020D20">
      <w:pPr>
        <w:jc w:val="both"/>
        <w:rPr>
          <w:rFonts w:cstheme="minorHAnsi"/>
        </w:rPr>
      </w:pPr>
      <w:r w:rsidRPr="005D36CF">
        <w:rPr>
          <w:rFonts w:cstheme="minorHAnsi"/>
        </w:rPr>
        <w:t xml:space="preserve">Most boards generally have 9 to 18 members. Board membership and the number of seats are cooperatively designated by the governor and local jurisdictions representing at least 75 percent of the UZA population. It is important to note that federal law does not require the MPO policy board members to be representative of the planning area’s population in regard to racial, ethnic, gender, or other socioeconomic criteria; that is, the socioeconomic mix of the MPA does not need to be reflected in the policy board membership. </w:t>
      </w:r>
    </w:p>
    <w:p w14:paraId="4E1F37FD" w14:textId="77777777" w:rsidR="005D36CF" w:rsidRPr="005D36CF" w:rsidRDefault="005D36CF" w:rsidP="00020D20">
      <w:pPr>
        <w:jc w:val="both"/>
        <w:rPr>
          <w:rFonts w:cstheme="minorHAnsi"/>
        </w:rPr>
      </w:pPr>
      <w:r w:rsidRPr="005D36CF">
        <w:rPr>
          <w:rFonts w:cstheme="minorHAnsi"/>
        </w:rPr>
        <w:t>Adopted bylaws regulate policy board composition and voting rights, nonvoting membership, as well as the composition of any advisory committees. Intergovernmental politics and demographics may lead some board seats to be treated differently than others (e.g., a dominant county may have more voting power). Also, an imbalance among member populations is often addressed through seat rotation, allocation of seats, and, although more exception than rule, weighted voting. A dominant member is a permanent position on the board and therefore may not be involved in the seat rotation.</w:t>
      </w:r>
    </w:p>
    <w:p w14:paraId="1EB3CF16" w14:textId="77777777" w:rsidR="005D36CF" w:rsidRPr="005D36CF" w:rsidRDefault="005D36CF" w:rsidP="00020D20">
      <w:pPr>
        <w:pStyle w:val="Heading3"/>
        <w:jc w:val="both"/>
        <w:rPr>
          <w:rFonts w:cstheme="minorHAnsi"/>
          <w:szCs w:val="20"/>
        </w:rPr>
      </w:pPr>
      <w:bookmarkStart w:id="127" w:name="_Ref50028369"/>
      <w:r w:rsidRPr="005D36CF">
        <w:rPr>
          <w:rFonts w:cstheme="minorHAnsi"/>
          <w:szCs w:val="20"/>
        </w:rPr>
        <w:t>3.7.2 | Executive/Management Committee</w:t>
      </w:r>
      <w:bookmarkEnd w:id="127"/>
    </w:p>
    <w:p w14:paraId="68BC824A" w14:textId="19D773E0" w:rsidR="00AF3EFA" w:rsidRDefault="005D36CF" w:rsidP="00020D20">
      <w:pPr>
        <w:jc w:val="both"/>
        <w:rPr>
          <w:rFonts w:cstheme="minorHAnsi"/>
        </w:rPr>
      </w:pPr>
      <w:r w:rsidRPr="005D36CF">
        <w:rPr>
          <w:rFonts w:cstheme="minorHAnsi"/>
        </w:rPr>
        <w:t>As shown in Figure 3-1, an executive/management committee may be created, which becomes a top-level body providing guidance and oversight for the policy board. The members of this committee</w:t>
      </w:r>
      <w:r>
        <w:rPr>
          <w:rFonts w:cstheme="minorHAnsi"/>
        </w:rPr>
        <w:t xml:space="preserve"> </w:t>
      </w:r>
      <w:r w:rsidRPr="005D36CF">
        <w:rPr>
          <w:rFonts w:cstheme="minorHAnsi"/>
        </w:rPr>
        <w:t>typically are elected or appointed officials of one or more of the MPO’s constituent local jurisdictions.</w:t>
      </w:r>
    </w:p>
    <w:p w14:paraId="0F54B65D" w14:textId="6692D43C" w:rsidR="005D36CF" w:rsidRPr="005D36CF" w:rsidRDefault="005D36CF" w:rsidP="00020D20">
      <w:pPr>
        <w:pStyle w:val="Heading3"/>
        <w:jc w:val="both"/>
        <w:rPr>
          <w:rFonts w:cstheme="minorHAnsi"/>
          <w:szCs w:val="20"/>
        </w:rPr>
      </w:pPr>
      <w:bookmarkStart w:id="128" w:name="_Ref50028372"/>
      <w:r w:rsidRPr="005D36CF">
        <w:rPr>
          <w:rFonts w:cstheme="minorHAnsi"/>
          <w:szCs w:val="20"/>
        </w:rPr>
        <w:t>3.7.3 | Advisory Committees</w:t>
      </w:r>
      <w:bookmarkEnd w:id="128"/>
    </w:p>
    <w:p w14:paraId="6F96B1FC" w14:textId="16A294A7" w:rsidR="00DB405C" w:rsidRDefault="005D36CF" w:rsidP="00020D20">
      <w:pPr>
        <w:jc w:val="both"/>
        <w:rPr>
          <w:rFonts w:cstheme="minorHAnsi"/>
        </w:rPr>
      </w:pPr>
      <w:r w:rsidRPr="005D36CF">
        <w:rPr>
          <w:rFonts w:cstheme="minorHAnsi"/>
        </w:rPr>
        <w:t xml:space="preserve">The policy board may establish advisory committees as it deems necessary or desirable to carry out its functions and responsibilities. Typical committees and subcommittees may be mode-oriented (e.g., roadway and transit), issue-oriented (e.g., sustainability), or focused on special needs (e.g., Environmental Justice matters, socioeconomic projections, bicycle and pedestrian facilities, and travel demand forecasts). Examples of the different committees currently available within the MPOs and COGs are shown in table 3-2. </w:t>
      </w:r>
    </w:p>
    <w:p w14:paraId="20372DE3" w14:textId="53086489" w:rsidR="005D36CF" w:rsidRDefault="005D36CF" w:rsidP="00020D20">
      <w:pPr>
        <w:pStyle w:val="Heading4"/>
        <w:jc w:val="both"/>
        <w:rPr>
          <w:rFonts w:cstheme="minorHAnsi"/>
        </w:rPr>
      </w:pPr>
      <w:r w:rsidRPr="005D36CF">
        <w:rPr>
          <w:rFonts w:cstheme="minorHAnsi"/>
        </w:rPr>
        <w:t>Table 3-2 | MPO Advisory Committees</w:t>
      </w:r>
    </w:p>
    <w:tbl>
      <w:tblPr>
        <w:tblW w:w="4594" w:type="dxa"/>
        <w:tblInd w:w="-10" w:type="dxa"/>
        <w:tblLayout w:type="fixed"/>
        <w:tblCellMar>
          <w:left w:w="0" w:type="dxa"/>
          <w:right w:w="0" w:type="dxa"/>
        </w:tblCellMar>
        <w:tblLook w:val="0000" w:firstRow="0" w:lastRow="0" w:firstColumn="0" w:lastColumn="0" w:noHBand="0" w:noVBand="0"/>
      </w:tblPr>
      <w:tblGrid>
        <w:gridCol w:w="1080"/>
        <w:gridCol w:w="3514"/>
      </w:tblGrid>
      <w:tr w:rsidR="005D36CF" w14:paraId="19EBCF76" w14:textId="77777777" w:rsidTr="00020D20">
        <w:trPr>
          <w:trHeight w:val="20"/>
        </w:trPr>
        <w:tc>
          <w:tcPr>
            <w:tcW w:w="1080" w:type="dxa"/>
            <w:tcBorders>
              <w:top w:val="single" w:sz="8" w:space="0" w:color="auto"/>
              <w:left w:val="single" w:sz="4" w:space="0" w:color="auto"/>
              <w:bottom w:val="single" w:sz="8" w:space="0" w:color="auto"/>
              <w:right w:val="single" w:sz="8" w:space="0" w:color="FFFFFF" w:themeColor="background1"/>
            </w:tcBorders>
            <w:shd w:val="clear" w:color="auto" w:fill="012768"/>
            <w:tcMar>
              <w:top w:w="80" w:type="dxa"/>
              <w:left w:w="80" w:type="dxa"/>
              <w:bottom w:w="80" w:type="dxa"/>
              <w:right w:w="180" w:type="dxa"/>
            </w:tcMar>
            <w:vAlign w:val="center"/>
          </w:tcPr>
          <w:p w14:paraId="09E3D4FB" w14:textId="77777777" w:rsidR="005D36CF" w:rsidRPr="00020D20" w:rsidRDefault="005D36CF" w:rsidP="00020D20">
            <w:pPr>
              <w:pStyle w:val="BasicParagraph"/>
              <w:tabs>
                <w:tab w:val="left" w:pos="180"/>
                <w:tab w:val="left" w:pos="360"/>
                <w:tab w:val="left" w:pos="540"/>
                <w:tab w:val="left" w:pos="720"/>
              </w:tabs>
              <w:spacing w:line="240" w:lineRule="auto"/>
              <w:contextualSpacing/>
              <w:jc w:val="center"/>
              <w:rPr>
                <w:rFonts w:ascii="Calibri" w:hAnsi="Calibri" w:cs="Calibri"/>
                <w:color w:val="FFFFFF" w:themeColor="background1"/>
                <w:sz w:val="22"/>
                <w:szCs w:val="20"/>
              </w:rPr>
            </w:pPr>
            <w:r w:rsidRPr="00020D20">
              <w:rPr>
                <w:rFonts w:ascii="Calibri" w:hAnsi="Calibri" w:cs="Calibri"/>
                <w:color w:val="FFFFFF" w:themeColor="background1"/>
                <w:sz w:val="22"/>
                <w:szCs w:val="20"/>
              </w:rPr>
              <w:t>Agency</w:t>
            </w:r>
          </w:p>
        </w:tc>
        <w:tc>
          <w:tcPr>
            <w:tcW w:w="3514" w:type="dxa"/>
            <w:tcBorders>
              <w:top w:val="single" w:sz="8" w:space="0" w:color="auto"/>
              <w:left w:val="single" w:sz="8" w:space="0" w:color="FFFFFF" w:themeColor="background1"/>
              <w:bottom w:val="single" w:sz="8" w:space="0" w:color="auto"/>
            </w:tcBorders>
            <w:shd w:val="clear" w:color="auto" w:fill="012768"/>
            <w:tcMar>
              <w:top w:w="80" w:type="dxa"/>
              <w:left w:w="180" w:type="dxa"/>
              <w:bottom w:w="80" w:type="dxa"/>
              <w:right w:w="80" w:type="dxa"/>
            </w:tcMar>
            <w:vAlign w:val="center"/>
          </w:tcPr>
          <w:p w14:paraId="046E6380" w14:textId="77777777" w:rsidR="005D36CF" w:rsidRPr="00020D20" w:rsidRDefault="005D36CF">
            <w:pPr>
              <w:pStyle w:val="BasicParagraph"/>
              <w:tabs>
                <w:tab w:val="left" w:pos="180"/>
                <w:tab w:val="left" w:pos="360"/>
                <w:tab w:val="left" w:pos="540"/>
                <w:tab w:val="left" w:pos="720"/>
              </w:tabs>
              <w:spacing w:line="240" w:lineRule="auto"/>
              <w:contextualSpacing/>
              <w:jc w:val="center"/>
              <w:rPr>
                <w:rFonts w:ascii="Calibri" w:hAnsi="Calibri" w:cs="Calibri"/>
                <w:color w:val="FFFFFF" w:themeColor="background1"/>
                <w:sz w:val="22"/>
                <w:szCs w:val="20"/>
              </w:rPr>
            </w:pPr>
            <w:r w:rsidRPr="00020D20">
              <w:rPr>
                <w:rFonts w:ascii="Calibri" w:hAnsi="Calibri" w:cs="Calibri"/>
                <w:color w:val="FFFFFF" w:themeColor="background1"/>
                <w:sz w:val="22"/>
                <w:szCs w:val="20"/>
              </w:rPr>
              <w:t>Committees Link</w:t>
            </w:r>
          </w:p>
        </w:tc>
      </w:tr>
      <w:tr w:rsidR="005D36CF" w14:paraId="047DFEBC" w14:textId="77777777" w:rsidTr="00020D20">
        <w:trPr>
          <w:trHeight w:val="20"/>
        </w:trPr>
        <w:tc>
          <w:tcPr>
            <w:tcW w:w="1080" w:type="dxa"/>
            <w:tcBorders>
              <w:top w:val="single" w:sz="8" w:space="0" w:color="auto"/>
              <w:left w:val="single" w:sz="8" w:space="0" w:color="323232"/>
              <w:bottom w:val="single" w:sz="8" w:space="0" w:color="323232"/>
              <w:right w:val="single" w:sz="8" w:space="0" w:color="323232"/>
            </w:tcBorders>
            <w:tcMar>
              <w:top w:w="80" w:type="dxa"/>
              <w:left w:w="80" w:type="dxa"/>
              <w:bottom w:w="80" w:type="dxa"/>
              <w:right w:w="180" w:type="dxa"/>
            </w:tcMar>
            <w:vAlign w:val="center"/>
          </w:tcPr>
          <w:p w14:paraId="0682B0EC" w14:textId="77777777" w:rsidR="005D36CF" w:rsidRPr="009258D9" w:rsidRDefault="005D36CF"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sidRPr="009258D9">
              <w:rPr>
                <w:rFonts w:ascii="Calibri" w:hAnsi="Calibri" w:cs="Calibri"/>
                <w:b/>
                <w:bCs/>
                <w:color w:val="323232"/>
                <w:sz w:val="18"/>
                <w:szCs w:val="20"/>
              </w:rPr>
              <w:t>MAG</w:t>
            </w:r>
          </w:p>
        </w:tc>
        <w:tc>
          <w:tcPr>
            <w:tcW w:w="3514" w:type="dxa"/>
            <w:tcBorders>
              <w:top w:val="single" w:sz="8" w:space="0" w:color="auto"/>
              <w:left w:val="single" w:sz="8" w:space="0" w:color="323232"/>
              <w:bottom w:val="single" w:sz="8" w:space="0" w:color="323232"/>
              <w:right w:val="single" w:sz="8" w:space="0" w:color="323232"/>
            </w:tcBorders>
            <w:tcMar>
              <w:top w:w="80" w:type="dxa"/>
              <w:left w:w="180" w:type="dxa"/>
              <w:bottom w:w="80" w:type="dxa"/>
              <w:right w:w="80" w:type="dxa"/>
            </w:tcMar>
            <w:vAlign w:val="center"/>
          </w:tcPr>
          <w:p w14:paraId="5EC9F30C" w14:textId="527D55F9" w:rsidR="005D36CF" w:rsidRPr="00020D20" w:rsidRDefault="00202C92">
            <w:pPr>
              <w:pStyle w:val="Title"/>
              <w:rPr>
                <w:sz w:val="16"/>
              </w:rPr>
            </w:pPr>
            <w:hyperlink r:id="rId316" w:history="1">
              <w:r w:rsidR="0039064E" w:rsidRPr="00020D20">
                <w:rPr>
                  <w:rStyle w:val="Hyperlink"/>
                  <w:rFonts w:asciiTheme="minorHAnsi" w:hAnsiTheme="minorHAnsi" w:cstheme="majorBidi"/>
                  <w:i/>
                  <w:color w:val="CE5B18"/>
                  <w:szCs w:val="56"/>
                  <w:u w:val="none"/>
                </w:rPr>
                <w:t>https://www.azmag.gov/Committees</w:t>
              </w:r>
            </w:hyperlink>
          </w:p>
        </w:tc>
      </w:tr>
      <w:tr w:rsidR="005D36CF" w14:paraId="36BD051F"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70A230EF" w14:textId="77777777" w:rsidR="005D36CF" w:rsidRPr="009258D9" w:rsidRDefault="005D36CF"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sidRPr="009258D9">
              <w:rPr>
                <w:rFonts w:ascii="Calibri" w:hAnsi="Calibri" w:cs="Calibri"/>
                <w:b/>
                <w:bCs/>
                <w:color w:val="323232"/>
                <w:sz w:val="18"/>
                <w:szCs w:val="20"/>
              </w:rPr>
              <w:t>PAG</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193C3B56" w14:textId="03071326" w:rsidR="005D36CF" w:rsidRPr="00020D20" w:rsidRDefault="00407829">
            <w:pPr>
              <w:pStyle w:val="Title"/>
              <w:rPr>
                <w:sz w:val="16"/>
              </w:rPr>
            </w:pPr>
            <w:r w:rsidRPr="00407829">
              <w:rPr>
                <w:sz w:val="16"/>
              </w:rPr>
              <w:t>https://mk0pagrtahost21swg12.kinstacdn.com/wp-content/docs/2020/07/2020PAGCommitteeFactSheets070220FINAL.pdf</w:t>
            </w:r>
          </w:p>
        </w:tc>
      </w:tr>
      <w:tr w:rsidR="0039064E" w14:paraId="509B9692"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0C7A368E" w14:textId="09E767D8"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sidRPr="009258D9">
              <w:rPr>
                <w:rFonts w:ascii="Calibri" w:hAnsi="Calibri" w:cs="Calibri"/>
                <w:b/>
                <w:bCs/>
                <w:color w:val="323232"/>
                <w:sz w:val="18"/>
                <w:szCs w:val="20"/>
              </w:rPr>
              <w:t>CYMPO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478B9338" w14:textId="4C984DA4" w:rsidR="0039064E" w:rsidRPr="00020D20" w:rsidRDefault="00202C92">
            <w:pPr>
              <w:pStyle w:val="Title"/>
              <w:rPr>
                <w:sz w:val="16"/>
              </w:rPr>
            </w:pPr>
            <w:hyperlink r:id="rId317" w:history="1">
              <w:r w:rsidR="0039064E" w:rsidRPr="00020D20">
                <w:rPr>
                  <w:rStyle w:val="Hyperlink"/>
                  <w:rFonts w:asciiTheme="minorHAnsi" w:hAnsiTheme="minorHAnsi" w:cstheme="majorBidi"/>
                  <w:i/>
                  <w:color w:val="CE5B18"/>
                  <w:szCs w:val="56"/>
                  <w:u w:val="none"/>
                </w:rPr>
                <w:t>https://www.cympo.org/technical-advisory-committee/</w:t>
              </w:r>
            </w:hyperlink>
          </w:p>
        </w:tc>
      </w:tr>
      <w:tr w:rsidR="0039064E" w14:paraId="58E01621"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7BEC46F6" w14:textId="762D9B10" w:rsidR="0039064E" w:rsidRPr="009258D9" w:rsidRDefault="000441B5"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Pr>
                <w:rFonts w:ascii="Calibri" w:hAnsi="Calibri" w:cs="Calibri"/>
                <w:b/>
                <w:bCs/>
                <w:color w:val="323232"/>
                <w:sz w:val="18"/>
                <w:szCs w:val="20"/>
              </w:rPr>
              <w:t>FMPO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326B4919" w14:textId="3911D90A" w:rsidR="0039064E" w:rsidRPr="00020D20" w:rsidRDefault="00202C92">
            <w:pPr>
              <w:pStyle w:val="Title"/>
              <w:rPr>
                <w:sz w:val="16"/>
              </w:rPr>
            </w:pPr>
            <w:hyperlink r:id="rId318" w:history="1">
              <w:r w:rsidR="00FD52EC" w:rsidRPr="00020D20">
                <w:rPr>
                  <w:rStyle w:val="Hyperlink"/>
                  <w:rFonts w:asciiTheme="minorHAnsi" w:hAnsiTheme="minorHAnsi" w:cstheme="majorBidi"/>
                  <w:i/>
                  <w:color w:val="CE5B18"/>
                  <w:szCs w:val="56"/>
                  <w:u w:val="none"/>
                </w:rPr>
                <w:t>https://www.metroplanflg.org/who-we-are</w:t>
              </w:r>
            </w:hyperlink>
          </w:p>
        </w:tc>
      </w:tr>
      <w:tr w:rsidR="0039064E" w14:paraId="0C719C20"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27BDC5DC" w14:textId="77777777"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sidRPr="009258D9">
              <w:rPr>
                <w:rFonts w:ascii="Calibri" w:hAnsi="Calibri" w:cs="Calibri"/>
                <w:b/>
                <w:bCs/>
                <w:color w:val="323232"/>
                <w:sz w:val="18"/>
                <w:szCs w:val="20"/>
              </w:rPr>
              <w:t>LHMPO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365C428B" w14:textId="6EEC41BE" w:rsidR="0039064E" w:rsidRPr="00020D20" w:rsidRDefault="00202C92">
            <w:pPr>
              <w:pStyle w:val="Title"/>
              <w:rPr>
                <w:sz w:val="16"/>
              </w:rPr>
            </w:pPr>
            <w:hyperlink r:id="rId319" w:history="1">
              <w:r w:rsidR="0039064E" w:rsidRPr="00020D20">
                <w:rPr>
                  <w:rStyle w:val="Hyperlink"/>
                  <w:rFonts w:asciiTheme="minorHAnsi" w:hAnsiTheme="minorHAnsi" w:cstheme="majorBidi"/>
                  <w:i/>
                  <w:color w:val="CE5B18"/>
                  <w:szCs w:val="56"/>
                  <w:u w:val="none"/>
                </w:rPr>
                <w:t>http://www.lhmpo.org/committees</w:t>
              </w:r>
            </w:hyperlink>
          </w:p>
        </w:tc>
      </w:tr>
      <w:tr w:rsidR="0039064E" w14:paraId="596FD37C"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209A91E4" w14:textId="124312C1"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b/>
                <w:bCs/>
                <w:color w:val="323232"/>
                <w:sz w:val="18"/>
                <w:szCs w:val="20"/>
              </w:rPr>
            </w:pPr>
            <w:r w:rsidRPr="009258D9">
              <w:rPr>
                <w:rFonts w:ascii="Calibri" w:hAnsi="Calibri" w:cs="Calibri"/>
                <w:b/>
                <w:bCs/>
                <w:color w:val="323232"/>
                <w:sz w:val="18"/>
                <w:szCs w:val="20"/>
              </w:rPr>
              <w:t>SCMPO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64DBA5AD" w14:textId="14B8D7FF" w:rsidR="0039064E" w:rsidRPr="00020D20" w:rsidRDefault="00202C92">
            <w:pPr>
              <w:pStyle w:val="Title"/>
              <w:rPr>
                <w:sz w:val="16"/>
              </w:rPr>
            </w:pPr>
            <w:hyperlink r:id="rId320" w:history="1">
              <w:r w:rsidR="0039064E" w:rsidRPr="00020D20">
                <w:rPr>
                  <w:rStyle w:val="Hyperlink"/>
                  <w:rFonts w:asciiTheme="minorHAnsi" w:hAnsiTheme="minorHAnsi" w:cstheme="majorBidi"/>
                  <w:i/>
                  <w:color w:val="CE5B18"/>
                  <w:szCs w:val="56"/>
                  <w:u w:val="none"/>
                </w:rPr>
                <w:t>https://scmpo.org/tac/</w:t>
              </w:r>
            </w:hyperlink>
          </w:p>
        </w:tc>
      </w:tr>
      <w:tr w:rsidR="0039064E" w14:paraId="0D33A462"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7D7F31FE" w14:textId="77777777"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sidRPr="009258D9">
              <w:rPr>
                <w:rFonts w:ascii="Calibri" w:hAnsi="Calibri" w:cs="Calibri"/>
                <w:b/>
                <w:bCs/>
                <w:color w:val="323232"/>
                <w:sz w:val="18"/>
                <w:szCs w:val="20"/>
              </w:rPr>
              <w:t>SVMPO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13ADCA39" w14:textId="3D4061D4" w:rsidR="0039064E" w:rsidRPr="00020D20" w:rsidRDefault="00202C92">
            <w:pPr>
              <w:pStyle w:val="Title"/>
              <w:rPr>
                <w:sz w:val="16"/>
              </w:rPr>
            </w:pPr>
            <w:hyperlink r:id="rId321" w:history="1">
              <w:r w:rsidR="0039064E" w:rsidRPr="00020D20">
                <w:rPr>
                  <w:rStyle w:val="Hyperlink"/>
                  <w:rFonts w:asciiTheme="minorHAnsi" w:hAnsiTheme="minorHAnsi" w:cstheme="majorBidi"/>
                  <w:i/>
                  <w:color w:val="CE5B18"/>
                  <w:szCs w:val="56"/>
                  <w:u w:val="none"/>
                </w:rPr>
                <w:t>https://www.svmpo.org/boards-and-committees/</w:t>
              </w:r>
            </w:hyperlink>
          </w:p>
        </w:tc>
      </w:tr>
      <w:tr w:rsidR="0039064E" w14:paraId="60C29FDF"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1135F582" w14:textId="77777777"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sidRPr="009258D9">
              <w:rPr>
                <w:rFonts w:ascii="Calibri" w:hAnsi="Calibri" w:cs="Calibri"/>
                <w:b/>
                <w:bCs/>
                <w:color w:val="323232"/>
                <w:sz w:val="18"/>
                <w:szCs w:val="20"/>
              </w:rPr>
              <w:t>YMPO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5E182EA7" w14:textId="6E6C6349" w:rsidR="0039064E" w:rsidRPr="00020D20" w:rsidRDefault="00202C92">
            <w:pPr>
              <w:pStyle w:val="Title"/>
              <w:rPr>
                <w:sz w:val="16"/>
              </w:rPr>
            </w:pPr>
            <w:hyperlink r:id="rId322" w:history="1">
              <w:r w:rsidR="0039064E" w:rsidRPr="00020D20">
                <w:rPr>
                  <w:rStyle w:val="Hyperlink"/>
                  <w:rFonts w:asciiTheme="minorHAnsi" w:hAnsiTheme="minorHAnsi" w:cstheme="majorBidi"/>
                  <w:i/>
                  <w:color w:val="CE5B18"/>
                  <w:szCs w:val="56"/>
                  <w:u w:val="none"/>
                </w:rPr>
                <w:t>https://ympo.org/about-us/technical-advisory-committee/</w:t>
              </w:r>
            </w:hyperlink>
          </w:p>
        </w:tc>
      </w:tr>
      <w:tr w:rsidR="0039064E" w14:paraId="00F8E57D"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257C1ABC" w14:textId="659DCF74"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sz w:val="18"/>
                <w:szCs w:val="20"/>
              </w:rPr>
            </w:pPr>
            <w:r>
              <w:rPr>
                <w:rFonts w:ascii="Calibri" w:hAnsi="Calibri" w:cs="Calibri"/>
                <w:b/>
                <w:bCs/>
                <w:color w:val="323232"/>
                <w:sz w:val="18"/>
                <w:szCs w:val="20"/>
              </w:rPr>
              <w:t>CAG</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251A6747" w14:textId="0CCE68F9" w:rsidR="0039064E" w:rsidRPr="00020D20" w:rsidRDefault="00202C92">
            <w:pPr>
              <w:pStyle w:val="Title"/>
              <w:rPr>
                <w:sz w:val="16"/>
              </w:rPr>
            </w:pPr>
            <w:hyperlink r:id="rId323" w:history="1">
              <w:r w:rsidR="0039064E" w:rsidRPr="00020D20">
                <w:rPr>
                  <w:rStyle w:val="Hyperlink"/>
                  <w:rFonts w:asciiTheme="minorHAnsi" w:hAnsiTheme="minorHAnsi" w:cstheme="majorBidi"/>
                  <w:i/>
                  <w:color w:val="CE5B18"/>
                  <w:szCs w:val="56"/>
                  <w:u w:val="none"/>
                </w:rPr>
                <w:t>http://www.cagaz.org/committees.html</w:t>
              </w:r>
            </w:hyperlink>
          </w:p>
        </w:tc>
      </w:tr>
      <w:tr w:rsidR="0039064E" w14:paraId="47206D20"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6FE0CC82" w14:textId="501B48A2" w:rsidR="0039064E" w:rsidRPr="009258D9"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b/>
                <w:bCs/>
                <w:color w:val="323232"/>
                <w:sz w:val="18"/>
                <w:szCs w:val="20"/>
              </w:rPr>
            </w:pPr>
            <w:r>
              <w:rPr>
                <w:rFonts w:ascii="Calibri" w:hAnsi="Calibri" w:cs="Calibri"/>
                <w:b/>
                <w:bCs/>
                <w:color w:val="323232"/>
                <w:sz w:val="18"/>
                <w:szCs w:val="20"/>
              </w:rPr>
              <w:t>NACOG</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1E128260" w14:textId="541BF88E" w:rsidR="0039064E" w:rsidRPr="00020D20" w:rsidRDefault="00202C92">
            <w:pPr>
              <w:pStyle w:val="Title"/>
              <w:rPr>
                <w:sz w:val="16"/>
              </w:rPr>
            </w:pPr>
            <w:hyperlink r:id="rId324" w:history="1">
              <w:r w:rsidR="0039064E" w:rsidRPr="00020D20">
                <w:rPr>
                  <w:rStyle w:val="Hyperlink"/>
                  <w:rFonts w:asciiTheme="minorHAnsi" w:hAnsiTheme="minorHAnsi" w:cstheme="majorBidi"/>
                  <w:i/>
                  <w:color w:val="CE5B18"/>
                  <w:szCs w:val="56"/>
                  <w:u w:val="none"/>
                </w:rPr>
                <w:t>https://www.nacog.org/menus/councils-committees.html</w:t>
              </w:r>
            </w:hyperlink>
          </w:p>
        </w:tc>
      </w:tr>
      <w:tr w:rsidR="0039064E" w14:paraId="61E58BEB"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3627BBA4" w14:textId="05AFE04A" w:rsidR="0039064E"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b/>
                <w:bCs/>
                <w:color w:val="323232"/>
                <w:sz w:val="18"/>
                <w:szCs w:val="20"/>
              </w:rPr>
            </w:pPr>
            <w:r>
              <w:rPr>
                <w:rFonts w:ascii="Calibri" w:hAnsi="Calibri" w:cs="Calibri"/>
                <w:b/>
                <w:bCs/>
                <w:color w:val="323232"/>
                <w:sz w:val="18"/>
                <w:szCs w:val="20"/>
              </w:rPr>
              <w:t>SEAGO</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2D5646C4" w14:textId="1D7DFF17" w:rsidR="0039064E" w:rsidRPr="00020D20" w:rsidRDefault="00202C92">
            <w:pPr>
              <w:pStyle w:val="Title"/>
              <w:rPr>
                <w:sz w:val="16"/>
              </w:rPr>
            </w:pPr>
            <w:hyperlink r:id="rId325" w:history="1">
              <w:r w:rsidR="0039064E" w:rsidRPr="00020D20">
                <w:rPr>
                  <w:rStyle w:val="Hyperlink"/>
                  <w:rFonts w:asciiTheme="minorHAnsi" w:hAnsiTheme="minorHAnsi" w:cstheme="majorBidi"/>
                  <w:i/>
                  <w:color w:val="CE5B18"/>
                  <w:szCs w:val="56"/>
                  <w:u w:val="none"/>
                </w:rPr>
                <w:t>https://www.seago.org/board-councils-and-committees</w:t>
              </w:r>
            </w:hyperlink>
          </w:p>
        </w:tc>
      </w:tr>
      <w:tr w:rsidR="0039064E" w14:paraId="297902A3" w14:textId="77777777" w:rsidTr="00020D20">
        <w:trPr>
          <w:trHeight w:val="20"/>
        </w:trPr>
        <w:tc>
          <w:tcPr>
            <w:tcW w:w="1080"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180" w:type="dxa"/>
            </w:tcMar>
            <w:vAlign w:val="center"/>
          </w:tcPr>
          <w:p w14:paraId="786F100E" w14:textId="50F6AA2A" w:rsidR="0039064E" w:rsidRDefault="0039064E" w:rsidP="00020D20">
            <w:pPr>
              <w:pStyle w:val="BasicParagraph"/>
              <w:tabs>
                <w:tab w:val="left" w:pos="180"/>
                <w:tab w:val="left" w:pos="360"/>
                <w:tab w:val="left" w:pos="540"/>
                <w:tab w:val="left" w:pos="720"/>
              </w:tabs>
              <w:spacing w:line="240" w:lineRule="auto"/>
              <w:contextualSpacing/>
              <w:jc w:val="center"/>
              <w:rPr>
                <w:rFonts w:ascii="Calibri" w:hAnsi="Calibri" w:cs="Calibri"/>
                <w:b/>
                <w:bCs/>
                <w:color w:val="323232"/>
                <w:sz w:val="18"/>
                <w:szCs w:val="20"/>
              </w:rPr>
            </w:pPr>
            <w:r>
              <w:rPr>
                <w:rFonts w:ascii="Calibri" w:hAnsi="Calibri" w:cs="Calibri"/>
                <w:b/>
                <w:bCs/>
                <w:color w:val="323232"/>
                <w:sz w:val="18"/>
                <w:szCs w:val="20"/>
              </w:rPr>
              <w:t>WACOG</w:t>
            </w:r>
          </w:p>
        </w:tc>
        <w:tc>
          <w:tcPr>
            <w:tcW w:w="3514" w:type="dxa"/>
            <w:tcBorders>
              <w:top w:val="single" w:sz="8" w:space="0" w:color="323232"/>
              <w:left w:val="single" w:sz="8" w:space="0" w:color="323232"/>
              <w:bottom w:val="single" w:sz="8" w:space="0" w:color="323232"/>
              <w:right w:val="single" w:sz="8" w:space="0" w:color="323232"/>
            </w:tcBorders>
            <w:tcMar>
              <w:top w:w="80" w:type="dxa"/>
              <w:left w:w="180" w:type="dxa"/>
              <w:bottom w:w="80" w:type="dxa"/>
              <w:right w:w="80" w:type="dxa"/>
            </w:tcMar>
            <w:vAlign w:val="center"/>
          </w:tcPr>
          <w:p w14:paraId="57C7DD13" w14:textId="4EA2B131" w:rsidR="0039064E" w:rsidRPr="00B02D76" w:rsidRDefault="00202C92">
            <w:pPr>
              <w:pStyle w:val="Title"/>
            </w:pPr>
            <w:hyperlink r:id="rId326" w:history="1">
              <w:r w:rsidR="00B02D76" w:rsidRPr="00020D20">
                <w:rPr>
                  <w:rStyle w:val="Hyperlink"/>
                  <w:rFonts w:ascii="Calibri" w:hAnsi="Calibri" w:cstheme="majorBidi"/>
                  <w:i/>
                  <w:iCs w:val="0"/>
                  <w:color w:val="CE5B18"/>
                  <w:szCs w:val="56"/>
                  <w:u w:val="none"/>
                </w:rPr>
                <w:t>https://www.wacog.com/transportation-advisory-committee/</w:t>
              </w:r>
            </w:hyperlink>
          </w:p>
        </w:tc>
      </w:tr>
    </w:tbl>
    <w:p w14:paraId="447B28A9" w14:textId="7B4BA00E" w:rsidR="005D36CF" w:rsidRPr="005D36CF" w:rsidRDefault="005D36CF" w:rsidP="00020D20">
      <w:pPr>
        <w:pStyle w:val="Heading3"/>
        <w:jc w:val="both"/>
        <w:rPr>
          <w:rFonts w:cstheme="minorHAnsi"/>
          <w:szCs w:val="20"/>
        </w:rPr>
      </w:pPr>
      <w:bookmarkStart w:id="129" w:name="_Ref50028375"/>
      <w:r w:rsidRPr="005D36CF">
        <w:rPr>
          <w:rFonts w:cstheme="minorHAnsi"/>
          <w:szCs w:val="20"/>
        </w:rPr>
        <w:t>3.7.4 | MPO Director &amp; Staff</w:t>
      </w:r>
      <w:bookmarkEnd w:id="129"/>
    </w:p>
    <w:p w14:paraId="43D3B4B6" w14:textId="77777777" w:rsidR="005D36CF" w:rsidRPr="005D36CF" w:rsidRDefault="005D36CF" w:rsidP="00020D20">
      <w:pPr>
        <w:jc w:val="both"/>
        <w:rPr>
          <w:rFonts w:cstheme="minorHAnsi"/>
        </w:rPr>
      </w:pPr>
      <w:r w:rsidRPr="005D36CF">
        <w:rPr>
          <w:rFonts w:cstheme="minorHAnsi"/>
        </w:rPr>
        <w:t xml:space="preserve">The MPO director and professional staff generally manage day-to-day functions of the organization and provide direct support to the policy board as it meets its responsibilities in carrying out the 3-C planning process. These personnel also may prepare (in-house or with outside assistance) technical assessments and evaluations of proposed transportation initiatives, which may be provided to the board, committees, or subcommittees, as may be appropriate. </w:t>
      </w:r>
    </w:p>
    <w:p w14:paraId="2BC87160" w14:textId="77777777" w:rsidR="005D36CF" w:rsidRPr="005D36CF" w:rsidRDefault="005D36CF" w:rsidP="00020D20">
      <w:pPr>
        <w:pStyle w:val="Heading2"/>
      </w:pPr>
      <w:bookmarkStart w:id="130" w:name="_Ref50028383"/>
      <w:r w:rsidRPr="005D36CF">
        <w:t>3.8 | INSTITUTIONAL STRUCTURE</w:t>
      </w:r>
      <w:bookmarkEnd w:id="130"/>
    </w:p>
    <w:p w14:paraId="3079EE88" w14:textId="77777777" w:rsidR="006D2F7B" w:rsidRDefault="005D36CF" w:rsidP="00020D20">
      <w:pPr>
        <w:jc w:val="both"/>
        <w:rPr>
          <w:rFonts w:cstheme="minorHAnsi"/>
        </w:rPr>
      </w:pPr>
      <w:r w:rsidRPr="005D36CF">
        <w:rPr>
          <w:rFonts w:cstheme="minorHAnsi"/>
        </w:rPr>
        <w:t>MPOs vary greatly in terms of capacity and responsibilities, depending on the needs of the member agencies. MPOs are usually housed within and operate through a regional planning council or a city or county government agency, but also may operate as an independent agency.</w:t>
      </w:r>
    </w:p>
    <w:p w14:paraId="65308519" w14:textId="42BBADD5" w:rsidR="005D36CF" w:rsidRPr="005D36CF" w:rsidRDefault="005D36CF" w:rsidP="00020D20">
      <w:pPr>
        <w:jc w:val="both"/>
        <w:rPr>
          <w:rFonts w:cstheme="minorHAnsi"/>
        </w:rPr>
      </w:pPr>
      <w:r w:rsidRPr="005D36CF">
        <w:rPr>
          <w:rFonts w:cstheme="minorHAnsi"/>
        </w:rPr>
        <w:t>MPO organizational structures span a continuum that ranges from MPOs that are fully independent and freestanding to MPOs that are so integrated with their host agency that together they form a single, indistinguishable all-in-one agency.</w:t>
      </w:r>
    </w:p>
    <w:p w14:paraId="116EF936" w14:textId="77777777" w:rsidR="005D36CF" w:rsidRPr="005D36CF" w:rsidRDefault="005D36CF" w:rsidP="00020D20">
      <w:pPr>
        <w:pStyle w:val="Heading3"/>
        <w:jc w:val="both"/>
        <w:rPr>
          <w:rFonts w:cstheme="minorHAnsi"/>
          <w:szCs w:val="20"/>
        </w:rPr>
      </w:pPr>
      <w:bookmarkStart w:id="131" w:name="_Ref50028387"/>
      <w:r w:rsidRPr="005D36CF">
        <w:rPr>
          <w:rFonts w:cstheme="minorHAnsi"/>
          <w:szCs w:val="20"/>
        </w:rPr>
        <w:t>3.8.1 | Hosted MPOs</w:t>
      </w:r>
      <w:bookmarkEnd w:id="131"/>
    </w:p>
    <w:p w14:paraId="695B3A06" w14:textId="77777777" w:rsidR="005D36CF" w:rsidRPr="005D36CF" w:rsidRDefault="005D36CF" w:rsidP="00020D20">
      <w:pPr>
        <w:jc w:val="both"/>
        <w:rPr>
          <w:rFonts w:cstheme="minorHAnsi"/>
        </w:rPr>
      </w:pPr>
      <w:r w:rsidRPr="005D36CF">
        <w:rPr>
          <w:rFonts w:cstheme="minorHAnsi"/>
        </w:rPr>
        <w:t>According to the report “Administrative Structure and Hosting of Metropolitan Planning Organizations” (Transportation Research Journal, Bond, Alexander, Kramer, Jeffrey, Volume 2244, December 2011), in a hosted MPO, another organization acts as the fiscal agent and holds the power to hire and fire MPO employees. Several variations of hosted MPOs are discussed below, as well as a list of advantages and disadvantages of being hosted.</w:t>
      </w:r>
    </w:p>
    <w:p w14:paraId="6BCDD4DD" w14:textId="77777777" w:rsidR="005D36CF" w:rsidRPr="005D36CF" w:rsidRDefault="005D36CF" w:rsidP="00020D20">
      <w:pPr>
        <w:pStyle w:val="SubHeading3"/>
        <w:jc w:val="both"/>
      </w:pPr>
      <w:bookmarkStart w:id="132" w:name="_Ref50028593"/>
      <w:r w:rsidRPr="005D36CF">
        <w:t>All-In-One Agency</w:t>
      </w:r>
      <w:bookmarkEnd w:id="132"/>
    </w:p>
    <w:p w14:paraId="368D4799" w14:textId="6788A5F4" w:rsidR="005D36CF" w:rsidRDefault="005D36CF" w:rsidP="00020D20">
      <w:pPr>
        <w:jc w:val="both"/>
        <w:rPr>
          <w:rFonts w:cstheme="minorHAnsi"/>
        </w:rPr>
      </w:pPr>
      <w:r w:rsidRPr="005D36CF">
        <w:rPr>
          <w:rFonts w:cstheme="minorHAnsi"/>
        </w:rPr>
        <w:t>An all-in-one agency does not differentiate between MPO functions, non-MPO transportation functions, and all other functions of the broader agency.</w:t>
      </w:r>
    </w:p>
    <w:p w14:paraId="11BDF4A0" w14:textId="3237F259" w:rsidR="001B1DC6" w:rsidRDefault="001B1DC6" w:rsidP="00020D20">
      <w:pPr>
        <w:pStyle w:val="SubHeading3"/>
        <w:jc w:val="both"/>
      </w:pPr>
      <w:bookmarkStart w:id="133" w:name="_Ref50028596"/>
      <w:r>
        <w:t>Dual Purpose MPO</w:t>
      </w:r>
      <w:bookmarkEnd w:id="133"/>
    </w:p>
    <w:p w14:paraId="3BFE56F7" w14:textId="77777777" w:rsidR="005D36CF" w:rsidRPr="005D36CF" w:rsidRDefault="005D36CF" w:rsidP="00020D20">
      <w:pPr>
        <w:jc w:val="both"/>
        <w:rPr>
          <w:rFonts w:cstheme="minorHAnsi"/>
        </w:rPr>
      </w:pPr>
      <w:r w:rsidRPr="005D36CF">
        <w:rPr>
          <w:rFonts w:cstheme="minorHAnsi"/>
        </w:rPr>
        <w:t xml:space="preserve">Dual purpose MPOs leverage planning funds to maintain transportation planning staff that performs both MPO planning and host agency transportation planning functions. </w:t>
      </w:r>
    </w:p>
    <w:p w14:paraId="7FDD0AEF" w14:textId="77777777" w:rsidR="006D2F7B" w:rsidRDefault="006D2F7B">
      <w:pPr>
        <w:pStyle w:val="SubHeading3"/>
        <w:jc w:val="both"/>
      </w:pPr>
      <w:bookmarkStart w:id="134" w:name="_Ref50028600"/>
      <w:r>
        <w:br w:type="page"/>
      </w:r>
    </w:p>
    <w:p w14:paraId="275B1F3E" w14:textId="4AAD9294" w:rsidR="005D36CF" w:rsidRPr="005D36CF" w:rsidRDefault="005D36CF">
      <w:pPr>
        <w:pStyle w:val="SubHeading3"/>
      </w:pPr>
      <w:bookmarkStart w:id="135" w:name="_Ref57987716"/>
      <w:r w:rsidRPr="005D36CF">
        <w:t>Component MPO</w:t>
      </w:r>
      <w:bookmarkEnd w:id="134"/>
      <w:bookmarkEnd w:id="135"/>
    </w:p>
    <w:p w14:paraId="6DCA5B5F" w14:textId="0FE33313" w:rsidR="005D36CF" w:rsidRDefault="005D36CF" w:rsidP="00020D20">
      <w:pPr>
        <w:jc w:val="both"/>
        <w:rPr>
          <w:rFonts w:cstheme="minorHAnsi"/>
        </w:rPr>
      </w:pPr>
      <w:r w:rsidRPr="005D36CF">
        <w:rPr>
          <w:rFonts w:cstheme="minorHAnsi"/>
        </w:rPr>
        <w:t>A component MPO’s functions are separated from most functions of the host, but the MPO remains a division of the umbrella agency.</w:t>
      </w:r>
    </w:p>
    <w:p w14:paraId="1A2B1900" w14:textId="5D87AE8B" w:rsidR="005D36CF" w:rsidRDefault="005D36CF" w:rsidP="00020D20">
      <w:pPr>
        <w:pStyle w:val="Heading4"/>
        <w:jc w:val="both"/>
        <w:rPr>
          <w:rFonts w:cstheme="minorHAnsi"/>
        </w:rPr>
      </w:pPr>
      <w:r w:rsidRPr="005D36CF">
        <w:rPr>
          <w:rFonts w:cstheme="minorHAnsi"/>
        </w:rPr>
        <w:t>Table 3-3 | Hosted MPO Advantages &amp; Disadvantages</w:t>
      </w:r>
    </w:p>
    <w:tbl>
      <w:tblPr>
        <w:tblW w:w="4590" w:type="dxa"/>
        <w:tblInd w:w="-10" w:type="dxa"/>
        <w:tblLayout w:type="fixed"/>
        <w:tblCellMar>
          <w:left w:w="0" w:type="dxa"/>
          <w:right w:w="0" w:type="dxa"/>
        </w:tblCellMar>
        <w:tblLook w:val="0000" w:firstRow="0" w:lastRow="0" w:firstColumn="0" w:lastColumn="0" w:noHBand="0" w:noVBand="0"/>
      </w:tblPr>
      <w:tblGrid>
        <w:gridCol w:w="1994"/>
        <w:gridCol w:w="2596"/>
      </w:tblGrid>
      <w:tr w:rsidR="005D36CF" w:rsidRPr="005D36CF" w14:paraId="5A23D4CB" w14:textId="77777777" w:rsidTr="00020D20">
        <w:trPr>
          <w:trHeight w:val="60"/>
        </w:trPr>
        <w:tc>
          <w:tcPr>
            <w:tcW w:w="1994" w:type="dxa"/>
            <w:tcBorders>
              <w:top w:val="single" w:sz="8" w:space="0" w:color="auto"/>
              <w:left w:val="single" w:sz="8" w:space="0" w:color="auto"/>
              <w:bottom w:val="single" w:sz="8" w:space="0" w:color="auto"/>
              <w:right w:val="single" w:sz="8" w:space="0" w:color="FFFFFF" w:themeColor="background1"/>
            </w:tcBorders>
            <w:shd w:val="clear" w:color="auto" w:fill="012768"/>
            <w:tcMar>
              <w:top w:w="80" w:type="dxa"/>
              <w:left w:w="80" w:type="dxa"/>
              <w:bottom w:w="80" w:type="dxa"/>
              <w:right w:w="80" w:type="dxa"/>
            </w:tcMar>
            <w:vAlign w:val="center"/>
          </w:tcPr>
          <w:p w14:paraId="0F5C2E31" w14:textId="77777777" w:rsidR="005D36CF" w:rsidRPr="00020D20" w:rsidRDefault="005D36CF" w:rsidP="00020D20">
            <w:pPr>
              <w:spacing w:before="0" w:after="0" w:line="240" w:lineRule="auto"/>
              <w:jc w:val="center"/>
              <w:rPr>
                <w:sz w:val="22"/>
                <w:u w:color="FF0000"/>
              </w:rPr>
            </w:pPr>
            <w:r w:rsidRPr="00020D20">
              <w:rPr>
                <w:sz w:val="22"/>
                <w:u w:color="FF0000"/>
              </w:rPr>
              <w:t>Advantages</w:t>
            </w:r>
          </w:p>
        </w:tc>
        <w:tc>
          <w:tcPr>
            <w:tcW w:w="2596" w:type="dxa"/>
            <w:tcBorders>
              <w:top w:val="single" w:sz="8" w:space="0" w:color="auto"/>
              <w:left w:val="single" w:sz="8" w:space="0" w:color="FFFFFF" w:themeColor="background1"/>
              <w:bottom w:val="single" w:sz="8" w:space="0" w:color="auto"/>
              <w:right w:val="single" w:sz="8" w:space="0" w:color="auto"/>
            </w:tcBorders>
            <w:shd w:val="clear" w:color="auto" w:fill="012768"/>
            <w:tcMar>
              <w:top w:w="80" w:type="dxa"/>
              <w:left w:w="80" w:type="dxa"/>
              <w:bottom w:w="80" w:type="dxa"/>
              <w:right w:w="80" w:type="dxa"/>
            </w:tcMar>
            <w:vAlign w:val="center"/>
          </w:tcPr>
          <w:p w14:paraId="5E64BFED" w14:textId="77777777" w:rsidR="005D36CF" w:rsidRPr="00020D20" w:rsidRDefault="005D36CF" w:rsidP="00020D20">
            <w:pPr>
              <w:spacing w:before="0" w:after="0" w:line="240" w:lineRule="auto"/>
              <w:jc w:val="center"/>
              <w:rPr>
                <w:sz w:val="22"/>
                <w:u w:color="FF0000"/>
              </w:rPr>
            </w:pPr>
            <w:r w:rsidRPr="00020D20">
              <w:rPr>
                <w:sz w:val="22"/>
                <w:u w:color="FF0000"/>
              </w:rPr>
              <w:t>Disadvantages</w:t>
            </w:r>
          </w:p>
        </w:tc>
      </w:tr>
      <w:tr w:rsidR="005D36CF" w:rsidRPr="005D36CF" w14:paraId="24EB7BDD" w14:textId="77777777" w:rsidTr="00020D20">
        <w:trPr>
          <w:trHeight w:val="1906"/>
        </w:trPr>
        <w:tc>
          <w:tcPr>
            <w:tcW w:w="1994" w:type="dxa"/>
            <w:tcBorders>
              <w:top w:val="single" w:sz="8" w:space="0" w:color="auto"/>
              <w:left w:val="single" w:sz="8" w:space="0" w:color="auto"/>
              <w:bottom w:val="single" w:sz="8" w:space="0" w:color="auto"/>
              <w:right w:val="single" w:sz="8" w:space="0" w:color="323232"/>
            </w:tcBorders>
            <w:tcMar>
              <w:top w:w="80" w:type="dxa"/>
              <w:left w:w="80" w:type="dxa"/>
              <w:bottom w:w="80" w:type="dxa"/>
              <w:right w:w="80" w:type="dxa"/>
            </w:tcMar>
            <w:vAlign w:val="center"/>
          </w:tcPr>
          <w:p w14:paraId="2BA74697" w14:textId="77777777" w:rsidR="005D36CF" w:rsidRPr="00020D20" w:rsidRDefault="005D36CF" w:rsidP="00020D20">
            <w:pPr>
              <w:spacing w:line="240" w:lineRule="auto"/>
              <w:jc w:val="center"/>
              <w:rPr>
                <w:sz w:val="18"/>
              </w:rPr>
            </w:pPr>
            <w:r w:rsidRPr="00020D20">
              <w:rPr>
                <w:sz w:val="18"/>
              </w:rPr>
              <w:t>Reduced cost of operations</w:t>
            </w:r>
          </w:p>
          <w:p w14:paraId="4B4BD656" w14:textId="3508AF87" w:rsidR="005D36CF" w:rsidRPr="00020D20" w:rsidRDefault="005D36CF" w:rsidP="00020D20">
            <w:pPr>
              <w:spacing w:line="240" w:lineRule="auto"/>
              <w:jc w:val="center"/>
              <w:rPr>
                <w:sz w:val="18"/>
              </w:rPr>
            </w:pPr>
            <w:r w:rsidRPr="00020D20">
              <w:rPr>
                <w:sz w:val="18"/>
              </w:rPr>
              <w:t>Financial assistance from the host agency</w:t>
            </w:r>
            <w:r w:rsidR="00A93737" w:rsidRPr="00DB405C">
              <w:rPr>
                <w:sz w:val="18"/>
              </w:rPr>
              <w:t>— “</w:t>
            </w:r>
            <w:r w:rsidRPr="00020D20">
              <w:rPr>
                <w:sz w:val="18"/>
              </w:rPr>
              <w:t>capital float”</w:t>
            </w:r>
          </w:p>
          <w:p w14:paraId="376A8606" w14:textId="77777777" w:rsidR="005D36CF" w:rsidRPr="00020D20" w:rsidRDefault="005D36CF" w:rsidP="00020D20">
            <w:pPr>
              <w:spacing w:line="240" w:lineRule="auto"/>
              <w:jc w:val="center"/>
              <w:rPr>
                <w:sz w:val="18"/>
              </w:rPr>
            </w:pPr>
            <w:r w:rsidRPr="00020D20">
              <w:rPr>
                <w:sz w:val="18"/>
              </w:rPr>
              <w:t>Shared expertise, greater employee diversification</w:t>
            </w:r>
          </w:p>
        </w:tc>
        <w:tc>
          <w:tcPr>
            <w:tcW w:w="2596" w:type="dxa"/>
            <w:tcBorders>
              <w:top w:val="single" w:sz="8" w:space="0" w:color="auto"/>
              <w:left w:val="single" w:sz="8" w:space="0" w:color="323232"/>
              <w:bottom w:val="single" w:sz="8" w:space="0" w:color="auto"/>
              <w:right w:val="single" w:sz="8" w:space="0" w:color="auto"/>
            </w:tcBorders>
            <w:tcMar>
              <w:top w:w="80" w:type="dxa"/>
              <w:left w:w="80" w:type="dxa"/>
              <w:bottom w:w="80" w:type="dxa"/>
              <w:right w:w="80" w:type="dxa"/>
            </w:tcMar>
            <w:vAlign w:val="center"/>
          </w:tcPr>
          <w:p w14:paraId="0CA4536C" w14:textId="77777777" w:rsidR="005D36CF" w:rsidRPr="00020D20" w:rsidRDefault="005D36CF" w:rsidP="00020D20">
            <w:pPr>
              <w:pBdr>
                <w:right w:val="single" w:sz="8" w:space="4" w:color="auto"/>
              </w:pBdr>
              <w:spacing w:line="240" w:lineRule="auto"/>
              <w:jc w:val="center"/>
              <w:rPr>
                <w:sz w:val="18"/>
              </w:rPr>
            </w:pPr>
            <w:r w:rsidRPr="00020D20">
              <w:rPr>
                <w:sz w:val="18"/>
              </w:rPr>
              <w:t>Blurred responsibilities, identities, and boundaries</w:t>
            </w:r>
          </w:p>
          <w:p w14:paraId="17211567" w14:textId="77777777" w:rsidR="005D36CF" w:rsidRPr="00020D20" w:rsidRDefault="005D36CF" w:rsidP="00020D20">
            <w:pPr>
              <w:pBdr>
                <w:right w:val="single" w:sz="8" w:space="4" w:color="auto"/>
              </w:pBdr>
              <w:spacing w:line="240" w:lineRule="auto"/>
              <w:jc w:val="center"/>
              <w:rPr>
                <w:sz w:val="18"/>
              </w:rPr>
            </w:pPr>
            <w:r w:rsidRPr="00020D20">
              <w:rPr>
                <w:sz w:val="18"/>
              </w:rPr>
              <w:t>MPO is subject to host agency’s rules, budget, and oversight</w:t>
            </w:r>
          </w:p>
          <w:p w14:paraId="6B3EC89D" w14:textId="77777777" w:rsidR="005D36CF" w:rsidRPr="00020D20" w:rsidRDefault="005D36CF" w:rsidP="00020D20">
            <w:pPr>
              <w:pBdr>
                <w:right w:val="single" w:sz="8" w:space="4" w:color="auto"/>
              </w:pBdr>
              <w:spacing w:line="240" w:lineRule="auto"/>
              <w:jc w:val="center"/>
              <w:rPr>
                <w:sz w:val="18"/>
              </w:rPr>
            </w:pPr>
            <w:r w:rsidRPr="00020D20">
              <w:rPr>
                <w:sz w:val="18"/>
              </w:rPr>
              <w:t>Potential for host to interfere with MPO policies</w:t>
            </w:r>
          </w:p>
          <w:p w14:paraId="62A311B7" w14:textId="77777777" w:rsidR="005D36CF" w:rsidRPr="00020D20" w:rsidRDefault="005D36CF" w:rsidP="00020D20">
            <w:pPr>
              <w:pBdr>
                <w:right w:val="single" w:sz="8" w:space="4" w:color="auto"/>
              </w:pBdr>
              <w:spacing w:line="240" w:lineRule="auto"/>
              <w:jc w:val="center"/>
              <w:rPr>
                <w:sz w:val="18"/>
              </w:rPr>
            </w:pPr>
            <w:r w:rsidRPr="00020D20">
              <w:rPr>
                <w:sz w:val="18"/>
              </w:rPr>
              <w:t>Potential for host to misunderstand MPO mission</w:t>
            </w:r>
          </w:p>
        </w:tc>
      </w:tr>
    </w:tbl>
    <w:p w14:paraId="07204127" w14:textId="77777777" w:rsidR="005D36CF" w:rsidRPr="005D36CF" w:rsidRDefault="005D36CF" w:rsidP="00020D20">
      <w:pPr>
        <w:pStyle w:val="Heading3"/>
        <w:jc w:val="both"/>
        <w:rPr>
          <w:rFonts w:cstheme="minorHAnsi"/>
          <w:szCs w:val="20"/>
        </w:rPr>
      </w:pPr>
      <w:bookmarkStart w:id="136" w:name="_Ref50028390"/>
      <w:r w:rsidRPr="005D36CF">
        <w:rPr>
          <w:rFonts w:cstheme="minorHAnsi"/>
          <w:szCs w:val="20"/>
        </w:rPr>
        <w:t>3.8.2 | Independent MPOs</w:t>
      </w:r>
      <w:bookmarkEnd w:id="136"/>
    </w:p>
    <w:p w14:paraId="7B702F89" w14:textId="7BB9AB95" w:rsidR="005D36CF" w:rsidRPr="005D36CF" w:rsidRDefault="005D36CF" w:rsidP="00020D20">
      <w:pPr>
        <w:jc w:val="both"/>
        <w:rPr>
          <w:rFonts w:cstheme="minorHAnsi"/>
        </w:rPr>
      </w:pPr>
      <w:r w:rsidRPr="005D36CF">
        <w:rPr>
          <w:rFonts w:cstheme="minorHAnsi"/>
        </w:rPr>
        <w:t>According to the report “Administrative Structure and Hosting of Metropolitan Planning Organizations” (Transportation Research Journal, Bond, Alexander, Kramer, Jeffrey, Volume 2244, December 2011), an independent MPO acts as its own fiscal agent, and the director can</w:t>
      </w:r>
      <w:r w:rsidR="006D2F7B">
        <w:rPr>
          <w:rFonts w:cstheme="minorHAnsi"/>
        </w:rPr>
        <w:t xml:space="preserve"> only</w:t>
      </w:r>
      <w:r w:rsidRPr="005D36CF">
        <w:rPr>
          <w:rFonts w:cstheme="minorHAnsi"/>
        </w:rPr>
        <w:t xml:space="preserve"> be hired or fired by the MPO board.</w:t>
      </w:r>
    </w:p>
    <w:p w14:paraId="19DC87B8" w14:textId="3ABA629C" w:rsidR="005D36CF" w:rsidRPr="005D36CF" w:rsidRDefault="005D36CF" w:rsidP="00020D20">
      <w:pPr>
        <w:pStyle w:val="SubHeading3"/>
        <w:jc w:val="both"/>
      </w:pPr>
      <w:bookmarkStart w:id="137" w:name="_Ref50028606"/>
      <w:r w:rsidRPr="005D36CF">
        <w:t>Leaning Independent MPO</w:t>
      </w:r>
      <w:bookmarkEnd w:id="137"/>
    </w:p>
    <w:p w14:paraId="75E5582F" w14:textId="1CF87189" w:rsidR="00DB70B8" w:rsidRPr="005D36CF" w:rsidRDefault="005D36CF">
      <w:r w:rsidRPr="005D36CF">
        <w:t>A Leaning Independent MPO receives some services from one of its member agencies under a severable contract.</w:t>
      </w:r>
    </w:p>
    <w:p w14:paraId="4A908138" w14:textId="77777777" w:rsidR="005D36CF" w:rsidRPr="005D36CF" w:rsidRDefault="005D36CF" w:rsidP="00020D20">
      <w:pPr>
        <w:pStyle w:val="SubHeading3"/>
      </w:pPr>
      <w:bookmarkStart w:id="138" w:name="_Ref50028609"/>
      <w:r w:rsidRPr="005D36CF">
        <w:t>Freestanding Independent MPO</w:t>
      </w:r>
      <w:bookmarkEnd w:id="138"/>
    </w:p>
    <w:p w14:paraId="24BA1A23" w14:textId="77777777" w:rsidR="005D36CF" w:rsidRPr="005D36CF" w:rsidRDefault="005D36CF" w:rsidP="00020D20">
      <w:pPr>
        <w:jc w:val="both"/>
        <w:rPr>
          <w:rFonts w:cstheme="minorHAnsi"/>
        </w:rPr>
      </w:pPr>
      <w:r w:rsidRPr="005D36CF">
        <w:rPr>
          <w:rFonts w:cstheme="minorHAnsi"/>
        </w:rPr>
        <w:t>A Freestanding Independent MPO meets all of its own operating needs.</w:t>
      </w:r>
    </w:p>
    <w:p w14:paraId="12896D8F" w14:textId="5565DDD3" w:rsidR="005D36CF" w:rsidRDefault="005D36CF" w:rsidP="00020D20">
      <w:pPr>
        <w:jc w:val="both"/>
        <w:rPr>
          <w:rFonts w:cstheme="minorHAnsi"/>
        </w:rPr>
      </w:pPr>
      <w:r w:rsidRPr="005D36CF">
        <w:rPr>
          <w:rFonts w:cstheme="minorHAnsi"/>
        </w:rPr>
        <w:t xml:space="preserve">Figure 3-2 depicts the variants of an MPO structure as a continuum that spans from fully independent to fully hosted. </w:t>
      </w:r>
    </w:p>
    <w:p w14:paraId="665EC9CA" w14:textId="022858BC" w:rsidR="005D36CF" w:rsidRDefault="005D36CF" w:rsidP="00020D20">
      <w:pPr>
        <w:pStyle w:val="Heading4"/>
        <w:jc w:val="both"/>
        <w:rPr>
          <w:rFonts w:cstheme="minorHAnsi"/>
        </w:rPr>
      </w:pPr>
      <w:r w:rsidRPr="005D36CF">
        <w:rPr>
          <w:rFonts w:cstheme="minorHAnsi"/>
        </w:rPr>
        <w:t>Table 3-4 | Independent MPO Advantages &amp; Disadvantages</w:t>
      </w:r>
    </w:p>
    <w:tbl>
      <w:tblPr>
        <w:tblW w:w="4320" w:type="dxa"/>
        <w:tblInd w:w="-10" w:type="dxa"/>
        <w:tblLayout w:type="fixed"/>
        <w:tblCellMar>
          <w:left w:w="0" w:type="dxa"/>
          <w:right w:w="0" w:type="dxa"/>
        </w:tblCellMar>
        <w:tblLook w:val="0000" w:firstRow="0" w:lastRow="0" w:firstColumn="0" w:lastColumn="0" w:noHBand="0" w:noVBand="0"/>
      </w:tblPr>
      <w:tblGrid>
        <w:gridCol w:w="2160"/>
        <w:gridCol w:w="2160"/>
      </w:tblGrid>
      <w:tr w:rsidR="005D36CF" w:rsidRPr="005D36CF" w14:paraId="6C3CBFC7" w14:textId="77777777" w:rsidTr="00020D20">
        <w:trPr>
          <w:trHeight w:val="331"/>
        </w:trPr>
        <w:tc>
          <w:tcPr>
            <w:tcW w:w="2160" w:type="dxa"/>
            <w:tcBorders>
              <w:top w:val="single" w:sz="8" w:space="0" w:color="auto"/>
              <w:left w:val="single" w:sz="8" w:space="0" w:color="auto"/>
              <w:bottom w:val="single" w:sz="8" w:space="0" w:color="auto"/>
              <w:right w:val="single" w:sz="8" w:space="0" w:color="FFFFFF" w:themeColor="background1"/>
            </w:tcBorders>
            <w:shd w:val="clear" w:color="auto" w:fill="012768"/>
            <w:tcMar>
              <w:top w:w="80" w:type="dxa"/>
              <w:left w:w="80" w:type="dxa"/>
              <w:bottom w:w="80" w:type="dxa"/>
              <w:right w:w="80" w:type="dxa"/>
            </w:tcMar>
            <w:vAlign w:val="center"/>
          </w:tcPr>
          <w:p w14:paraId="5885CA30" w14:textId="77777777" w:rsidR="005D36CF" w:rsidRPr="00020D20" w:rsidRDefault="005D36CF" w:rsidP="00020D20">
            <w:pPr>
              <w:spacing w:before="0" w:after="0" w:line="240" w:lineRule="auto"/>
              <w:jc w:val="center"/>
              <w:rPr>
                <w:sz w:val="22"/>
                <w:u w:color="FF0000"/>
              </w:rPr>
            </w:pPr>
            <w:r w:rsidRPr="00020D20">
              <w:rPr>
                <w:sz w:val="22"/>
                <w:u w:color="FF0000"/>
              </w:rPr>
              <w:t>Advantages</w:t>
            </w:r>
          </w:p>
        </w:tc>
        <w:tc>
          <w:tcPr>
            <w:tcW w:w="2160" w:type="dxa"/>
            <w:tcBorders>
              <w:top w:val="single" w:sz="8" w:space="0" w:color="auto"/>
              <w:left w:val="single" w:sz="8" w:space="0" w:color="FFFFFF" w:themeColor="background1"/>
              <w:bottom w:val="single" w:sz="8" w:space="0" w:color="auto"/>
              <w:right w:val="single" w:sz="8" w:space="0" w:color="auto"/>
            </w:tcBorders>
            <w:shd w:val="clear" w:color="auto" w:fill="012768"/>
            <w:tcMar>
              <w:top w:w="80" w:type="dxa"/>
              <w:left w:w="80" w:type="dxa"/>
              <w:bottom w:w="80" w:type="dxa"/>
              <w:right w:w="80" w:type="dxa"/>
            </w:tcMar>
            <w:vAlign w:val="center"/>
          </w:tcPr>
          <w:p w14:paraId="1FAA8854" w14:textId="77777777" w:rsidR="005D36CF" w:rsidRPr="00020D20" w:rsidRDefault="005D36CF" w:rsidP="00020D20">
            <w:pPr>
              <w:spacing w:before="0" w:after="0" w:line="240" w:lineRule="auto"/>
              <w:jc w:val="center"/>
              <w:rPr>
                <w:sz w:val="22"/>
                <w:u w:color="FF0000"/>
              </w:rPr>
            </w:pPr>
            <w:r w:rsidRPr="00020D20">
              <w:rPr>
                <w:sz w:val="22"/>
                <w:u w:color="FF0000"/>
              </w:rPr>
              <w:t>Disadvantages</w:t>
            </w:r>
          </w:p>
        </w:tc>
      </w:tr>
      <w:tr w:rsidR="005D36CF" w:rsidRPr="005D36CF" w14:paraId="1B0BFF0C" w14:textId="77777777" w:rsidTr="00020D20">
        <w:trPr>
          <w:trHeight w:val="1850"/>
        </w:trPr>
        <w:tc>
          <w:tcPr>
            <w:tcW w:w="2160" w:type="dxa"/>
            <w:tcBorders>
              <w:top w:val="single" w:sz="8"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71961726" w14:textId="77777777" w:rsidR="005D36CF" w:rsidRPr="00020D20" w:rsidRDefault="005D36CF" w:rsidP="00020D20">
            <w:pPr>
              <w:spacing w:line="240" w:lineRule="auto"/>
              <w:jc w:val="center"/>
              <w:rPr>
                <w:sz w:val="18"/>
              </w:rPr>
            </w:pPr>
            <w:r w:rsidRPr="00020D20">
              <w:rPr>
                <w:sz w:val="18"/>
              </w:rPr>
              <w:t>Political and administrative autonomy</w:t>
            </w:r>
          </w:p>
          <w:p w14:paraId="2602EF56" w14:textId="77777777" w:rsidR="005D36CF" w:rsidRPr="00020D20" w:rsidRDefault="005D36CF" w:rsidP="00020D20">
            <w:pPr>
              <w:spacing w:line="240" w:lineRule="auto"/>
              <w:jc w:val="center"/>
              <w:rPr>
                <w:sz w:val="18"/>
              </w:rPr>
            </w:pPr>
            <w:r w:rsidRPr="00020D20">
              <w:rPr>
                <w:sz w:val="18"/>
              </w:rPr>
              <w:t>Clarity of chain of command, reduced staff confusion</w:t>
            </w:r>
          </w:p>
          <w:p w14:paraId="59A48AAF" w14:textId="77777777" w:rsidR="005D36CF" w:rsidRPr="00020D20" w:rsidRDefault="005D36CF" w:rsidP="00020D20">
            <w:pPr>
              <w:spacing w:line="240" w:lineRule="auto"/>
              <w:jc w:val="center"/>
              <w:rPr>
                <w:sz w:val="18"/>
              </w:rPr>
            </w:pPr>
            <w:r w:rsidRPr="00020D20">
              <w:rPr>
                <w:sz w:val="18"/>
              </w:rPr>
              <w:t>Distinct identity with unique and focused mission</w:t>
            </w:r>
          </w:p>
          <w:p w14:paraId="1869509D" w14:textId="77777777" w:rsidR="005D36CF" w:rsidRPr="00020D20" w:rsidRDefault="005D36CF" w:rsidP="00020D20">
            <w:pPr>
              <w:spacing w:line="240" w:lineRule="auto"/>
              <w:jc w:val="center"/>
              <w:rPr>
                <w:sz w:val="18"/>
              </w:rPr>
            </w:pPr>
            <w:r w:rsidRPr="00020D20">
              <w:rPr>
                <w:sz w:val="18"/>
              </w:rPr>
              <w:t>Cleaner finances, eliminates administrative entanglements</w:t>
            </w:r>
          </w:p>
        </w:tc>
        <w:tc>
          <w:tcPr>
            <w:tcW w:w="2160" w:type="dxa"/>
            <w:tcBorders>
              <w:top w:val="single" w:sz="8"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1B46663D" w14:textId="77777777" w:rsidR="005D36CF" w:rsidRPr="00020D20" w:rsidRDefault="005D36CF" w:rsidP="00020D20">
            <w:pPr>
              <w:spacing w:line="240" w:lineRule="auto"/>
              <w:jc w:val="center"/>
              <w:rPr>
                <w:sz w:val="18"/>
              </w:rPr>
            </w:pPr>
            <w:r w:rsidRPr="00020D20">
              <w:rPr>
                <w:sz w:val="18"/>
              </w:rPr>
              <w:t>Trouble with cash flow for operating requirements</w:t>
            </w:r>
          </w:p>
          <w:p w14:paraId="76CCE568" w14:textId="77777777" w:rsidR="005D36CF" w:rsidRPr="00020D20" w:rsidRDefault="005D36CF" w:rsidP="00020D20">
            <w:pPr>
              <w:spacing w:line="240" w:lineRule="auto"/>
              <w:jc w:val="center"/>
              <w:rPr>
                <w:sz w:val="18"/>
              </w:rPr>
            </w:pPr>
            <w:r w:rsidRPr="00020D20">
              <w:rPr>
                <w:sz w:val="18"/>
              </w:rPr>
              <w:t>Trouble meeting funding match</w:t>
            </w:r>
          </w:p>
          <w:p w14:paraId="2D89D047" w14:textId="77777777" w:rsidR="005D36CF" w:rsidRPr="00020D20" w:rsidRDefault="005D36CF" w:rsidP="00020D20">
            <w:pPr>
              <w:spacing w:line="240" w:lineRule="auto"/>
              <w:jc w:val="center"/>
              <w:rPr>
                <w:sz w:val="18"/>
              </w:rPr>
            </w:pPr>
            <w:r w:rsidRPr="00020D20">
              <w:rPr>
                <w:sz w:val="18"/>
              </w:rPr>
              <w:t>High operation costs, no economies of scale</w:t>
            </w:r>
          </w:p>
          <w:p w14:paraId="1B07F343" w14:textId="77777777" w:rsidR="005D36CF" w:rsidRPr="00020D20" w:rsidRDefault="005D36CF" w:rsidP="00020D20">
            <w:pPr>
              <w:spacing w:line="240" w:lineRule="auto"/>
              <w:jc w:val="center"/>
              <w:rPr>
                <w:sz w:val="18"/>
              </w:rPr>
            </w:pPr>
            <w:r w:rsidRPr="00020D20">
              <w:rPr>
                <w:sz w:val="18"/>
              </w:rPr>
              <w:t>Greater dependence on versatile staff and outside contractors</w:t>
            </w:r>
          </w:p>
        </w:tc>
      </w:tr>
    </w:tbl>
    <w:p w14:paraId="3D3CCD4F" w14:textId="77777777" w:rsidR="005D36CF" w:rsidRPr="005D36CF" w:rsidRDefault="005D36CF" w:rsidP="00020D20">
      <w:pPr>
        <w:pStyle w:val="Heading2"/>
      </w:pPr>
      <w:bookmarkStart w:id="139" w:name="_Ref50028409"/>
      <w:r w:rsidRPr="005D36CF">
        <w:t>3.9 | RESPONSIBILITIES OF AN MPO</w:t>
      </w:r>
      <w:bookmarkEnd w:id="139"/>
    </w:p>
    <w:p w14:paraId="05C8A1E8" w14:textId="77777777" w:rsidR="005D36CF" w:rsidRPr="005D36CF" w:rsidRDefault="005D36CF" w:rsidP="00020D20">
      <w:pPr>
        <w:pStyle w:val="Heading3"/>
        <w:jc w:val="both"/>
        <w:rPr>
          <w:rFonts w:cstheme="minorHAnsi"/>
          <w:szCs w:val="20"/>
        </w:rPr>
      </w:pPr>
      <w:bookmarkStart w:id="140" w:name="_Ref50028416"/>
      <w:r w:rsidRPr="005D36CF">
        <w:rPr>
          <w:rFonts w:cstheme="minorHAnsi"/>
          <w:szCs w:val="20"/>
        </w:rPr>
        <w:t>3.9.1 | Policy Board</w:t>
      </w:r>
      <w:bookmarkEnd w:id="140"/>
    </w:p>
    <w:p w14:paraId="54D495B6" w14:textId="77777777" w:rsidR="00DB70B8" w:rsidRDefault="005D36CF" w:rsidP="00020D20">
      <w:pPr>
        <w:jc w:val="both"/>
        <w:rPr>
          <w:rFonts w:cstheme="minorHAnsi"/>
        </w:rPr>
      </w:pPr>
      <w:r w:rsidRPr="005D36CF">
        <w:rPr>
          <w:rFonts w:cstheme="minorHAnsi"/>
        </w:rPr>
        <w:t>MPOs have been mandated by Congress as a vehicle to establish and manage a fair and impartial</w:t>
      </w:r>
      <w:r w:rsidR="007B2753">
        <w:rPr>
          <w:rFonts w:cstheme="minorHAnsi"/>
        </w:rPr>
        <w:t xml:space="preserve"> </w:t>
      </w:r>
      <w:r w:rsidR="007B2753" w:rsidRPr="007B2753">
        <w:rPr>
          <w:rFonts w:cstheme="minorHAnsi"/>
        </w:rPr>
        <w:t>setting for effective regional decision making. This responsibility requires the MPO policy board to formulate and evaluate transportation improvement alternatives sensitive to the context of regional interest and, therefore, scaled to the size and complexity of the region. All MPOs have the same basic planning requirements.</w:t>
      </w:r>
    </w:p>
    <w:p w14:paraId="59050C43" w14:textId="77777777" w:rsidR="00DB70B8" w:rsidRDefault="00DB70B8" w:rsidP="00020D20">
      <w:pPr>
        <w:jc w:val="both"/>
        <w:rPr>
          <w:rFonts w:cstheme="minorHAnsi"/>
        </w:rPr>
      </w:pPr>
    </w:p>
    <w:p w14:paraId="59A3226C" w14:textId="19547B25" w:rsidR="007B2753" w:rsidRPr="007B2753" w:rsidRDefault="007B2753" w:rsidP="00020D20">
      <w:pPr>
        <w:jc w:val="both"/>
        <w:rPr>
          <w:rFonts w:cstheme="minorHAnsi"/>
        </w:rPr>
      </w:pPr>
      <w:r w:rsidRPr="007B2753">
        <w:rPr>
          <w:rFonts w:cstheme="minorHAnsi"/>
        </w:rPr>
        <w:t xml:space="preserve"> </w:t>
      </w:r>
      <w:r w:rsidR="00A93737">
        <w:rPr>
          <w:rFonts w:cstheme="minorHAnsi"/>
        </w:rPr>
        <w:br w:type="page"/>
      </w:r>
    </w:p>
    <w:p w14:paraId="28FC5E60" w14:textId="77777777" w:rsidR="000F7BDB" w:rsidRDefault="000F7BDB" w:rsidP="00020D20">
      <w:pPr>
        <w:pStyle w:val="Heading4"/>
        <w:jc w:val="both"/>
        <w:sectPr w:rsidR="000F7BDB" w:rsidSect="00020D20">
          <w:type w:val="continuous"/>
          <w:pgSz w:w="12240" w:h="15840"/>
          <w:pgMar w:top="1440" w:right="1440" w:bottom="1440" w:left="1440" w:header="720" w:footer="720" w:gutter="0"/>
          <w:pgNumType w:chapStyle="1"/>
          <w:cols w:num="2" w:space="720"/>
          <w:docGrid w:linePitch="360"/>
        </w:sectPr>
      </w:pPr>
    </w:p>
    <w:p w14:paraId="74BD4EEE" w14:textId="5D54309B" w:rsidR="000F7BDB" w:rsidRPr="007B2753" w:rsidRDefault="000F7BDB" w:rsidP="00020D20">
      <w:pPr>
        <w:pStyle w:val="Heading4"/>
        <w:jc w:val="both"/>
      </w:pPr>
      <w:r>
        <w:t>Figure 3</w:t>
      </w:r>
      <w:r w:rsidR="002C6FEF">
        <w:t>-3</w:t>
      </w:r>
      <w:r>
        <w:t xml:space="preserve"> | ADOT MPD Structure</w:t>
      </w:r>
    </w:p>
    <w:p w14:paraId="1D89FA4C" w14:textId="3A443974" w:rsidR="000F7BDB" w:rsidRDefault="000F7BDB" w:rsidP="00020D20">
      <w:pPr>
        <w:jc w:val="both"/>
        <w:rPr>
          <w:rFonts w:cstheme="minorHAnsi"/>
        </w:rPr>
      </w:pPr>
      <w:r>
        <w:rPr>
          <w:rFonts w:cstheme="minorHAnsi"/>
          <w:noProof/>
        </w:rPr>
        <w:drawing>
          <wp:inline distT="0" distB="0" distL="0" distR="0" wp14:anchorId="1D272B63" wp14:editId="616E2C02">
            <wp:extent cx="5962445" cy="2069708"/>
            <wp:effectExtent l="0" t="0" r="63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_Figure3-3_MPO Arrow Structure.jpg"/>
                    <pic:cNvPicPr/>
                  </pic:nvPicPr>
                  <pic:blipFill>
                    <a:blip r:embed="rId327" cstate="hqprint">
                      <a:extLst>
                        <a:ext uri="{28A0092B-C50C-407E-A947-70E740481C1C}">
                          <a14:useLocalDpi xmlns:a14="http://schemas.microsoft.com/office/drawing/2010/main" val="0"/>
                        </a:ext>
                      </a:extLst>
                    </a:blip>
                    <a:stretch>
                      <a:fillRect/>
                    </a:stretch>
                  </pic:blipFill>
                  <pic:spPr>
                    <a:xfrm>
                      <a:off x="0" y="0"/>
                      <a:ext cx="5962445" cy="2069708"/>
                    </a:xfrm>
                    <a:prstGeom prst="rect">
                      <a:avLst/>
                    </a:prstGeom>
                  </pic:spPr>
                </pic:pic>
              </a:graphicData>
            </a:graphic>
          </wp:inline>
        </w:drawing>
      </w:r>
    </w:p>
    <w:p w14:paraId="5153F692" w14:textId="77777777" w:rsidR="000F7BDB" w:rsidRDefault="000F7BDB" w:rsidP="00020D20">
      <w:pPr>
        <w:jc w:val="both"/>
        <w:rPr>
          <w:rFonts w:cstheme="minorHAnsi"/>
        </w:rPr>
        <w:sectPr w:rsidR="000F7BDB" w:rsidSect="00020D20">
          <w:type w:val="continuous"/>
          <w:pgSz w:w="12240" w:h="15840"/>
          <w:pgMar w:top="1440" w:right="1440" w:bottom="1440" w:left="1440" w:header="720" w:footer="720" w:gutter="0"/>
          <w:pgNumType w:chapStyle="1"/>
          <w:cols w:space="720"/>
          <w:docGrid w:linePitch="360"/>
        </w:sectPr>
      </w:pPr>
    </w:p>
    <w:p w14:paraId="6DBF686F" w14:textId="08760732" w:rsidR="007B2753" w:rsidRPr="007B2753" w:rsidRDefault="00A93737" w:rsidP="00020D20">
      <w:pPr>
        <w:jc w:val="both"/>
        <w:rPr>
          <w:rFonts w:cstheme="minorHAnsi"/>
        </w:rPr>
      </w:pPr>
      <w:r>
        <w:rPr>
          <w:rFonts w:cstheme="minorHAnsi"/>
          <w:noProof/>
        </w:rPr>
        <mc:AlternateContent>
          <mc:Choice Requires="wps">
            <w:drawing>
              <wp:anchor distT="0" distB="0" distL="114300" distR="114300" simplePos="0" relativeHeight="251618500" behindDoc="1" locked="0" layoutInCell="1" allowOverlap="1" wp14:anchorId="2D7EF74C" wp14:editId="5A9B2573">
                <wp:simplePos x="0" y="0"/>
                <wp:positionH relativeFrom="column">
                  <wp:posOffset>1028281</wp:posOffset>
                </wp:positionH>
                <wp:positionV relativeFrom="paragraph">
                  <wp:posOffset>1662550</wp:posOffset>
                </wp:positionV>
                <wp:extent cx="1656080" cy="1905000"/>
                <wp:effectExtent l="76200" t="95250" r="77470" b="95250"/>
                <wp:wrapTight wrapText="bothSides">
                  <wp:wrapPolygon edited="0">
                    <wp:start x="-994" y="-1080"/>
                    <wp:lineTo x="-994" y="22464"/>
                    <wp:lineTo x="22362" y="22464"/>
                    <wp:lineTo x="22362" y="-1080"/>
                    <wp:lineTo x="-994" y="-1080"/>
                  </wp:wrapPolygon>
                </wp:wrapTight>
                <wp:docPr id="1690911463" name="Text Box 1690911463"/>
                <wp:cNvGraphicFramePr/>
                <a:graphic xmlns:a="http://schemas.openxmlformats.org/drawingml/2006/main">
                  <a:graphicData uri="http://schemas.microsoft.com/office/word/2010/wordprocessingShape">
                    <wps:wsp>
                      <wps:cNvSpPr txBox="1"/>
                      <wps:spPr>
                        <a:xfrm>
                          <a:off x="0" y="0"/>
                          <a:ext cx="1656080" cy="1905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062E101" w14:textId="77777777" w:rsidR="00C6444C" w:rsidRDefault="00C6444C" w:rsidP="00020D20">
                            <w:pPr>
                              <w:jc w:val="center"/>
                            </w:pPr>
                            <w:r>
                              <w:rPr>
                                <w:noProof/>
                              </w:rPr>
                              <w:drawing>
                                <wp:inline distT="0" distB="0" distL="0" distR="0" wp14:anchorId="4BD0E2F7" wp14:editId="1E97D54D">
                                  <wp:extent cx="457200" cy="457200"/>
                                  <wp:effectExtent l="0" t="0" r="0" b="0"/>
                                  <wp:docPr id="1690912804" name="Picture 169091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5E92CB" w14:textId="77777777" w:rsidR="00C6444C" w:rsidRPr="00954116" w:rsidRDefault="00C6444C" w:rsidP="00020D20">
                            <w:pPr>
                              <w:pStyle w:val="Calloutboxes"/>
                            </w:pPr>
                            <w:r w:rsidRPr="00394A74">
                              <w:t>Each MPO is required to produce the following plans and programs:</w:t>
                            </w:r>
                          </w:p>
                          <w:tbl>
                            <w:tblPr>
                              <w:tblW w:w="2340" w:type="dxa"/>
                              <w:tblLook w:val="04A0" w:firstRow="1" w:lastRow="0" w:firstColumn="1" w:lastColumn="0" w:noHBand="0" w:noVBand="1"/>
                            </w:tblPr>
                            <w:tblGrid>
                              <w:gridCol w:w="476"/>
                              <w:gridCol w:w="1864"/>
                            </w:tblGrid>
                            <w:tr w:rsidR="00C6444C" w:rsidRPr="00A93737" w14:paraId="1EFA3ADA" w14:textId="77777777" w:rsidTr="00020D20">
                              <w:tc>
                                <w:tcPr>
                                  <w:tcW w:w="476" w:type="dxa"/>
                                  <w:vAlign w:val="center"/>
                                </w:tcPr>
                                <w:p w14:paraId="13324EC4" w14:textId="77777777" w:rsidR="00C6444C" w:rsidRDefault="00C6444C" w:rsidP="00020D20">
                                  <w:pPr>
                                    <w:spacing w:before="0" w:after="0" w:line="240" w:lineRule="auto"/>
                                    <w:ind w:right="110"/>
                                    <w:jc w:val="center"/>
                                  </w:pPr>
                                  <w:r>
                                    <w:rPr>
                                      <w:noProof/>
                                    </w:rPr>
                                    <w:drawing>
                                      <wp:inline distT="0" distB="0" distL="0" distR="0" wp14:anchorId="300C66A1" wp14:editId="776FB3B5">
                                        <wp:extent cx="91440" cy="91440"/>
                                        <wp:effectExtent l="0" t="0" r="3810" b="3810"/>
                                        <wp:docPr id="1690912805" name="Picture 169091280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5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0C046097" w14:textId="77777777" w:rsidR="00C6444C" w:rsidRPr="00954116" w:rsidRDefault="00C6444C" w:rsidP="00020D20">
                                  <w:pPr>
                                    <w:pStyle w:val="Calloutboxes"/>
                                  </w:pPr>
                                  <w:r w:rsidRPr="00394A74">
                                    <w:t>UPWP</w:t>
                                  </w:r>
                                </w:p>
                              </w:tc>
                            </w:tr>
                            <w:tr w:rsidR="00C6444C" w:rsidRPr="00A93737" w14:paraId="26F0EAE7" w14:textId="77777777" w:rsidTr="00020D20">
                              <w:tc>
                                <w:tcPr>
                                  <w:tcW w:w="476" w:type="dxa"/>
                                  <w:vAlign w:val="center"/>
                                </w:tcPr>
                                <w:p w14:paraId="00B0874E" w14:textId="77777777" w:rsidR="00C6444C" w:rsidRDefault="00C6444C" w:rsidP="00020D20">
                                  <w:pPr>
                                    <w:spacing w:before="0" w:after="0" w:line="240" w:lineRule="auto"/>
                                    <w:ind w:right="110"/>
                                    <w:jc w:val="center"/>
                                  </w:pPr>
                                  <w:r>
                                    <w:rPr>
                                      <w:noProof/>
                                    </w:rPr>
                                    <w:drawing>
                                      <wp:inline distT="0" distB="0" distL="0" distR="0" wp14:anchorId="64E83877" wp14:editId="514F0386">
                                        <wp:extent cx="91440" cy="91440"/>
                                        <wp:effectExtent l="0" t="0" r="3810" b="3810"/>
                                        <wp:docPr id="1690912811" name="Picture 169091281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5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0F43611A" w14:textId="77777777" w:rsidR="00C6444C" w:rsidRPr="00954116" w:rsidRDefault="00C6444C" w:rsidP="00020D20">
                                  <w:pPr>
                                    <w:pStyle w:val="Calloutboxes"/>
                                  </w:pPr>
                                  <w:r w:rsidRPr="00394A74">
                                    <w:t>20-year LRTP</w:t>
                                  </w:r>
                                </w:p>
                              </w:tc>
                            </w:tr>
                            <w:tr w:rsidR="00C6444C" w:rsidRPr="00A93737" w14:paraId="5C360033" w14:textId="77777777" w:rsidTr="00020D20">
                              <w:tc>
                                <w:tcPr>
                                  <w:tcW w:w="476" w:type="dxa"/>
                                  <w:vAlign w:val="center"/>
                                </w:tcPr>
                                <w:p w14:paraId="037077B3" w14:textId="77777777" w:rsidR="00C6444C" w:rsidRDefault="00C6444C" w:rsidP="00020D20">
                                  <w:pPr>
                                    <w:spacing w:before="0" w:after="0" w:line="240" w:lineRule="auto"/>
                                    <w:ind w:right="110"/>
                                    <w:jc w:val="center"/>
                                  </w:pPr>
                                  <w:r>
                                    <w:rPr>
                                      <w:noProof/>
                                    </w:rPr>
                                    <w:drawing>
                                      <wp:inline distT="0" distB="0" distL="0" distR="0" wp14:anchorId="5DF1D54C" wp14:editId="02836704">
                                        <wp:extent cx="91440" cy="91440"/>
                                        <wp:effectExtent l="0" t="0" r="3810" b="3810"/>
                                        <wp:docPr id="1690912814" name="Picture 169091281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60"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0CACCCB5" w14:textId="77777777" w:rsidR="00C6444C" w:rsidRPr="00954116" w:rsidRDefault="00C6444C" w:rsidP="00020D20">
                                  <w:pPr>
                                    <w:pStyle w:val="Calloutboxes"/>
                                  </w:pPr>
                                  <w:r w:rsidRPr="00394A74">
                                    <w:t>Short-range (4-year) TIP</w:t>
                                  </w:r>
                                </w:p>
                              </w:tc>
                            </w:tr>
                            <w:tr w:rsidR="00C6444C" w:rsidRPr="00A93737" w14:paraId="62C8659D" w14:textId="77777777" w:rsidTr="00020D20">
                              <w:tc>
                                <w:tcPr>
                                  <w:tcW w:w="476" w:type="dxa"/>
                                  <w:vAlign w:val="center"/>
                                </w:tcPr>
                                <w:p w14:paraId="1EB28ED1" w14:textId="77777777" w:rsidR="00C6444C" w:rsidRDefault="00C6444C" w:rsidP="00020D20">
                                  <w:pPr>
                                    <w:spacing w:before="0" w:after="0" w:line="240" w:lineRule="auto"/>
                                    <w:ind w:left="-15" w:right="110"/>
                                    <w:jc w:val="center"/>
                                  </w:pPr>
                                  <w:r>
                                    <w:rPr>
                                      <w:noProof/>
                                    </w:rPr>
                                    <w:drawing>
                                      <wp:inline distT="0" distB="0" distL="0" distR="0" wp14:anchorId="676FABBE" wp14:editId="7BCC53BF">
                                        <wp:extent cx="91440" cy="91440"/>
                                        <wp:effectExtent l="0" t="0" r="3810" b="3810"/>
                                        <wp:docPr id="1690912816" name="Picture 169091281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61"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431DA179" w14:textId="77777777" w:rsidR="00C6444C" w:rsidRPr="0052715B" w:rsidRDefault="00C6444C" w:rsidP="00020D20">
                                  <w:pPr>
                                    <w:pStyle w:val="Calloutboxes"/>
                                  </w:pPr>
                                  <w:r w:rsidRPr="00394A74">
                                    <w:t>Public</w:t>
                                  </w:r>
                                  <w:r w:rsidRPr="00954116">
                                    <w:t xml:space="preserve"> Participation Plan</w:t>
                                  </w:r>
                                </w:p>
                              </w:tc>
                            </w:tr>
                            <w:tr w:rsidR="00C6444C" w:rsidRPr="00A93737" w14:paraId="364AC3AD" w14:textId="77777777" w:rsidTr="00020D20">
                              <w:trPr>
                                <w:trHeight w:val="80"/>
                              </w:trPr>
                              <w:tc>
                                <w:tcPr>
                                  <w:tcW w:w="476" w:type="dxa"/>
                                  <w:vAlign w:val="center"/>
                                </w:tcPr>
                                <w:p w14:paraId="3CEF1CE4" w14:textId="77777777" w:rsidR="00C6444C" w:rsidRDefault="00C6444C" w:rsidP="00020D20">
                                  <w:pPr>
                                    <w:spacing w:before="0" w:after="0" w:line="240" w:lineRule="auto"/>
                                    <w:ind w:left="-15" w:right="110"/>
                                    <w:jc w:val="center"/>
                                  </w:pPr>
                                  <w:r>
                                    <w:rPr>
                                      <w:noProof/>
                                    </w:rPr>
                                    <w:drawing>
                                      <wp:inline distT="0" distB="0" distL="0" distR="0" wp14:anchorId="70801F0D" wp14:editId="46055CB1">
                                        <wp:extent cx="91440" cy="91440"/>
                                        <wp:effectExtent l="0" t="0" r="3810" b="3810"/>
                                        <wp:docPr id="1690912817" name="Picture 169091281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62"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3C341D09" w14:textId="77777777" w:rsidR="00C6444C" w:rsidRPr="00954116" w:rsidRDefault="00C6444C" w:rsidP="00020D20">
                                  <w:pPr>
                                    <w:pStyle w:val="Calloutboxes"/>
                                  </w:pPr>
                                  <w:r w:rsidRPr="00394A74">
                                    <w:t>Title VI Plan</w:t>
                                  </w:r>
                                </w:p>
                              </w:tc>
                            </w:tr>
                          </w:tbl>
                          <w:p w14:paraId="6D41A2C8" w14:textId="77777777" w:rsidR="00C6444C" w:rsidRPr="00020D20" w:rsidRDefault="00C6444C" w:rsidP="00020D20">
                            <w:pPr>
                              <w:spacing w:before="0" w:line="24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7EF74C" id="Text Box 1690911463" o:spid="_x0000_s1099" type="#_x0000_t202" style="position:absolute;left:0;text-align:left;margin-left:80.95pt;margin-top:130.9pt;width:130.4pt;height:150pt;z-index:-251697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" fillcolor="#f7f7f7" stroked="f" strokeweight=".5pt">
                <v:shadow on="t" type="perspective" color="black" opacity="26214f" offset="0,0" matrix="66847f,,,66847f"/>
                <v:textbox>
                  <w:txbxContent>
                    <w:p w14:paraId="1062E101" w14:textId="77777777" w:rsidR="00C6444C" w:rsidRDefault="00C6444C" w:rsidP="00020D20">
                      <w:pPr>
                        <w:jc w:val="center"/>
                      </w:pPr>
                      <w:r>
                        <w:rPr>
                          <w:noProof/>
                        </w:rPr>
                        <w:drawing>
                          <wp:inline distT="0" distB="0" distL="0" distR="0" wp14:anchorId="4BD0E2F7" wp14:editId="1E97D54D">
                            <wp:extent cx="457200" cy="457200"/>
                            <wp:effectExtent l="0" t="0" r="0" b="0"/>
                            <wp:docPr id="1690912804" name="Picture 169091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5E92CB" w14:textId="77777777" w:rsidR="00C6444C" w:rsidRPr="00954116" w:rsidRDefault="00C6444C" w:rsidP="00020D20">
                      <w:pPr>
                        <w:pStyle w:val="Calloutboxes"/>
                      </w:pPr>
                      <w:r w:rsidRPr="00394A74">
                        <w:t>Each MPO is required to produce the following plans and programs:</w:t>
                      </w:r>
                    </w:p>
                    <w:tbl>
                      <w:tblPr>
                        <w:tblW w:w="2340" w:type="dxa"/>
                        <w:tblLook w:val="04A0" w:firstRow="1" w:lastRow="0" w:firstColumn="1" w:lastColumn="0" w:noHBand="0" w:noVBand="1"/>
                      </w:tblPr>
                      <w:tblGrid>
                        <w:gridCol w:w="476"/>
                        <w:gridCol w:w="1864"/>
                      </w:tblGrid>
                      <w:tr w:rsidR="00C6444C" w:rsidRPr="00A93737" w14:paraId="1EFA3ADA" w14:textId="77777777" w:rsidTr="00020D20">
                        <w:tc>
                          <w:tcPr>
                            <w:tcW w:w="476" w:type="dxa"/>
                            <w:vAlign w:val="center"/>
                          </w:tcPr>
                          <w:p w14:paraId="13324EC4" w14:textId="77777777" w:rsidR="00C6444C" w:rsidRDefault="00C6444C" w:rsidP="00020D20">
                            <w:pPr>
                              <w:spacing w:before="0" w:after="0" w:line="240" w:lineRule="auto"/>
                              <w:ind w:right="110"/>
                              <w:jc w:val="center"/>
                            </w:pPr>
                            <w:r>
                              <w:rPr>
                                <w:noProof/>
                              </w:rPr>
                              <w:drawing>
                                <wp:inline distT="0" distB="0" distL="0" distR="0" wp14:anchorId="300C66A1" wp14:editId="776FB3B5">
                                  <wp:extent cx="91440" cy="91440"/>
                                  <wp:effectExtent l="0" t="0" r="3810" b="3810"/>
                                  <wp:docPr id="1690912805" name="Picture 169091280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5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0C046097" w14:textId="77777777" w:rsidR="00C6444C" w:rsidRPr="00954116" w:rsidRDefault="00C6444C" w:rsidP="00020D20">
                            <w:pPr>
                              <w:pStyle w:val="Calloutboxes"/>
                            </w:pPr>
                            <w:r w:rsidRPr="00394A74">
                              <w:t>UPWP</w:t>
                            </w:r>
                          </w:p>
                        </w:tc>
                      </w:tr>
                      <w:tr w:rsidR="00C6444C" w:rsidRPr="00A93737" w14:paraId="26F0EAE7" w14:textId="77777777" w:rsidTr="00020D20">
                        <w:tc>
                          <w:tcPr>
                            <w:tcW w:w="476" w:type="dxa"/>
                            <w:vAlign w:val="center"/>
                          </w:tcPr>
                          <w:p w14:paraId="00B0874E" w14:textId="77777777" w:rsidR="00C6444C" w:rsidRDefault="00C6444C" w:rsidP="00020D20">
                            <w:pPr>
                              <w:spacing w:before="0" w:after="0" w:line="240" w:lineRule="auto"/>
                              <w:ind w:right="110"/>
                              <w:jc w:val="center"/>
                            </w:pPr>
                            <w:r>
                              <w:rPr>
                                <w:noProof/>
                              </w:rPr>
                              <w:drawing>
                                <wp:inline distT="0" distB="0" distL="0" distR="0" wp14:anchorId="64E83877" wp14:editId="514F0386">
                                  <wp:extent cx="91440" cy="91440"/>
                                  <wp:effectExtent l="0" t="0" r="3810" b="3810"/>
                                  <wp:docPr id="1690912811" name="Picture 169091281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5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0F43611A" w14:textId="77777777" w:rsidR="00C6444C" w:rsidRPr="00954116" w:rsidRDefault="00C6444C" w:rsidP="00020D20">
                            <w:pPr>
                              <w:pStyle w:val="Calloutboxes"/>
                            </w:pPr>
                            <w:r w:rsidRPr="00394A74">
                              <w:t>20-year LRTP</w:t>
                            </w:r>
                          </w:p>
                        </w:tc>
                      </w:tr>
                      <w:tr w:rsidR="00C6444C" w:rsidRPr="00A93737" w14:paraId="5C360033" w14:textId="77777777" w:rsidTr="00020D20">
                        <w:tc>
                          <w:tcPr>
                            <w:tcW w:w="476" w:type="dxa"/>
                            <w:vAlign w:val="center"/>
                          </w:tcPr>
                          <w:p w14:paraId="037077B3" w14:textId="77777777" w:rsidR="00C6444C" w:rsidRDefault="00C6444C" w:rsidP="00020D20">
                            <w:pPr>
                              <w:spacing w:before="0" w:after="0" w:line="240" w:lineRule="auto"/>
                              <w:ind w:right="110"/>
                              <w:jc w:val="center"/>
                            </w:pPr>
                            <w:r>
                              <w:rPr>
                                <w:noProof/>
                              </w:rPr>
                              <w:drawing>
                                <wp:inline distT="0" distB="0" distL="0" distR="0" wp14:anchorId="5DF1D54C" wp14:editId="02836704">
                                  <wp:extent cx="91440" cy="91440"/>
                                  <wp:effectExtent l="0" t="0" r="3810" b="3810"/>
                                  <wp:docPr id="1690912814" name="Picture 169091281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60"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0CACCCB5" w14:textId="77777777" w:rsidR="00C6444C" w:rsidRPr="00954116" w:rsidRDefault="00C6444C" w:rsidP="00020D20">
                            <w:pPr>
                              <w:pStyle w:val="Calloutboxes"/>
                            </w:pPr>
                            <w:r w:rsidRPr="00394A74">
                              <w:t>Short-range (4-year) TIP</w:t>
                            </w:r>
                          </w:p>
                        </w:tc>
                      </w:tr>
                      <w:tr w:rsidR="00C6444C" w:rsidRPr="00A93737" w14:paraId="62C8659D" w14:textId="77777777" w:rsidTr="00020D20">
                        <w:tc>
                          <w:tcPr>
                            <w:tcW w:w="476" w:type="dxa"/>
                            <w:vAlign w:val="center"/>
                          </w:tcPr>
                          <w:p w14:paraId="1EB28ED1" w14:textId="77777777" w:rsidR="00C6444C" w:rsidRDefault="00C6444C" w:rsidP="00020D20">
                            <w:pPr>
                              <w:spacing w:before="0" w:after="0" w:line="240" w:lineRule="auto"/>
                              <w:ind w:left="-15" w:right="110"/>
                              <w:jc w:val="center"/>
                            </w:pPr>
                            <w:r>
                              <w:rPr>
                                <w:noProof/>
                              </w:rPr>
                              <w:drawing>
                                <wp:inline distT="0" distB="0" distL="0" distR="0" wp14:anchorId="676FABBE" wp14:editId="7BCC53BF">
                                  <wp:extent cx="91440" cy="91440"/>
                                  <wp:effectExtent l="0" t="0" r="3810" b="3810"/>
                                  <wp:docPr id="1690912816" name="Picture 169091281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61"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431DA179" w14:textId="77777777" w:rsidR="00C6444C" w:rsidRPr="0052715B" w:rsidRDefault="00C6444C" w:rsidP="00020D20">
                            <w:pPr>
                              <w:pStyle w:val="Calloutboxes"/>
                            </w:pPr>
                            <w:r w:rsidRPr="00394A74">
                              <w:t>Public</w:t>
                            </w:r>
                            <w:r w:rsidRPr="00954116">
                              <w:t xml:space="preserve"> Participation Plan</w:t>
                            </w:r>
                          </w:p>
                        </w:tc>
                      </w:tr>
                      <w:tr w:rsidR="00C6444C" w:rsidRPr="00A93737" w14:paraId="364AC3AD" w14:textId="77777777" w:rsidTr="00020D20">
                        <w:trPr>
                          <w:trHeight w:val="80"/>
                        </w:trPr>
                        <w:tc>
                          <w:tcPr>
                            <w:tcW w:w="476" w:type="dxa"/>
                            <w:vAlign w:val="center"/>
                          </w:tcPr>
                          <w:p w14:paraId="3CEF1CE4" w14:textId="77777777" w:rsidR="00C6444C" w:rsidRDefault="00C6444C" w:rsidP="00020D20">
                            <w:pPr>
                              <w:spacing w:before="0" w:after="0" w:line="240" w:lineRule="auto"/>
                              <w:ind w:left="-15" w:right="110"/>
                              <w:jc w:val="center"/>
                            </w:pPr>
                            <w:r>
                              <w:rPr>
                                <w:noProof/>
                              </w:rPr>
                              <w:drawing>
                                <wp:inline distT="0" distB="0" distL="0" distR="0" wp14:anchorId="70801F0D" wp14:editId="46055CB1">
                                  <wp:extent cx="91440" cy="91440"/>
                                  <wp:effectExtent l="0" t="0" r="3810" b="3810"/>
                                  <wp:docPr id="1690912817" name="Picture 169091281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62"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864" w:type="dxa"/>
                          </w:tcPr>
                          <w:p w14:paraId="3C341D09" w14:textId="77777777" w:rsidR="00C6444C" w:rsidRPr="00954116" w:rsidRDefault="00C6444C" w:rsidP="00020D20">
                            <w:pPr>
                              <w:pStyle w:val="Calloutboxes"/>
                            </w:pPr>
                            <w:r w:rsidRPr="00394A74">
                              <w:t>Title VI Plan</w:t>
                            </w:r>
                          </w:p>
                        </w:tc>
                      </w:tr>
                    </w:tbl>
                    <w:p w14:paraId="6D41A2C8" w14:textId="77777777" w:rsidR="00C6444C" w:rsidRPr="00020D20" w:rsidRDefault="00C6444C" w:rsidP="00020D20">
                      <w:pPr>
                        <w:spacing w:before="0" w:line="240" w:lineRule="auto"/>
                        <w:rPr>
                          <w:sz w:val="16"/>
                          <w:szCs w:val="16"/>
                        </w:rPr>
                      </w:pPr>
                    </w:p>
                  </w:txbxContent>
                </v:textbox>
                <w10:wrap type="tight"/>
              </v:shape>
            </w:pict>
          </mc:Fallback>
        </mc:AlternateContent>
      </w:r>
      <w:r w:rsidR="007B2753" w:rsidRPr="007B2753">
        <w:rPr>
          <w:rFonts w:cstheme="minorHAnsi"/>
        </w:rPr>
        <w:t xml:space="preserve">Thus, by its focus and actions, the policy board establishes a forum to discuss regional issues and manages effective regional decision making for transportation improvement projects within the MPA. It accomplishes this through comprehensive evaluations of transportation needs and issues with public involvement. The policy board, generally through its staff or an advisory committee assisted by its staff, </w:t>
      </w:r>
      <w:r w:rsidR="006C7B25" w:rsidRPr="007B2753">
        <w:rPr>
          <w:rFonts w:cstheme="minorHAnsi"/>
        </w:rPr>
        <w:t>develops,</w:t>
      </w:r>
      <w:r w:rsidR="007B2753" w:rsidRPr="007B2753">
        <w:rPr>
          <w:rFonts w:cstheme="minorHAnsi"/>
        </w:rPr>
        <w:t xml:space="preserve"> and updates a fiscally constrained 20 year (minimum) </w:t>
      </w:r>
      <w:r w:rsidR="0070552E">
        <w:rPr>
          <w:rFonts w:cstheme="minorHAnsi"/>
        </w:rPr>
        <w:t>LRTP</w:t>
      </w:r>
      <w:r w:rsidR="007B2753" w:rsidRPr="007B2753">
        <w:rPr>
          <w:rFonts w:cstheme="minorHAnsi"/>
        </w:rPr>
        <w:t>, which is translated into a fiscally constrained 4</w:t>
      </w:r>
      <w:r w:rsidR="006D2F7B">
        <w:rPr>
          <w:rFonts w:cstheme="minorHAnsi"/>
        </w:rPr>
        <w:t>-</w:t>
      </w:r>
      <w:r w:rsidR="007B2753" w:rsidRPr="007B2753">
        <w:rPr>
          <w:rFonts w:cstheme="minorHAnsi"/>
        </w:rPr>
        <w:t xml:space="preserve">year TIP with an </w:t>
      </w:r>
      <w:r w:rsidR="007B2753" w:rsidRPr="001B1DC6">
        <w:rPr>
          <w:rStyle w:val="Heading5Char"/>
        </w:rPr>
        <w:t>Annual Element</w:t>
      </w:r>
      <w:r w:rsidR="007B2753" w:rsidRPr="007B2753">
        <w:rPr>
          <w:rFonts w:cstheme="minorHAnsi"/>
        </w:rPr>
        <w:t xml:space="preserve"> (AE). </w:t>
      </w:r>
    </w:p>
    <w:p w14:paraId="63165971" w14:textId="5E8D75E0" w:rsidR="007B2753" w:rsidRPr="007B2753" w:rsidRDefault="007B2753" w:rsidP="00020D20">
      <w:pPr>
        <w:pStyle w:val="Heading3"/>
        <w:jc w:val="both"/>
        <w:rPr>
          <w:rFonts w:cstheme="minorHAnsi"/>
          <w:szCs w:val="20"/>
        </w:rPr>
      </w:pPr>
      <w:bookmarkStart w:id="141" w:name="_Ref50028421"/>
      <w:r w:rsidRPr="007B2753">
        <w:rPr>
          <w:rFonts w:cstheme="minorHAnsi"/>
          <w:szCs w:val="20"/>
        </w:rPr>
        <w:t>3.9.2 | Regional Planning</w:t>
      </w:r>
      <w:bookmarkEnd w:id="141"/>
    </w:p>
    <w:p w14:paraId="6B722C46" w14:textId="73B9D8AD" w:rsidR="007B2753" w:rsidRPr="007B2753" w:rsidRDefault="007B2753" w:rsidP="00020D20">
      <w:pPr>
        <w:jc w:val="both"/>
        <w:rPr>
          <w:rFonts w:cstheme="minorHAnsi"/>
          <w:b/>
        </w:rPr>
      </w:pPr>
      <w:r w:rsidRPr="007B2753">
        <w:rPr>
          <w:rFonts w:cstheme="minorHAnsi"/>
        </w:rPr>
        <w:t>Two vital aspects of the regional planning process that must be followed to ensure eligibility for federal transportation funding are fiscally constrained planning and adoption of an AE. These two products of the MPO planning process are instrumental to the development of the RTP and TIP. The process followed by the policy board also must ensure active involvement of the general public and all significantly affected subgroups.</w:t>
      </w:r>
    </w:p>
    <w:p w14:paraId="16196CAC" w14:textId="77777777" w:rsidR="007B2753" w:rsidRPr="007B2753" w:rsidRDefault="007B2753" w:rsidP="00020D20">
      <w:pPr>
        <w:pStyle w:val="SubHeading3"/>
        <w:jc w:val="both"/>
      </w:pPr>
      <w:bookmarkStart w:id="142" w:name="_Ref50028615"/>
      <w:r w:rsidRPr="007B2753">
        <w:t>Fiscally Constrained Planning</w:t>
      </w:r>
      <w:bookmarkEnd w:id="142"/>
    </w:p>
    <w:p w14:paraId="686AC40B" w14:textId="76569167" w:rsidR="007B2753" w:rsidRPr="007B2753" w:rsidRDefault="007B2753" w:rsidP="00020D20">
      <w:pPr>
        <w:jc w:val="both"/>
        <w:rPr>
          <w:rFonts w:cstheme="minorHAnsi"/>
        </w:rPr>
      </w:pPr>
      <w:r w:rsidRPr="007B2753">
        <w:rPr>
          <w:rFonts w:cstheme="minorHAnsi"/>
        </w:rPr>
        <w:t>Fiscally constrained planning is a statutory requirement established by Congress with the passage of</w:t>
      </w:r>
      <w:r w:rsidR="00B34E53">
        <w:rPr>
          <w:rFonts w:cstheme="minorHAnsi"/>
        </w:rPr>
        <w:t xml:space="preserve"> Intermodal Surface Transportation Efficiency Act</w:t>
      </w:r>
      <w:r w:rsidRPr="007B2753">
        <w:rPr>
          <w:rFonts w:cstheme="minorHAnsi"/>
        </w:rPr>
        <w:t xml:space="preserve"> </w:t>
      </w:r>
      <w:r w:rsidR="00B34E53">
        <w:rPr>
          <w:rFonts w:cstheme="minorHAnsi"/>
        </w:rPr>
        <w:t>(</w:t>
      </w:r>
      <w:r w:rsidRPr="007B2753">
        <w:rPr>
          <w:rFonts w:cstheme="minorHAnsi"/>
        </w:rPr>
        <w:t>ISTEA</w:t>
      </w:r>
      <w:r w:rsidR="0067715E">
        <w:rPr>
          <w:rFonts w:cstheme="minorHAnsi"/>
        </w:rPr>
        <w:t>)</w:t>
      </w:r>
      <w:r w:rsidRPr="007B2753">
        <w:rPr>
          <w:rFonts w:cstheme="minorHAnsi"/>
        </w:rPr>
        <w:t xml:space="preserve">. Fiscal constraint means that revenues identified for transportation planning and programming (federal, state, local, and private) “are reasonably expected to be available to implement the </w:t>
      </w:r>
      <w:hyperlink r:id="rId329" w:history="1">
        <w:r w:rsidR="0070552E">
          <w:rPr>
            <w:rStyle w:val="TitleChar"/>
          </w:rPr>
          <w:t>State Long-Range Transportation Plan</w:t>
        </w:r>
      </w:hyperlink>
      <w:r w:rsidRPr="007B2753">
        <w:rPr>
          <w:rFonts w:cstheme="minorHAnsi"/>
        </w:rPr>
        <w:t xml:space="preserve"> (LRTP) and the</w:t>
      </w:r>
      <w:r w:rsidRPr="007B6EEE">
        <w:rPr>
          <w:rStyle w:val="TitleChar"/>
        </w:rPr>
        <w:t xml:space="preserve"> </w:t>
      </w:r>
      <w:hyperlink r:id="rId330" w:history="1">
        <w:r w:rsidRPr="0039064E">
          <w:rPr>
            <w:rStyle w:val="TitleChar"/>
          </w:rPr>
          <w:t xml:space="preserve">State Transportation Improvement Program </w:t>
        </w:r>
      </w:hyperlink>
      <w:r w:rsidRPr="007B2753">
        <w:rPr>
          <w:rFonts w:cstheme="minorHAnsi"/>
        </w:rPr>
        <w:t>(STIP)/</w:t>
      </w:r>
      <w:r w:rsidRPr="001B1DC6">
        <w:rPr>
          <w:rStyle w:val="Heading5Char"/>
        </w:rPr>
        <w:t>Transportation Improvement Program</w:t>
      </w:r>
      <w:r w:rsidRPr="007B2753">
        <w:rPr>
          <w:rFonts w:cstheme="minorHAnsi"/>
        </w:rPr>
        <w:t xml:space="preserve"> (TIP), while providing for the operation and maintenance of the existing highway and transit systems.” The intent of this requirement is to ensure that plans and programs reflect realistic assumptions regarding future revenues. Thus, requests for federally funded highway and transit projects must be accompanied by an analysis of revenues and costs that fully supports proposed plans and program implementation. This statutory requirement is clarified in federal regulations relating to statewide and metropolitan transportation planning regulations (</w:t>
      </w:r>
      <w:hyperlink r:id="rId331" w:history="1">
        <w:r w:rsidRPr="00020D20">
          <w:rPr>
            <w:rStyle w:val="TitleChar"/>
          </w:rPr>
          <w:t xml:space="preserve">23 </w:t>
        </w:r>
        <w:r w:rsidR="009628C0">
          <w:rPr>
            <w:rStyle w:val="TitleChar"/>
          </w:rPr>
          <w:t xml:space="preserve">C.F.R. </w:t>
        </w:r>
        <w:r w:rsidRPr="00020D20">
          <w:rPr>
            <w:rStyle w:val="TitleChar"/>
          </w:rPr>
          <w:t>Part 450</w:t>
        </w:r>
      </w:hyperlink>
      <w:r w:rsidRPr="007B2753">
        <w:rPr>
          <w:rFonts w:cstheme="minorHAnsi"/>
        </w:rPr>
        <w:t xml:space="preserve"> and </w:t>
      </w:r>
      <w:hyperlink r:id="rId332" w:history="1">
        <w:r w:rsidRPr="00020D20">
          <w:rPr>
            <w:rStyle w:val="TitleChar"/>
          </w:rPr>
          <w:t xml:space="preserve">49 </w:t>
        </w:r>
        <w:r w:rsidR="009628C0">
          <w:rPr>
            <w:rStyle w:val="TitleChar"/>
          </w:rPr>
          <w:t xml:space="preserve">C.F.R. </w:t>
        </w:r>
        <w:r w:rsidRPr="00020D20">
          <w:rPr>
            <w:rStyle w:val="TitleChar"/>
          </w:rPr>
          <w:t>Part 613</w:t>
        </w:r>
      </w:hyperlink>
      <w:r w:rsidRPr="007B2753">
        <w:rPr>
          <w:rFonts w:cstheme="minorHAnsi"/>
        </w:rPr>
        <w:t>). Key points related to this requirement are:</w:t>
      </w:r>
    </w:p>
    <w:p w14:paraId="62EFD7B9" w14:textId="3365812C" w:rsidR="007B2753" w:rsidRPr="001B1DC6" w:rsidRDefault="007B2753" w:rsidP="00020D20">
      <w:pPr>
        <w:pStyle w:val="Body-Bullets"/>
        <w:jc w:val="both"/>
      </w:pPr>
      <w:r w:rsidRPr="001B1DC6">
        <w:t>Costs to implement adopted plans and programs cannot exceed funding/revenues reasonably expected or projected to be available through the planning horizon.</w:t>
      </w:r>
    </w:p>
    <w:p w14:paraId="2633CC78" w14:textId="77777777" w:rsidR="007B2753" w:rsidRPr="001B1DC6" w:rsidRDefault="007B2753" w:rsidP="00020D20">
      <w:pPr>
        <w:pStyle w:val="Body-Bullets"/>
        <w:jc w:val="both"/>
      </w:pPr>
      <w:r w:rsidRPr="001B1DC6">
        <w:t>An understanding and full accounting of funding/revenue streams must be provided.</w:t>
      </w:r>
    </w:p>
    <w:p w14:paraId="2C37DF87" w14:textId="77777777" w:rsidR="007B2753" w:rsidRPr="001B1DC6" w:rsidRDefault="007B2753" w:rsidP="00020D20">
      <w:pPr>
        <w:pStyle w:val="Body-Bullets"/>
        <w:jc w:val="both"/>
      </w:pPr>
      <w:r w:rsidRPr="001B1DC6">
        <w:t>Prioritization of investment needs is required.</w:t>
      </w:r>
    </w:p>
    <w:p w14:paraId="7686FFE7" w14:textId="2DD31ED7" w:rsidR="007B2753" w:rsidRPr="001B1DC6" w:rsidRDefault="007B2753" w:rsidP="00020D20">
      <w:pPr>
        <w:pStyle w:val="Body-Bullets"/>
        <w:jc w:val="both"/>
      </w:pPr>
      <w:r w:rsidRPr="001B1DC6">
        <w:t>The assessment of revenues and cost must encompass all travel modes (i.e., decisions and priorities for a multimodal transportation system).</w:t>
      </w:r>
    </w:p>
    <w:p w14:paraId="34143429" w14:textId="666F935E" w:rsidR="007B2753" w:rsidRPr="007B2753" w:rsidRDefault="007B2753" w:rsidP="00020D20">
      <w:pPr>
        <w:pStyle w:val="SubHeading3"/>
        <w:jc w:val="both"/>
      </w:pPr>
      <w:bookmarkStart w:id="143" w:name="_Ref50028618"/>
      <w:r w:rsidRPr="007B2753">
        <w:t>Annual Element (AE)</w:t>
      </w:r>
      <w:bookmarkEnd w:id="143"/>
    </w:p>
    <w:p w14:paraId="119C8279" w14:textId="72150491" w:rsidR="009B56FF" w:rsidRPr="009B56FF" w:rsidRDefault="007B2753" w:rsidP="00020D20">
      <w:pPr>
        <w:jc w:val="both"/>
        <w:rPr>
          <w:rFonts w:cstheme="minorHAnsi"/>
        </w:rPr>
      </w:pPr>
      <w:r w:rsidRPr="007B2753">
        <w:rPr>
          <w:rFonts w:cstheme="minorHAnsi"/>
        </w:rPr>
        <w:t>A TIP establishes a schedule for obligating federal funds to identified capital and operation costs of highway, transit, and other transportation-related projects. A TIP must include all federally funded projects; furthermore, in non-attainment areas the TIP must include all regionally significant projects, regardless of the funding source. It is updated each year to reflect changes in priorities as well</w:t>
      </w:r>
      <w:r w:rsidR="009B56FF">
        <w:rPr>
          <w:rFonts w:cstheme="minorHAnsi"/>
        </w:rPr>
        <w:t xml:space="preserve"> </w:t>
      </w:r>
      <w:r w:rsidR="009B56FF" w:rsidRPr="009B56FF">
        <w:rPr>
          <w:rFonts w:cstheme="minorHAnsi"/>
        </w:rPr>
        <w:t xml:space="preserve">as revenues. Thus, a TIP documents an agency’s intent to construct or implement specific projects based on a fiscally constrained revenue/cost forecast, which is based on the estimated receipt of all federal, state, and local funds, including private and Transportation Authority funds. The </w:t>
      </w:r>
      <w:r w:rsidR="00407829">
        <w:rPr>
          <w:rFonts w:cstheme="minorHAnsi"/>
        </w:rPr>
        <w:t>current</w:t>
      </w:r>
      <w:r w:rsidR="00407829" w:rsidRPr="009B56FF">
        <w:rPr>
          <w:rFonts w:cstheme="minorHAnsi"/>
        </w:rPr>
        <w:t xml:space="preserve"> </w:t>
      </w:r>
      <w:r w:rsidR="009B56FF" w:rsidRPr="009B56FF">
        <w:rPr>
          <w:rFonts w:cstheme="minorHAnsi"/>
        </w:rPr>
        <w:t xml:space="preserve">year of the TIP is called the AE. Projects contained in the AE are programmed for and, are therefore eligible to receive federal funding to obligate in that initial fiscal year of the TIP. Key points related to this requirement are that the AE: </w:t>
      </w:r>
    </w:p>
    <w:p w14:paraId="3C4611FB" w14:textId="5078B344" w:rsidR="009B56FF" w:rsidRPr="001B1DC6" w:rsidRDefault="009B56FF" w:rsidP="00020D20">
      <w:pPr>
        <w:pStyle w:val="Body-Bullets"/>
        <w:jc w:val="both"/>
      </w:pPr>
      <w:r w:rsidRPr="001B1DC6">
        <w:t>includes transportation improvement projects proposed for implementation in the current fiscal year;</w:t>
      </w:r>
    </w:p>
    <w:p w14:paraId="672CA299" w14:textId="77777777" w:rsidR="009B56FF" w:rsidRPr="001B1DC6" w:rsidRDefault="009B56FF" w:rsidP="00020D20">
      <w:pPr>
        <w:pStyle w:val="Body-Bullets"/>
        <w:jc w:val="both"/>
      </w:pPr>
      <w:r w:rsidRPr="001B1DC6">
        <w:t>represents projects for which funding is expected to be secured and disbursed; and</w:t>
      </w:r>
    </w:p>
    <w:p w14:paraId="3666AE4F" w14:textId="77777777" w:rsidR="009B56FF" w:rsidRPr="001B1DC6" w:rsidRDefault="009B56FF" w:rsidP="00020D20">
      <w:pPr>
        <w:pStyle w:val="Body-Bullets"/>
        <w:jc w:val="both"/>
      </w:pPr>
      <w:r w:rsidRPr="001B1DC6">
        <w:t>constitutes a mandatory part of the federal planning process to qualify for federal funds.</w:t>
      </w:r>
    </w:p>
    <w:p w14:paraId="1C39E7AA" w14:textId="1752522E" w:rsidR="009B56FF" w:rsidRPr="009B56FF" w:rsidRDefault="003416CC" w:rsidP="00020D20">
      <w:pPr>
        <w:jc w:val="both"/>
        <w:rPr>
          <w:rFonts w:cstheme="minorHAnsi"/>
          <w:b/>
        </w:rPr>
      </w:pPr>
      <w:r>
        <w:rPr>
          <w:noProof/>
        </w:rPr>
        <mc:AlternateContent>
          <mc:Choice Requires="wps">
            <w:drawing>
              <wp:anchor distT="0" distB="0" distL="114300" distR="114300" simplePos="0" relativeHeight="251618611" behindDoc="1" locked="0" layoutInCell="1" allowOverlap="1" wp14:anchorId="1B0F4CA7" wp14:editId="0CF89156">
                <wp:simplePos x="0" y="0"/>
                <wp:positionH relativeFrom="column">
                  <wp:posOffset>1367790</wp:posOffset>
                </wp:positionH>
                <wp:positionV relativeFrom="paragraph">
                  <wp:posOffset>119380</wp:posOffset>
                </wp:positionV>
                <wp:extent cx="1312545" cy="1238250"/>
                <wp:effectExtent l="95250" t="76200" r="97155" b="76200"/>
                <wp:wrapTight wrapText="bothSides">
                  <wp:wrapPolygon edited="0">
                    <wp:start x="-940" y="-1329"/>
                    <wp:lineTo x="-1567" y="-997"/>
                    <wp:lineTo x="-1254" y="22597"/>
                    <wp:lineTo x="22572" y="22597"/>
                    <wp:lineTo x="22885" y="4320"/>
                    <wp:lineTo x="22258" y="-665"/>
                    <wp:lineTo x="22258" y="-1329"/>
                    <wp:lineTo x="-940" y="-1329"/>
                  </wp:wrapPolygon>
                </wp:wrapTight>
                <wp:docPr id="816286404" name="Text Box 816286404"/>
                <wp:cNvGraphicFramePr/>
                <a:graphic xmlns:a="http://schemas.openxmlformats.org/drawingml/2006/main">
                  <a:graphicData uri="http://schemas.microsoft.com/office/word/2010/wordprocessingShape">
                    <wps:wsp>
                      <wps:cNvSpPr txBox="1"/>
                      <wps:spPr>
                        <a:xfrm>
                          <a:off x="0" y="0"/>
                          <a:ext cx="1312545" cy="12382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620D1F3" w14:textId="77777777" w:rsidR="00C6444C" w:rsidRDefault="00C6444C" w:rsidP="00020D20">
                            <w:pPr>
                              <w:jc w:val="center"/>
                            </w:pPr>
                            <w:r>
                              <w:rPr>
                                <w:noProof/>
                              </w:rPr>
                              <w:drawing>
                                <wp:inline distT="0" distB="0" distL="0" distR="0" wp14:anchorId="3E629B69" wp14:editId="67F0DCD0">
                                  <wp:extent cx="457200" cy="457200"/>
                                  <wp:effectExtent l="0" t="0" r="0" b="0"/>
                                  <wp:docPr id="1690912818" name="Picture 169091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235AA0" w14:textId="76EEEE07" w:rsidR="00C6444C" w:rsidRPr="00394A74" w:rsidRDefault="00C6444C" w:rsidP="00020D20">
                            <w:pPr>
                              <w:pStyle w:val="Calloutboxes"/>
                            </w:pPr>
                            <w:r w:rsidRPr="00394A74">
                              <w:t>Local Public Agency</w:t>
                            </w:r>
                            <w:r>
                              <w:t xml:space="preserve"> Projects Manual</w:t>
                            </w:r>
                          </w:p>
                          <w:p w14:paraId="3B589600" w14:textId="77777777" w:rsidR="00C6444C" w:rsidRPr="00020D20" w:rsidRDefault="00202C92" w:rsidP="00A93737">
                            <w:pPr>
                              <w:pStyle w:val="Title"/>
                              <w:rPr>
                                <w:sz w:val="16"/>
                                <w:szCs w:val="16"/>
                              </w:rPr>
                            </w:pPr>
                            <w:hyperlink r:id="rId333" w:history="1">
                              <w:r w:rsidR="00C6444C" w:rsidRPr="00020D20">
                                <w:rPr>
                                  <w:rStyle w:val="Hyperlink"/>
                                  <w:rFonts w:ascii="Calibri" w:hAnsi="Calibri" w:cstheme="majorBidi"/>
                                  <w:i/>
                                  <w:color w:val="CE5B18"/>
                                  <w:szCs w:val="56"/>
                                  <w:u w:val="none"/>
                                </w:rPr>
                                <w:t>https://azdot.gov/business/programs-and-partnerships/local-public-agency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0F4CA7" id="Text Box 816286404" o:spid="_x0000_s1100" type="#_x0000_t202" style="position:absolute;left:0;text-align:left;margin-left:107.7pt;margin-top:9.4pt;width:103.35pt;height:97.5pt;z-index:-251697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" fillcolor="#f7f7f7" stroked="f" strokeweight=".5pt">
                <v:shadow on="t" type="perspective" color="black" opacity="26214f" offset="0,0" matrix="66847f,,,66847f"/>
                <v:textbox>
                  <w:txbxContent>
                    <w:p w14:paraId="7620D1F3" w14:textId="77777777" w:rsidR="00C6444C" w:rsidRDefault="00C6444C" w:rsidP="00020D20">
                      <w:pPr>
                        <w:jc w:val="center"/>
                      </w:pPr>
                      <w:r>
                        <w:rPr>
                          <w:noProof/>
                        </w:rPr>
                        <w:drawing>
                          <wp:inline distT="0" distB="0" distL="0" distR="0" wp14:anchorId="3E629B69" wp14:editId="67F0DCD0">
                            <wp:extent cx="457200" cy="457200"/>
                            <wp:effectExtent l="0" t="0" r="0" b="0"/>
                            <wp:docPr id="1690912818" name="Picture 169091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235AA0" w14:textId="76EEEE07" w:rsidR="00C6444C" w:rsidRPr="00394A74" w:rsidRDefault="00C6444C" w:rsidP="00020D20">
                      <w:pPr>
                        <w:pStyle w:val="Calloutboxes"/>
                      </w:pPr>
                      <w:r w:rsidRPr="00394A74">
                        <w:t>Local Public Agency</w:t>
                      </w:r>
                      <w:r>
                        <w:t xml:space="preserve"> Projects Manual</w:t>
                      </w:r>
                    </w:p>
                    <w:p w14:paraId="3B589600" w14:textId="77777777" w:rsidR="00C6444C" w:rsidRPr="00020D20" w:rsidRDefault="00C6444C" w:rsidP="00A93737">
                      <w:pPr>
                        <w:pStyle w:val="Title"/>
                        <w:rPr>
                          <w:sz w:val="16"/>
                          <w:szCs w:val="16"/>
                        </w:rPr>
                      </w:pPr>
                      <w:hyperlink r:id="rId334" w:history="1">
                        <w:r w:rsidRPr="00020D20">
                          <w:rPr>
                            <w:rStyle w:val="Hyperlink"/>
                            <w:rFonts w:ascii="Calibri" w:hAnsi="Calibri" w:cstheme="majorBidi"/>
                            <w:i/>
                            <w:color w:val="CE5B18"/>
                            <w:szCs w:val="56"/>
                            <w:u w:val="none"/>
                          </w:rPr>
                          <w:t>https://azdot.gov/business/programs-and-partnerships/local-public-agency</w:t>
                        </w:r>
                      </w:hyperlink>
                    </w:p>
                  </w:txbxContent>
                </v:textbox>
                <w10:wrap type="tight"/>
              </v:shape>
            </w:pict>
          </mc:Fallback>
        </mc:AlternateContent>
      </w:r>
      <w:r w:rsidR="009B56FF" w:rsidRPr="009B56FF">
        <w:rPr>
          <w:rFonts w:cstheme="minorHAnsi"/>
        </w:rPr>
        <w:t xml:space="preserve">Note that individual transportation projects or programs that are federally funded or require federal approval are subject to requirements for environmental review under NEPA. Before programming federal projects in the AE, the MPO must ensure that NEPA requirements have been satisfied or can be expected to be completed in a timely manner. NEPA applies to all federal decisions. Additionally, the improvement project must have a functional classification of </w:t>
      </w:r>
      <w:r w:rsidR="006D2F7B">
        <w:rPr>
          <w:rFonts w:cstheme="minorHAnsi"/>
        </w:rPr>
        <w:t>rural major</w:t>
      </w:r>
      <w:r w:rsidR="006D2F7B" w:rsidRPr="009B56FF">
        <w:rPr>
          <w:rFonts w:cstheme="minorHAnsi"/>
        </w:rPr>
        <w:t xml:space="preserve"> </w:t>
      </w:r>
      <w:r w:rsidR="009B56FF" w:rsidRPr="009B56FF">
        <w:rPr>
          <w:rFonts w:cstheme="minorHAnsi"/>
        </w:rPr>
        <w:t>collector or higher to qualify for federal funding. Its applicability is unrelated to and not limited to air quality nonattainment areas.</w:t>
      </w:r>
    </w:p>
    <w:p w14:paraId="74792BDD" w14:textId="4922E5EC" w:rsidR="009B56FF" w:rsidRPr="009B56FF" w:rsidRDefault="009B56FF" w:rsidP="00020D20">
      <w:pPr>
        <w:pStyle w:val="Heading3"/>
        <w:jc w:val="both"/>
        <w:rPr>
          <w:rFonts w:cstheme="minorHAnsi"/>
          <w:szCs w:val="20"/>
        </w:rPr>
      </w:pPr>
      <w:bookmarkStart w:id="144" w:name="_Ref50028430"/>
      <w:r w:rsidRPr="009B56FF">
        <w:rPr>
          <w:rFonts w:cstheme="minorHAnsi"/>
          <w:szCs w:val="20"/>
        </w:rPr>
        <w:t>3.9.3 | Special Technical Responsibilities</w:t>
      </w:r>
      <w:bookmarkEnd w:id="144"/>
    </w:p>
    <w:p w14:paraId="6794A595" w14:textId="09AECA3A" w:rsidR="009B56FF" w:rsidRPr="009B56FF" w:rsidRDefault="009B56FF" w:rsidP="00020D20">
      <w:pPr>
        <w:jc w:val="both"/>
        <w:rPr>
          <w:rFonts w:cstheme="minorHAnsi"/>
        </w:rPr>
      </w:pPr>
      <w:r w:rsidRPr="009B56FF">
        <w:rPr>
          <w:rFonts w:cstheme="minorHAnsi"/>
        </w:rPr>
        <w:t xml:space="preserve">Additional requirements associated with MPO regional planning </w:t>
      </w:r>
      <w:r w:rsidR="006D2F7B">
        <w:rPr>
          <w:rFonts w:cstheme="minorHAnsi"/>
        </w:rPr>
        <w:t>factors</w:t>
      </w:r>
      <w:r w:rsidR="006D2F7B" w:rsidRPr="009B56FF">
        <w:rPr>
          <w:rFonts w:cstheme="minorHAnsi"/>
        </w:rPr>
        <w:t xml:space="preserve"> </w:t>
      </w:r>
      <w:r w:rsidRPr="009B56FF">
        <w:rPr>
          <w:rFonts w:cstheme="minorHAnsi"/>
        </w:rPr>
        <w:t xml:space="preserve">are spelled out in </w:t>
      </w:r>
      <w:r w:rsidR="002B0C05">
        <w:rPr>
          <w:rFonts w:cstheme="minorHAnsi"/>
        </w:rPr>
        <w:t>the</w:t>
      </w:r>
      <w:r w:rsidRPr="009B56FF">
        <w:rPr>
          <w:rFonts w:cstheme="minorHAnsi"/>
        </w:rPr>
        <w:t xml:space="preserve"> </w:t>
      </w:r>
      <w:r w:rsidR="00732902">
        <w:rPr>
          <w:rFonts w:cstheme="minorHAnsi"/>
        </w:rPr>
        <w:t>FAST Act</w:t>
      </w:r>
      <w:r w:rsidRPr="009B56FF">
        <w:rPr>
          <w:rFonts w:cstheme="minorHAnsi"/>
        </w:rPr>
        <w:t>. The MPO policy board must consider projects and strategies to:</w:t>
      </w:r>
    </w:p>
    <w:p w14:paraId="4CA13F56" w14:textId="1190D8D5" w:rsidR="009B56FF" w:rsidRPr="001B1DC6" w:rsidRDefault="009B56FF" w:rsidP="00020D20">
      <w:pPr>
        <w:pStyle w:val="Body-Bullets"/>
        <w:jc w:val="both"/>
      </w:pPr>
      <w:r w:rsidRPr="001B1DC6">
        <w:t>protect and enhance the environment;</w:t>
      </w:r>
    </w:p>
    <w:p w14:paraId="6107A9E5" w14:textId="12EEE5A3" w:rsidR="009B56FF" w:rsidRPr="001B1DC6" w:rsidRDefault="009B56FF" w:rsidP="00020D20">
      <w:pPr>
        <w:pStyle w:val="Body-Bullets"/>
        <w:jc w:val="both"/>
      </w:pPr>
      <w:r w:rsidRPr="001B1DC6">
        <w:t>promote energy conservation;</w:t>
      </w:r>
    </w:p>
    <w:p w14:paraId="7E0DA65B" w14:textId="08134A13" w:rsidR="009B56FF" w:rsidRPr="001B1DC6" w:rsidRDefault="009B56FF" w:rsidP="00020D20">
      <w:pPr>
        <w:pStyle w:val="Body-Bullets"/>
        <w:jc w:val="both"/>
      </w:pPr>
      <w:r w:rsidRPr="001B1DC6">
        <w:t>improve quality of life; and</w:t>
      </w:r>
    </w:p>
    <w:p w14:paraId="4DBFCE92" w14:textId="46FDBA6D" w:rsidR="009B56FF" w:rsidRPr="00732902" w:rsidRDefault="009B56FF" w:rsidP="00020D20">
      <w:pPr>
        <w:pStyle w:val="Body-Bullets"/>
        <w:jc w:val="both"/>
      </w:pPr>
      <w:r w:rsidRPr="00732902">
        <w:t xml:space="preserve">promote consistency </w:t>
      </w:r>
      <w:r w:rsidR="00732902" w:rsidRPr="00732902">
        <w:t>between</w:t>
      </w:r>
      <w:r w:rsidR="00732902">
        <w:t xml:space="preserve"> </w:t>
      </w:r>
      <w:r w:rsidR="00732902" w:rsidRPr="00732902">
        <w:t>transportation</w:t>
      </w:r>
      <w:r w:rsidRPr="00732902">
        <w:t xml:space="preserve"> improvements and state and local planned growth and development patterns.</w:t>
      </w:r>
    </w:p>
    <w:p w14:paraId="12E38E08" w14:textId="7C5E0BB2" w:rsidR="00814B19" w:rsidRDefault="004A4250" w:rsidP="00020D20">
      <w:pPr>
        <w:jc w:val="both"/>
        <w:rPr>
          <w:rFonts w:cstheme="minorHAnsi"/>
        </w:rPr>
        <w:sectPr w:rsidR="00814B19" w:rsidSect="00020D20">
          <w:type w:val="continuous"/>
          <w:pgSz w:w="12240" w:h="15840"/>
          <w:pgMar w:top="1440" w:right="1440" w:bottom="1440" w:left="1440" w:header="720" w:footer="720" w:gutter="0"/>
          <w:pgNumType w:chapStyle="1"/>
          <w:cols w:num="2" w:space="720"/>
          <w:docGrid w:linePitch="360"/>
        </w:sectPr>
      </w:pPr>
      <w:r>
        <w:rPr>
          <w:rFonts w:cstheme="minorHAnsi"/>
        </w:rPr>
        <w:t>T</w:t>
      </w:r>
      <w:r w:rsidR="009B56FF" w:rsidRPr="009B56FF">
        <w:rPr>
          <w:rFonts w:cstheme="minorHAnsi"/>
        </w:rPr>
        <w:t xml:space="preserve">he MPO, through its staff or special advisory committees, must develop and maintain a regional travel demand model to support analysis of the performance of the transportation network of services. This modeling requirement is </w:t>
      </w:r>
      <w:r w:rsidR="00DB405C">
        <w:rPr>
          <w:rFonts w:cstheme="minorHAnsi"/>
        </w:rPr>
        <w:t xml:space="preserve">necessary if the area </w:t>
      </w:r>
      <w:r w:rsidR="009B56FF" w:rsidRPr="009B56FF">
        <w:rPr>
          <w:rFonts w:cstheme="minorHAnsi"/>
        </w:rPr>
        <w:t>has been designated as</w:t>
      </w:r>
      <w:r w:rsidR="00AF5D12">
        <w:rPr>
          <w:rFonts w:cstheme="minorHAnsi"/>
        </w:rPr>
        <w:t xml:space="preserve"> air quality</w:t>
      </w:r>
      <w:r w:rsidR="009B56FF" w:rsidRPr="009B56FF">
        <w:rPr>
          <w:rFonts w:cstheme="minorHAnsi"/>
        </w:rPr>
        <w:t xml:space="preserve"> </w:t>
      </w:r>
      <w:r w:rsidR="001B1DC6" w:rsidRPr="009B56FF">
        <w:rPr>
          <w:rFonts w:cstheme="minorHAnsi"/>
        </w:rPr>
        <w:t>non-attainment</w:t>
      </w:r>
    </w:p>
    <w:p w14:paraId="441E34F1" w14:textId="63A83410" w:rsidR="00407829" w:rsidRDefault="00F01E29" w:rsidP="00020D20">
      <w:pPr>
        <w:pStyle w:val="BodyTextTitle"/>
        <w:spacing w:before="0" w:after="0" w:line="240" w:lineRule="auto"/>
        <w:jc w:val="both"/>
        <w:rPr>
          <w:caps/>
        </w:rPr>
      </w:pPr>
      <w:r w:rsidRPr="00020D20">
        <w:rPr>
          <w:caps/>
        </w:rPr>
        <w:t>4</w:t>
      </w:r>
      <w:r w:rsidR="00904690">
        <w:rPr>
          <w:caps/>
        </w:rPr>
        <w:t xml:space="preserve"> </w:t>
      </w:r>
      <w:r w:rsidRPr="00020D20">
        <w:rPr>
          <w:caps/>
        </w:rPr>
        <w:t xml:space="preserve">| </w:t>
      </w:r>
      <w:r w:rsidR="00407829" w:rsidRPr="00020D20">
        <w:rPr>
          <w:caps/>
        </w:rPr>
        <w:t>MPO</w:t>
      </w:r>
      <w:r w:rsidR="004D572A" w:rsidRPr="001E4049">
        <w:rPr>
          <w:caps/>
        </w:rPr>
        <w:t xml:space="preserve"> Unified Planning Work Program </w:t>
      </w:r>
      <w:r w:rsidR="004D572A">
        <w:rPr>
          <w:caps/>
        </w:rPr>
        <w:t>AND</w:t>
      </w:r>
      <w:r w:rsidR="00407829" w:rsidRPr="00020D20">
        <w:rPr>
          <w:caps/>
        </w:rPr>
        <w:t xml:space="preserve"> Contract Activities</w:t>
      </w:r>
    </w:p>
    <w:p w14:paraId="3462F353" w14:textId="4E87A051" w:rsidR="00F01E29" w:rsidRPr="00020D20" w:rsidRDefault="00F01E29" w:rsidP="00020D20">
      <w:pPr>
        <w:pStyle w:val="BodyTextTitle"/>
        <w:spacing w:before="0" w:line="240" w:lineRule="auto"/>
        <w:jc w:val="both"/>
        <w:rPr>
          <w:caps/>
        </w:rPr>
      </w:pPr>
      <w:r w:rsidRPr="00020D20">
        <w:rPr>
          <w:caps/>
          <w:sz w:val="36"/>
        </w:rPr>
        <w:t>TABLE OF CONTENTS</w:t>
      </w:r>
    </w:p>
    <w:p w14:paraId="540FA6B0" w14:textId="0F10EFD4" w:rsidR="00F01E29" w:rsidRPr="009A0429" w:rsidRDefault="00226CEC" w:rsidP="00020D20">
      <w:pPr>
        <w:spacing w:before="0" w:after="40" w:line="240" w:lineRule="auto"/>
        <w:jc w:val="both"/>
      </w:pPr>
      <w:r w:rsidRPr="00020D20">
        <w:fldChar w:fldCharType="begin"/>
      </w:r>
      <w:r w:rsidRPr="00226CEC">
        <w:instrText xml:space="preserve"> REF _Ref50028899 \h </w:instrText>
      </w:r>
      <w:r w:rsidRPr="009A0429">
        <w:instrText xml:space="preserve"> \* MERGEFORMAT </w:instrText>
      </w:r>
      <w:r w:rsidRPr="00020D20">
        <w:fldChar w:fldCharType="separate"/>
      </w:r>
      <w:r w:rsidRPr="009A0429">
        <w:t>4.1 |</w:t>
      </w:r>
      <w:r w:rsidRPr="00020D20">
        <w:rPr>
          <w:rStyle w:val="Heading2Char"/>
          <w:rFonts w:asciiTheme="minorHAnsi" w:hAnsiTheme="minorHAnsi" w:cstheme="minorHAnsi"/>
          <w:b w:val="0"/>
          <w:color w:val="auto"/>
          <w:sz w:val="20"/>
          <w:szCs w:val="20"/>
        </w:rPr>
        <w:t xml:space="preserve"> PURPOSE</w:t>
      </w:r>
      <w:r w:rsidRPr="00020D20">
        <w:fldChar w:fldCharType="end"/>
      </w:r>
    </w:p>
    <w:p w14:paraId="2DD6F1CA" w14:textId="638B213D" w:rsidR="009A0429" w:rsidRPr="00020D20" w:rsidRDefault="009A0429" w:rsidP="00020D20">
      <w:pPr>
        <w:spacing w:before="0" w:after="40" w:line="240" w:lineRule="auto"/>
        <w:jc w:val="both"/>
      </w:pPr>
      <w:r w:rsidRPr="00020D20">
        <w:fldChar w:fldCharType="begin"/>
      </w:r>
      <w:r w:rsidRPr="00020D20">
        <w:instrText xml:space="preserve"> REF _Ref50028940 \h  \* MERGEFORMAT </w:instrText>
      </w:r>
      <w:r w:rsidRPr="00020D20">
        <w:fldChar w:fldCharType="separate"/>
      </w:r>
      <w:r w:rsidRPr="009A0429">
        <w:t>4.2 | AUTHORITY</w:t>
      </w:r>
      <w:r w:rsidRPr="00020D20">
        <w:fldChar w:fldCharType="end"/>
      </w:r>
    </w:p>
    <w:p w14:paraId="5E35E194" w14:textId="6B86FA19" w:rsidR="009A0429" w:rsidRPr="00020D20" w:rsidRDefault="009A0429" w:rsidP="00020D20">
      <w:pPr>
        <w:spacing w:before="0" w:after="40" w:line="240" w:lineRule="auto"/>
        <w:jc w:val="both"/>
      </w:pPr>
      <w:r w:rsidRPr="00020D20">
        <w:fldChar w:fldCharType="begin"/>
      </w:r>
      <w:r w:rsidRPr="00020D20">
        <w:instrText xml:space="preserve"> REF _Ref50028948 \h  \* MERGEFORMAT </w:instrText>
      </w:r>
      <w:r w:rsidRPr="00020D20">
        <w:fldChar w:fldCharType="separate"/>
      </w:r>
      <w:r w:rsidRPr="009A0429">
        <w:t>4.3 | SCOPE</w:t>
      </w:r>
      <w:r w:rsidRPr="00020D20">
        <w:fldChar w:fldCharType="end"/>
      </w:r>
    </w:p>
    <w:p w14:paraId="10FE688E" w14:textId="03D1A957" w:rsidR="009A0429" w:rsidRPr="00020D20" w:rsidRDefault="009A0429" w:rsidP="00020D20">
      <w:pPr>
        <w:spacing w:before="0" w:after="40" w:line="240" w:lineRule="auto"/>
        <w:jc w:val="both"/>
      </w:pPr>
      <w:r w:rsidRPr="00020D20">
        <w:fldChar w:fldCharType="begin"/>
      </w:r>
      <w:r w:rsidRPr="00020D20">
        <w:instrText xml:space="preserve"> REF _Ref50028953 \h  \* MERGEFORMAT </w:instrText>
      </w:r>
      <w:r w:rsidRPr="00020D20">
        <w:fldChar w:fldCharType="separate"/>
      </w:r>
      <w:r w:rsidRPr="009A0429">
        <w:t>4.4 | DEVELOPMENT</w:t>
      </w:r>
      <w:r w:rsidRPr="00020D20">
        <w:fldChar w:fldCharType="end"/>
      </w:r>
    </w:p>
    <w:p w14:paraId="452F3CE4" w14:textId="1D5A1FE9" w:rsidR="009A0429" w:rsidRPr="00020D20" w:rsidRDefault="009A0429" w:rsidP="00020D20">
      <w:pPr>
        <w:spacing w:before="0" w:after="40" w:line="240" w:lineRule="auto"/>
        <w:jc w:val="both"/>
      </w:pPr>
      <w:r w:rsidRPr="00020D20">
        <w:fldChar w:fldCharType="begin"/>
      </w:r>
      <w:r w:rsidRPr="00020D20">
        <w:instrText xml:space="preserve"> REF _Ref50028961 \h  \* MERGEFORMAT </w:instrText>
      </w:r>
      <w:r w:rsidRPr="00020D20">
        <w:fldChar w:fldCharType="separate"/>
      </w:r>
      <w:r w:rsidRPr="009A0429">
        <w:t>4.5 | FUNDING</w:t>
      </w:r>
      <w:r w:rsidRPr="00020D20">
        <w:fldChar w:fldCharType="end"/>
      </w:r>
    </w:p>
    <w:p w14:paraId="5E5EEB59" w14:textId="2586F50E" w:rsidR="009A0429" w:rsidRPr="00020D20" w:rsidRDefault="009A0429" w:rsidP="00020D20">
      <w:pPr>
        <w:spacing w:before="0" w:after="40" w:line="240" w:lineRule="auto"/>
        <w:ind w:left="504"/>
        <w:jc w:val="both"/>
      </w:pPr>
      <w:r w:rsidRPr="00020D20">
        <w:fldChar w:fldCharType="begin"/>
      </w:r>
      <w:r w:rsidRPr="00020D20">
        <w:instrText xml:space="preserve"> REF _Ref50028967 \h  \* MERGEFORMAT </w:instrText>
      </w:r>
      <w:r w:rsidRPr="00020D20">
        <w:fldChar w:fldCharType="separate"/>
      </w:r>
      <w:r w:rsidRPr="009A0429">
        <w:t>4.5.1 | Requesting &amp; Authorizing PL Funds</w:t>
      </w:r>
      <w:r w:rsidRPr="00020D20">
        <w:fldChar w:fldCharType="end"/>
      </w:r>
    </w:p>
    <w:p w14:paraId="60E9ABAC" w14:textId="4573D188" w:rsidR="009A0429" w:rsidRPr="00020D20" w:rsidRDefault="009A0429" w:rsidP="00020D20">
      <w:pPr>
        <w:spacing w:before="0" w:after="40" w:line="240" w:lineRule="auto"/>
        <w:ind w:left="504"/>
        <w:jc w:val="both"/>
      </w:pPr>
      <w:r w:rsidRPr="00020D20">
        <w:fldChar w:fldCharType="begin"/>
      </w:r>
      <w:r w:rsidRPr="00020D20">
        <w:instrText xml:space="preserve"> REF _Ref50028970 \h  \* MERGEFORMAT </w:instrText>
      </w:r>
      <w:r w:rsidRPr="00020D20">
        <w:fldChar w:fldCharType="separate"/>
      </w:r>
      <w:r w:rsidRPr="009A0429">
        <w:t>4.5.2 | Financial Management of Metropolitan PL Funds</w:t>
      </w:r>
      <w:r w:rsidRPr="00020D20">
        <w:fldChar w:fldCharType="end"/>
      </w:r>
    </w:p>
    <w:p w14:paraId="2D7C54AC" w14:textId="06F4D517" w:rsidR="009A0429" w:rsidRPr="00020D20" w:rsidRDefault="00341840" w:rsidP="00020D20">
      <w:pPr>
        <w:spacing w:before="0" w:after="40" w:line="240" w:lineRule="auto"/>
        <w:ind w:left="1008"/>
        <w:jc w:val="both"/>
      </w:pPr>
      <w:r>
        <w:fldChar w:fldCharType="begin"/>
      </w:r>
      <w:r>
        <w:instrText xml:space="preserve"> REF _Ref50029404 \h </w:instrText>
      </w:r>
      <w:r w:rsidR="002D38FC">
        <w:instrText xml:space="preserve"> \* MERGEFORMAT </w:instrText>
      </w:r>
      <w:r>
        <w:fldChar w:fldCharType="separate"/>
      </w:r>
      <w:r w:rsidRPr="00C37E66">
        <w:t>Close-Out of Pl Funds</w:t>
      </w:r>
      <w:r>
        <w:fldChar w:fldCharType="end"/>
      </w:r>
    </w:p>
    <w:p w14:paraId="4DAD43CF" w14:textId="5F6DFBD5" w:rsidR="009A0429" w:rsidRPr="00020D20" w:rsidRDefault="009A0429" w:rsidP="00020D20">
      <w:pPr>
        <w:spacing w:before="0" w:after="40" w:line="240" w:lineRule="auto"/>
        <w:ind w:left="504"/>
        <w:jc w:val="both"/>
      </w:pPr>
      <w:r w:rsidRPr="00020D20">
        <w:fldChar w:fldCharType="begin"/>
      </w:r>
      <w:r w:rsidRPr="00020D20">
        <w:instrText xml:space="preserve"> REF _Ref50028974 \h  \* MERGEFORMAT </w:instrText>
      </w:r>
      <w:r w:rsidRPr="00020D20">
        <w:fldChar w:fldCharType="separate"/>
      </w:r>
      <w:r w:rsidR="00D06ED9">
        <w:t xml:space="preserve">4.5.3 | </w:t>
      </w:r>
      <w:r w:rsidRPr="009A0429">
        <w:t>In-Kind Contributions</w:t>
      </w:r>
      <w:r w:rsidRPr="00020D20">
        <w:fldChar w:fldCharType="end"/>
      </w:r>
    </w:p>
    <w:p w14:paraId="77E38FCE" w14:textId="5F882F24" w:rsidR="009A0429" w:rsidRPr="00020D20" w:rsidRDefault="009A0429" w:rsidP="00020D20">
      <w:pPr>
        <w:spacing w:before="0" w:after="40" w:line="240" w:lineRule="auto"/>
        <w:jc w:val="both"/>
      </w:pPr>
      <w:r w:rsidRPr="00020D20">
        <w:fldChar w:fldCharType="begin"/>
      </w:r>
      <w:r w:rsidRPr="00020D20">
        <w:instrText xml:space="preserve"> REF _Ref50028990 \h  \* MERGEFORMAT </w:instrText>
      </w:r>
      <w:r w:rsidRPr="00020D20">
        <w:fldChar w:fldCharType="separate"/>
      </w:r>
      <w:r w:rsidRPr="009A0429">
        <w:t>4.6 | MPO &amp; THIRD-PARTY AGREEMENTS</w:t>
      </w:r>
      <w:r w:rsidRPr="00020D20">
        <w:fldChar w:fldCharType="end"/>
      </w:r>
    </w:p>
    <w:p w14:paraId="297CA7F0" w14:textId="23DBE392" w:rsidR="009A0429" w:rsidRPr="00020D20" w:rsidRDefault="009A0429" w:rsidP="00020D20">
      <w:pPr>
        <w:spacing w:before="0" w:after="40" w:line="240" w:lineRule="auto"/>
        <w:ind w:left="504"/>
        <w:jc w:val="both"/>
      </w:pPr>
      <w:r w:rsidRPr="00020D20">
        <w:fldChar w:fldCharType="begin"/>
      </w:r>
      <w:r w:rsidRPr="00020D20">
        <w:instrText xml:space="preserve"> REF _Ref50028996 \h  \* MERGEFORMAT </w:instrText>
      </w:r>
      <w:r w:rsidRPr="00020D20">
        <w:fldChar w:fldCharType="separate"/>
      </w:r>
      <w:r w:rsidRPr="009A0429">
        <w:t xml:space="preserve">4.6.1 | </w:t>
      </w:r>
      <w:r w:rsidR="003B3BF5">
        <w:t>Grant</w:t>
      </w:r>
      <w:r w:rsidRPr="009A0429">
        <w:t xml:space="preserve"> Agreement</w:t>
      </w:r>
      <w:r w:rsidRPr="00020D20">
        <w:fldChar w:fldCharType="end"/>
      </w:r>
    </w:p>
    <w:p w14:paraId="0EF102F8" w14:textId="45B60DD6" w:rsidR="009A0429" w:rsidRPr="00020D20" w:rsidRDefault="009A0429" w:rsidP="00020D20">
      <w:pPr>
        <w:spacing w:before="0" w:after="40" w:line="240" w:lineRule="auto"/>
        <w:ind w:left="504"/>
        <w:jc w:val="both"/>
      </w:pPr>
      <w:r w:rsidRPr="00020D20">
        <w:fldChar w:fldCharType="begin"/>
      </w:r>
      <w:r w:rsidRPr="00020D20">
        <w:instrText xml:space="preserve"> REF _Ref50028999 \h  \* MERGEFORMAT </w:instrText>
      </w:r>
      <w:r w:rsidRPr="00020D20">
        <w:fldChar w:fldCharType="separate"/>
      </w:r>
      <w:r w:rsidRPr="009A0429">
        <w:t xml:space="preserve">4.6.2 | </w:t>
      </w:r>
      <w:r w:rsidR="00BD216C">
        <w:t>GRT</w:t>
      </w:r>
      <w:r w:rsidRPr="009A0429">
        <w:t xml:space="preserve"> Amendment</w:t>
      </w:r>
      <w:r w:rsidRPr="00020D20">
        <w:fldChar w:fldCharType="end"/>
      </w:r>
    </w:p>
    <w:p w14:paraId="25BAD874" w14:textId="7992DD5B" w:rsidR="009A0429" w:rsidRPr="00020D20" w:rsidRDefault="009A0429" w:rsidP="00020D20">
      <w:pPr>
        <w:spacing w:before="0" w:after="40" w:line="240" w:lineRule="auto"/>
        <w:ind w:left="504"/>
        <w:jc w:val="both"/>
      </w:pPr>
      <w:r w:rsidRPr="00020D20">
        <w:fldChar w:fldCharType="begin"/>
      </w:r>
      <w:r w:rsidRPr="00020D20">
        <w:instrText xml:space="preserve"> REF _Ref50029002 \h  \* MERGEFORMAT </w:instrText>
      </w:r>
      <w:r w:rsidRPr="00020D20">
        <w:fldChar w:fldCharType="separate"/>
      </w:r>
      <w:r w:rsidRPr="009A0429">
        <w:t>4.6.3 | Third-Party Agreement</w:t>
      </w:r>
      <w:r w:rsidRPr="00020D20">
        <w:fldChar w:fldCharType="end"/>
      </w:r>
    </w:p>
    <w:p w14:paraId="66E1311E" w14:textId="1242E37F" w:rsidR="009A0429" w:rsidRDefault="009A0429" w:rsidP="00020D20">
      <w:pPr>
        <w:spacing w:before="0" w:after="40" w:line="240" w:lineRule="auto"/>
        <w:jc w:val="both"/>
        <w:rPr>
          <w:b/>
        </w:rPr>
      </w:pPr>
      <w:r w:rsidRPr="00020D20">
        <w:fldChar w:fldCharType="begin"/>
      </w:r>
      <w:r w:rsidRPr="00020D20">
        <w:instrText xml:space="preserve"> REF _Ref50029010 \h  \* MERGEFORMAT </w:instrText>
      </w:r>
      <w:r w:rsidRPr="00020D20">
        <w:fldChar w:fldCharType="separate"/>
      </w:r>
      <w:r w:rsidRPr="009A0429">
        <w:t>4.7 | TWO-YEAR REVIEW</w:t>
      </w:r>
      <w:r w:rsidRPr="00020D20">
        <w:fldChar w:fldCharType="end"/>
      </w:r>
    </w:p>
    <w:p w14:paraId="78DA209B" w14:textId="1CD8B7FB" w:rsidR="009A0429" w:rsidRDefault="009A0429" w:rsidP="00020D20">
      <w:pPr>
        <w:spacing w:before="0" w:after="40" w:line="240" w:lineRule="auto"/>
        <w:ind w:left="504"/>
        <w:jc w:val="both"/>
        <w:rPr>
          <w:b/>
        </w:rPr>
      </w:pPr>
      <w:r>
        <w:rPr>
          <w:b/>
        </w:rPr>
        <w:fldChar w:fldCharType="begin"/>
      </w:r>
      <w:r>
        <w:rPr>
          <w:b/>
        </w:rPr>
        <w:instrText xml:space="preserve"> REF _Ref50029056 \h </w:instrText>
      </w:r>
      <w:r w:rsidR="00147943">
        <w:rPr>
          <w:b/>
        </w:rPr>
        <w:instrText xml:space="preserve"> \* MERGEFORMAT </w:instrText>
      </w:r>
      <w:r>
        <w:rPr>
          <w:b/>
        </w:rPr>
      </w:r>
      <w:r>
        <w:rPr>
          <w:b/>
        </w:rPr>
        <w:fldChar w:fldCharType="separate"/>
      </w:r>
      <w:r w:rsidRPr="001E49B3">
        <w:t>4.7.1 | Early Coordination</w:t>
      </w:r>
      <w:r>
        <w:rPr>
          <w:b/>
        </w:rPr>
        <w:fldChar w:fldCharType="end"/>
      </w:r>
    </w:p>
    <w:p w14:paraId="5C74DA30" w14:textId="4116E609" w:rsidR="009A0429" w:rsidRDefault="009A0429" w:rsidP="00020D20">
      <w:pPr>
        <w:spacing w:before="0" w:after="40" w:line="240" w:lineRule="auto"/>
        <w:ind w:left="504"/>
        <w:jc w:val="both"/>
        <w:rPr>
          <w:b/>
        </w:rPr>
      </w:pPr>
      <w:r>
        <w:rPr>
          <w:b/>
        </w:rPr>
        <w:fldChar w:fldCharType="begin"/>
      </w:r>
      <w:r>
        <w:rPr>
          <w:b/>
        </w:rPr>
        <w:instrText xml:space="preserve"> REF _Ref50029059 \h </w:instrText>
      </w:r>
      <w:r w:rsidR="00147943">
        <w:rPr>
          <w:b/>
        </w:rPr>
        <w:instrText xml:space="preserve"> \* MERGEFORMAT </w:instrText>
      </w:r>
      <w:r>
        <w:rPr>
          <w:b/>
        </w:rPr>
      </w:r>
      <w:r>
        <w:rPr>
          <w:b/>
        </w:rPr>
        <w:fldChar w:fldCharType="separate"/>
      </w:r>
      <w:r w:rsidRPr="001E49B3">
        <w:t>4.7.2 | Draft Review</w:t>
      </w:r>
      <w:r>
        <w:rPr>
          <w:b/>
        </w:rPr>
        <w:fldChar w:fldCharType="end"/>
      </w:r>
    </w:p>
    <w:p w14:paraId="4A8E25DE" w14:textId="2683B68C" w:rsidR="009A0429" w:rsidRDefault="009A0429" w:rsidP="00020D20">
      <w:pPr>
        <w:spacing w:before="0" w:after="40" w:line="240" w:lineRule="auto"/>
        <w:ind w:left="504"/>
        <w:jc w:val="both"/>
        <w:rPr>
          <w:b/>
        </w:rPr>
      </w:pPr>
      <w:r>
        <w:rPr>
          <w:b/>
        </w:rPr>
        <w:fldChar w:fldCharType="begin"/>
      </w:r>
      <w:r>
        <w:rPr>
          <w:b/>
        </w:rPr>
        <w:instrText xml:space="preserve"> REF _Ref50029062 \h </w:instrText>
      </w:r>
      <w:r w:rsidR="00147943">
        <w:rPr>
          <w:b/>
        </w:rPr>
        <w:instrText xml:space="preserve"> \* MERGEFORMAT </w:instrText>
      </w:r>
      <w:r>
        <w:rPr>
          <w:b/>
        </w:rPr>
      </w:r>
      <w:r>
        <w:rPr>
          <w:b/>
        </w:rPr>
        <w:fldChar w:fldCharType="separate"/>
      </w:r>
      <w:r w:rsidRPr="001E49B3">
        <w:t>4.7.3 | ADOT Review</w:t>
      </w:r>
      <w:r>
        <w:rPr>
          <w:b/>
        </w:rPr>
        <w:fldChar w:fldCharType="end"/>
      </w:r>
    </w:p>
    <w:p w14:paraId="22D6258F" w14:textId="25FED315" w:rsidR="009A0429" w:rsidRDefault="009A0429" w:rsidP="00020D20">
      <w:pPr>
        <w:spacing w:before="0" w:after="40" w:line="240" w:lineRule="auto"/>
        <w:ind w:left="504"/>
        <w:jc w:val="both"/>
        <w:rPr>
          <w:b/>
        </w:rPr>
      </w:pPr>
      <w:r>
        <w:rPr>
          <w:b/>
        </w:rPr>
        <w:fldChar w:fldCharType="begin"/>
      </w:r>
      <w:r>
        <w:rPr>
          <w:b/>
        </w:rPr>
        <w:instrText xml:space="preserve"> REF _Ref50029065 \h </w:instrText>
      </w:r>
      <w:r w:rsidR="00147943">
        <w:rPr>
          <w:b/>
        </w:rPr>
        <w:instrText xml:space="preserve"> \* MERGEFORMAT </w:instrText>
      </w:r>
      <w:r>
        <w:rPr>
          <w:b/>
        </w:rPr>
      </w:r>
      <w:r>
        <w:rPr>
          <w:b/>
        </w:rPr>
        <w:fldChar w:fldCharType="separate"/>
      </w:r>
      <w:r w:rsidRPr="001E49B3">
        <w:t>4.7.4 | Adoption &amp; Submittal</w:t>
      </w:r>
      <w:r>
        <w:rPr>
          <w:b/>
        </w:rPr>
        <w:fldChar w:fldCharType="end"/>
      </w:r>
    </w:p>
    <w:p w14:paraId="0B5D9ECF" w14:textId="3BF48546" w:rsidR="009A0429" w:rsidRDefault="009A0429" w:rsidP="00020D20">
      <w:pPr>
        <w:spacing w:before="0" w:after="40" w:line="240" w:lineRule="auto"/>
        <w:ind w:left="504"/>
        <w:jc w:val="both"/>
        <w:rPr>
          <w:b/>
        </w:rPr>
      </w:pPr>
      <w:r>
        <w:rPr>
          <w:b/>
        </w:rPr>
        <w:fldChar w:fldCharType="begin"/>
      </w:r>
      <w:r>
        <w:rPr>
          <w:b/>
        </w:rPr>
        <w:instrText xml:space="preserve"> REF _Ref50029070 \h </w:instrText>
      </w:r>
      <w:r w:rsidR="00147943">
        <w:rPr>
          <w:b/>
        </w:rPr>
        <w:instrText xml:space="preserve"> \* MERGEFORMAT </w:instrText>
      </w:r>
      <w:r>
        <w:rPr>
          <w:b/>
        </w:rPr>
      </w:r>
      <w:r>
        <w:rPr>
          <w:b/>
        </w:rPr>
        <w:fldChar w:fldCharType="separate"/>
      </w:r>
      <w:r w:rsidRPr="001E49B3">
        <w:t>4.7.5 | FHWA/FTA Approval</w:t>
      </w:r>
      <w:r>
        <w:rPr>
          <w:b/>
        </w:rPr>
        <w:fldChar w:fldCharType="end"/>
      </w:r>
    </w:p>
    <w:p w14:paraId="112C0760" w14:textId="2EA9B48F" w:rsidR="009A0429" w:rsidRDefault="009A0429" w:rsidP="00020D20">
      <w:pPr>
        <w:spacing w:before="0" w:after="40" w:line="240" w:lineRule="auto"/>
        <w:jc w:val="both"/>
        <w:rPr>
          <w:b/>
        </w:rPr>
      </w:pPr>
      <w:r>
        <w:rPr>
          <w:b/>
        </w:rPr>
        <w:fldChar w:fldCharType="begin"/>
      </w:r>
      <w:r>
        <w:rPr>
          <w:b/>
        </w:rPr>
        <w:instrText xml:space="preserve"> REF _Ref50029074 \h </w:instrText>
      </w:r>
      <w:r w:rsidR="00147943">
        <w:rPr>
          <w:b/>
        </w:rPr>
        <w:instrText xml:space="preserve"> \* MERGEFORMAT </w:instrText>
      </w:r>
      <w:r>
        <w:rPr>
          <w:b/>
        </w:rPr>
      </w:r>
      <w:r>
        <w:rPr>
          <w:b/>
        </w:rPr>
        <w:fldChar w:fldCharType="separate"/>
      </w:r>
      <w:r w:rsidRPr="001E49B3">
        <w:t>4.8 | MODIFICATIONS</w:t>
      </w:r>
      <w:r>
        <w:rPr>
          <w:b/>
        </w:rPr>
        <w:fldChar w:fldCharType="end"/>
      </w:r>
    </w:p>
    <w:p w14:paraId="392DFC37" w14:textId="3F809B87" w:rsidR="009A0429" w:rsidRDefault="009A0429" w:rsidP="00020D20">
      <w:pPr>
        <w:spacing w:before="0" w:after="40" w:line="240" w:lineRule="auto"/>
        <w:ind w:left="504"/>
        <w:jc w:val="both"/>
        <w:rPr>
          <w:b/>
        </w:rPr>
      </w:pPr>
      <w:r>
        <w:rPr>
          <w:b/>
        </w:rPr>
        <w:fldChar w:fldCharType="begin"/>
      </w:r>
      <w:r>
        <w:rPr>
          <w:b/>
        </w:rPr>
        <w:instrText xml:space="preserve"> REF _Ref50029078 \h </w:instrText>
      </w:r>
      <w:r w:rsidR="00147943">
        <w:rPr>
          <w:b/>
        </w:rPr>
        <w:instrText xml:space="preserve"> \* MERGEFORMAT </w:instrText>
      </w:r>
      <w:r>
        <w:rPr>
          <w:b/>
        </w:rPr>
      </w:r>
      <w:r>
        <w:rPr>
          <w:b/>
        </w:rPr>
        <w:fldChar w:fldCharType="separate"/>
      </w:r>
      <w:r w:rsidRPr="001E49B3">
        <w:t>4.8.1 | Approval of Modifications</w:t>
      </w:r>
      <w:r>
        <w:rPr>
          <w:b/>
        </w:rPr>
        <w:fldChar w:fldCharType="end"/>
      </w:r>
    </w:p>
    <w:p w14:paraId="4C55299E" w14:textId="43DB721E" w:rsidR="009A0429" w:rsidRDefault="009A0429" w:rsidP="00020D20">
      <w:pPr>
        <w:spacing w:before="0" w:after="40" w:line="240" w:lineRule="auto"/>
        <w:jc w:val="both"/>
        <w:rPr>
          <w:b/>
        </w:rPr>
      </w:pPr>
      <w:r>
        <w:rPr>
          <w:b/>
        </w:rPr>
        <w:fldChar w:fldCharType="begin"/>
      </w:r>
      <w:r>
        <w:rPr>
          <w:b/>
        </w:rPr>
        <w:instrText xml:space="preserve"> REF _Ref50029081 \h </w:instrText>
      </w:r>
      <w:r w:rsidR="00147943">
        <w:rPr>
          <w:b/>
        </w:rPr>
        <w:instrText xml:space="preserve"> \* MERGEFORMAT </w:instrText>
      </w:r>
      <w:r>
        <w:rPr>
          <w:b/>
        </w:rPr>
      </w:r>
      <w:r>
        <w:rPr>
          <w:b/>
        </w:rPr>
        <w:fldChar w:fldCharType="separate"/>
      </w:r>
      <w:r w:rsidRPr="001E49B3">
        <w:t>4.9 | PROGRESS REPORTS</w:t>
      </w:r>
      <w:r>
        <w:rPr>
          <w:b/>
        </w:rPr>
        <w:fldChar w:fldCharType="end"/>
      </w:r>
    </w:p>
    <w:p w14:paraId="6E204F67" w14:textId="54B5CE33" w:rsidR="009A0429" w:rsidRDefault="009A0429" w:rsidP="00020D20">
      <w:pPr>
        <w:spacing w:before="0" w:after="40" w:line="240" w:lineRule="auto"/>
        <w:jc w:val="both"/>
        <w:rPr>
          <w:b/>
        </w:rPr>
      </w:pPr>
      <w:r>
        <w:rPr>
          <w:b/>
        </w:rPr>
        <w:fldChar w:fldCharType="begin"/>
      </w:r>
      <w:r>
        <w:rPr>
          <w:b/>
        </w:rPr>
        <w:instrText xml:space="preserve"> REF _Ref50029086 \h </w:instrText>
      </w:r>
      <w:r w:rsidR="00147943">
        <w:rPr>
          <w:b/>
        </w:rPr>
        <w:instrText xml:space="preserve"> \* MERGEFORMAT </w:instrText>
      </w:r>
      <w:r>
        <w:rPr>
          <w:b/>
        </w:rPr>
      </w:r>
      <w:r>
        <w:rPr>
          <w:b/>
        </w:rPr>
        <w:fldChar w:fldCharType="separate"/>
      </w:r>
      <w:r w:rsidRPr="001E49B3">
        <w:t>4.10 | INVOICING</w:t>
      </w:r>
      <w:r>
        <w:rPr>
          <w:b/>
        </w:rPr>
        <w:fldChar w:fldCharType="end"/>
      </w:r>
    </w:p>
    <w:p w14:paraId="74C2B5DB" w14:textId="5DB46A8B" w:rsidR="009A0429" w:rsidRDefault="009A0429" w:rsidP="00020D20">
      <w:pPr>
        <w:spacing w:before="0" w:after="40" w:line="240" w:lineRule="auto"/>
        <w:ind w:left="504"/>
        <w:jc w:val="both"/>
        <w:rPr>
          <w:b/>
        </w:rPr>
      </w:pPr>
      <w:r>
        <w:rPr>
          <w:b/>
        </w:rPr>
        <w:fldChar w:fldCharType="begin"/>
      </w:r>
      <w:r>
        <w:rPr>
          <w:b/>
        </w:rPr>
        <w:instrText xml:space="preserve"> REF _Ref50029093 \h </w:instrText>
      </w:r>
      <w:r w:rsidR="00147943">
        <w:rPr>
          <w:b/>
        </w:rPr>
        <w:instrText xml:space="preserve"> \* MERGEFORMAT </w:instrText>
      </w:r>
      <w:r>
        <w:rPr>
          <w:b/>
        </w:rPr>
      </w:r>
      <w:r>
        <w:rPr>
          <w:b/>
        </w:rPr>
        <w:fldChar w:fldCharType="separate"/>
      </w:r>
      <w:r w:rsidRPr="001E49B3">
        <w:t>4.10.1 | Submitting Invoices</w:t>
      </w:r>
      <w:r>
        <w:rPr>
          <w:b/>
        </w:rPr>
        <w:fldChar w:fldCharType="end"/>
      </w:r>
    </w:p>
    <w:p w14:paraId="08078E6E" w14:textId="6D68458A" w:rsidR="009A0429" w:rsidRPr="009A0429" w:rsidRDefault="009A0429" w:rsidP="00020D20">
      <w:pPr>
        <w:spacing w:before="0" w:after="40" w:line="240" w:lineRule="auto"/>
        <w:ind w:left="504"/>
        <w:jc w:val="both"/>
      </w:pPr>
      <w:r>
        <w:rPr>
          <w:b/>
        </w:rPr>
        <w:fldChar w:fldCharType="begin"/>
      </w:r>
      <w:r>
        <w:rPr>
          <w:b/>
        </w:rPr>
        <w:instrText xml:space="preserve"> REF _Ref50029096 \h </w:instrText>
      </w:r>
      <w:r w:rsidR="00147943">
        <w:rPr>
          <w:b/>
        </w:rPr>
        <w:instrText xml:space="preserve"> \* MERGEFORMAT </w:instrText>
      </w:r>
      <w:r>
        <w:rPr>
          <w:b/>
        </w:rPr>
      </w:r>
      <w:r>
        <w:rPr>
          <w:b/>
        </w:rPr>
        <w:fldChar w:fldCharType="separate"/>
      </w:r>
      <w:r w:rsidRPr="001E49B3">
        <w:t>4.10.2 | Processing Payment</w:t>
      </w:r>
      <w:r>
        <w:rPr>
          <w:b/>
        </w:rPr>
        <w:fldChar w:fldCharType="end"/>
      </w:r>
    </w:p>
    <w:p w14:paraId="237D40F5" w14:textId="77777777" w:rsidR="00492D0B" w:rsidRDefault="00F52F68"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b/>
        </w:rPr>
        <w:sectPr w:rsidR="00492D0B" w:rsidSect="00076532">
          <w:footerReference w:type="default" r:id="rId335"/>
          <w:pgSz w:w="12240" w:h="15840"/>
          <w:pgMar w:top="1440" w:right="1440" w:bottom="1440" w:left="1440" w:header="720" w:footer="720" w:gutter="0"/>
          <w:pgNumType w:start="1" w:chapStyle="1"/>
          <w:cols w:space="720"/>
          <w:docGrid w:linePitch="360"/>
        </w:sectPr>
      </w:pPr>
      <w:r>
        <w:rPr>
          <w:b/>
        </w:rPr>
        <w:br w:type="page"/>
      </w:r>
    </w:p>
    <w:p w14:paraId="55FED5F8" w14:textId="38502396" w:rsidR="00B10564" w:rsidRDefault="00076532" w:rsidP="00020D20">
      <w:pPr>
        <w:pStyle w:val="Heading1"/>
        <w:tabs>
          <w:tab w:val="left" w:pos="360"/>
        </w:tabs>
        <w:jc w:val="both"/>
      </w:pPr>
      <w:bookmarkStart w:id="145" w:name="_Toc49866701"/>
      <w:bookmarkStart w:id="146" w:name="_Toc49867601"/>
      <w:bookmarkStart w:id="147" w:name="_Toc49867647"/>
      <w:bookmarkStart w:id="148" w:name="_Toc49868801"/>
      <w:bookmarkStart w:id="149" w:name="_Toc49868866"/>
      <w:bookmarkStart w:id="150" w:name="_Toc49868903"/>
      <w:bookmarkStart w:id="151" w:name="_Toc49868949"/>
      <w:bookmarkStart w:id="152" w:name="_Toc49869118"/>
      <w:bookmarkStart w:id="153" w:name="_Toc49869167"/>
      <w:bookmarkStart w:id="154" w:name="_Toc49870623"/>
      <w:bookmarkStart w:id="155" w:name="_Toc49870668"/>
      <w:bookmarkStart w:id="156" w:name="_Toc50539519"/>
      <w:bookmarkStart w:id="157" w:name="_Toc50539562"/>
      <w:bookmarkStart w:id="158" w:name="_Toc50539726"/>
      <w:bookmarkStart w:id="159" w:name="_Toc50539805"/>
      <w:bookmarkStart w:id="160" w:name="_Toc50539848"/>
      <w:bookmarkStart w:id="161" w:name="_Toc50539966"/>
      <w:bookmarkStart w:id="162" w:name="_Toc50540052"/>
      <w:bookmarkStart w:id="163" w:name="_Toc50540219"/>
      <w:bookmarkStart w:id="164" w:name="_|_MPO_Unified"/>
      <w:bookmarkStart w:id="165" w:name="_Toc49862231"/>
      <w:bookmarkStart w:id="166" w:name="_Toc49870624"/>
      <w:bookmarkStart w:id="167" w:name="_Toc50540220"/>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r>
        <w:t>|</w:t>
      </w:r>
      <w:r w:rsidR="000E518A">
        <w:t xml:space="preserve"> </w:t>
      </w:r>
      <w:r w:rsidR="00B10564">
        <w:t xml:space="preserve">MPO Unified Planning Work Program </w:t>
      </w:r>
      <w:r w:rsidR="004D572A">
        <w:t>and</w:t>
      </w:r>
      <w:r w:rsidR="00B10564">
        <w:t xml:space="preserve"> Contract Activities</w:t>
      </w:r>
      <w:bookmarkEnd w:id="165"/>
      <w:bookmarkEnd w:id="166"/>
      <w:bookmarkEnd w:id="167"/>
    </w:p>
    <w:p w14:paraId="27A26CC5" w14:textId="77777777" w:rsidR="00814B19" w:rsidRDefault="00814B19" w:rsidP="00020D20">
      <w:pPr>
        <w:pStyle w:val="Heading1"/>
        <w:jc w:val="both"/>
        <w:sectPr w:rsidR="00814B19" w:rsidSect="00020D20">
          <w:footerReference w:type="default" r:id="rId336"/>
          <w:pgSz w:w="12240" w:h="15840"/>
          <w:pgMar w:top="1440" w:right="1440" w:bottom="1440" w:left="1440" w:header="720" w:footer="720" w:gutter="0"/>
          <w:pgNumType w:start="1" w:chapStyle="1"/>
          <w:cols w:space="720"/>
          <w:docGrid w:linePitch="360"/>
        </w:sectPr>
      </w:pPr>
    </w:p>
    <w:p w14:paraId="3B6A2BFE" w14:textId="75720CFA" w:rsidR="00096406" w:rsidRDefault="00AE4418" w:rsidP="00020D20">
      <w:pPr>
        <w:pStyle w:val="Heading2"/>
      </w:pPr>
      <w:bookmarkStart w:id="168" w:name="_Ref50028899"/>
      <w:r w:rsidRPr="004D3518">
        <w:t>4.1 |</w:t>
      </w:r>
      <w:r w:rsidRPr="00AE4418">
        <w:rPr>
          <w:rStyle w:val="Heading2Char"/>
          <w:b/>
        </w:rPr>
        <w:t xml:space="preserve"> </w:t>
      </w:r>
      <w:r w:rsidR="00E21667" w:rsidRPr="00AE4418">
        <w:rPr>
          <w:rStyle w:val="Heading2Char"/>
          <w:b/>
        </w:rPr>
        <w:t>PURPOSE</w:t>
      </w:r>
      <w:bookmarkEnd w:id="168"/>
      <w:r w:rsidR="00E21667" w:rsidRPr="00E21667">
        <w:rPr>
          <w:szCs w:val="20"/>
        </w:rPr>
        <w:t xml:space="preserve"> </w:t>
      </w:r>
    </w:p>
    <w:p w14:paraId="6AF7B9F1" w14:textId="29A1371E" w:rsidR="00E21667" w:rsidRPr="00E21667" w:rsidRDefault="00E21667" w:rsidP="00020D20">
      <w:pPr>
        <w:jc w:val="both"/>
      </w:pPr>
      <w:r w:rsidRPr="00E21667">
        <w:t>This chapter provides information regarding the development, implementation, and financial management of funds of the UPWP. The UPWP is a</w:t>
      </w:r>
      <w:r w:rsidR="00AE4418">
        <w:t xml:space="preserve"> two-year</w:t>
      </w:r>
      <w:r w:rsidRPr="00E21667">
        <w:t xml:space="preserve"> planning work program that identifies activities and the transportation planning budget for a metropolitan area. This chapter is intended for use by ADOT and MPOs as a guideline in the development, review, and administration of the UPWP. The UPWP is synonymous with the “Work Program” referenced in the </w:t>
      </w:r>
      <w:r w:rsidR="00BD216C">
        <w:t>GRT</w:t>
      </w:r>
      <w:r w:rsidRPr="00E21667">
        <w:t xml:space="preserve"> contract between ADOT and the MPO.</w:t>
      </w:r>
    </w:p>
    <w:p w14:paraId="06621205" w14:textId="77777777" w:rsidR="00096406" w:rsidRDefault="00E21667" w:rsidP="00020D20">
      <w:pPr>
        <w:pStyle w:val="Heading2"/>
      </w:pPr>
      <w:bookmarkStart w:id="169" w:name="_Ref50028940"/>
      <w:r w:rsidRPr="00E21667">
        <w:t>4.2 | AUTHORITY</w:t>
      </w:r>
      <w:bookmarkEnd w:id="169"/>
    </w:p>
    <w:p w14:paraId="282EC3DE" w14:textId="0975C70E" w:rsidR="00E21667" w:rsidRPr="00E21667" w:rsidRDefault="00E21667" w:rsidP="00020D20">
      <w:pPr>
        <w:jc w:val="both"/>
      </w:pPr>
      <w:r w:rsidRPr="00E21667">
        <w:t xml:space="preserve"> Table 4-1 below describes the federal and state laws that provide the authority for MPO Unified Planning Work Program &amp; contract activities. </w:t>
      </w:r>
    </w:p>
    <w:p w14:paraId="53EFA906" w14:textId="77777777" w:rsidR="00096406" w:rsidRDefault="00E21667" w:rsidP="00020D20">
      <w:pPr>
        <w:pStyle w:val="Heading2"/>
      </w:pPr>
      <w:bookmarkStart w:id="170" w:name="_Ref50028948"/>
      <w:r w:rsidRPr="00E21667">
        <w:t>4.3 | SCOPE</w:t>
      </w:r>
      <w:bookmarkEnd w:id="170"/>
    </w:p>
    <w:p w14:paraId="1BEEBB2A" w14:textId="02974AA8" w:rsidR="00096406" w:rsidRDefault="00E21667" w:rsidP="00020D20">
      <w:pPr>
        <w:jc w:val="both"/>
        <w:sectPr w:rsidR="00096406" w:rsidSect="00814B19">
          <w:type w:val="continuous"/>
          <w:pgSz w:w="12240" w:h="15840"/>
          <w:pgMar w:top="1440" w:right="1440" w:bottom="1440" w:left="1440" w:header="720" w:footer="720" w:gutter="0"/>
          <w:cols w:num="2" w:space="720"/>
          <w:docGrid w:linePitch="360"/>
        </w:sectPr>
      </w:pPr>
      <w:r w:rsidRPr="00E21667">
        <w:t>The</w:t>
      </w:r>
      <w:r w:rsidRPr="00096406">
        <w:rPr>
          <w:rStyle w:val="Heading5Char"/>
        </w:rPr>
        <w:t xml:space="preserve"> Code of Federal Regulations </w:t>
      </w:r>
      <w:r w:rsidRPr="00E21667">
        <w:t>defines a UPWP as “a statement of work identifying the planning priorities and activities to be carried out within a metropolitan planning area. At a minimum, a UPWP includes a description of the planning work and resulting products, who will perform the work, time frames for completing the work, the cost of the work, and the source(s) of funds” (</w:t>
      </w:r>
      <w:hyperlink r:id="rId337" w:history="1">
        <w:r w:rsidR="004418C8" w:rsidRPr="00020D20">
          <w:rPr>
            <w:rStyle w:val="TitleChar"/>
          </w:rPr>
          <w:t xml:space="preserve">23 </w:t>
        </w:r>
        <w:r w:rsidR="009628C0">
          <w:rPr>
            <w:rStyle w:val="TitleChar"/>
          </w:rPr>
          <w:t xml:space="preserve">C.F.R. </w:t>
        </w:r>
        <w:r w:rsidR="004418C8" w:rsidRPr="00020D20">
          <w:rPr>
            <w:rStyle w:val="TitleChar"/>
          </w:rPr>
          <w:t>§ 450.104</w:t>
        </w:r>
      </w:hyperlink>
      <w:r w:rsidRPr="00E21667">
        <w:t>).</w:t>
      </w:r>
    </w:p>
    <w:p w14:paraId="2A0C3998" w14:textId="77777777" w:rsidR="00096406" w:rsidRDefault="00096406" w:rsidP="00020D20">
      <w:pPr>
        <w:pStyle w:val="Heading4"/>
        <w:jc w:val="both"/>
      </w:pPr>
      <w:r w:rsidRPr="00E21667">
        <w:t>Table 4-1 | Authority</w:t>
      </w:r>
    </w:p>
    <w:tbl>
      <w:tblPr>
        <w:tblW w:w="9360" w:type="dxa"/>
        <w:tblInd w:w="-10" w:type="dxa"/>
        <w:tblLayout w:type="fixed"/>
        <w:tblCellMar>
          <w:left w:w="0" w:type="dxa"/>
          <w:right w:w="0" w:type="dxa"/>
        </w:tblCellMar>
        <w:tblLook w:val="0000" w:firstRow="0" w:lastRow="0" w:firstColumn="0" w:lastColumn="0" w:noHBand="0" w:noVBand="0"/>
      </w:tblPr>
      <w:tblGrid>
        <w:gridCol w:w="360"/>
        <w:gridCol w:w="2599"/>
        <w:gridCol w:w="6401"/>
      </w:tblGrid>
      <w:tr w:rsidR="00C37E66" w:rsidRPr="00E21667" w14:paraId="7A3D1203" w14:textId="77777777" w:rsidTr="00020D20">
        <w:trPr>
          <w:cantSplit/>
          <w:trHeight w:val="217"/>
        </w:trPr>
        <w:tc>
          <w:tcPr>
            <w:tcW w:w="2959" w:type="dxa"/>
            <w:gridSpan w:val="2"/>
            <w:tcBorders>
              <w:top w:val="single" w:sz="4" w:space="0" w:color="auto"/>
              <w:left w:val="single" w:sz="4" w:space="0" w:color="auto"/>
              <w:right w:val="single" w:sz="4" w:space="0" w:color="FFFFFF" w:themeColor="background1"/>
            </w:tcBorders>
            <w:shd w:val="clear" w:color="auto" w:fill="012768"/>
            <w:tcMar>
              <w:top w:w="87" w:type="dxa"/>
              <w:left w:w="91" w:type="dxa"/>
              <w:bottom w:w="87" w:type="dxa"/>
              <w:right w:w="91" w:type="dxa"/>
            </w:tcMar>
            <w:vAlign w:val="center"/>
          </w:tcPr>
          <w:p w14:paraId="72775379" w14:textId="16EE2693" w:rsidR="00C37E66" w:rsidRPr="00020D20" w:rsidRDefault="00C37E66" w:rsidP="00020D20">
            <w:pPr>
              <w:spacing w:before="0" w:after="0" w:line="240" w:lineRule="auto"/>
              <w:jc w:val="center"/>
              <w:rPr>
                <w:sz w:val="22"/>
              </w:rPr>
            </w:pPr>
            <w:r w:rsidRPr="00020D20">
              <w:rPr>
                <w:w w:val="104"/>
                <w:sz w:val="22"/>
              </w:rPr>
              <w:t>Code</w:t>
            </w:r>
          </w:p>
        </w:tc>
        <w:tc>
          <w:tcPr>
            <w:tcW w:w="6401" w:type="dxa"/>
            <w:tcBorders>
              <w:top w:val="single" w:sz="4" w:space="0" w:color="auto"/>
              <w:left w:val="single" w:sz="4" w:space="0" w:color="FFFFFF" w:themeColor="background1"/>
              <w:right w:val="single" w:sz="4" w:space="0" w:color="auto"/>
            </w:tcBorders>
            <w:shd w:val="clear" w:color="auto" w:fill="012768"/>
            <w:tcMar>
              <w:top w:w="87" w:type="dxa"/>
              <w:left w:w="91" w:type="dxa"/>
              <w:bottom w:w="87" w:type="dxa"/>
              <w:right w:w="91" w:type="dxa"/>
            </w:tcMar>
            <w:vAlign w:val="center"/>
          </w:tcPr>
          <w:p w14:paraId="66CA4EC7" w14:textId="77777777" w:rsidR="00C37E66" w:rsidRPr="00020D20" w:rsidRDefault="00C37E66" w:rsidP="00020D20">
            <w:pPr>
              <w:spacing w:before="0" w:after="0" w:line="240" w:lineRule="auto"/>
              <w:jc w:val="center"/>
              <w:rPr>
                <w:sz w:val="22"/>
              </w:rPr>
            </w:pPr>
            <w:r w:rsidRPr="00020D20">
              <w:rPr>
                <w:w w:val="104"/>
                <w:sz w:val="22"/>
              </w:rPr>
              <w:t>Description</w:t>
            </w:r>
          </w:p>
        </w:tc>
      </w:tr>
      <w:tr w:rsidR="00D32FDA" w:rsidRPr="00E21667" w14:paraId="56FDE89D" w14:textId="77777777" w:rsidTr="00020D20">
        <w:trPr>
          <w:cantSplit/>
          <w:trHeight w:val="20"/>
        </w:trPr>
        <w:tc>
          <w:tcPr>
            <w:tcW w:w="360"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7" w:type="dxa"/>
              <w:left w:w="91" w:type="dxa"/>
              <w:bottom w:w="87" w:type="dxa"/>
              <w:right w:w="91" w:type="dxa"/>
            </w:tcMar>
            <w:textDirection w:val="btLr"/>
            <w:vAlign w:val="center"/>
          </w:tcPr>
          <w:p w14:paraId="13E9089C" w14:textId="77777777" w:rsidR="00C37E66" w:rsidRPr="00020D20" w:rsidRDefault="00C37E66" w:rsidP="00020D20">
            <w:pPr>
              <w:spacing w:before="0" w:after="0" w:line="240" w:lineRule="auto"/>
              <w:jc w:val="center"/>
              <w:rPr>
                <w:sz w:val="22"/>
              </w:rPr>
            </w:pPr>
            <w:r w:rsidRPr="00020D20">
              <w:rPr>
                <w:w w:val="103"/>
                <w:sz w:val="22"/>
              </w:rPr>
              <w:t>Federal</w:t>
            </w:r>
          </w:p>
        </w:tc>
        <w:tc>
          <w:tcPr>
            <w:tcW w:w="2599" w:type="dxa"/>
            <w:tcBorders>
              <w:top w:val="single" w:sz="4" w:space="0" w:color="auto"/>
              <w:left w:val="single" w:sz="4" w:space="0" w:color="auto"/>
              <w:bottom w:val="single" w:sz="4" w:space="0" w:color="auto"/>
              <w:right w:val="single" w:sz="4" w:space="0" w:color="auto"/>
            </w:tcBorders>
            <w:shd w:val="clear" w:color="auto" w:fill="auto"/>
            <w:tcMar>
              <w:top w:w="87" w:type="dxa"/>
              <w:left w:w="91" w:type="dxa"/>
              <w:bottom w:w="87" w:type="dxa"/>
              <w:right w:w="91" w:type="dxa"/>
            </w:tcMar>
            <w:vAlign w:val="center"/>
          </w:tcPr>
          <w:p w14:paraId="6DFC0489" w14:textId="61A29A13" w:rsidR="00C37E66" w:rsidRPr="00020D20" w:rsidRDefault="00202C92">
            <w:pPr>
              <w:pStyle w:val="Title"/>
              <w:rPr>
                <w:sz w:val="18"/>
                <w:szCs w:val="18"/>
              </w:rPr>
            </w:pPr>
            <w:hyperlink r:id="rId338" w:history="1">
              <w:r w:rsidR="00C37E66" w:rsidRPr="00020D20">
                <w:rPr>
                  <w:rStyle w:val="Hyperlink"/>
                  <w:rFonts w:asciiTheme="minorHAnsi" w:hAnsiTheme="minorHAnsi" w:cstheme="majorBidi"/>
                  <w:i/>
                  <w:iCs w:val="0"/>
                  <w:color w:val="CE5B18"/>
                  <w:sz w:val="18"/>
                  <w:szCs w:val="18"/>
                  <w:u w:val="none"/>
                </w:rPr>
                <w:t xml:space="preserve">23 </w:t>
              </w:r>
              <w:r w:rsidR="009628C0">
                <w:rPr>
                  <w:rStyle w:val="Hyperlink"/>
                  <w:rFonts w:asciiTheme="minorHAnsi" w:hAnsiTheme="minorHAnsi" w:cstheme="majorBidi"/>
                  <w:i/>
                  <w:iCs w:val="0"/>
                  <w:color w:val="CE5B18"/>
                  <w:sz w:val="18"/>
                  <w:szCs w:val="18"/>
                  <w:u w:val="none"/>
                </w:rPr>
                <w:t xml:space="preserve">C.F.R. </w:t>
              </w:r>
              <w:r w:rsidR="00C37E66" w:rsidRPr="00020D20">
                <w:rPr>
                  <w:rStyle w:val="Hyperlink"/>
                  <w:rFonts w:asciiTheme="minorHAnsi" w:hAnsiTheme="minorHAnsi" w:cstheme="majorBidi"/>
                  <w:i/>
                  <w:iCs w:val="0"/>
                  <w:color w:val="CE5B18"/>
                  <w:sz w:val="18"/>
                  <w:szCs w:val="18"/>
                  <w:u w:val="none"/>
                </w:rPr>
                <w:t>§ 420</w:t>
              </w:r>
            </w:hyperlink>
          </w:p>
        </w:tc>
        <w:tc>
          <w:tcPr>
            <w:tcW w:w="6401" w:type="dxa"/>
            <w:tcBorders>
              <w:top w:val="single" w:sz="4" w:space="0" w:color="auto"/>
              <w:left w:val="single" w:sz="4" w:space="0" w:color="auto"/>
              <w:bottom w:val="single" w:sz="4" w:space="0" w:color="auto"/>
              <w:right w:val="single" w:sz="4" w:space="0" w:color="auto"/>
            </w:tcBorders>
            <w:tcMar>
              <w:top w:w="87" w:type="dxa"/>
              <w:left w:w="91" w:type="dxa"/>
              <w:bottom w:w="87" w:type="dxa"/>
              <w:right w:w="91" w:type="dxa"/>
            </w:tcMar>
            <w:vAlign w:val="center"/>
          </w:tcPr>
          <w:p w14:paraId="784700FD" w14:textId="77777777" w:rsidR="00C37E66" w:rsidRPr="00394A74" w:rsidRDefault="00C37E66" w:rsidP="00020D20">
            <w:pPr>
              <w:spacing w:before="0" w:after="0" w:line="240" w:lineRule="auto"/>
              <w:jc w:val="both"/>
            </w:pPr>
            <w:r w:rsidRPr="00020D20">
              <w:rPr>
                <w:sz w:val="18"/>
                <w:szCs w:val="18"/>
              </w:rPr>
              <w:t>Planning and Research Program Administration</w:t>
            </w:r>
          </w:p>
        </w:tc>
      </w:tr>
      <w:tr w:rsidR="00D32FDA" w:rsidRPr="00E21667" w14:paraId="57AD9832"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65D1AEDE"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382E60B4" w14:textId="35FDC82F" w:rsidR="00C37E66" w:rsidRPr="00020D20" w:rsidRDefault="00202C92">
            <w:pPr>
              <w:pStyle w:val="Title"/>
              <w:rPr>
                <w:sz w:val="18"/>
                <w:szCs w:val="18"/>
              </w:rPr>
            </w:pPr>
            <w:hyperlink r:id="rId339" w:history="1">
              <w:r w:rsidR="00C37E66" w:rsidRPr="00020D20">
                <w:rPr>
                  <w:rStyle w:val="Hyperlink"/>
                  <w:rFonts w:asciiTheme="minorHAnsi" w:hAnsiTheme="minorHAnsi" w:cstheme="majorBidi"/>
                  <w:i/>
                  <w:iCs w:val="0"/>
                  <w:color w:val="CE5B18"/>
                  <w:sz w:val="18"/>
                  <w:szCs w:val="18"/>
                  <w:u w:val="none"/>
                </w:rPr>
                <w:t xml:space="preserve">23 </w:t>
              </w:r>
              <w:r w:rsidR="009628C0">
                <w:rPr>
                  <w:rStyle w:val="Hyperlink"/>
                  <w:rFonts w:asciiTheme="minorHAnsi" w:hAnsiTheme="minorHAnsi" w:cstheme="majorBidi"/>
                  <w:i/>
                  <w:iCs w:val="0"/>
                  <w:color w:val="CE5B18"/>
                  <w:sz w:val="18"/>
                  <w:szCs w:val="18"/>
                  <w:u w:val="none"/>
                </w:rPr>
                <w:t xml:space="preserve">C.F.R. </w:t>
              </w:r>
              <w:r w:rsidR="00C37E66" w:rsidRPr="00020D20">
                <w:rPr>
                  <w:rStyle w:val="Hyperlink"/>
                  <w:rFonts w:asciiTheme="minorHAnsi" w:hAnsiTheme="minorHAnsi" w:cstheme="majorBidi"/>
                  <w:i/>
                  <w:iCs w:val="0"/>
                  <w:color w:val="CE5B18"/>
                  <w:sz w:val="18"/>
                  <w:szCs w:val="18"/>
                  <w:u w:val="none"/>
                </w:rPr>
                <w:t>§ 450.308</w:t>
              </w:r>
            </w:hyperlink>
          </w:p>
        </w:tc>
        <w:tc>
          <w:tcPr>
            <w:tcW w:w="6401"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66409C00" w14:textId="77777777" w:rsidR="00C37E66" w:rsidRPr="00394A74" w:rsidRDefault="00C37E66" w:rsidP="00020D20">
            <w:pPr>
              <w:spacing w:before="0" w:after="0" w:line="240" w:lineRule="auto"/>
              <w:jc w:val="both"/>
            </w:pPr>
            <w:r w:rsidRPr="00020D20">
              <w:rPr>
                <w:w w:val="104"/>
                <w:sz w:val="18"/>
                <w:szCs w:val="18"/>
              </w:rPr>
              <w:t>Unified Planning Work Programs</w:t>
            </w:r>
          </w:p>
        </w:tc>
      </w:tr>
      <w:tr w:rsidR="00D32FDA" w:rsidRPr="00E21667" w14:paraId="2C2631A1"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39B49B18"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auto"/>
            <w:tcMar>
              <w:top w:w="87" w:type="dxa"/>
              <w:left w:w="91" w:type="dxa"/>
              <w:bottom w:w="87" w:type="dxa"/>
              <w:right w:w="91" w:type="dxa"/>
            </w:tcMar>
            <w:vAlign w:val="center"/>
          </w:tcPr>
          <w:p w14:paraId="60AEB4E5" w14:textId="0DB6F1C5" w:rsidR="00C37E66" w:rsidRPr="00020D20" w:rsidRDefault="00202C92">
            <w:pPr>
              <w:pStyle w:val="Title"/>
              <w:rPr>
                <w:sz w:val="18"/>
                <w:szCs w:val="18"/>
              </w:rPr>
            </w:pPr>
            <w:hyperlink r:id="rId340" w:history="1">
              <w:r w:rsidR="00C37E66" w:rsidRPr="00020D20">
                <w:rPr>
                  <w:rStyle w:val="Hyperlink"/>
                  <w:rFonts w:asciiTheme="minorHAnsi" w:hAnsiTheme="minorHAnsi" w:cstheme="majorBidi"/>
                  <w:i/>
                  <w:iCs w:val="0"/>
                  <w:color w:val="CE5B18"/>
                  <w:sz w:val="18"/>
                  <w:szCs w:val="18"/>
                  <w:u w:val="none"/>
                </w:rPr>
                <w:t>23 U.S.C. § 134</w:t>
              </w:r>
            </w:hyperlink>
          </w:p>
        </w:tc>
        <w:tc>
          <w:tcPr>
            <w:tcW w:w="6401" w:type="dxa"/>
            <w:tcBorders>
              <w:top w:val="single" w:sz="4" w:space="0" w:color="auto"/>
              <w:left w:val="single" w:sz="4" w:space="0" w:color="auto"/>
              <w:bottom w:val="single" w:sz="4" w:space="0" w:color="auto"/>
              <w:right w:val="single" w:sz="4" w:space="0" w:color="auto"/>
            </w:tcBorders>
            <w:tcMar>
              <w:top w:w="87" w:type="dxa"/>
              <w:left w:w="91" w:type="dxa"/>
              <w:bottom w:w="87" w:type="dxa"/>
              <w:right w:w="91" w:type="dxa"/>
            </w:tcMar>
            <w:vAlign w:val="center"/>
          </w:tcPr>
          <w:p w14:paraId="295E927B" w14:textId="77777777" w:rsidR="00C37E66" w:rsidRPr="00394A74" w:rsidRDefault="00C37E66" w:rsidP="00020D20">
            <w:pPr>
              <w:spacing w:before="0" w:after="0" w:line="240" w:lineRule="auto"/>
              <w:jc w:val="both"/>
            </w:pPr>
            <w:r w:rsidRPr="00020D20">
              <w:rPr>
                <w:w w:val="104"/>
                <w:sz w:val="18"/>
                <w:szCs w:val="18"/>
              </w:rPr>
              <w:t>Metropolitan Transportation Planning</w:t>
            </w:r>
          </w:p>
        </w:tc>
      </w:tr>
      <w:tr w:rsidR="00D32FDA" w:rsidRPr="00E21667" w14:paraId="5CC0451B"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504AC920"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6012B015" w14:textId="506FE9C8" w:rsidR="00C37E66" w:rsidRPr="00020D20" w:rsidRDefault="00202C92">
            <w:pPr>
              <w:pStyle w:val="Title"/>
              <w:rPr>
                <w:sz w:val="18"/>
                <w:szCs w:val="18"/>
              </w:rPr>
            </w:pPr>
            <w:hyperlink r:id="rId341" w:history="1">
              <w:r w:rsidR="00C37E66" w:rsidRPr="00020D20">
                <w:rPr>
                  <w:rStyle w:val="Hyperlink"/>
                  <w:rFonts w:asciiTheme="minorHAnsi" w:hAnsiTheme="minorHAnsi" w:cstheme="majorBidi"/>
                  <w:i/>
                  <w:iCs w:val="0"/>
                  <w:color w:val="CE5B18"/>
                  <w:sz w:val="18"/>
                  <w:szCs w:val="18"/>
                  <w:u w:val="none"/>
                </w:rPr>
                <w:t>23 U.S.C. § 135</w:t>
              </w:r>
            </w:hyperlink>
          </w:p>
        </w:tc>
        <w:tc>
          <w:tcPr>
            <w:tcW w:w="6401"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47F9FF34" w14:textId="77777777" w:rsidR="00C37E66" w:rsidRPr="00394A74" w:rsidRDefault="00C37E66" w:rsidP="00020D20">
            <w:pPr>
              <w:spacing w:before="0" w:after="0" w:line="240" w:lineRule="auto"/>
              <w:jc w:val="both"/>
            </w:pPr>
            <w:r w:rsidRPr="00020D20">
              <w:rPr>
                <w:w w:val="104"/>
                <w:sz w:val="18"/>
                <w:szCs w:val="18"/>
              </w:rPr>
              <w:t>Statewide Planning</w:t>
            </w:r>
          </w:p>
        </w:tc>
      </w:tr>
      <w:tr w:rsidR="00D32FDA" w:rsidRPr="00E21667" w14:paraId="2B0DA974"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57280721"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auto"/>
            <w:tcMar>
              <w:top w:w="87" w:type="dxa"/>
              <w:left w:w="91" w:type="dxa"/>
              <w:bottom w:w="87" w:type="dxa"/>
              <w:right w:w="91" w:type="dxa"/>
            </w:tcMar>
            <w:vAlign w:val="center"/>
          </w:tcPr>
          <w:p w14:paraId="35A67387" w14:textId="53E81BED" w:rsidR="00C37E66" w:rsidRPr="00020D20" w:rsidRDefault="00202C92">
            <w:pPr>
              <w:pStyle w:val="Title"/>
              <w:rPr>
                <w:sz w:val="18"/>
                <w:szCs w:val="18"/>
              </w:rPr>
            </w:pPr>
            <w:hyperlink r:id="rId342" w:history="1">
              <w:r w:rsidR="00C37E66" w:rsidRPr="00020D20">
                <w:rPr>
                  <w:rStyle w:val="Hyperlink"/>
                  <w:rFonts w:asciiTheme="minorHAnsi" w:hAnsiTheme="minorHAnsi" w:cstheme="majorBidi"/>
                  <w:i/>
                  <w:iCs w:val="0"/>
                  <w:color w:val="CE5B18"/>
                  <w:sz w:val="18"/>
                  <w:szCs w:val="18"/>
                  <w:u w:val="none"/>
                </w:rPr>
                <w:t>23 U.S.C. § 139</w:t>
              </w:r>
            </w:hyperlink>
          </w:p>
        </w:tc>
        <w:tc>
          <w:tcPr>
            <w:tcW w:w="6401" w:type="dxa"/>
            <w:tcBorders>
              <w:top w:val="single" w:sz="4" w:space="0" w:color="auto"/>
              <w:left w:val="single" w:sz="4" w:space="0" w:color="auto"/>
              <w:bottom w:val="single" w:sz="4" w:space="0" w:color="auto"/>
              <w:right w:val="single" w:sz="4" w:space="0" w:color="auto"/>
            </w:tcBorders>
            <w:tcMar>
              <w:top w:w="87" w:type="dxa"/>
              <w:left w:w="91" w:type="dxa"/>
              <w:bottom w:w="87" w:type="dxa"/>
              <w:right w:w="91" w:type="dxa"/>
            </w:tcMar>
            <w:vAlign w:val="center"/>
          </w:tcPr>
          <w:p w14:paraId="4DAAC328" w14:textId="77777777" w:rsidR="00C37E66" w:rsidRPr="00394A74" w:rsidRDefault="00C37E66" w:rsidP="00020D20">
            <w:pPr>
              <w:spacing w:before="0" w:after="0" w:line="240" w:lineRule="auto"/>
              <w:jc w:val="both"/>
            </w:pPr>
            <w:r w:rsidRPr="00020D20">
              <w:rPr>
                <w:w w:val="104"/>
                <w:sz w:val="18"/>
                <w:szCs w:val="18"/>
              </w:rPr>
              <w:t>Efficient Environmental Reviews for Policy Decision Making</w:t>
            </w:r>
          </w:p>
        </w:tc>
      </w:tr>
      <w:tr w:rsidR="00D32FDA" w:rsidRPr="00E21667" w14:paraId="3FCD3E1B"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462A8B66"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6932B419" w14:textId="2D0B4E81" w:rsidR="00C37E66" w:rsidRPr="00020D20" w:rsidRDefault="00202C92">
            <w:pPr>
              <w:pStyle w:val="Title"/>
              <w:rPr>
                <w:sz w:val="18"/>
                <w:szCs w:val="18"/>
              </w:rPr>
            </w:pPr>
            <w:hyperlink r:id="rId343" w:history="1">
              <w:r w:rsidR="00C37E66" w:rsidRPr="00020D20">
                <w:rPr>
                  <w:rStyle w:val="Hyperlink"/>
                  <w:rFonts w:asciiTheme="minorHAnsi" w:hAnsiTheme="minorHAnsi" w:cstheme="majorBidi"/>
                  <w:i/>
                  <w:iCs w:val="0"/>
                  <w:color w:val="CE5B18"/>
                  <w:sz w:val="18"/>
                  <w:szCs w:val="18"/>
                  <w:u w:val="none"/>
                </w:rPr>
                <w:t>31 U.S.C. § 3101-3907</w:t>
              </w:r>
            </w:hyperlink>
          </w:p>
        </w:tc>
        <w:tc>
          <w:tcPr>
            <w:tcW w:w="6401"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59342070" w14:textId="77777777" w:rsidR="00C37E66" w:rsidRPr="00394A74" w:rsidRDefault="00C37E66" w:rsidP="00020D20">
            <w:pPr>
              <w:spacing w:before="0" w:after="0" w:line="240" w:lineRule="auto"/>
              <w:jc w:val="both"/>
            </w:pPr>
            <w:r w:rsidRPr="00020D20">
              <w:rPr>
                <w:w w:val="104"/>
                <w:sz w:val="18"/>
                <w:szCs w:val="18"/>
              </w:rPr>
              <w:t>Financial Management</w:t>
            </w:r>
          </w:p>
        </w:tc>
      </w:tr>
      <w:tr w:rsidR="00D32FDA" w:rsidRPr="00E21667" w14:paraId="01FA4D25"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3FD46E58"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auto"/>
            <w:tcMar>
              <w:top w:w="87" w:type="dxa"/>
              <w:left w:w="91" w:type="dxa"/>
              <w:bottom w:w="87" w:type="dxa"/>
              <w:right w:w="91" w:type="dxa"/>
            </w:tcMar>
            <w:vAlign w:val="center"/>
          </w:tcPr>
          <w:p w14:paraId="539A0C52" w14:textId="63F58186" w:rsidR="00C37E66" w:rsidRPr="00020D20" w:rsidRDefault="00202C92">
            <w:pPr>
              <w:pStyle w:val="Title"/>
              <w:rPr>
                <w:b/>
                <w:bCs/>
                <w:sz w:val="18"/>
                <w:szCs w:val="18"/>
              </w:rPr>
            </w:pPr>
            <w:hyperlink r:id="rId344" w:history="1">
              <w:r w:rsidR="00C37E66" w:rsidRPr="00020D20">
                <w:rPr>
                  <w:w w:val="104"/>
                  <w:sz w:val="18"/>
                  <w:szCs w:val="18"/>
                  <w:u w:color="FF0000"/>
                </w:rPr>
                <w:t xml:space="preserve">2 </w:t>
              </w:r>
              <w:r w:rsidR="009628C0">
                <w:rPr>
                  <w:w w:val="104"/>
                  <w:sz w:val="18"/>
                  <w:szCs w:val="18"/>
                  <w:u w:color="FF0000"/>
                </w:rPr>
                <w:t xml:space="preserve">C.F.R. </w:t>
              </w:r>
              <w:r w:rsidR="00C37E66" w:rsidRPr="00020D20">
                <w:rPr>
                  <w:w w:val="104"/>
                  <w:sz w:val="18"/>
                  <w:szCs w:val="18"/>
                  <w:u w:color="FF0000"/>
                </w:rPr>
                <w:t>200</w:t>
              </w:r>
            </w:hyperlink>
          </w:p>
        </w:tc>
        <w:tc>
          <w:tcPr>
            <w:tcW w:w="6401" w:type="dxa"/>
            <w:tcBorders>
              <w:top w:val="single" w:sz="4" w:space="0" w:color="auto"/>
              <w:left w:val="single" w:sz="4" w:space="0" w:color="auto"/>
              <w:bottom w:val="single" w:sz="4" w:space="0" w:color="auto"/>
              <w:right w:val="single" w:sz="4" w:space="0" w:color="auto"/>
            </w:tcBorders>
            <w:tcMar>
              <w:top w:w="87" w:type="dxa"/>
              <w:left w:w="91" w:type="dxa"/>
              <w:bottom w:w="87" w:type="dxa"/>
              <w:right w:w="91" w:type="dxa"/>
            </w:tcMar>
            <w:vAlign w:val="center"/>
          </w:tcPr>
          <w:p w14:paraId="57D78446" w14:textId="77777777" w:rsidR="00C37E66" w:rsidRPr="00394A74" w:rsidRDefault="00C37E66" w:rsidP="00020D20">
            <w:pPr>
              <w:spacing w:before="0" w:after="0" w:line="240" w:lineRule="auto"/>
              <w:jc w:val="both"/>
            </w:pPr>
            <w:r w:rsidRPr="00020D20">
              <w:rPr>
                <w:w w:val="104"/>
                <w:sz w:val="18"/>
                <w:szCs w:val="18"/>
              </w:rPr>
              <w:t>Uniform Administrative Requirements, Cost Principles, and Audit Requirements for Federal Awards</w:t>
            </w:r>
          </w:p>
        </w:tc>
      </w:tr>
      <w:tr w:rsidR="00D32FDA" w:rsidRPr="00E21667" w14:paraId="1E3EE580"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7A6E4480"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7346EE51" w14:textId="5C76D256" w:rsidR="00C37E66" w:rsidRPr="00020D20" w:rsidRDefault="00202C92">
            <w:pPr>
              <w:pStyle w:val="Title"/>
              <w:rPr>
                <w:b/>
                <w:bCs/>
                <w:sz w:val="18"/>
                <w:szCs w:val="18"/>
              </w:rPr>
            </w:pPr>
            <w:hyperlink r:id="rId345" w:history="1">
              <w:r w:rsidR="00C37E66" w:rsidRPr="00020D20">
                <w:rPr>
                  <w:w w:val="104"/>
                  <w:sz w:val="18"/>
                  <w:szCs w:val="18"/>
                  <w:u w:color="FF0000"/>
                </w:rPr>
                <w:t xml:space="preserve">49 </w:t>
              </w:r>
              <w:r w:rsidR="009628C0">
                <w:rPr>
                  <w:w w:val="104"/>
                  <w:sz w:val="18"/>
                  <w:szCs w:val="18"/>
                  <w:u w:color="FF0000"/>
                </w:rPr>
                <w:t xml:space="preserve">C.F.R. </w:t>
              </w:r>
              <w:r w:rsidR="00C37E66" w:rsidRPr="00020D20">
                <w:rPr>
                  <w:w w:val="104"/>
                  <w:sz w:val="18"/>
                  <w:szCs w:val="18"/>
                  <w:u w:color="FF0000"/>
                </w:rPr>
                <w:t>Part 18</w:t>
              </w:r>
            </w:hyperlink>
          </w:p>
        </w:tc>
        <w:tc>
          <w:tcPr>
            <w:tcW w:w="6401"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03318819" w14:textId="77777777" w:rsidR="00C37E66" w:rsidRPr="00394A74" w:rsidRDefault="00C37E66" w:rsidP="00020D20">
            <w:pPr>
              <w:spacing w:before="0" w:after="0" w:line="240" w:lineRule="auto"/>
              <w:jc w:val="both"/>
            </w:pPr>
            <w:r w:rsidRPr="00020D20">
              <w:rPr>
                <w:w w:val="104"/>
                <w:sz w:val="18"/>
                <w:szCs w:val="18"/>
              </w:rPr>
              <w:t>Uniform Administrative Requirements for Grants and Cooperative Agreements to States and Local Governments</w:t>
            </w:r>
          </w:p>
        </w:tc>
      </w:tr>
      <w:tr w:rsidR="00D32FDA" w:rsidRPr="00E21667" w14:paraId="2325D67F"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6DF71EBD"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auto"/>
            <w:tcMar>
              <w:top w:w="87" w:type="dxa"/>
              <w:left w:w="91" w:type="dxa"/>
              <w:bottom w:w="87" w:type="dxa"/>
              <w:right w:w="91" w:type="dxa"/>
            </w:tcMar>
            <w:vAlign w:val="center"/>
          </w:tcPr>
          <w:p w14:paraId="3C633531" w14:textId="55701338" w:rsidR="00C37E66" w:rsidRPr="00020D20" w:rsidRDefault="00202C92">
            <w:pPr>
              <w:pStyle w:val="Title"/>
              <w:rPr>
                <w:sz w:val="18"/>
                <w:szCs w:val="18"/>
              </w:rPr>
            </w:pPr>
            <w:hyperlink r:id="rId346" w:history="1">
              <w:r w:rsidR="00C37E66" w:rsidRPr="00020D20">
                <w:rPr>
                  <w:rStyle w:val="Hyperlink"/>
                  <w:rFonts w:asciiTheme="minorHAnsi" w:hAnsiTheme="minorHAnsi" w:cstheme="majorBidi"/>
                  <w:i/>
                  <w:iCs w:val="0"/>
                  <w:color w:val="CE5B18"/>
                  <w:sz w:val="18"/>
                  <w:szCs w:val="18"/>
                  <w:u w:val="none"/>
                </w:rPr>
                <w:t xml:space="preserve">49 </w:t>
              </w:r>
              <w:r w:rsidR="009628C0">
                <w:rPr>
                  <w:rStyle w:val="Hyperlink"/>
                  <w:rFonts w:asciiTheme="minorHAnsi" w:hAnsiTheme="minorHAnsi" w:cstheme="majorBidi"/>
                  <w:i/>
                  <w:iCs w:val="0"/>
                  <w:color w:val="CE5B18"/>
                  <w:sz w:val="18"/>
                  <w:szCs w:val="18"/>
                  <w:u w:val="none"/>
                </w:rPr>
                <w:t xml:space="preserve">C.F.R. </w:t>
              </w:r>
              <w:r w:rsidR="00C37E66" w:rsidRPr="00020D20">
                <w:rPr>
                  <w:rStyle w:val="Hyperlink"/>
                  <w:rFonts w:asciiTheme="minorHAnsi" w:hAnsiTheme="minorHAnsi" w:cstheme="majorBidi"/>
                  <w:i/>
                  <w:iCs w:val="0"/>
                  <w:color w:val="CE5B18"/>
                  <w:sz w:val="18"/>
                  <w:szCs w:val="18"/>
                  <w:u w:val="none"/>
                </w:rPr>
                <w:t>Part 29</w:t>
              </w:r>
            </w:hyperlink>
          </w:p>
        </w:tc>
        <w:tc>
          <w:tcPr>
            <w:tcW w:w="6401" w:type="dxa"/>
            <w:tcBorders>
              <w:top w:val="single" w:sz="4" w:space="0" w:color="auto"/>
              <w:left w:val="single" w:sz="4" w:space="0" w:color="auto"/>
              <w:bottom w:val="single" w:sz="4" w:space="0" w:color="auto"/>
              <w:right w:val="single" w:sz="4" w:space="0" w:color="auto"/>
            </w:tcBorders>
            <w:tcMar>
              <w:top w:w="87" w:type="dxa"/>
              <w:left w:w="91" w:type="dxa"/>
              <w:bottom w:w="87" w:type="dxa"/>
              <w:right w:w="91" w:type="dxa"/>
            </w:tcMar>
            <w:vAlign w:val="center"/>
          </w:tcPr>
          <w:p w14:paraId="44FC6E72" w14:textId="55DDD4BB" w:rsidR="00C37E66" w:rsidRPr="00394A74" w:rsidRDefault="00C37E66" w:rsidP="00020D20">
            <w:pPr>
              <w:spacing w:before="0" w:after="0" w:line="240" w:lineRule="auto"/>
              <w:jc w:val="both"/>
            </w:pPr>
            <w:r w:rsidRPr="00020D20">
              <w:rPr>
                <w:w w:val="104"/>
                <w:sz w:val="18"/>
                <w:szCs w:val="18"/>
              </w:rPr>
              <w:t>Government-wide Debarment and Suspension (Non</w:t>
            </w:r>
            <w:r w:rsidR="00AE4418" w:rsidRPr="00020D20">
              <w:rPr>
                <w:w w:val="104"/>
                <w:sz w:val="18"/>
                <w:szCs w:val="18"/>
              </w:rPr>
              <w:t>-</w:t>
            </w:r>
            <w:r w:rsidRPr="00020D20">
              <w:rPr>
                <w:w w:val="104"/>
                <w:sz w:val="18"/>
                <w:szCs w:val="18"/>
              </w:rPr>
              <w:t>procurement) and Government-wide Requirements for Drug-free Workplace (Grants)</w:t>
            </w:r>
          </w:p>
        </w:tc>
      </w:tr>
      <w:tr w:rsidR="00D32FDA" w:rsidRPr="00E21667" w14:paraId="585BE412" w14:textId="77777777" w:rsidTr="00020D20">
        <w:trPr>
          <w:cantSplit/>
          <w:trHeight w:val="20"/>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7DA279C2" w14:textId="77777777" w:rsidR="00C37E66" w:rsidRPr="00096406" w:rsidRDefault="00C37E66" w:rsidP="00020D20">
            <w:pPr>
              <w:spacing w:before="0" w:after="0" w:line="240" w:lineRule="auto"/>
              <w:jc w:val="center"/>
            </w:pPr>
          </w:p>
        </w:tc>
        <w:tc>
          <w:tcPr>
            <w:tcW w:w="2599"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5D260D72" w14:textId="2EC16DBF" w:rsidR="00C37E66" w:rsidRPr="00020D20" w:rsidRDefault="00202C92">
            <w:pPr>
              <w:pStyle w:val="Title"/>
              <w:rPr>
                <w:sz w:val="18"/>
                <w:szCs w:val="18"/>
              </w:rPr>
            </w:pPr>
            <w:hyperlink r:id="rId347" w:history="1">
              <w:r w:rsidR="00C37E66" w:rsidRPr="00020D20">
                <w:rPr>
                  <w:rStyle w:val="Hyperlink"/>
                  <w:rFonts w:asciiTheme="minorHAnsi" w:hAnsiTheme="minorHAnsi" w:cstheme="majorBidi"/>
                  <w:i/>
                  <w:iCs w:val="0"/>
                  <w:color w:val="CE5B18"/>
                  <w:sz w:val="18"/>
                  <w:szCs w:val="18"/>
                  <w:u w:val="none"/>
                </w:rPr>
                <w:t>FTA Circular 8100.1C</w:t>
              </w:r>
            </w:hyperlink>
          </w:p>
        </w:tc>
        <w:tc>
          <w:tcPr>
            <w:tcW w:w="6401" w:type="dxa"/>
            <w:tcBorders>
              <w:top w:val="single" w:sz="4" w:space="0" w:color="auto"/>
              <w:left w:val="single" w:sz="4" w:space="0" w:color="auto"/>
              <w:bottom w:val="single" w:sz="4" w:space="0" w:color="auto"/>
              <w:right w:val="single" w:sz="4" w:space="0" w:color="auto"/>
            </w:tcBorders>
            <w:shd w:val="clear" w:color="auto" w:fill="E7E6E6" w:themeFill="background2"/>
            <w:tcMar>
              <w:top w:w="87" w:type="dxa"/>
              <w:left w:w="91" w:type="dxa"/>
              <w:bottom w:w="87" w:type="dxa"/>
              <w:right w:w="91" w:type="dxa"/>
            </w:tcMar>
            <w:vAlign w:val="center"/>
          </w:tcPr>
          <w:p w14:paraId="17DEC5ED" w14:textId="77777777" w:rsidR="00C37E66" w:rsidRPr="00394A74" w:rsidRDefault="00C37E66" w:rsidP="00020D20">
            <w:pPr>
              <w:spacing w:before="0" w:after="0" w:line="240" w:lineRule="auto"/>
              <w:jc w:val="both"/>
            </w:pPr>
            <w:r w:rsidRPr="00020D20">
              <w:rPr>
                <w:w w:val="104"/>
                <w:sz w:val="18"/>
                <w:szCs w:val="18"/>
              </w:rPr>
              <w:t>Program Guidance for Metropolitan Planning and State Planning and Research Program Grants</w:t>
            </w:r>
          </w:p>
        </w:tc>
      </w:tr>
    </w:tbl>
    <w:p w14:paraId="42F992C3" w14:textId="77777777" w:rsidR="00096406" w:rsidRDefault="00096406" w:rsidP="00020D20">
      <w:pPr>
        <w:jc w:val="both"/>
        <w:sectPr w:rsidR="00096406" w:rsidSect="00096406">
          <w:type w:val="continuous"/>
          <w:pgSz w:w="12240" w:h="15840"/>
          <w:pgMar w:top="1440" w:right="1440" w:bottom="1440" w:left="1440" w:header="720" w:footer="720" w:gutter="0"/>
          <w:cols w:space="720"/>
          <w:docGrid w:linePitch="360"/>
        </w:sectPr>
      </w:pPr>
    </w:p>
    <w:p w14:paraId="1C7B1650" w14:textId="13DCDAD0" w:rsidR="00096406" w:rsidRDefault="00E21667" w:rsidP="00020D20">
      <w:pPr>
        <w:pStyle w:val="Heading2"/>
      </w:pPr>
      <w:bookmarkStart w:id="171" w:name="_Ref50028953"/>
      <w:r w:rsidRPr="00E21667">
        <w:t>4.4 | DEVELOPMENT</w:t>
      </w:r>
      <w:bookmarkEnd w:id="171"/>
    </w:p>
    <w:p w14:paraId="1037BA05" w14:textId="029D1565" w:rsidR="00E21667" w:rsidRPr="005E3FFE" w:rsidRDefault="00E21667" w:rsidP="00020D20">
      <w:pPr>
        <w:jc w:val="both"/>
        <w:rPr>
          <w:b/>
        </w:rPr>
      </w:pPr>
      <w:r w:rsidRPr="00E21667">
        <w:t xml:space="preserve">Every </w:t>
      </w:r>
      <w:r w:rsidR="00AE4418">
        <w:t>two years</w:t>
      </w:r>
      <w:r w:rsidR="00AE4418" w:rsidRPr="00E21667">
        <w:t xml:space="preserve"> </w:t>
      </w:r>
      <w:r w:rsidRPr="00E21667">
        <w:t xml:space="preserve">in late summer, each MPO begins a new tentative UPWP cycle in order to program funds for the state fiscal year that begins the following July 1. Available federal funds are determined by apportionments from the FHWA. These funds are distributed according to approved distribution formulas. Available state funds are distributed by agreement to each MPO. The </w:t>
      </w:r>
      <w:r w:rsidR="00BD216C">
        <w:t>GRT</w:t>
      </w:r>
      <w:r w:rsidRPr="00E21667">
        <w:t xml:space="preserve"> establishes the contract for the MPO to utilize funds to develop and administer the UPWP. This is different from the COG WP, which is developed by ADOT to define the work elements the COGs must perform. At a minimum, the UPWP must include: </w:t>
      </w:r>
    </w:p>
    <w:p w14:paraId="05A41437" w14:textId="77777777" w:rsidR="00E21667" w:rsidRPr="00E21667" w:rsidRDefault="00E21667" w:rsidP="00020D20">
      <w:pPr>
        <w:pStyle w:val="Body-Bullets"/>
        <w:jc w:val="both"/>
      </w:pPr>
      <w:r w:rsidRPr="00E21667">
        <w:t xml:space="preserve">an introduction; </w:t>
      </w:r>
    </w:p>
    <w:p w14:paraId="503BEEE6" w14:textId="36BE7929" w:rsidR="00E21667" w:rsidRDefault="00E21667" w:rsidP="00020D20">
      <w:pPr>
        <w:pStyle w:val="Body-Bullets"/>
        <w:jc w:val="both"/>
      </w:pPr>
      <w:r w:rsidRPr="00E21667">
        <w:t>organization and management;</w:t>
      </w:r>
    </w:p>
    <w:p w14:paraId="6B47188D" w14:textId="77777777" w:rsidR="00E21667" w:rsidRPr="00E21667" w:rsidRDefault="00E21667" w:rsidP="00020D20">
      <w:pPr>
        <w:pStyle w:val="Body-Bullets"/>
        <w:jc w:val="both"/>
      </w:pPr>
      <w:r w:rsidRPr="00E21667">
        <w:t>funding description and budget summary;</w:t>
      </w:r>
    </w:p>
    <w:p w14:paraId="2185CB6A" w14:textId="77777777" w:rsidR="00E21667" w:rsidRPr="00E21667" w:rsidRDefault="00E21667" w:rsidP="00020D20">
      <w:pPr>
        <w:pStyle w:val="Body-Bullets"/>
        <w:jc w:val="both"/>
      </w:pPr>
      <w:r w:rsidRPr="00E21667">
        <w:t xml:space="preserve">fiscal year work elements; and </w:t>
      </w:r>
    </w:p>
    <w:p w14:paraId="24D97475" w14:textId="77777777" w:rsidR="00E21667" w:rsidRPr="00E21667" w:rsidRDefault="00E21667" w:rsidP="00020D20">
      <w:pPr>
        <w:pStyle w:val="Body-Bullets"/>
        <w:jc w:val="both"/>
      </w:pPr>
      <w:r w:rsidRPr="00E21667">
        <w:t>work program task sheets.</w:t>
      </w:r>
    </w:p>
    <w:p w14:paraId="455562E7" w14:textId="49342682" w:rsidR="00E21667" w:rsidRPr="00E21667" w:rsidRDefault="00E21667" w:rsidP="00020D20">
      <w:pPr>
        <w:jc w:val="both"/>
      </w:pPr>
      <w:r w:rsidRPr="00E21667">
        <w:t xml:space="preserve">The UPWP is the listing of planning work items that the MPO intends to undertake during the </w:t>
      </w:r>
      <w:r w:rsidR="00AE4418">
        <w:t>grant award period (currently two years)</w:t>
      </w:r>
      <w:r w:rsidRPr="00E21667">
        <w:t>. Examples of these work items include:</w:t>
      </w:r>
    </w:p>
    <w:p w14:paraId="77C00CCF" w14:textId="77777777" w:rsidR="00E21667" w:rsidRPr="00E21667" w:rsidRDefault="00E21667" w:rsidP="00020D20">
      <w:pPr>
        <w:pStyle w:val="Body-Bullets"/>
        <w:jc w:val="both"/>
      </w:pPr>
      <w:r w:rsidRPr="00E21667">
        <w:t>TIP development;</w:t>
      </w:r>
    </w:p>
    <w:p w14:paraId="1DB859B0" w14:textId="77777777" w:rsidR="00E21667" w:rsidRPr="00E21667" w:rsidRDefault="00E21667" w:rsidP="00020D20">
      <w:pPr>
        <w:pStyle w:val="Body-Bullets"/>
        <w:jc w:val="both"/>
      </w:pPr>
      <w:r w:rsidRPr="00E21667">
        <w:t>RTP development;</w:t>
      </w:r>
    </w:p>
    <w:p w14:paraId="44556B69" w14:textId="77777777" w:rsidR="00E21667" w:rsidRPr="00E21667" w:rsidRDefault="00E21667" w:rsidP="00020D20">
      <w:pPr>
        <w:pStyle w:val="Body-Bullets"/>
        <w:jc w:val="both"/>
      </w:pPr>
      <w:r w:rsidRPr="00E21667">
        <w:t>HPMS data collection;</w:t>
      </w:r>
    </w:p>
    <w:p w14:paraId="1C067702" w14:textId="77777777" w:rsidR="00E21667" w:rsidRPr="00E21667" w:rsidRDefault="00E21667" w:rsidP="00020D20">
      <w:pPr>
        <w:pStyle w:val="Body-Bullets"/>
        <w:jc w:val="both"/>
      </w:pPr>
      <w:r w:rsidRPr="00E21667">
        <w:t>Public Participation Plan;</w:t>
      </w:r>
    </w:p>
    <w:p w14:paraId="3F1055BA" w14:textId="77777777" w:rsidR="00E21667" w:rsidRPr="00E21667" w:rsidRDefault="00E21667" w:rsidP="00020D20">
      <w:pPr>
        <w:pStyle w:val="Body-Bullets"/>
        <w:jc w:val="both"/>
      </w:pPr>
      <w:r w:rsidRPr="00E21667">
        <w:t>Title VI Plan;</w:t>
      </w:r>
    </w:p>
    <w:p w14:paraId="70B59DC7" w14:textId="77777777" w:rsidR="00E21667" w:rsidRPr="00E21667" w:rsidRDefault="00E21667" w:rsidP="00020D20">
      <w:pPr>
        <w:pStyle w:val="Body-Bullets"/>
        <w:jc w:val="both"/>
      </w:pPr>
      <w:r w:rsidRPr="00E21667">
        <w:t xml:space="preserve">multimodal mobility planning; </w:t>
      </w:r>
    </w:p>
    <w:p w14:paraId="0272DA00" w14:textId="70B614E7" w:rsidR="00E21667" w:rsidRPr="00E21667" w:rsidRDefault="00E21667" w:rsidP="00020D20">
      <w:pPr>
        <w:pStyle w:val="Body-Bullets"/>
        <w:jc w:val="both"/>
      </w:pPr>
      <w:r w:rsidRPr="00E21667">
        <w:t>manage planning studies or participate as a</w:t>
      </w:r>
      <w:r w:rsidR="00BD1B3D">
        <w:t xml:space="preserve"> </w:t>
      </w:r>
      <w:r w:rsidRPr="00E21667">
        <w:t>member of the study TAC; and</w:t>
      </w:r>
    </w:p>
    <w:p w14:paraId="0B21EB79" w14:textId="77777777" w:rsidR="00E21667" w:rsidRPr="00E21667" w:rsidRDefault="00E21667" w:rsidP="00020D20">
      <w:pPr>
        <w:pStyle w:val="Body-Bullets"/>
        <w:jc w:val="both"/>
      </w:pPr>
      <w:r w:rsidRPr="00E21667">
        <w:t>all other transportation planning functions to meet state and federal requirements.</w:t>
      </w:r>
    </w:p>
    <w:p w14:paraId="2F5340A6" w14:textId="163E3F3C" w:rsidR="00E21667" w:rsidRPr="005E3FFE" w:rsidRDefault="00E21667" w:rsidP="00020D20">
      <w:pPr>
        <w:jc w:val="both"/>
      </w:pPr>
      <w:r w:rsidRPr="005E3FFE">
        <w:t xml:space="preserve">Once drafted, the UPWP works through a critique process in which ADOT and the federal funding partners provide comments on the document before it is ultimately submitted to an MPO governing board for approval. The </w:t>
      </w:r>
      <w:r w:rsidR="00AE4418">
        <w:t xml:space="preserve">grant award period for </w:t>
      </w:r>
      <w:r w:rsidRPr="005E3FFE">
        <w:t>UPWP</w:t>
      </w:r>
      <w:r w:rsidR="00AE4418">
        <w:t>s can be approved for one or two years.</w:t>
      </w:r>
    </w:p>
    <w:p w14:paraId="27E3F9E9" w14:textId="032483C3" w:rsidR="00E21667" w:rsidRDefault="00E21667" w:rsidP="00020D20">
      <w:pPr>
        <w:jc w:val="both"/>
      </w:pPr>
      <w:r w:rsidRPr="005E3FFE">
        <w:t>Example UPWPs from Arizona’s MPOs are provided in table 4-2.</w:t>
      </w:r>
    </w:p>
    <w:p w14:paraId="2ADF874A" w14:textId="7EC132A9" w:rsidR="00C37E66" w:rsidRDefault="00C37E66" w:rsidP="00020D20">
      <w:pPr>
        <w:pStyle w:val="Heading4"/>
        <w:jc w:val="both"/>
      </w:pPr>
      <w:r w:rsidRPr="00C37E66">
        <w:t>Table 4-2 | MPO Unified Planning Work Programs</w:t>
      </w:r>
    </w:p>
    <w:tbl>
      <w:tblPr>
        <w:tblW w:w="4325" w:type="dxa"/>
        <w:tblInd w:w="-10" w:type="dxa"/>
        <w:tblLayout w:type="fixed"/>
        <w:tblCellMar>
          <w:left w:w="0" w:type="dxa"/>
          <w:right w:w="0" w:type="dxa"/>
        </w:tblCellMar>
        <w:tblLook w:val="0000" w:firstRow="0" w:lastRow="0" w:firstColumn="0" w:lastColumn="0" w:noHBand="0" w:noVBand="0"/>
      </w:tblPr>
      <w:tblGrid>
        <w:gridCol w:w="1080"/>
        <w:gridCol w:w="3245"/>
      </w:tblGrid>
      <w:tr w:rsidR="00C37E66" w:rsidRPr="00C37E66" w14:paraId="4E06DC81" w14:textId="77777777" w:rsidTr="00020D20">
        <w:trPr>
          <w:trHeight w:val="144"/>
        </w:trPr>
        <w:tc>
          <w:tcPr>
            <w:tcW w:w="1080" w:type="dxa"/>
            <w:tcBorders>
              <w:top w:val="single" w:sz="4" w:space="0" w:color="auto"/>
              <w:left w:val="single" w:sz="4" w:space="0" w:color="auto"/>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7AA6887A" w14:textId="77777777" w:rsidR="00C37E66" w:rsidRPr="00020D20" w:rsidRDefault="00C37E66" w:rsidP="00020D20">
            <w:pPr>
              <w:spacing w:before="0" w:after="0" w:line="240" w:lineRule="auto"/>
              <w:jc w:val="center"/>
              <w:rPr>
                <w:sz w:val="22"/>
                <w:szCs w:val="22"/>
              </w:rPr>
            </w:pPr>
            <w:r w:rsidRPr="00020D20">
              <w:rPr>
                <w:sz w:val="22"/>
                <w:szCs w:val="22"/>
              </w:rPr>
              <w:t>MPO</w:t>
            </w:r>
          </w:p>
        </w:tc>
        <w:tc>
          <w:tcPr>
            <w:tcW w:w="3245" w:type="dxa"/>
            <w:tcBorders>
              <w:top w:val="single" w:sz="4" w:space="0" w:color="auto"/>
              <w:left w:val="single" w:sz="8"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61CE9A6B" w14:textId="77777777" w:rsidR="00C37E66" w:rsidRPr="00020D20" w:rsidRDefault="00C37E66" w:rsidP="00020D20">
            <w:pPr>
              <w:spacing w:before="0" w:after="0" w:line="240" w:lineRule="auto"/>
              <w:jc w:val="center"/>
              <w:rPr>
                <w:sz w:val="22"/>
                <w:szCs w:val="22"/>
              </w:rPr>
            </w:pPr>
            <w:r w:rsidRPr="00020D20">
              <w:rPr>
                <w:sz w:val="22"/>
                <w:szCs w:val="22"/>
              </w:rPr>
              <w:t>UPWP Resource</w:t>
            </w:r>
          </w:p>
        </w:tc>
      </w:tr>
      <w:tr w:rsidR="00C37E66" w:rsidRPr="00C37E66" w14:paraId="63802851" w14:textId="77777777" w:rsidTr="00020D20">
        <w:trPr>
          <w:trHeight w:val="224"/>
        </w:trPr>
        <w:tc>
          <w:tcPr>
            <w:tcW w:w="1080" w:type="dxa"/>
            <w:tcBorders>
              <w:top w:val="single" w:sz="4" w:space="0" w:color="auto"/>
              <w:left w:val="single" w:sz="8" w:space="0" w:color="323232"/>
              <w:bottom w:val="single" w:sz="8" w:space="0" w:color="323232"/>
              <w:right w:val="single" w:sz="8" w:space="0" w:color="323232"/>
            </w:tcBorders>
            <w:shd w:val="clear" w:color="auto" w:fill="auto"/>
            <w:tcMar>
              <w:top w:w="80" w:type="dxa"/>
              <w:left w:w="80" w:type="dxa"/>
              <w:bottom w:w="80" w:type="dxa"/>
              <w:right w:w="80" w:type="dxa"/>
            </w:tcMar>
            <w:vAlign w:val="center"/>
          </w:tcPr>
          <w:p w14:paraId="78460E56" w14:textId="77777777" w:rsidR="00C37E66" w:rsidRPr="00020D20" w:rsidRDefault="00C37E66" w:rsidP="00020D20">
            <w:pPr>
              <w:spacing w:before="0" w:after="0" w:line="240" w:lineRule="auto"/>
              <w:jc w:val="center"/>
              <w:rPr>
                <w:sz w:val="18"/>
                <w:szCs w:val="18"/>
              </w:rPr>
            </w:pPr>
            <w:r w:rsidRPr="00020D20">
              <w:rPr>
                <w:sz w:val="18"/>
                <w:szCs w:val="18"/>
              </w:rPr>
              <w:t>MAG</w:t>
            </w:r>
          </w:p>
        </w:tc>
        <w:tc>
          <w:tcPr>
            <w:tcW w:w="3245"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32A0F267" w14:textId="2000F1AF" w:rsidR="00C37E66" w:rsidRPr="00020D20" w:rsidRDefault="00202C92">
            <w:pPr>
              <w:pStyle w:val="Title"/>
              <w:rPr>
                <w:sz w:val="16"/>
                <w:szCs w:val="16"/>
              </w:rPr>
            </w:pPr>
            <w:hyperlink r:id="rId348" w:history="1">
              <w:r w:rsidR="00732902" w:rsidRPr="00020D20">
                <w:rPr>
                  <w:rStyle w:val="Hyperlink"/>
                  <w:rFonts w:asciiTheme="minorHAnsi" w:hAnsiTheme="minorHAnsi" w:cstheme="majorBidi"/>
                  <w:i/>
                  <w:iCs w:val="0"/>
                  <w:color w:val="CE5B18"/>
                  <w:u w:val="none"/>
                </w:rPr>
                <w:t>https://www.azmag.gov/Documents/FY_2020-21_UPWP_FINAL.pdf</w:t>
              </w:r>
            </w:hyperlink>
          </w:p>
        </w:tc>
      </w:tr>
      <w:tr w:rsidR="00C37E66" w:rsidRPr="00C37E66" w14:paraId="659A0E49" w14:textId="77777777" w:rsidTr="00020D20">
        <w:trPr>
          <w:trHeight w:val="15"/>
        </w:trPr>
        <w:tc>
          <w:tcPr>
            <w:tcW w:w="1080"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46978F88" w14:textId="77777777" w:rsidR="00C37E66" w:rsidRPr="00394A74" w:rsidRDefault="00C37E66" w:rsidP="00020D20">
            <w:pPr>
              <w:spacing w:before="0" w:after="0" w:line="240" w:lineRule="auto"/>
              <w:jc w:val="center"/>
            </w:pPr>
            <w:r w:rsidRPr="00020D20">
              <w:rPr>
                <w:sz w:val="18"/>
                <w:szCs w:val="18"/>
              </w:rPr>
              <w:t>PAG</w:t>
            </w:r>
          </w:p>
        </w:tc>
        <w:tc>
          <w:tcPr>
            <w:tcW w:w="3245"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3F6A21A8" w14:textId="5F391CCF" w:rsidR="00C37E66" w:rsidRPr="00020D20" w:rsidRDefault="00202C92" w:rsidP="00020D20">
            <w:pPr>
              <w:pStyle w:val="Title"/>
              <w:rPr>
                <w:sz w:val="16"/>
                <w:szCs w:val="16"/>
              </w:rPr>
            </w:pPr>
            <w:hyperlink r:id="rId349" w:history="1">
              <w:r w:rsidR="002A7A1D" w:rsidRPr="00020D20">
                <w:rPr>
                  <w:rStyle w:val="Hyperlink"/>
                  <w:rFonts w:ascii="Calibri" w:hAnsi="Calibri" w:cstheme="majorBidi"/>
                  <w:iCs w:val="0"/>
                  <w:color w:val="CE5B18"/>
                  <w:u w:val="none"/>
                </w:rPr>
                <w:t>https://mk0pagrtahost21swg12.kinstacdn.com/wp-content/docs/pag/2020/09/PAG_OWP_FY2020_and_FY2021_WEB__061419.pdf</w:t>
              </w:r>
            </w:hyperlink>
          </w:p>
        </w:tc>
      </w:tr>
      <w:tr w:rsidR="00E426B2" w:rsidRPr="00C37E66" w14:paraId="4742C4C7" w14:textId="77777777" w:rsidTr="00020D20">
        <w:trPr>
          <w:trHeight w:val="144"/>
        </w:trPr>
        <w:tc>
          <w:tcPr>
            <w:tcW w:w="1080" w:type="dxa"/>
            <w:tcBorders>
              <w:top w:val="single" w:sz="8" w:space="0" w:color="323232"/>
              <w:left w:val="single" w:sz="8" w:space="0" w:color="323232"/>
              <w:bottom w:val="single" w:sz="8" w:space="0" w:color="323232"/>
              <w:right w:val="single" w:sz="8" w:space="0" w:color="323232"/>
            </w:tcBorders>
            <w:shd w:val="clear" w:color="auto" w:fill="auto"/>
            <w:tcMar>
              <w:top w:w="80" w:type="dxa"/>
              <w:left w:w="80" w:type="dxa"/>
              <w:bottom w:w="80" w:type="dxa"/>
              <w:right w:w="80" w:type="dxa"/>
            </w:tcMar>
            <w:vAlign w:val="center"/>
          </w:tcPr>
          <w:p w14:paraId="48F9F072" w14:textId="0A70E893" w:rsidR="00E426B2" w:rsidRPr="00020D20" w:rsidRDefault="00E426B2" w:rsidP="00020D20">
            <w:pPr>
              <w:spacing w:before="0" w:after="0" w:line="240" w:lineRule="auto"/>
              <w:jc w:val="center"/>
              <w:rPr>
                <w:sz w:val="18"/>
                <w:szCs w:val="18"/>
              </w:rPr>
            </w:pPr>
            <w:r w:rsidRPr="00020D20">
              <w:rPr>
                <w:sz w:val="18"/>
                <w:szCs w:val="18"/>
              </w:rPr>
              <w:t>CYMPO</w:t>
            </w:r>
          </w:p>
        </w:tc>
        <w:tc>
          <w:tcPr>
            <w:tcW w:w="324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378A148A" w14:textId="212E5B4A" w:rsidR="00E426B2" w:rsidRPr="00020D20" w:rsidRDefault="00202C92">
            <w:pPr>
              <w:pStyle w:val="Title"/>
              <w:rPr>
                <w:sz w:val="16"/>
                <w:szCs w:val="16"/>
              </w:rPr>
            </w:pPr>
            <w:hyperlink r:id="rId350" w:history="1">
              <w:r w:rsidR="00E426B2" w:rsidRPr="00020D20">
                <w:rPr>
                  <w:rStyle w:val="Hyperlink"/>
                  <w:rFonts w:asciiTheme="minorHAnsi" w:hAnsiTheme="minorHAnsi" w:cstheme="majorBidi"/>
                  <w:i/>
                  <w:iCs w:val="0"/>
                  <w:color w:val="CE5B18"/>
                  <w:u w:val="none"/>
                </w:rPr>
                <w:t>https://www.cympo.org/FY-2020-21-Work-Program.pdf</w:t>
              </w:r>
            </w:hyperlink>
          </w:p>
        </w:tc>
      </w:tr>
      <w:tr w:rsidR="005070BF" w:rsidRPr="00C37E66" w14:paraId="668CBC6D" w14:textId="77777777" w:rsidTr="006728E9">
        <w:trPr>
          <w:trHeight w:val="144"/>
        </w:trPr>
        <w:tc>
          <w:tcPr>
            <w:tcW w:w="1080"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0599512F" w14:textId="6C0EF73A" w:rsidR="005070BF" w:rsidRPr="003F77E5" w:rsidRDefault="005070BF">
            <w:pPr>
              <w:spacing w:before="0" w:after="0" w:line="240" w:lineRule="auto"/>
              <w:jc w:val="center"/>
              <w:rPr>
                <w:sz w:val="18"/>
                <w:szCs w:val="18"/>
              </w:rPr>
            </w:pPr>
            <w:r>
              <w:rPr>
                <w:sz w:val="18"/>
                <w:szCs w:val="18"/>
              </w:rPr>
              <w:t>FMPO</w:t>
            </w:r>
          </w:p>
        </w:tc>
        <w:tc>
          <w:tcPr>
            <w:tcW w:w="3245"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65CC37FC" w14:textId="53E0A461" w:rsidR="005070BF" w:rsidRPr="00020D20" w:rsidRDefault="00202C92" w:rsidP="00020D20">
            <w:pPr>
              <w:pStyle w:val="Title"/>
              <w:rPr>
                <w:sz w:val="16"/>
                <w:szCs w:val="16"/>
              </w:rPr>
            </w:pPr>
            <w:hyperlink r:id="rId351" w:history="1">
              <w:r w:rsidR="005070BF" w:rsidRPr="00020D20">
                <w:rPr>
                  <w:sz w:val="16"/>
                  <w:szCs w:val="16"/>
                </w:rPr>
                <w:t>https://flagstaff.az.gov/MetroPlan-UPWP-2019</w:t>
              </w:r>
            </w:hyperlink>
          </w:p>
        </w:tc>
      </w:tr>
      <w:tr w:rsidR="005070BF" w:rsidRPr="00C37E66" w14:paraId="0C67FCF4" w14:textId="77777777" w:rsidTr="00020D20">
        <w:trPr>
          <w:trHeight w:val="144"/>
        </w:trPr>
        <w:tc>
          <w:tcPr>
            <w:tcW w:w="1080" w:type="dxa"/>
            <w:tcBorders>
              <w:top w:val="single" w:sz="8" w:space="0" w:color="323232"/>
              <w:left w:val="single" w:sz="8" w:space="0" w:color="323232"/>
              <w:bottom w:val="single" w:sz="8" w:space="0" w:color="323232"/>
              <w:right w:val="single" w:sz="8" w:space="0" w:color="323232"/>
            </w:tcBorders>
            <w:shd w:val="clear" w:color="auto" w:fill="auto"/>
            <w:tcMar>
              <w:top w:w="80" w:type="dxa"/>
              <w:left w:w="80" w:type="dxa"/>
              <w:bottom w:w="80" w:type="dxa"/>
              <w:right w:w="80" w:type="dxa"/>
            </w:tcMar>
            <w:vAlign w:val="center"/>
          </w:tcPr>
          <w:p w14:paraId="7CD31C56" w14:textId="6D0CA4FB" w:rsidR="005070BF" w:rsidRPr="00394A74" w:rsidRDefault="005070BF" w:rsidP="00020D20">
            <w:pPr>
              <w:spacing w:before="0" w:after="0" w:line="240" w:lineRule="auto"/>
              <w:jc w:val="center"/>
            </w:pPr>
            <w:r w:rsidRPr="00305638">
              <w:rPr>
                <w:sz w:val="18"/>
                <w:szCs w:val="18"/>
              </w:rPr>
              <w:t>LHMPO</w:t>
            </w:r>
          </w:p>
        </w:tc>
        <w:tc>
          <w:tcPr>
            <w:tcW w:w="324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49F30DDF" w14:textId="19221644" w:rsidR="005070BF" w:rsidRPr="00020D20" w:rsidRDefault="00202C92">
            <w:pPr>
              <w:pStyle w:val="Title"/>
              <w:rPr>
                <w:sz w:val="16"/>
                <w:szCs w:val="16"/>
              </w:rPr>
            </w:pPr>
            <w:hyperlink r:id="rId352" w:history="1">
              <w:r w:rsidR="005070BF" w:rsidRPr="00020D20">
                <w:rPr>
                  <w:rStyle w:val="Hyperlink"/>
                  <w:rFonts w:asciiTheme="minorHAnsi" w:hAnsiTheme="minorHAnsi" w:cstheme="majorBidi"/>
                  <w:i/>
                  <w:iCs w:val="0"/>
                  <w:color w:val="CE5B18"/>
                  <w:u w:val="none"/>
                </w:rPr>
                <w:t>http://www.lhmpo.org/fy20-fy21-upwp.pdf</w:t>
              </w:r>
            </w:hyperlink>
          </w:p>
        </w:tc>
      </w:tr>
      <w:tr w:rsidR="005070BF" w:rsidRPr="00C37E66" w14:paraId="14721325" w14:textId="77777777" w:rsidTr="00020D20">
        <w:trPr>
          <w:trHeight w:val="144"/>
        </w:trPr>
        <w:tc>
          <w:tcPr>
            <w:tcW w:w="1080"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6222E1B5" w14:textId="77777777" w:rsidR="005070BF" w:rsidRPr="00394A74" w:rsidRDefault="005070BF" w:rsidP="00020D20">
            <w:pPr>
              <w:spacing w:before="0" w:after="0" w:line="240" w:lineRule="auto"/>
              <w:jc w:val="center"/>
            </w:pPr>
            <w:r w:rsidRPr="00020D20">
              <w:rPr>
                <w:sz w:val="18"/>
                <w:szCs w:val="18"/>
              </w:rPr>
              <w:t>SCMPO</w:t>
            </w:r>
          </w:p>
        </w:tc>
        <w:tc>
          <w:tcPr>
            <w:tcW w:w="3245"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6F39B8C3" w14:textId="43BE0E32" w:rsidR="005070BF" w:rsidRPr="00020D20" w:rsidRDefault="00202C92">
            <w:pPr>
              <w:pStyle w:val="Title"/>
              <w:rPr>
                <w:sz w:val="16"/>
                <w:szCs w:val="16"/>
              </w:rPr>
            </w:pPr>
            <w:hyperlink r:id="rId353" w:history="1">
              <w:r w:rsidR="005070BF" w:rsidRPr="00020D20">
                <w:rPr>
                  <w:rStyle w:val="Hyperlink"/>
                  <w:rFonts w:asciiTheme="minorHAnsi" w:hAnsiTheme="minorHAnsi" w:cstheme="majorBidi"/>
                  <w:i/>
                  <w:iCs w:val="0"/>
                  <w:color w:val="CE5B18"/>
                  <w:u w:val="none"/>
                </w:rPr>
                <w:t>https://scmpo.org/FY2020_2021-SCMPO-UPWP.pdf</w:t>
              </w:r>
            </w:hyperlink>
          </w:p>
        </w:tc>
      </w:tr>
      <w:tr w:rsidR="005070BF" w:rsidRPr="00C37E66" w14:paraId="4DF453F6" w14:textId="77777777" w:rsidTr="00020D20">
        <w:trPr>
          <w:trHeight w:val="144"/>
        </w:trPr>
        <w:tc>
          <w:tcPr>
            <w:tcW w:w="1080" w:type="dxa"/>
            <w:tcBorders>
              <w:top w:val="single" w:sz="8" w:space="0" w:color="323232"/>
              <w:left w:val="single" w:sz="8" w:space="0" w:color="323232"/>
              <w:bottom w:val="single" w:sz="8" w:space="0" w:color="323232"/>
              <w:right w:val="single" w:sz="8" w:space="0" w:color="323232"/>
            </w:tcBorders>
            <w:shd w:val="clear" w:color="auto" w:fill="auto"/>
            <w:tcMar>
              <w:top w:w="80" w:type="dxa"/>
              <w:left w:w="80" w:type="dxa"/>
              <w:bottom w:w="80" w:type="dxa"/>
              <w:right w:w="80" w:type="dxa"/>
            </w:tcMar>
            <w:vAlign w:val="center"/>
          </w:tcPr>
          <w:p w14:paraId="04BA9BD9" w14:textId="77777777" w:rsidR="005070BF" w:rsidRPr="00394A74" w:rsidRDefault="005070BF" w:rsidP="00020D20">
            <w:pPr>
              <w:spacing w:before="0" w:after="0" w:line="240" w:lineRule="auto"/>
              <w:jc w:val="center"/>
            </w:pPr>
            <w:r w:rsidRPr="00020D20">
              <w:rPr>
                <w:sz w:val="18"/>
                <w:szCs w:val="18"/>
              </w:rPr>
              <w:t>SVMPO</w:t>
            </w:r>
          </w:p>
        </w:tc>
        <w:tc>
          <w:tcPr>
            <w:tcW w:w="3245"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5F9746E" w14:textId="60B6FC4C" w:rsidR="005070BF" w:rsidRPr="00020D20" w:rsidRDefault="00202C92">
            <w:pPr>
              <w:pStyle w:val="Title"/>
              <w:rPr>
                <w:sz w:val="16"/>
                <w:szCs w:val="16"/>
              </w:rPr>
            </w:pPr>
            <w:hyperlink r:id="rId354" w:history="1">
              <w:r w:rsidR="005070BF" w:rsidRPr="00020D20">
                <w:rPr>
                  <w:rStyle w:val="Hyperlink"/>
                  <w:rFonts w:asciiTheme="minorHAnsi" w:hAnsiTheme="minorHAnsi" w:cstheme="majorBidi"/>
                  <w:i/>
                  <w:iCs w:val="0"/>
                  <w:color w:val="CE5B18"/>
                  <w:u w:val="none"/>
                </w:rPr>
                <w:t>http://svmpo.org/about/work-program-andbudget/FY20-Work-Program.pdf</w:t>
              </w:r>
            </w:hyperlink>
          </w:p>
        </w:tc>
      </w:tr>
      <w:tr w:rsidR="005070BF" w:rsidRPr="00C37E66" w14:paraId="59888E35" w14:textId="77777777" w:rsidTr="00020D20">
        <w:trPr>
          <w:trHeight w:val="144"/>
        </w:trPr>
        <w:tc>
          <w:tcPr>
            <w:tcW w:w="1080"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3145E075" w14:textId="77777777" w:rsidR="005070BF" w:rsidRPr="00394A74" w:rsidRDefault="005070BF" w:rsidP="00020D20">
            <w:pPr>
              <w:spacing w:before="0" w:after="0" w:line="240" w:lineRule="auto"/>
              <w:jc w:val="center"/>
            </w:pPr>
            <w:r w:rsidRPr="00020D20">
              <w:rPr>
                <w:sz w:val="18"/>
                <w:szCs w:val="18"/>
              </w:rPr>
              <w:t>YMPO</w:t>
            </w:r>
          </w:p>
        </w:tc>
        <w:tc>
          <w:tcPr>
            <w:tcW w:w="3245" w:type="dxa"/>
            <w:tcBorders>
              <w:top w:val="single" w:sz="8" w:space="0" w:color="323232"/>
              <w:left w:val="single" w:sz="8" w:space="0" w:color="323232"/>
              <w:bottom w:val="single" w:sz="8" w:space="0" w:color="323232"/>
              <w:right w:val="single" w:sz="8" w:space="0" w:color="323232"/>
            </w:tcBorders>
            <w:shd w:val="clear" w:color="auto" w:fill="E7E6E6" w:themeFill="background2"/>
            <w:tcMar>
              <w:top w:w="80" w:type="dxa"/>
              <w:left w:w="80" w:type="dxa"/>
              <w:bottom w:w="80" w:type="dxa"/>
              <w:right w:w="80" w:type="dxa"/>
            </w:tcMar>
            <w:vAlign w:val="center"/>
          </w:tcPr>
          <w:p w14:paraId="60C0A50B" w14:textId="18710253" w:rsidR="005070BF" w:rsidRPr="00020D20" w:rsidRDefault="00202C92">
            <w:pPr>
              <w:pStyle w:val="Title"/>
              <w:rPr>
                <w:sz w:val="16"/>
                <w:szCs w:val="16"/>
              </w:rPr>
            </w:pPr>
            <w:hyperlink r:id="rId355" w:history="1">
              <w:r w:rsidR="005070BF" w:rsidRPr="00020D20">
                <w:rPr>
                  <w:rStyle w:val="Hyperlink"/>
                  <w:rFonts w:asciiTheme="minorHAnsi" w:hAnsiTheme="minorHAnsi" w:cstheme="majorBidi"/>
                  <w:i/>
                  <w:iCs w:val="0"/>
                  <w:color w:val="CE5B18"/>
                  <w:u w:val="none"/>
                </w:rPr>
                <w:t>https://ympo.org/FY-2019-21-YMPO-UPWP.pdf</w:t>
              </w:r>
            </w:hyperlink>
          </w:p>
        </w:tc>
      </w:tr>
    </w:tbl>
    <w:p w14:paraId="6FF73386" w14:textId="2DC5BC8A" w:rsidR="00E21667" w:rsidRPr="005E3FFE" w:rsidRDefault="00E21667" w:rsidP="00020D20">
      <w:pPr>
        <w:pStyle w:val="Heading2"/>
      </w:pPr>
      <w:bookmarkStart w:id="172" w:name="_Ref50028961"/>
      <w:r w:rsidRPr="005E3FFE">
        <w:t>4.5 | FUNDING</w:t>
      </w:r>
      <w:bookmarkEnd w:id="172"/>
    </w:p>
    <w:p w14:paraId="798095FF" w14:textId="4BBCE387" w:rsidR="00E21667" w:rsidRPr="005E3FFE" w:rsidRDefault="00E21667" w:rsidP="00020D20">
      <w:pPr>
        <w:jc w:val="both"/>
      </w:pPr>
      <w:r w:rsidRPr="005E3FFE">
        <w:t xml:space="preserve">Funding for the UPWP comes primarily from the </w:t>
      </w:r>
      <w:r w:rsidRPr="00096406">
        <w:rPr>
          <w:rStyle w:val="Heading5Char"/>
        </w:rPr>
        <w:t>Metropolitan Planning</w:t>
      </w:r>
      <w:r w:rsidRPr="005E3FFE">
        <w:t xml:space="preserve"> (PL) program; however, MPOs may use funds from a number of other sources as long as the guidelines for the use of those funds are met. Further detail on the funds available for use </w:t>
      </w:r>
      <w:r w:rsidR="002A7E5D">
        <w:t>i</w:t>
      </w:r>
      <w:r w:rsidRPr="005E3FFE">
        <w:t>n UPWPs</w:t>
      </w:r>
      <w:r w:rsidR="00A34EE3">
        <w:t>,</w:t>
      </w:r>
      <w:r w:rsidRPr="005E3FFE">
        <w:t xml:space="preserve"> including match requirements and project eligibility, is provided in chapter 10. The following are some of the most common funds used for administering the UPWP:</w:t>
      </w:r>
    </w:p>
    <w:p w14:paraId="55075909" w14:textId="24D9210C" w:rsidR="00E21667" w:rsidRPr="00E21667" w:rsidRDefault="00E21667" w:rsidP="00020D20">
      <w:pPr>
        <w:pStyle w:val="Body-Bullets"/>
        <w:jc w:val="both"/>
      </w:pPr>
      <w:r w:rsidRPr="00E21667">
        <w:t>PL funds which require a 5.7 percent local match;</w:t>
      </w:r>
    </w:p>
    <w:p w14:paraId="15EFA2C9" w14:textId="77777777" w:rsidR="00E21667" w:rsidRPr="00E21667" w:rsidRDefault="00E21667" w:rsidP="00020D20">
      <w:pPr>
        <w:pStyle w:val="Body-Bullets"/>
        <w:jc w:val="both"/>
      </w:pPr>
      <w:r w:rsidRPr="00E21667">
        <w:t>SPR funds which require a 20 percent local match;</w:t>
      </w:r>
    </w:p>
    <w:p w14:paraId="2544BDCE" w14:textId="1712CF76" w:rsidR="00E21667" w:rsidRPr="00E21667" w:rsidRDefault="00E21667" w:rsidP="00020D20">
      <w:pPr>
        <w:pStyle w:val="Body-Bullets"/>
        <w:jc w:val="both"/>
      </w:pPr>
      <w:r w:rsidRPr="00E21667">
        <w:t>ST</w:t>
      </w:r>
      <w:r w:rsidR="00CC6EB5">
        <w:t>BG</w:t>
      </w:r>
      <w:r w:rsidR="003B3BF5">
        <w:t xml:space="preserve"> </w:t>
      </w:r>
      <w:r w:rsidRPr="00E21667">
        <w:t>P</w:t>
      </w:r>
      <w:r w:rsidR="003B3BF5">
        <w:t>rogram</w:t>
      </w:r>
      <w:r w:rsidRPr="00E21667">
        <w:t xml:space="preserve"> funds which require a 5.7 percent local match;</w:t>
      </w:r>
    </w:p>
    <w:p w14:paraId="593257EF" w14:textId="77777777" w:rsidR="00E21667" w:rsidRPr="00E21667" w:rsidRDefault="00E21667" w:rsidP="00020D20">
      <w:pPr>
        <w:pStyle w:val="Body-Bullets"/>
        <w:jc w:val="both"/>
      </w:pPr>
      <w:r w:rsidRPr="00E21667">
        <w:t>Transportation Alternatives (TA) funds which require a 5.7 percent local match;</w:t>
      </w:r>
    </w:p>
    <w:p w14:paraId="443AF7B4" w14:textId="0B613436" w:rsidR="00E21667" w:rsidRDefault="00E21667" w:rsidP="00020D20">
      <w:pPr>
        <w:pStyle w:val="Body-Bullets"/>
        <w:jc w:val="both"/>
      </w:pPr>
      <w:r w:rsidRPr="00E21667">
        <w:t>Congestion Mitigation and Air Quality (CMAQ) funds which require a 5.7 percent local match; and</w:t>
      </w:r>
    </w:p>
    <w:p w14:paraId="2B1CA128" w14:textId="0F5BFE02" w:rsidR="00C37E66" w:rsidRDefault="00C37E66" w:rsidP="00020D20">
      <w:pPr>
        <w:pStyle w:val="Body-Bullets"/>
        <w:jc w:val="both"/>
      </w:pPr>
      <w:r w:rsidRPr="00C37E66">
        <w:t>FTA Section 5303 funds which require a 20 percent local match.</w:t>
      </w:r>
    </w:p>
    <w:p w14:paraId="20F90356" w14:textId="737B3D2A" w:rsidR="00C37E66" w:rsidRPr="00C37E66" w:rsidRDefault="00C37E66" w:rsidP="00020D20">
      <w:pPr>
        <w:pStyle w:val="Heading3"/>
        <w:jc w:val="both"/>
      </w:pPr>
      <w:bookmarkStart w:id="173" w:name="_Ref50028967"/>
      <w:r w:rsidRPr="00C37E66">
        <w:t>4.5.1 | Requesting &amp; Authorizing PL Funds</w:t>
      </w:r>
      <w:bookmarkEnd w:id="173"/>
    </w:p>
    <w:p w14:paraId="0C01CA92" w14:textId="18989CE6" w:rsidR="00C37E66" w:rsidRPr="00C37E66" w:rsidRDefault="00C37E66" w:rsidP="00020D20">
      <w:pPr>
        <w:jc w:val="both"/>
      </w:pPr>
      <w:r w:rsidRPr="00C37E66">
        <w:t xml:space="preserve">Individual MPOs are required to send a letter to the Multimodal Planning Division Regional Planner requesting Metropolitan Planning (PL) Funds. The letter should include the name of the requesting MPO, the </w:t>
      </w:r>
      <w:r w:rsidR="00305DA7">
        <w:t>ADOT Project N</w:t>
      </w:r>
      <w:r w:rsidRPr="00C37E66">
        <w:t xml:space="preserve">umber, federal aid number, and contract number. In addition to this information, the requesting MPO must detail the amount of funding requested, how much </w:t>
      </w:r>
      <w:r w:rsidR="008703F1">
        <w:t>PL</w:t>
      </w:r>
      <w:r w:rsidR="008703F1" w:rsidRPr="00C37E66">
        <w:t xml:space="preserve"> </w:t>
      </w:r>
      <w:r w:rsidRPr="00C37E66">
        <w:t xml:space="preserve">apportionment money is currently available, </w:t>
      </w:r>
      <w:r w:rsidR="008703F1">
        <w:t>PL</w:t>
      </w:r>
      <w:r w:rsidRPr="00C37E66">
        <w:t xml:space="preserve"> obligation authority amount, and match amount.</w:t>
      </w:r>
    </w:p>
    <w:p w14:paraId="3BC4EBBA" w14:textId="77777777" w:rsidR="00C37E66" w:rsidRPr="00C37E66" w:rsidRDefault="00C37E66" w:rsidP="00020D20">
      <w:pPr>
        <w:pStyle w:val="Heading3"/>
        <w:jc w:val="both"/>
      </w:pPr>
      <w:bookmarkStart w:id="174" w:name="_Ref50028970"/>
      <w:r w:rsidRPr="00C37E66">
        <w:t>4.5.2 | Financial Management of Metropolitan PL Funds</w:t>
      </w:r>
      <w:bookmarkEnd w:id="174"/>
    </w:p>
    <w:p w14:paraId="2659FE43" w14:textId="31C7D5E8" w:rsidR="00C37E66" w:rsidRPr="00C37E66" w:rsidRDefault="00C37E66" w:rsidP="00020D20">
      <w:pPr>
        <w:pStyle w:val="SubHeading3"/>
        <w:jc w:val="both"/>
      </w:pPr>
      <w:bookmarkStart w:id="175" w:name="_Ref50029404"/>
      <w:r w:rsidRPr="00C37E66">
        <w:t>Close-Out of P</w:t>
      </w:r>
      <w:r w:rsidR="00C10FAA">
        <w:t>L</w:t>
      </w:r>
      <w:r w:rsidRPr="00C37E66">
        <w:t xml:space="preserve"> Funds</w:t>
      </w:r>
      <w:bookmarkEnd w:id="175"/>
    </w:p>
    <w:p w14:paraId="657C0EFA" w14:textId="5A660184" w:rsidR="00C37E66" w:rsidRPr="00C37E66" w:rsidRDefault="00C37E66" w:rsidP="00020D20">
      <w:pPr>
        <w:jc w:val="both"/>
      </w:pPr>
      <w:r w:rsidRPr="00C37E66">
        <w:t xml:space="preserve">In accordance with </w:t>
      </w:r>
      <w:hyperlink r:id="rId356" w:history="1">
        <w:r w:rsidR="004418C8" w:rsidRPr="00020D20">
          <w:rPr>
            <w:rStyle w:val="TitleChar"/>
          </w:rPr>
          <w:t xml:space="preserve">49 </w:t>
        </w:r>
        <w:r w:rsidR="009628C0">
          <w:rPr>
            <w:rStyle w:val="TitleChar"/>
          </w:rPr>
          <w:t xml:space="preserve">C.F.R. </w:t>
        </w:r>
        <w:r w:rsidR="004418C8" w:rsidRPr="00020D20">
          <w:rPr>
            <w:rStyle w:val="TitleChar"/>
          </w:rPr>
          <w:t>§ 18.50</w:t>
        </w:r>
      </w:hyperlink>
      <w:r w:rsidRPr="00C37E66">
        <w:t>, PL funds obligated in a prior year UPWP must be closed out within 45 days of the termination of the grant</w:t>
      </w:r>
      <w:r w:rsidR="004E438A">
        <w:t xml:space="preserve"> award period</w:t>
      </w:r>
      <w:r w:rsidRPr="00C37E66">
        <w:t xml:space="preserve">. The grant is based on the </w:t>
      </w:r>
      <w:r w:rsidR="004E438A">
        <w:t xml:space="preserve">two-year </w:t>
      </w:r>
      <w:r w:rsidRPr="00C37E66">
        <w:t>WP</w:t>
      </w:r>
      <w:r w:rsidR="004E438A">
        <w:t xml:space="preserve"> period</w:t>
      </w:r>
      <w:r w:rsidRPr="00C37E66">
        <w:t xml:space="preserve"> (i.e., July 1</w:t>
      </w:r>
      <w:r w:rsidR="004E438A">
        <w:t>, 2021</w:t>
      </w:r>
      <w:r w:rsidRPr="00C37E66">
        <w:t xml:space="preserve"> to June 30</w:t>
      </w:r>
      <w:r w:rsidR="004E438A">
        <w:t>, 2023</w:t>
      </w:r>
      <w:r w:rsidRPr="00C37E66">
        <w:t xml:space="preserve">). </w:t>
      </w:r>
    </w:p>
    <w:p w14:paraId="63578754" w14:textId="165515CC" w:rsidR="00C37E66" w:rsidRPr="00C37E66" w:rsidRDefault="00C37E66" w:rsidP="00020D20">
      <w:pPr>
        <w:jc w:val="both"/>
        <w:rPr>
          <w:b/>
        </w:rPr>
      </w:pPr>
      <w:r w:rsidRPr="00C37E66">
        <w:t xml:space="preserve">After the de-obligation request has been approved, the ADOT Finance and Contract Administration section finalizes the balance sheet and closes out the funds. </w:t>
      </w:r>
    </w:p>
    <w:p w14:paraId="2FEF7AAE" w14:textId="77777777" w:rsidR="00C37E66" w:rsidRPr="00C37E66" w:rsidRDefault="00C37E66" w:rsidP="00020D20">
      <w:pPr>
        <w:pStyle w:val="Heading3"/>
        <w:jc w:val="both"/>
      </w:pPr>
      <w:bookmarkStart w:id="176" w:name="_Ref50028974"/>
      <w:r w:rsidRPr="00C37E66">
        <w:t>4.5.3 | In-Kind Contributions</w:t>
      </w:r>
      <w:bookmarkEnd w:id="176"/>
    </w:p>
    <w:p w14:paraId="114244E6" w14:textId="26B9FBD1" w:rsidR="00C37E66" w:rsidRDefault="00C37E66" w:rsidP="00020D20">
      <w:pPr>
        <w:jc w:val="both"/>
      </w:pPr>
      <w:r w:rsidRPr="00C37E66">
        <w:t xml:space="preserve">In-kind contributions make up a substantial proportion of local matching funds that COGs and MPOs use for federal funding. The in-kind contributions come from </w:t>
      </w:r>
      <w:r w:rsidR="003B3BF5">
        <w:t xml:space="preserve">non-Federal sources of donated time, services, or goods. </w:t>
      </w:r>
      <w:r w:rsidRPr="00C37E66">
        <w:t xml:space="preserve">In-kind contributions </w:t>
      </w:r>
      <w:r w:rsidR="003B3BF5">
        <w:t xml:space="preserve">need not </w:t>
      </w:r>
      <w:r w:rsidRPr="00C37E66">
        <w:t>be tracked and quantified by work element and by task</w:t>
      </w:r>
      <w:r w:rsidR="003B3BF5">
        <w:t xml:space="preserve"> but instead may be used generally across the UPWP</w:t>
      </w:r>
      <w:r w:rsidRPr="00C37E66">
        <w:t xml:space="preserve">. The UPWP must identify the anticipated in-kind contributions, including narrative descriptions of the services provided and the organizations that provide the in-kind services. </w:t>
      </w:r>
    </w:p>
    <w:p w14:paraId="11972D96" w14:textId="00C80717" w:rsidR="00C37E66" w:rsidRDefault="00C37E66" w:rsidP="00020D20">
      <w:pPr>
        <w:pStyle w:val="Heading4"/>
        <w:jc w:val="both"/>
      </w:pPr>
      <w:r w:rsidRPr="00C37E66">
        <w:t>Figure 4-1 | Key Dates &amp; Actions</w:t>
      </w:r>
    </w:p>
    <w:p w14:paraId="40DBF994" w14:textId="3CE752C0" w:rsidR="003C77BA" w:rsidRPr="003C77BA" w:rsidRDefault="000E3FB5" w:rsidP="00020D20">
      <w:pPr>
        <w:jc w:val="both"/>
      </w:pPr>
      <w:r>
        <w:rPr>
          <w:noProof/>
        </w:rPr>
        <w:drawing>
          <wp:inline distT="0" distB="0" distL="0" distR="0" wp14:anchorId="24A7DFC9" wp14:editId="5BFC1574">
            <wp:extent cx="2743200" cy="1790065"/>
            <wp:effectExtent l="0" t="0" r="0" b="635"/>
            <wp:docPr id="8" name="Picture 8"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_Figure4-1_ADOT_MPO-COG_Manual_Chapter4_Figure1.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2743200" cy="1790065"/>
                    </a:xfrm>
                    <a:prstGeom prst="rect">
                      <a:avLst/>
                    </a:prstGeom>
                  </pic:spPr>
                </pic:pic>
              </a:graphicData>
            </a:graphic>
          </wp:inline>
        </w:drawing>
      </w:r>
    </w:p>
    <w:p w14:paraId="3659DD4F" w14:textId="5EBCB9DD" w:rsidR="00C37E66" w:rsidRPr="00C37E66" w:rsidRDefault="00C37E66" w:rsidP="00020D20">
      <w:pPr>
        <w:jc w:val="both"/>
      </w:pPr>
      <w:r w:rsidRPr="00C37E66">
        <w:t>Federal transportation funding programs, whether for actual road or transit facilities and services or MPO planning activities, generally require some amount of local matching funds, which may vary by program. For example, planning activities with a total budget of one million dollars might receive $800,000 in federal funds with an 80/20 match requirement, which means that the FHWA’s $800,000 payment is contingent upon $200,000 in local matching or in-kind contributions. The local match may consist of in-kind contributions of goods and services that are necessary to the planning activity and that are credited at fair market value</w:t>
      </w:r>
      <w:r w:rsidR="003B3BF5">
        <w:t xml:space="preserve"> or non-federal cash donations collected by the MPO</w:t>
      </w:r>
      <w:r w:rsidRPr="00C37E66">
        <w:t>.</w:t>
      </w:r>
    </w:p>
    <w:p w14:paraId="572C3977" w14:textId="516A0F44" w:rsidR="00C37E66" w:rsidRDefault="00456DDF" w:rsidP="00020D20">
      <w:pPr>
        <w:jc w:val="both"/>
      </w:pPr>
      <w:r>
        <w:rPr>
          <w:rFonts w:cstheme="minorHAnsi"/>
          <w:noProof/>
        </w:rPr>
        <mc:AlternateContent>
          <mc:Choice Requires="wps">
            <w:drawing>
              <wp:anchor distT="0" distB="0" distL="114300" distR="114300" simplePos="0" relativeHeight="251618504" behindDoc="1" locked="0" layoutInCell="1" allowOverlap="1" wp14:anchorId="711ED669" wp14:editId="70CFFD0C">
                <wp:simplePos x="0" y="0"/>
                <wp:positionH relativeFrom="column">
                  <wp:posOffset>0</wp:posOffset>
                </wp:positionH>
                <wp:positionV relativeFrom="paragraph">
                  <wp:posOffset>111125</wp:posOffset>
                </wp:positionV>
                <wp:extent cx="1478280" cy="2009775"/>
                <wp:effectExtent l="95250" t="95250" r="102870" b="104775"/>
                <wp:wrapTight wrapText="bothSides">
                  <wp:wrapPolygon edited="0">
                    <wp:start x="-1113" y="-1024"/>
                    <wp:lineTo x="-1392" y="21498"/>
                    <wp:lineTo x="-835" y="22521"/>
                    <wp:lineTo x="22268" y="22521"/>
                    <wp:lineTo x="22268" y="22317"/>
                    <wp:lineTo x="22825" y="19245"/>
                    <wp:lineTo x="22546" y="-1024"/>
                    <wp:lineTo x="-1113" y="-1024"/>
                  </wp:wrapPolygon>
                </wp:wrapTight>
                <wp:docPr id="816286468" name="Text Box 816286468"/>
                <wp:cNvGraphicFramePr/>
                <a:graphic xmlns:a="http://schemas.openxmlformats.org/drawingml/2006/main">
                  <a:graphicData uri="http://schemas.microsoft.com/office/word/2010/wordprocessingShape">
                    <wps:wsp>
                      <wps:cNvSpPr txBox="1"/>
                      <wps:spPr>
                        <a:xfrm>
                          <a:off x="0" y="0"/>
                          <a:ext cx="1478280" cy="20097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DED6A2F" w14:textId="5C44C6E5" w:rsidR="00C6444C" w:rsidRDefault="00C6444C" w:rsidP="00020D20">
                            <w:pPr>
                              <w:jc w:val="center"/>
                            </w:pPr>
                            <w:r>
                              <w:rPr>
                                <w:noProof/>
                              </w:rPr>
                              <w:drawing>
                                <wp:inline distT="0" distB="0" distL="0" distR="0" wp14:anchorId="280F63FE" wp14:editId="03BBBC26">
                                  <wp:extent cx="457200" cy="457200"/>
                                  <wp:effectExtent l="0" t="0" r="0" b="0"/>
                                  <wp:docPr id="1690912827" name="Picture 169091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58F13EF" w14:textId="45E19632" w:rsidR="00C6444C" w:rsidRPr="001E4049" w:rsidRDefault="00C6444C" w:rsidP="00020D20">
                            <w:pPr>
                              <w:pStyle w:val="Calloutboxes"/>
                            </w:pPr>
                            <w:r w:rsidRPr="00394A74">
                              <w:t xml:space="preserve">The informational memorandum is contained in an attachment to the </w:t>
                            </w:r>
                            <w:r w:rsidRPr="00954116">
                              <w:t>May</w:t>
                            </w:r>
                            <w:r w:rsidRPr="0052715B">
                              <w:t xml:space="preserve"> </w:t>
                            </w:r>
                            <w:r w:rsidRPr="005A6734">
                              <w:t>15</w:t>
                            </w:r>
                            <w:r w:rsidRPr="00977A9B">
                              <w:t>, 2</w:t>
                            </w:r>
                            <w:r w:rsidRPr="00FE3DA2">
                              <w:t>019</w:t>
                            </w:r>
                            <w:r w:rsidRPr="000D70F2">
                              <w:t>, one-page memorandum from FHWA Chief Financial Officer Brian Bezio, available online at:</w:t>
                            </w:r>
                          </w:p>
                          <w:p w14:paraId="2D19AED1" w14:textId="377285B4" w:rsidR="00C6444C" w:rsidRPr="00020D20" w:rsidRDefault="00202C92">
                            <w:pPr>
                              <w:pStyle w:val="Title"/>
                              <w:rPr>
                                <w:sz w:val="16"/>
                                <w:szCs w:val="16"/>
                              </w:rPr>
                            </w:pPr>
                            <w:hyperlink r:id="rId358" w:history="1">
                              <w:r w:rsidR="00C6444C" w:rsidRPr="00020D20">
                                <w:rPr>
                                  <w:rStyle w:val="Hyperlink"/>
                                  <w:rFonts w:ascii="Calibri" w:hAnsi="Calibri" w:cstheme="majorBidi"/>
                                  <w:i/>
                                  <w:color w:val="CE5B18"/>
                                  <w:szCs w:val="56"/>
                                  <w:u w:val="none"/>
                                </w:rPr>
                                <w:t>https://www.fhwa.dot.gov/legsregs/directives/policy/memonfmr_tapered20190515.htm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1ED669" id="Text Box 816286468" o:spid="_x0000_s1101" type="#_x0000_t202" style="position:absolute;left:0;text-align:left;margin-left:0;margin-top:8.75pt;width:116.4pt;height:158.25pt;z-index:-251697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" fillcolor="#f7f7f7" stroked="f" strokeweight=".5pt">
                <v:shadow on="t" type="perspective" color="black" opacity="26214f" offset="0,0" matrix="66847f,,,66847f"/>
                <v:textbox>
                  <w:txbxContent>
                    <w:p w14:paraId="4DED6A2F" w14:textId="5C44C6E5" w:rsidR="00C6444C" w:rsidRDefault="00C6444C" w:rsidP="00020D20">
                      <w:pPr>
                        <w:jc w:val="center"/>
                      </w:pPr>
                      <w:r>
                        <w:rPr>
                          <w:noProof/>
                        </w:rPr>
                        <w:drawing>
                          <wp:inline distT="0" distB="0" distL="0" distR="0" wp14:anchorId="280F63FE" wp14:editId="03BBBC26">
                            <wp:extent cx="457200" cy="457200"/>
                            <wp:effectExtent l="0" t="0" r="0" b="0"/>
                            <wp:docPr id="1690912827" name="Picture 169091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58F13EF" w14:textId="45E19632" w:rsidR="00C6444C" w:rsidRPr="001E4049" w:rsidRDefault="00C6444C" w:rsidP="00020D20">
                      <w:pPr>
                        <w:pStyle w:val="Calloutboxes"/>
                      </w:pPr>
                      <w:r w:rsidRPr="00394A74">
                        <w:t xml:space="preserve">The informational memorandum is contained in an attachment to the </w:t>
                      </w:r>
                      <w:r w:rsidRPr="00954116">
                        <w:t>May</w:t>
                      </w:r>
                      <w:r w:rsidRPr="0052715B">
                        <w:t xml:space="preserve"> </w:t>
                      </w:r>
                      <w:r w:rsidRPr="005A6734">
                        <w:t>15</w:t>
                      </w:r>
                      <w:r w:rsidRPr="00977A9B">
                        <w:t>, 2</w:t>
                      </w:r>
                      <w:r w:rsidRPr="00FE3DA2">
                        <w:t>019</w:t>
                      </w:r>
                      <w:r w:rsidRPr="000D70F2">
                        <w:t>, one-page memorandum from FHWA Chief Financial Officer Brian Bezio, available online at:</w:t>
                      </w:r>
                    </w:p>
                    <w:p w14:paraId="2D19AED1" w14:textId="377285B4" w:rsidR="00C6444C" w:rsidRPr="00020D20" w:rsidRDefault="00C6444C">
                      <w:pPr>
                        <w:pStyle w:val="Title"/>
                        <w:rPr>
                          <w:sz w:val="16"/>
                          <w:szCs w:val="16"/>
                        </w:rPr>
                      </w:pPr>
                      <w:hyperlink r:id="rId359" w:history="1">
                        <w:r w:rsidRPr="00020D20">
                          <w:rPr>
                            <w:rStyle w:val="Hyperlink"/>
                            <w:rFonts w:ascii="Calibri" w:hAnsi="Calibri" w:cstheme="majorBidi"/>
                            <w:i/>
                            <w:color w:val="CE5B18"/>
                            <w:szCs w:val="56"/>
                            <w:u w:val="none"/>
                          </w:rPr>
                          <w:t>https://www.fhwa.dot.gov/legsregs/directives/policy/memonfmr_tapered20190515.htm</w:t>
                        </w:r>
                      </w:hyperlink>
                    </w:p>
                  </w:txbxContent>
                </v:textbox>
                <w10:wrap type="tight"/>
              </v:shape>
            </w:pict>
          </mc:Fallback>
        </mc:AlternateContent>
      </w:r>
      <w:r w:rsidR="00C37E66" w:rsidRPr="00C37E66">
        <w:t>As there have been different FHWA interpretations and guidance over time in response to various inquiries, FHWA issued an informational memorandum in December 2009 to consolidate and clarify non</w:t>
      </w:r>
      <w:r w:rsidR="003B3BF5">
        <w:t>-</w:t>
      </w:r>
      <w:r w:rsidR="00C37E66" w:rsidRPr="00C37E66">
        <w:t>federal matching requirements. The ten-page attachment titled “Non-Federal Matching Requirements” is followed by five pages of tables illustrating examples of programs funded with an 80/20 match requirement.</w:t>
      </w:r>
    </w:p>
    <w:p w14:paraId="184B7824" w14:textId="3545AD81" w:rsidR="001E49B3" w:rsidRPr="001E49B3" w:rsidRDefault="001E49B3" w:rsidP="00020D20">
      <w:pPr>
        <w:jc w:val="both"/>
      </w:pPr>
      <w:r w:rsidRPr="001E49B3">
        <w:t xml:space="preserve">The key federal statute applicable to this matter is </w:t>
      </w:r>
      <w:hyperlink r:id="rId360" w:history="1">
        <w:r w:rsidRPr="00020D20">
          <w:rPr>
            <w:rStyle w:val="TitleChar"/>
          </w:rPr>
          <w:t>23 U</w:t>
        </w:r>
        <w:r w:rsidRPr="00020D20" w:rsidDel="004418C8">
          <w:rPr>
            <w:rStyle w:val="TitleChar"/>
          </w:rPr>
          <w:t>.</w:t>
        </w:r>
        <w:r w:rsidRPr="00020D20">
          <w:rPr>
            <w:rStyle w:val="TitleChar"/>
          </w:rPr>
          <w:t>S</w:t>
        </w:r>
        <w:r w:rsidRPr="00020D20" w:rsidDel="004418C8">
          <w:rPr>
            <w:rStyle w:val="TitleChar"/>
          </w:rPr>
          <w:t>.</w:t>
        </w:r>
        <w:r w:rsidRPr="00020D20">
          <w:rPr>
            <w:rStyle w:val="TitleChar"/>
          </w:rPr>
          <w:t>C</w:t>
        </w:r>
        <w:r w:rsidRPr="00020D20" w:rsidDel="004418C8">
          <w:rPr>
            <w:rStyle w:val="TitleChar"/>
          </w:rPr>
          <w:t>.</w:t>
        </w:r>
        <w:r w:rsidRPr="00020D20">
          <w:rPr>
            <w:rStyle w:val="TitleChar"/>
          </w:rPr>
          <w:t xml:space="preserve"> § 323(c)</w:t>
        </w:r>
      </w:hyperlink>
      <w:r w:rsidRPr="001E49B3">
        <w:t>, which states:</w:t>
      </w:r>
    </w:p>
    <w:p w14:paraId="224CB919" w14:textId="592268A7" w:rsidR="001E49B3" w:rsidRPr="001E49B3" w:rsidRDefault="001E49B3" w:rsidP="00020D20">
      <w:pPr>
        <w:jc w:val="both"/>
      </w:pPr>
      <w:r w:rsidRPr="00096406">
        <w:rPr>
          <w:i/>
        </w:rPr>
        <w:t xml:space="preserve">Credit for Donations of Funds, Materials, or </w:t>
      </w:r>
      <w:r w:rsidR="00511840" w:rsidRPr="00096406">
        <w:rPr>
          <w:i/>
        </w:rPr>
        <w:t>Services</w:t>
      </w:r>
      <w:r w:rsidR="00511840" w:rsidRPr="001E49B3">
        <w:t>. —</w:t>
      </w:r>
      <w:r w:rsidRPr="001E49B3">
        <w:t>Nothing in this title or any other law shall prevent a person from offering to donate funds, materials, or services, or a local government from offering to donate funds, materials, or services performed by local government employees, in connection with a project eligible for assistance under this title. In the case of such a project with respect to which the Federal Government and the State share in paying the cost, any donated funds, or the fair market value of any donated materials or services, that are accepted and incorporated into the project by the State transportation department shall be credited against the State share.</w:t>
      </w:r>
    </w:p>
    <w:p w14:paraId="7465BA83" w14:textId="4A68F2F9" w:rsidR="001E49B3" w:rsidRPr="001E49B3" w:rsidRDefault="001E49B3" w:rsidP="00020D20">
      <w:pPr>
        <w:jc w:val="both"/>
      </w:pPr>
      <w:r w:rsidRPr="001E49B3">
        <w:t>Under the heading of “Special Provisions,” the December 2009 FHWA memorandum includes the following additional important details:</w:t>
      </w:r>
    </w:p>
    <w:p w14:paraId="7DB129E6" w14:textId="1815C0E6" w:rsidR="001E49B3" w:rsidRPr="001E49B3" w:rsidRDefault="00A93737" w:rsidP="00020D20">
      <w:pPr>
        <w:jc w:val="both"/>
      </w:pPr>
      <w:r>
        <w:rPr>
          <w:rFonts w:cstheme="minorHAnsi"/>
          <w:noProof/>
        </w:rPr>
        <mc:AlternateContent>
          <mc:Choice Requires="wps">
            <w:drawing>
              <wp:anchor distT="0" distB="0" distL="114300" distR="114300" simplePos="0" relativeHeight="251618506" behindDoc="1" locked="0" layoutInCell="1" allowOverlap="1" wp14:anchorId="47A738D7" wp14:editId="762BA380">
                <wp:simplePos x="0" y="0"/>
                <wp:positionH relativeFrom="column">
                  <wp:posOffset>3152775</wp:posOffset>
                </wp:positionH>
                <wp:positionV relativeFrom="paragraph">
                  <wp:posOffset>983615</wp:posOffset>
                </wp:positionV>
                <wp:extent cx="1249680" cy="1866900"/>
                <wp:effectExtent l="76200" t="95250" r="83820" b="95250"/>
                <wp:wrapTight wrapText="bothSides">
                  <wp:wrapPolygon edited="0">
                    <wp:start x="-1317" y="-1102"/>
                    <wp:lineTo x="-1317" y="22482"/>
                    <wp:lineTo x="22720" y="22482"/>
                    <wp:lineTo x="22720" y="-1102"/>
                    <wp:lineTo x="-1317" y="-1102"/>
                  </wp:wrapPolygon>
                </wp:wrapTight>
                <wp:docPr id="1690911465" name="Text Box 1690911465"/>
                <wp:cNvGraphicFramePr/>
                <a:graphic xmlns:a="http://schemas.openxmlformats.org/drawingml/2006/main">
                  <a:graphicData uri="http://schemas.microsoft.com/office/word/2010/wordprocessingShape">
                    <wps:wsp>
                      <wps:cNvSpPr txBox="1"/>
                      <wps:spPr>
                        <a:xfrm>
                          <a:off x="0" y="0"/>
                          <a:ext cx="1249680" cy="1866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401DD91" w14:textId="77777777" w:rsidR="00C6444C" w:rsidRDefault="00C6444C" w:rsidP="00020D20">
                            <w:pPr>
                              <w:jc w:val="center"/>
                            </w:pPr>
                            <w:r>
                              <w:rPr>
                                <w:noProof/>
                              </w:rPr>
                              <w:drawing>
                                <wp:inline distT="0" distB="0" distL="0" distR="0" wp14:anchorId="2CAA8982" wp14:editId="256A09E2">
                                  <wp:extent cx="457200" cy="457200"/>
                                  <wp:effectExtent l="0" t="0" r="0" b="0"/>
                                  <wp:docPr id="1690912828" name="Picture 169091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9DE468" w14:textId="77777777" w:rsidR="00C6444C" w:rsidRPr="0052715B" w:rsidRDefault="00C6444C" w:rsidP="00020D20">
                            <w:pPr>
                              <w:pStyle w:val="Calloutboxes"/>
                            </w:pPr>
                            <w:r w:rsidRPr="00394A74">
                              <w:t>For more details visi</w:t>
                            </w:r>
                            <w:r w:rsidRPr="00954116">
                              <w:t>t the FTA frequently asked questions page, “Local Matching Funds,” available at:</w:t>
                            </w:r>
                          </w:p>
                          <w:p w14:paraId="525056BA" w14:textId="77777777" w:rsidR="00C6444C" w:rsidRPr="00020D20" w:rsidRDefault="00202C92">
                            <w:pPr>
                              <w:pStyle w:val="Title"/>
                              <w:rPr>
                                <w:sz w:val="16"/>
                              </w:rPr>
                            </w:pPr>
                            <w:hyperlink r:id="rId361" w:history="1">
                              <w:r w:rsidR="00C6444C" w:rsidRPr="00020D20">
                                <w:rPr>
                                  <w:rStyle w:val="Hyperlink"/>
                                  <w:rFonts w:ascii="Calibri" w:hAnsi="Calibri" w:cstheme="majorBidi"/>
                                  <w:i/>
                                  <w:iCs w:val="0"/>
                                  <w:color w:val="CE5B18"/>
                                  <w:szCs w:val="56"/>
                                  <w:u w:val="none"/>
                                </w:rPr>
                                <w:t>https://www.transit.dot.gov/funding/procurement/third-party-procurement/local-matching-funds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A738D7" id="Text Box 1690911465" o:spid="_x0000_s1102" type="#_x0000_t202" style="position:absolute;left:0;text-align:left;margin-left:248.25pt;margin-top:77.45pt;width:98.4pt;height:147pt;z-index:-251697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" fillcolor="#f7f7f7" stroked="f" strokeweight=".5pt">
                <v:shadow on="t" type="perspective" color="black" opacity="26214f" offset="0,0" matrix="66847f,,,66847f"/>
                <v:textbox>
                  <w:txbxContent>
                    <w:p w14:paraId="5401DD91" w14:textId="77777777" w:rsidR="00C6444C" w:rsidRDefault="00C6444C" w:rsidP="00020D20">
                      <w:pPr>
                        <w:jc w:val="center"/>
                      </w:pPr>
                      <w:r>
                        <w:rPr>
                          <w:noProof/>
                        </w:rPr>
                        <w:drawing>
                          <wp:inline distT="0" distB="0" distL="0" distR="0" wp14:anchorId="2CAA8982" wp14:editId="256A09E2">
                            <wp:extent cx="457200" cy="457200"/>
                            <wp:effectExtent l="0" t="0" r="0" b="0"/>
                            <wp:docPr id="1690912828" name="Picture 169091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9DE468" w14:textId="77777777" w:rsidR="00C6444C" w:rsidRPr="0052715B" w:rsidRDefault="00C6444C" w:rsidP="00020D20">
                      <w:pPr>
                        <w:pStyle w:val="Calloutboxes"/>
                      </w:pPr>
                      <w:r w:rsidRPr="00394A74">
                        <w:t>For more details visi</w:t>
                      </w:r>
                      <w:r w:rsidRPr="00954116">
                        <w:t>t the FTA frequently asked questions page, “Local Matching Funds,” available at:</w:t>
                      </w:r>
                    </w:p>
                    <w:p w14:paraId="525056BA" w14:textId="77777777" w:rsidR="00C6444C" w:rsidRPr="00020D20" w:rsidRDefault="00C6444C">
                      <w:pPr>
                        <w:pStyle w:val="Title"/>
                        <w:rPr>
                          <w:sz w:val="16"/>
                        </w:rPr>
                      </w:pPr>
                      <w:hyperlink r:id="rId362" w:history="1">
                        <w:r w:rsidRPr="00020D20">
                          <w:rPr>
                            <w:rStyle w:val="Hyperlink"/>
                            <w:rFonts w:ascii="Calibri" w:hAnsi="Calibri" w:cstheme="majorBidi"/>
                            <w:i/>
                            <w:iCs w:val="0"/>
                            <w:color w:val="CE5B18"/>
                            <w:szCs w:val="56"/>
                            <w:u w:val="none"/>
                          </w:rPr>
                          <w:t>https://www.transit.dot.gov/funding/procurement/third-party-procurement/local-matching-funds</w:t>
                        </w:r>
                      </w:hyperlink>
                    </w:p>
                  </w:txbxContent>
                </v:textbox>
                <w10:wrap type="tight"/>
              </v:shape>
            </w:pict>
          </mc:Fallback>
        </mc:AlternateContent>
      </w:r>
      <w:r w:rsidR="001E49B3" w:rsidRPr="00096406">
        <w:rPr>
          <w:i/>
        </w:rPr>
        <w:t>Planning Activities</w:t>
      </w:r>
      <w:r w:rsidR="001E49B3" w:rsidRPr="001E49B3">
        <w:t xml:space="preserve">: Requirements for in-kind donations related to the Planning and Research Programs (23 </w:t>
      </w:r>
      <w:r w:rsidR="009628C0">
        <w:t xml:space="preserve">C.F.R. </w:t>
      </w:r>
      <w:r w:rsidR="001E49B3" w:rsidRPr="001E49B3">
        <w:t>420) may be applied on either a total planning work program basis or for specific line items or projects. Work performed by a third party must be an eligible transportation planning related activity that benefits the Federal element of the work program, during the grant award period (i.e., planning or research work program period). In-kind contributions must be identified in the original planning work program/scope of work and the grant/subgrant agreement or amendment(s) thereto.”</w:t>
      </w:r>
    </w:p>
    <w:p w14:paraId="10A15591" w14:textId="03AFDC9F" w:rsidR="001E49B3" w:rsidRPr="001E49B3" w:rsidRDefault="001E49B3" w:rsidP="00020D20">
      <w:pPr>
        <w:jc w:val="both"/>
      </w:pPr>
      <w:r w:rsidRPr="001E49B3">
        <w:t xml:space="preserve">Although the December 2009 FHWA memorandum preceded </w:t>
      </w:r>
      <w:r w:rsidR="00A34EE3">
        <w:t xml:space="preserve">the </w:t>
      </w:r>
      <w:r w:rsidR="00511840">
        <w:t>FAST Act</w:t>
      </w:r>
      <w:r w:rsidRPr="001E49B3">
        <w:t>, the 201</w:t>
      </w:r>
      <w:r w:rsidR="00511840">
        <w:t>5</w:t>
      </w:r>
      <w:r w:rsidRPr="001E49B3">
        <w:t xml:space="preserve"> federal transportation re-authorization law, it remains almost entirely applicable. The term “in-kind” is mentioned only </w:t>
      </w:r>
      <w:r w:rsidR="00511840">
        <w:t>five</w:t>
      </w:r>
      <w:r w:rsidR="00511840" w:rsidRPr="001E49B3">
        <w:t xml:space="preserve"> </w:t>
      </w:r>
      <w:r w:rsidRPr="001E49B3">
        <w:t>times in</w:t>
      </w:r>
      <w:r w:rsidR="00A34EE3">
        <w:t xml:space="preserve"> the</w:t>
      </w:r>
      <w:r w:rsidRPr="001E49B3">
        <w:t xml:space="preserve"> </w:t>
      </w:r>
      <w:r w:rsidR="00511840">
        <w:t>FAST Act</w:t>
      </w:r>
      <w:r w:rsidRPr="001E49B3">
        <w:t xml:space="preserve">. </w:t>
      </w:r>
      <w:r w:rsidR="00F26062">
        <w:t>All</w:t>
      </w:r>
      <w:r w:rsidR="00F26062" w:rsidRPr="001E49B3">
        <w:t xml:space="preserve"> </w:t>
      </w:r>
      <w:r w:rsidRPr="001E49B3">
        <w:t xml:space="preserve">of those references involve only amendments to </w:t>
      </w:r>
      <w:hyperlink r:id="rId363" w:history="1">
        <w:r w:rsidRPr="00020D20">
          <w:rPr>
            <w:rStyle w:val="TitleChar"/>
          </w:rPr>
          <w:t>23 U</w:t>
        </w:r>
        <w:r w:rsidRPr="00020D20" w:rsidDel="004418C8">
          <w:rPr>
            <w:rStyle w:val="TitleChar"/>
          </w:rPr>
          <w:t>.</w:t>
        </w:r>
        <w:r w:rsidRPr="00020D20">
          <w:rPr>
            <w:rStyle w:val="TitleChar"/>
          </w:rPr>
          <w:t>S</w:t>
        </w:r>
        <w:r w:rsidRPr="00020D20" w:rsidDel="004418C8">
          <w:rPr>
            <w:rStyle w:val="TitleChar"/>
          </w:rPr>
          <w:t>.</w:t>
        </w:r>
        <w:r w:rsidRPr="00020D20">
          <w:rPr>
            <w:rStyle w:val="TitleChar"/>
          </w:rPr>
          <w:t>C</w:t>
        </w:r>
        <w:r w:rsidRPr="00020D20" w:rsidDel="004418C8">
          <w:rPr>
            <w:rStyle w:val="TitleChar"/>
          </w:rPr>
          <w:t>.</w:t>
        </w:r>
        <w:r w:rsidRPr="00020D20">
          <w:rPr>
            <w:rStyle w:val="TitleChar"/>
          </w:rPr>
          <w:t xml:space="preserve"> § 49</w:t>
        </w:r>
      </w:hyperlink>
      <w:r w:rsidRPr="001E49B3">
        <w:t xml:space="preserve"> (Transportation, but not Highways)</w:t>
      </w:r>
      <w:r w:rsidR="00F26062" w:rsidRPr="001E49B3" w:rsidDel="00F26062">
        <w:t xml:space="preserve"> </w:t>
      </w:r>
      <w:r w:rsidRPr="001E49B3">
        <w:t>.</w:t>
      </w:r>
    </w:p>
    <w:p w14:paraId="185C5CA4" w14:textId="77777777" w:rsidR="001E49B3" w:rsidRPr="001E49B3" w:rsidRDefault="001E49B3" w:rsidP="00020D20">
      <w:pPr>
        <w:jc w:val="both"/>
      </w:pPr>
      <w:r w:rsidRPr="001E49B3">
        <w:t>In-kind match either occurs locally, or through a third party valued at fair market value. To successfully use in-kind contributions for transportation planning activities, it is critical to:</w:t>
      </w:r>
    </w:p>
    <w:p w14:paraId="2A5AC590" w14:textId="77777777" w:rsidR="001E49B3" w:rsidRPr="001E49B3" w:rsidRDefault="001E49B3" w:rsidP="00020D20">
      <w:pPr>
        <w:pStyle w:val="Body-Bullets"/>
        <w:jc w:val="both"/>
      </w:pPr>
      <w:r w:rsidRPr="001E49B3">
        <w:t>carefully estimate the value of proposed in-kind contributions in advance;</w:t>
      </w:r>
    </w:p>
    <w:p w14:paraId="7759F1D0" w14:textId="77777777" w:rsidR="001E49B3" w:rsidRPr="001E49B3" w:rsidRDefault="001E49B3" w:rsidP="00020D20">
      <w:pPr>
        <w:pStyle w:val="Body-Bullets"/>
        <w:jc w:val="both"/>
      </w:pPr>
      <w:r w:rsidRPr="001E49B3">
        <w:t xml:space="preserve">obtain federal agency approval for the in-kind contribution in advance; and </w:t>
      </w:r>
    </w:p>
    <w:p w14:paraId="509EA3DC" w14:textId="2C57F8C6" w:rsidR="001E49B3" w:rsidRPr="001E49B3" w:rsidRDefault="001E49B3" w:rsidP="00020D20">
      <w:pPr>
        <w:pStyle w:val="Body-Bullets"/>
        <w:jc w:val="both"/>
      </w:pPr>
      <w:r w:rsidRPr="001E49B3">
        <w:t>track and document the actual contributions of in-kind goods and services in a timely manner as they are received or applied.</w:t>
      </w:r>
    </w:p>
    <w:p w14:paraId="71010CF4" w14:textId="41FBBBCC" w:rsidR="001E49B3" w:rsidRPr="001E49B3" w:rsidRDefault="00CC1F30" w:rsidP="00020D20">
      <w:pPr>
        <w:jc w:val="both"/>
        <w:rPr>
          <w:b/>
        </w:rPr>
      </w:pPr>
      <w:r>
        <w:rPr>
          <w:rFonts w:cstheme="minorHAnsi"/>
          <w:noProof/>
        </w:rPr>
        <mc:AlternateContent>
          <mc:Choice Requires="wps">
            <w:drawing>
              <wp:anchor distT="0" distB="0" distL="114300" distR="114300" simplePos="0" relativeHeight="251618505" behindDoc="1" locked="0" layoutInCell="1" allowOverlap="1" wp14:anchorId="30CEFCB8" wp14:editId="032C664E">
                <wp:simplePos x="0" y="0"/>
                <wp:positionH relativeFrom="column">
                  <wp:posOffset>-40640</wp:posOffset>
                </wp:positionH>
                <wp:positionV relativeFrom="paragraph">
                  <wp:posOffset>696595</wp:posOffset>
                </wp:positionV>
                <wp:extent cx="1249680" cy="1711325"/>
                <wp:effectExtent l="76200" t="95250" r="83820" b="98425"/>
                <wp:wrapTight wrapText="bothSides">
                  <wp:wrapPolygon edited="0">
                    <wp:start x="-1317" y="-1202"/>
                    <wp:lineTo x="-1317" y="22602"/>
                    <wp:lineTo x="22720" y="22602"/>
                    <wp:lineTo x="22720" y="-1202"/>
                    <wp:lineTo x="-1317" y="-1202"/>
                  </wp:wrapPolygon>
                </wp:wrapTight>
                <wp:docPr id="816286470" name="Text Box 816286470"/>
                <wp:cNvGraphicFramePr/>
                <a:graphic xmlns:a="http://schemas.openxmlformats.org/drawingml/2006/main">
                  <a:graphicData uri="http://schemas.microsoft.com/office/word/2010/wordprocessingShape">
                    <wps:wsp>
                      <wps:cNvSpPr txBox="1"/>
                      <wps:spPr>
                        <a:xfrm>
                          <a:off x="0" y="0"/>
                          <a:ext cx="1249680" cy="17113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C692668" w14:textId="77777777" w:rsidR="00C6444C" w:rsidRDefault="00C6444C" w:rsidP="00020D20">
                            <w:pPr>
                              <w:jc w:val="center"/>
                            </w:pPr>
                            <w:r>
                              <w:rPr>
                                <w:noProof/>
                              </w:rPr>
                              <w:drawing>
                                <wp:inline distT="0" distB="0" distL="0" distR="0" wp14:anchorId="5E885BA6" wp14:editId="3030E146">
                                  <wp:extent cx="457200" cy="457200"/>
                                  <wp:effectExtent l="0" t="0" r="0" b="0"/>
                                  <wp:docPr id="1690912829" name="Picture 169091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B35D8E5" w14:textId="240FCC7A" w:rsidR="00C6444C" w:rsidRPr="00020D20" w:rsidRDefault="00C6444C" w:rsidP="00020D20">
                            <w:pPr>
                              <w:pStyle w:val="Calloutboxes"/>
                              <w:rPr>
                                <w:rFonts w:cstheme="minorBidi"/>
                                <w:color w:val="auto"/>
                                <w:szCs w:val="20"/>
                              </w:rPr>
                            </w:pPr>
                            <w:r w:rsidRPr="00394A74">
                              <w:t>Additional information about FTA in-kind requirements is provided in</w:t>
                            </w:r>
                            <w:r w:rsidRPr="00020D20">
                              <w:rPr>
                                <w:rFonts w:cstheme="minorBidi"/>
                                <w:color w:val="auto"/>
                                <w:szCs w:val="20"/>
                              </w:rPr>
                              <w:t xml:space="preserve"> </w:t>
                            </w:r>
                            <w:hyperlink r:id="rId364" w:history="1">
                              <w:r w:rsidRPr="00020D20">
                                <w:rPr>
                                  <w:rStyle w:val="TitleChar"/>
                                  <w:sz w:val="16"/>
                                </w:rPr>
                                <w:t>FTA Circular 8100.1C, “Program Guidance for Metropolitan Planning and State Planning and Research Program Grants”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EFCB8" id="Text Box 816286470" o:spid="_x0000_s1103" type="#_x0000_t202" style="position:absolute;left:0;text-align:left;margin-left:-3.2pt;margin-top:54.85pt;width:98.4pt;height:134.75pt;z-index:-251697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" fillcolor="#f7f7f7" stroked="f" strokeweight=".5pt">
                <v:shadow on="t" type="perspective" color="black" opacity="26214f" offset="0,0" matrix="66847f,,,66847f"/>
                <v:textbox>
                  <w:txbxContent>
                    <w:p w14:paraId="5C692668" w14:textId="77777777" w:rsidR="00C6444C" w:rsidRDefault="00C6444C" w:rsidP="00020D20">
                      <w:pPr>
                        <w:jc w:val="center"/>
                      </w:pPr>
                      <w:r>
                        <w:rPr>
                          <w:noProof/>
                        </w:rPr>
                        <w:drawing>
                          <wp:inline distT="0" distB="0" distL="0" distR="0" wp14:anchorId="5E885BA6" wp14:editId="3030E146">
                            <wp:extent cx="457200" cy="457200"/>
                            <wp:effectExtent l="0" t="0" r="0" b="0"/>
                            <wp:docPr id="1690912829" name="Picture 169091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B35D8E5" w14:textId="240FCC7A" w:rsidR="00C6444C" w:rsidRPr="00020D20" w:rsidRDefault="00C6444C" w:rsidP="00020D20">
                      <w:pPr>
                        <w:pStyle w:val="Calloutboxes"/>
                        <w:rPr>
                          <w:rFonts w:cstheme="minorBidi"/>
                          <w:color w:val="auto"/>
                          <w:szCs w:val="20"/>
                        </w:rPr>
                      </w:pPr>
                      <w:r w:rsidRPr="00394A74">
                        <w:t>Additional information about FTA in-kind requirements is provided in</w:t>
                      </w:r>
                      <w:r w:rsidRPr="00020D20">
                        <w:rPr>
                          <w:rFonts w:cstheme="minorBidi"/>
                          <w:color w:val="auto"/>
                          <w:szCs w:val="20"/>
                        </w:rPr>
                        <w:t xml:space="preserve"> </w:t>
                      </w:r>
                      <w:hyperlink r:id="rId365" w:history="1">
                        <w:r w:rsidRPr="00020D20">
                          <w:rPr>
                            <w:rStyle w:val="TitleChar"/>
                            <w:sz w:val="16"/>
                          </w:rPr>
                          <w:t>FTA Circular 8100.1C, “Program Guidance for Metropolitan Planning and State Planning and Research Program Grants”</w:t>
                        </w:r>
                      </w:hyperlink>
                    </w:p>
                  </w:txbxContent>
                </v:textbox>
                <w10:wrap type="tight"/>
              </v:shape>
            </w:pict>
          </mc:Fallback>
        </mc:AlternateContent>
      </w:r>
      <w:r w:rsidR="001E49B3" w:rsidRPr="001E49B3">
        <w:t>In addition to in-kind contributions generated within an MPO or COG via its staff or facilities, local matches used to fund regional planning activities also might include the fair market value of the time spent by local government employees who participate on MPO or COG committees or who develop local transportation data for input into the regional planning process. In-kind contributions used to fund roadway improvements or other transportation projects typically involve donations of land, whereas local match for federally funded transit projects might include locally funded services and/or administration provided by a local transit agency.</w:t>
      </w:r>
    </w:p>
    <w:p w14:paraId="41200899" w14:textId="77777777" w:rsidR="001E49B3" w:rsidRPr="001E49B3" w:rsidRDefault="001E49B3" w:rsidP="00020D20">
      <w:pPr>
        <w:jc w:val="both"/>
      </w:pPr>
      <w:r w:rsidRPr="001E49B3">
        <w:t>On its website, the FTA urges funding applicants to always check in advance with their</w:t>
      </w:r>
      <w:r>
        <w:t xml:space="preserve"> </w:t>
      </w:r>
      <w:r w:rsidRPr="001E49B3">
        <w:t xml:space="preserve">regional FTA office to determine what is applicable in this manner. </w:t>
      </w:r>
    </w:p>
    <w:p w14:paraId="04F6B38C" w14:textId="77777777" w:rsidR="001E49B3" w:rsidRPr="001E49B3" w:rsidRDefault="001E49B3" w:rsidP="00020D20">
      <w:pPr>
        <w:pStyle w:val="Heading2"/>
      </w:pPr>
      <w:bookmarkStart w:id="177" w:name="_Ref50028990"/>
      <w:r w:rsidRPr="001E49B3">
        <w:t>4.6 | MPO &amp; THIRD-PARTY AGREEMENTS</w:t>
      </w:r>
      <w:bookmarkEnd w:id="177"/>
    </w:p>
    <w:p w14:paraId="0752ACCC" w14:textId="71605FE4" w:rsidR="001E49B3" w:rsidRPr="001E49B3" w:rsidRDefault="001E49B3" w:rsidP="00020D20">
      <w:pPr>
        <w:jc w:val="both"/>
      </w:pPr>
      <w:r w:rsidRPr="001E49B3">
        <w:t xml:space="preserve">Each MPO has several possible funding sources and is required to identify how these funds will be spent in the UPWP. </w:t>
      </w:r>
    </w:p>
    <w:p w14:paraId="09BBC4A9" w14:textId="194BA56B" w:rsidR="001E49B3" w:rsidRPr="001E49B3" w:rsidRDefault="001E49B3" w:rsidP="00020D20">
      <w:pPr>
        <w:pStyle w:val="Heading3"/>
        <w:jc w:val="both"/>
      </w:pPr>
      <w:bookmarkStart w:id="178" w:name="_Ref50028996"/>
      <w:r w:rsidRPr="001E49B3">
        <w:t xml:space="preserve">4.6.1 | </w:t>
      </w:r>
      <w:r w:rsidR="003B3BF5">
        <w:t>Grant</w:t>
      </w:r>
      <w:r w:rsidRPr="001E49B3">
        <w:t xml:space="preserve"> Agreement</w:t>
      </w:r>
      <w:bookmarkEnd w:id="178"/>
    </w:p>
    <w:p w14:paraId="037443DE" w14:textId="27B9E42C" w:rsidR="001E49B3" w:rsidRPr="001E49B3" w:rsidRDefault="001E49B3" w:rsidP="00020D20">
      <w:pPr>
        <w:jc w:val="both"/>
      </w:pPr>
      <w:r w:rsidRPr="001E49B3">
        <w:t xml:space="preserve">A </w:t>
      </w:r>
      <w:r w:rsidR="00BD216C">
        <w:t>GRT</w:t>
      </w:r>
      <w:r w:rsidRPr="001E49B3">
        <w:t xml:space="preserve"> is the standard contract between the MPO and ADOT to perform and be reimbursed for activities in the UPWP. The </w:t>
      </w:r>
      <w:r w:rsidR="00BD216C">
        <w:t>GRT</w:t>
      </w:r>
      <w:r w:rsidRPr="001E49B3">
        <w:t xml:space="preserve"> contract is developed with the ADOT Finance and Contract Administration section. The </w:t>
      </w:r>
      <w:r w:rsidR="00BD216C">
        <w:t>GRT</w:t>
      </w:r>
      <w:r w:rsidRPr="001E49B3">
        <w:t xml:space="preserve"> </w:t>
      </w:r>
      <w:r w:rsidR="003B3BF5">
        <w:t xml:space="preserve">may be up to a </w:t>
      </w:r>
      <w:r w:rsidRPr="001E49B3">
        <w:t xml:space="preserve">five-year contract that is amended </w:t>
      </w:r>
      <w:r w:rsidR="007C3C8E">
        <w:t>bi-</w:t>
      </w:r>
      <w:r w:rsidRPr="001E49B3">
        <w:t xml:space="preserve">annually. It is active from July 1 </w:t>
      </w:r>
      <w:r w:rsidR="007C3C8E">
        <w:t xml:space="preserve">of the first year </w:t>
      </w:r>
      <w:r w:rsidRPr="001E49B3">
        <w:t>through June 30 of</w:t>
      </w:r>
      <w:r w:rsidR="007C3C8E">
        <w:t xml:space="preserve"> the second</w:t>
      </w:r>
      <w:r w:rsidRPr="001E49B3">
        <w:t xml:space="preserve"> year. </w:t>
      </w:r>
    </w:p>
    <w:p w14:paraId="1E5C3F2B" w14:textId="21733544" w:rsidR="001E49B3" w:rsidRPr="001E49B3" w:rsidRDefault="001E49B3" w:rsidP="00020D20">
      <w:pPr>
        <w:pStyle w:val="Heading3"/>
        <w:jc w:val="both"/>
      </w:pPr>
      <w:bookmarkStart w:id="179" w:name="_Ref50028999"/>
      <w:r w:rsidRPr="001E49B3">
        <w:t xml:space="preserve">4.6.2 | </w:t>
      </w:r>
      <w:r w:rsidR="00BD216C">
        <w:t>GRT</w:t>
      </w:r>
      <w:r w:rsidRPr="001E49B3">
        <w:t xml:space="preserve"> Amendment</w:t>
      </w:r>
      <w:bookmarkEnd w:id="179"/>
    </w:p>
    <w:p w14:paraId="53F00BD8" w14:textId="240233E9" w:rsidR="001E49B3" w:rsidRPr="001E49B3" w:rsidRDefault="00BD216C" w:rsidP="00020D20">
      <w:pPr>
        <w:jc w:val="both"/>
      </w:pPr>
      <w:r>
        <w:t>GRT</w:t>
      </w:r>
      <w:r w:rsidR="001E49B3" w:rsidRPr="001E49B3">
        <w:t xml:space="preserve"> amendments are handled in a manner similar to the original. The scope of services</w:t>
      </w:r>
      <w:r w:rsidR="00457534">
        <w:t xml:space="preserve"> </w:t>
      </w:r>
      <w:r w:rsidR="00A34EE3">
        <w:t>in the UPWP</w:t>
      </w:r>
      <w:r w:rsidR="001E49B3" w:rsidRPr="001E49B3">
        <w:t xml:space="preserve"> determines whether more funds are needed. </w:t>
      </w:r>
    </w:p>
    <w:p w14:paraId="3B03324A" w14:textId="77777777" w:rsidR="001E49B3" w:rsidRPr="001E49B3" w:rsidRDefault="001E49B3" w:rsidP="00020D20">
      <w:pPr>
        <w:pStyle w:val="Heading3"/>
        <w:jc w:val="both"/>
      </w:pPr>
      <w:bookmarkStart w:id="180" w:name="_Ref50029002"/>
      <w:r w:rsidRPr="001E49B3">
        <w:t>4.6.3 | Third-Party Agreement</w:t>
      </w:r>
      <w:bookmarkEnd w:id="180"/>
    </w:p>
    <w:p w14:paraId="04AD0C0A" w14:textId="038E486A" w:rsidR="001E49B3" w:rsidRPr="001E49B3" w:rsidRDefault="001E49B3" w:rsidP="00020D20">
      <w:pPr>
        <w:jc w:val="both"/>
      </w:pPr>
      <w:r w:rsidRPr="001E49B3">
        <w:t xml:space="preserve">Third-party agreements are used when an MPO enters into an agreement with a party other than ADOT to perform UPWP work activities. Consultant contracts must be in accordance with the applicable requirements of federal and state of Arizona laws as defined in all </w:t>
      </w:r>
      <w:r w:rsidR="00BD216C">
        <w:t>GRT</w:t>
      </w:r>
      <w:r w:rsidRPr="001E49B3">
        <w:t xml:space="preserve"> contracts. An example of a third-party agreement is the collection of HPMS data using a portion of the UPWP PL or SPR funds to fund the data collection efforts completed by others.</w:t>
      </w:r>
    </w:p>
    <w:p w14:paraId="7DB39639" w14:textId="047CCB06" w:rsidR="001E49B3" w:rsidRPr="001E49B3" w:rsidRDefault="001E49B3" w:rsidP="00020D20">
      <w:pPr>
        <w:pStyle w:val="Heading2"/>
      </w:pPr>
      <w:bookmarkStart w:id="181" w:name="_Ref50029010"/>
      <w:r w:rsidRPr="001E49B3">
        <w:t xml:space="preserve">4.7 | </w:t>
      </w:r>
      <w:r w:rsidR="004E438A">
        <w:t>TWO-YEAR</w:t>
      </w:r>
      <w:r w:rsidR="004E438A" w:rsidRPr="001E49B3">
        <w:t xml:space="preserve"> </w:t>
      </w:r>
      <w:r w:rsidRPr="001E49B3">
        <w:t>REVIEW</w:t>
      </w:r>
      <w:bookmarkEnd w:id="181"/>
      <w:r w:rsidRPr="001E49B3">
        <w:t xml:space="preserve"> </w:t>
      </w:r>
    </w:p>
    <w:p w14:paraId="6D970A8E" w14:textId="059C54CF" w:rsidR="001E49B3" w:rsidRPr="001E49B3" w:rsidRDefault="001E49B3" w:rsidP="00020D20">
      <w:pPr>
        <w:jc w:val="both"/>
      </w:pPr>
      <w:r w:rsidRPr="001E49B3">
        <w:t xml:space="preserve">FHWA/FTA initiates and schedules a UPWP meeting in March/April at each of the MPO offices, during which the MPO provides a summary of the prior </w:t>
      </w:r>
      <w:r w:rsidR="004E438A">
        <w:t>Work Plan’s</w:t>
      </w:r>
      <w:r w:rsidR="004E438A" w:rsidRPr="001E49B3">
        <w:t xml:space="preserve"> </w:t>
      </w:r>
      <w:r w:rsidRPr="001E49B3">
        <w:t>accomplishment</w:t>
      </w:r>
      <w:r w:rsidR="004E438A">
        <w:t xml:space="preserve"> </w:t>
      </w:r>
      <w:r w:rsidRPr="001E49B3">
        <w:t xml:space="preserve">as well as an overview of the work efforts contained in the proposed UPWP. There is no standard agenda for this meeting. A draft UPWP is provided by the MPO to FHWA and FTA prior to the meeting. FHWA and FTA typically comment on the UPWP at the meeting, and the MPO addresses the comments afterward. Once comments are addressed, the MPO begins the approval process, sending the UPWP to various reviewers, including the </w:t>
      </w:r>
      <w:r w:rsidRPr="00096406">
        <w:rPr>
          <w:rStyle w:val="Heading5Char"/>
        </w:rPr>
        <w:t>Transportation Technical Advisory Committee</w:t>
      </w:r>
      <w:r w:rsidRPr="001E49B3">
        <w:t xml:space="preserve"> (TTAC) and the executive board. Additionally, the meeting serves as a platform to discuss issues with the TIP, RTP, Public Participation Plan, Title VI Plan, and other UPWP elements. </w:t>
      </w:r>
    </w:p>
    <w:p w14:paraId="567CE18C" w14:textId="77777777" w:rsidR="001E49B3" w:rsidRPr="001E49B3" w:rsidRDefault="001E49B3" w:rsidP="00020D20">
      <w:pPr>
        <w:pStyle w:val="Heading3"/>
        <w:jc w:val="both"/>
      </w:pPr>
      <w:bookmarkStart w:id="182" w:name="_Ref50029056"/>
      <w:r w:rsidRPr="001E49B3">
        <w:t>4.7.1 | Early Coordination</w:t>
      </w:r>
      <w:bookmarkEnd w:id="182"/>
      <w:r w:rsidRPr="001E49B3">
        <w:t xml:space="preserve"> </w:t>
      </w:r>
    </w:p>
    <w:p w14:paraId="0FE58A5C" w14:textId="596E2FA3" w:rsidR="001E49B3" w:rsidRPr="001E49B3" w:rsidRDefault="001E49B3" w:rsidP="00020D20">
      <w:pPr>
        <w:jc w:val="both"/>
      </w:pPr>
      <w:r w:rsidRPr="001E49B3">
        <w:t xml:space="preserve">ADOT regional planners start early coordination with MPOs and provide technical assistance for the preparation of the UPWP. This early coordination includes outlining new tasks and the most recent estimates of FHWA and FTA metropolitan planning funds available to the MPO. If issues require additional discussion, </w:t>
      </w:r>
      <w:r w:rsidR="00A34EE3">
        <w:t xml:space="preserve">the MPO </w:t>
      </w:r>
      <w:r w:rsidRPr="001E49B3">
        <w:t>is advised to consult the FHWA and/or FTA early in the UPWP development process. The MPO should initiate a kick-off meeting and invite ADOT, FHWA, FTA, and other transportation partners to attend. All UPWPs must be in accordance with the approved Public Participation Plan (</w:t>
      </w:r>
      <w:hyperlink r:id="rId366" w:history="1">
        <w:r w:rsidRPr="00020D20">
          <w:rPr>
            <w:rStyle w:val="TitleChar"/>
          </w:rPr>
          <w:t xml:space="preserve">23 </w:t>
        </w:r>
        <w:r w:rsidR="009628C0">
          <w:rPr>
            <w:rStyle w:val="TitleChar"/>
          </w:rPr>
          <w:t xml:space="preserve">C.F.R. </w:t>
        </w:r>
        <w:r w:rsidRPr="00020D20">
          <w:rPr>
            <w:rStyle w:val="TitleChar"/>
          </w:rPr>
          <w:t>§ 450.316</w:t>
        </w:r>
      </w:hyperlink>
      <w:r w:rsidRPr="001E49B3">
        <w:t xml:space="preserve">; see </w:t>
      </w:r>
      <w:hyperlink w:anchor="_13_| Public_Involvement" w:history="1">
        <w:r w:rsidRPr="00897360">
          <w:rPr>
            <w:rStyle w:val="TitleChar"/>
          </w:rPr>
          <w:t xml:space="preserve">chapter 13, “Public Involvement,” </w:t>
        </w:r>
      </w:hyperlink>
      <w:r w:rsidRPr="001E49B3">
        <w:t>in this manual).</w:t>
      </w:r>
    </w:p>
    <w:p w14:paraId="73F99E5F" w14:textId="77777777" w:rsidR="001E49B3" w:rsidRPr="001E49B3" w:rsidRDefault="001E49B3" w:rsidP="00020D20">
      <w:pPr>
        <w:pStyle w:val="Heading3"/>
        <w:jc w:val="both"/>
      </w:pPr>
      <w:bookmarkStart w:id="183" w:name="_Ref50029059"/>
      <w:r w:rsidRPr="001E49B3">
        <w:t>4.7.2 | Draft Review</w:t>
      </w:r>
      <w:bookmarkEnd w:id="183"/>
    </w:p>
    <w:p w14:paraId="4A3D9022" w14:textId="73266105" w:rsidR="001E49B3" w:rsidRPr="001E49B3" w:rsidRDefault="001E49B3" w:rsidP="00020D20">
      <w:pPr>
        <w:jc w:val="both"/>
      </w:pPr>
      <w:r w:rsidRPr="001E49B3">
        <w:t xml:space="preserve">The MPO must submit the draft UPWP to all reviewing agencies no later than two weeks prior to the review meeting. ADOT reviews the draft UPWP for format and content and distributes copies of the draft UPWP to the appropriate agencies afterward. In order to avoid confusion and reduce timing constraints for FHWA and FTA, there are no preliminary or final drafts. </w:t>
      </w:r>
    </w:p>
    <w:p w14:paraId="36CF384D" w14:textId="77777777" w:rsidR="001E49B3" w:rsidRPr="001E49B3" w:rsidRDefault="001E49B3" w:rsidP="00020D20">
      <w:pPr>
        <w:pStyle w:val="Heading3"/>
        <w:jc w:val="both"/>
      </w:pPr>
      <w:bookmarkStart w:id="184" w:name="_Ref50029062"/>
      <w:r w:rsidRPr="001E49B3">
        <w:t>4.7.3 | ADOT Review</w:t>
      </w:r>
      <w:bookmarkEnd w:id="184"/>
    </w:p>
    <w:p w14:paraId="700A34D9" w14:textId="77777777" w:rsidR="001E49B3" w:rsidRPr="001E49B3" w:rsidRDefault="001E49B3" w:rsidP="00020D20">
      <w:pPr>
        <w:jc w:val="both"/>
      </w:pPr>
      <w:r w:rsidRPr="001E49B3">
        <w:t>After comments received during the draft review process have been addressed, the MPO produces the final UPWP, which must be reviewed by ADOT within 10 working days of receipt. The MPO addresses any additional concerns raised during ADOT’s review and determine ways to resolve those comments.</w:t>
      </w:r>
      <w:r>
        <w:t xml:space="preserve"> </w:t>
      </w:r>
      <w:r w:rsidRPr="001E49B3">
        <w:t xml:space="preserve">ADOT submits the MPO’s responses to comments to the FHWA, FTA, and ADOT MPD. </w:t>
      </w:r>
    </w:p>
    <w:p w14:paraId="529A5F71" w14:textId="77777777" w:rsidR="001E49B3" w:rsidRPr="001E49B3" w:rsidRDefault="001E49B3" w:rsidP="00020D20">
      <w:pPr>
        <w:pStyle w:val="Heading3"/>
        <w:jc w:val="both"/>
      </w:pPr>
      <w:bookmarkStart w:id="185" w:name="_Ref50029065"/>
      <w:r w:rsidRPr="001E49B3">
        <w:t>4.7.4 | Adoption &amp; Submittal</w:t>
      </w:r>
      <w:bookmarkEnd w:id="185"/>
    </w:p>
    <w:p w14:paraId="074C6093" w14:textId="77777777" w:rsidR="001E49B3" w:rsidRPr="001E49B3" w:rsidRDefault="001E49B3" w:rsidP="00020D20">
      <w:pPr>
        <w:jc w:val="both"/>
      </w:pPr>
      <w:r w:rsidRPr="001E49B3">
        <w:t>The MPO must address all comments, have its board adopt the final UPWP, and transmit the approved UPWP by May 15 to the ADOT MPD director. The ADOT regional planner (not the MPO) distributes the final UPWP to FHWA and FTA, along with a transmittal letter from ADOT recommending approval, conditional approval, or disapproval.</w:t>
      </w:r>
    </w:p>
    <w:p w14:paraId="182197CF" w14:textId="77777777" w:rsidR="001E49B3" w:rsidRPr="001E49B3" w:rsidRDefault="001E49B3" w:rsidP="00020D20">
      <w:pPr>
        <w:pStyle w:val="Heading3"/>
        <w:jc w:val="both"/>
      </w:pPr>
      <w:bookmarkStart w:id="186" w:name="_Ref50029070"/>
      <w:r w:rsidRPr="001E49B3">
        <w:t>4.7.5 | FHWA/FTA Approval</w:t>
      </w:r>
      <w:bookmarkEnd w:id="186"/>
    </w:p>
    <w:p w14:paraId="5BC9A0B6" w14:textId="2264F0BC" w:rsidR="001E49B3" w:rsidRPr="001E49B3" w:rsidRDefault="001E49B3" w:rsidP="00020D20">
      <w:pPr>
        <w:jc w:val="both"/>
      </w:pPr>
      <w:r w:rsidRPr="001E49B3">
        <w:t>Although UPWPs may include tasks funded by FTA, FHWA approves the UPWP on behalf of FTA (</w:t>
      </w:r>
      <w:hyperlink r:id="rId367" w:history="1">
        <w:r w:rsidRPr="00020D20">
          <w:rPr>
            <w:rStyle w:val="TitleChar"/>
          </w:rPr>
          <w:t xml:space="preserve">23 </w:t>
        </w:r>
        <w:r w:rsidR="009628C0">
          <w:rPr>
            <w:rStyle w:val="TitleChar"/>
          </w:rPr>
          <w:t xml:space="preserve">C.F.R. </w:t>
        </w:r>
        <w:r w:rsidRPr="00020D20">
          <w:rPr>
            <w:rStyle w:val="TitleChar"/>
          </w:rPr>
          <w:t>§ 420.115(a)</w:t>
        </w:r>
      </w:hyperlink>
      <w:r w:rsidRPr="001E49B3">
        <w:t xml:space="preserve">). In order for FHWA to approve the UPWP prior to the beginning of the state fiscal year on July 1, it is critical to allow FHWA adequate time to review it. FHWA sends its approval letter to ADOT; ADOT must notify the MPO within 10 business days including providing the MPO a copy of the approval letter. FHWA and FTA may disapprove or withhold approval of certain tasks in the UPWP. Should that occur, an MPO cannot receive reimbursement of PL funds for these tasks until FHWA and FTA grant approval. </w:t>
      </w:r>
    </w:p>
    <w:p w14:paraId="61274F04" w14:textId="77777777" w:rsidR="001E49B3" w:rsidRPr="001E49B3" w:rsidRDefault="001E49B3" w:rsidP="00020D20">
      <w:pPr>
        <w:pStyle w:val="Heading2"/>
      </w:pPr>
      <w:bookmarkStart w:id="187" w:name="_Ref50029074"/>
      <w:r w:rsidRPr="001E49B3">
        <w:t>4.8 | MODIFICATIONS</w:t>
      </w:r>
      <w:bookmarkEnd w:id="187"/>
    </w:p>
    <w:p w14:paraId="3C0F31AF" w14:textId="77777777" w:rsidR="001E49B3" w:rsidRPr="001E49B3" w:rsidRDefault="001E49B3" w:rsidP="00020D20">
      <w:pPr>
        <w:jc w:val="both"/>
      </w:pPr>
      <w:r w:rsidRPr="001E49B3">
        <w:t xml:space="preserve">ADOT and the MPO monitor all invoices to ensure consistency between task expenditure amounts and programmed task amounts. When an FHWA line item requires modification, the MPO must prepare and submit a request for an amendment to ADOT. Amendments also are necessary when scope or task items are added, removed, or modified. Modifications of UPWP fall into two categories: revisions and amendments. </w:t>
      </w:r>
    </w:p>
    <w:p w14:paraId="2DF1C943" w14:textId="77777777" w:rsidR="001E49B3" w:rsidRPr="001E49B3" w:rsidRDefault="001E49B3" w:rsidP="00020D20">
      <w:pPr>
        <w:pStyle w:val="Heading3"/>
        <w:jc w:val="both"/>
      </w:pPr>
      <w:bookmarkStart w:id="188" w:name="_Ref50029078"/>
      <w:r w:rsidRPr="001E49B3">
        <w:t>4.8.1 | Approval of Modifications</w:t>
      </w:r>
      <w:bookmarkEnd w:id="188"/>
    </w:p>
    <w:p w14:paraId="2FC2DC25" w14:textId="77777777" w:rsidR="001E49B3" w:rsidRPr="001E49B3" w:rsidRDefault="001E49B3" w:rsidP="00020D20">
      <w:pPr>
        <w:jc w:val="both"/>
      </w:pPr>
      <w:r w:rsidRPr="001E49B3">
        <w:t>Approval for a revision is not required; however, MPOs must notify ADOT and FHWA/FTA of any revision to the UPWP within the consultative process prior to the revision’s execution. Amendments must be approved by the FHWA. Amendment requests must indicate the total amount of the funds being increased, decreased, or de-obligated within the body of the amendment request. The MPO must copy the ADOT regional planner on the amendment request. ADOT must review the MPO’s amendment request and transmits a letter of concurrence or comments within 10 working days of receipt from the MPO along with copies of the request and supporting material to FHWA for approval. ADOT must notify the MPO of FHWA’s response within 10 working days of receipt. The consultative process should be used at all stages of an amendment in order to facilitate communication and coordination among all parties involved. The MPO must provide copies of the FHWA approved amendment to the ADOT regional planner.</w:t>
      </w:r>
    </w:p>
    <w:p w14:paraId="618431E2" w14:textId="6DBC40C7" w:rsidR="001E49B3" w:rsidRPr="001E49B3" w:rsidRDefault="001E49B3" w:rsidP="00020D20">
      <w:pPr>
        <w:pStyle w:val="Heading2"/>
      </w:pPr>
      <w:bookmarkStart w:id="189" w:name="_Ref50029081"/>
      <w:r w:rsidRPr="001E49B3">
        <w:t>4.9 | PROGRESS REPORTS</w:t>
      </w:r>
      <w:bookmarkEnd w:id="189"/>
    </w:p>
    <w:p w14:paraId="277A9F04" w14:textId="00385381" w:rsidR="001E49B3" w:rsidRPr="001E49B3" w:rsidRDefault="001E49B3" w:rsidP="00020D20">
      <w:pPr>
        <w:jc w:val="both"/>
      </w:pPr>
      <w:r w:rsidRPr="001E49B3">
        <w:t xml:space="preserve">Progress reports are used to monitor the implementation of the UPWP, consistent with </w:t>
      </w:r>
      <w:hyperlink r:id="rId368" w:history="1">
        <w:r w:rsidR="004418C8">
          <w:rPr>
            <w:rStyle w:val="TitleChar"/>
          </w:rPr>
          <w:t xml:space="preserve">23 </w:t>
        </w:r>
        <w:r w:rsidR="009628C0">
          <w:rPr>
            <w:rStyle w:val="TitleChar"/>
          </w:rPr>
          <w:t xml:space="preserve">C.F.R. </w:t>
        </w:r>
        <w:r w:rsidR="004418C8">
          <w:rPr>
            <w:rStyle w:val="TitleChar"/>
          </w:rPr>
          <w:t>§ 420.117</w:t>
        </w:r>
      </w:hyperlink>
      <w:r w:rsidRPr="001E49B3">
        <w:t xml:space="preserve"> for FHWA subrecipients and FTA Circular 8100.1C (September 1, 2008) for FTA subrecipients. Although, federal regulations require MPOs to submit quarterly progress reports to be due within 30 days after the end of the reporting period; Arizona typically requires monthly progress reports. All invoices and progress reports are sent to the ADOT Finance and Contract Administration section. Final invoices and progress reports are due 45 days after the end of the end of the Arizona fiscal year. </w:t>
      </w:r>
    </w:p>
    <w:p w14:paraId="26333638" w14:textId="77777777" w:rsidR="001E49B3" w:rsidRPr="001E49B3" w:rsidRDefault="001E49B3" w:rsidP="00020D20">
      <w:pPr>
        <w:jc w:val="both"/>
      </w:pPr>
      <w:r w:rsidRPr="001E49B3">
        <w:t xml:space="preserve">A progress report must accompany each invoice an MPO submits to ADOT. If ADOT believes that the MPO’s documentation is inadequate, ADOT withholds MPO funding until the MPO submits proper documentation to the </w:t>
      </w:r>
      <w:r w:rsidRPr="00096406">
        <w:rPr>
          <w:rStyle w:val="Heading5Char"/>
        </w:rPr>
        <w:t>ADOT Finance and Contract Administration</w:t>
      </w:r>
      <w:r w:rsidRPr="001E49B3">
        <w:t xml:space="preserve"> section. The ADOT regional planner notifies FHWA/FTA if charges have been determined to be ineligible.</w:t>
      </w:r>
    </w:p>
    <w:p w14:paraId="6ACB1C24" w14:textId="142BE097" w:rsidR="001E49B3" w:rsidRPr="001E49B3" w:rsidRDefault="006728E9" w:rsidP="00020D20">
      <w:pPr>
        <w:jc w:val="both"/>
      </w:pPr>
      <w:r>
        <w:rPr>
          <w:rFonts w:cstheme="minorHAnsi"/>
          <w:noProof/>
        </w:rPr>
        <mc:AlternateContent>
          <mc:Choice Requires="wps">
            <w:drawing>
              <wp:anchor distT="0" distB="0" distL="114300" distR="114300" simplePos="0" relativeHeight="251618509" behindDoc="1" locked="0" layoutInCell="1" allowOverlap="1" wp14:anchorId="2A21767C" wp14:editId="595D7B1A">
                <wp:simplePos x="0" y="0"/>
                <wp:positionH relativeFrom="column">
                  <wp:posOffset>2976880</wp:posOffset>
                </wp:positionH>
                <wp:positionV relativeFrom="paragraph">
                  <wp:posOffset>120015</wp:posOffset>
                </wp:positionV>
                <wp:extent cx="1594485" cy="4093210"/>
                <wp:effectExtent l="95250" t="114300" r="100965" b="116840"/>
                <wp:wrapTight wrapText="bothSides">
                  <wp:wrapPolygon edited="0">
                    <wp:start x="-1032" y="-603"/>
                    <wp:lineTo x="-1290" y="21513"/>
                    <wp:lineTo x="-774" y="22116"/>
                    <wp:lineTo x="22194" y="22116"/>
                    <wp:lineTo x="22710" y="20608"/>
                    <wp:lineTo x="22452" y="-603"/>
                    <wp:lineTo x="-1032" y="-603"/>
                  </wp:wrapPolygon>
                </wp:wrapTight>
                <wp:docPr id="816286483" name="Text Box 816286483"/>
                <wp:cNvGraphicFramePr/>
                <a:graphic xmlns:a="http://schemas.openxmlformats.org/drawingml/2006/main">
                  <a:graphicData uri="http://schemas.microsoft.com/office/word/2010/wordprocessingShape">
                    <wps:wsp>
                      <wps:cNvSpPr txBox="1"/>
                      <wps:spPr>
                        <a:xfrm>
                          <a:off x="0" y="0"/>
                          <a:ext cx="1594485" cy="409321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3119437" w14:textId="77777777" w:rsidR="00C6444C" w:rsidRDefault="00C6444C" w:rsidP="00020D20">
                            <w:pPr>
                              <w:jc w:val="center"/>
                            </w:pPr>
                            <w:r>
                              <w:rPr>
                                <w:noProof/>
                              </w:rPr>
                              <w:drawing>
                                <wp:inline distT="0" distB="0" distL="0" distR="0" wp14:anchorId="63762BA7" wp14:editId="477586C6">
                                  <wp:extent cx="457200" cy="457200"/>
                                  <wp:effectExtent l="0" t="0" r="0" b="0"/>
                                  <wp:docPr id="1690912830" name="Picture 169091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46FAB7E" w14:textId="2A84BA56" w:rsidR="00C6444C" w:rsidRDefault="00C6444C" w:rsidP="00020D20">
                            <w:pPr>
                              <w:pStyle w:val="Calloutboxes"/>
                            </w:pPr>
                            <w:r>
                              <w:t>At a minimum, invoices must include the following nine items:</w:t>
                            </w:r>
                          </w:p>
                          <w:tbl>
                            <w:tblPr>
                              <w:tblW w:w="0" w:type="auto"/>
                              <w:tblLook w:val="04A0" w:firstRow="1" w:lastRow="0" w:firstColumn="1" w:lastColumn="0" w:noHBand="0" w:noVBand="1"/>
                            </w:tblPr>
                            <w:tblGrid>
                              <w:gridCol w:w="425"/>
                              <w:gridCol w:w="1788"/>
                            </w:tblGrid>
                            <w:tr w:rsidR="00C6444C" w14:paraId="26E883EB" w14:textId="77777777" w:rsidTr="00020D20">
                              <w:trPr>
                                <w:trHeight w:val="273"/>
                              </w:trPr>
                              <w:tc>
                                <w:tcPr>
                                  <w:tcW w:w="457" w:type="dxa"/>
                                  <w:vAlign w:val="center"/>
                                </w:tcPr>
                                <w:p w14:paraId="6B12CC60" w14:textId="77777777" w:rsidR="00C6444C" w:rsidRDefault="00C6444C" w:rsidP="00020D20">
                                  <w:pPr>
                                    <w:pStyle w:val="Calloutboxes"/>
                                    <w:spacing w:line="264" w:lineRule="auto"/>
                                    <w:jc w:val="left"/>
                                  </w:pPr>
                                  <w:r>
                                    <w:rPr>
                                      <w:noProof/>
                                    </w:rPr>
                                    <w:drawing>
                                      <wp:inline distT="0" distB="0" distL="0" distR="0" wp14:anchorId="02C0435C" wp14:editId="24E4C357">
                                        <wp:extent cx="91440" cy="91440"/>
                                        <wp:effectExtent l="0" t="0" r="3810" b="3810"/>
                                        <wp:docPr id="1690912831" name="Picture 169091283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4B376347" w14:textId="7BA938B7" w:rsidR="00C6444C" w:rsidRDefault="00C6444C" w:rsidP="00020D20">
                                  <w:pPr>
                                    <w:pStyle w:val="Calloutboxes"/>
                                    <w:spacing w:line="264" w:lineRule="auto"/>
                                    <w:jc w:val="left"/>
                                  </w:pPr>
                                  <w:r>
                                    <w:t>Authorized amount by fund</w:t>
                                  </w:r>
                                </w:p>
                              </w:tc>
                            </w:tr>
                            <w:tr w:rsidR="00C6444C" w14:paraId="0E2BFC22" w14:textId="77777777" w:rsidTr="00020D20">
                              <w:trPr>
                                <w:trHeight w:val="290"/>
                              </w:trPr>
                              <w:tc>
                                <w:tcPr>
                                  <w:tcW w:w="457" w:type="dxa"/>
                                  <w:vAlign w:val="center"/>
                                </w:tcPr>
                                <w:p w14:paraId="4119A224" w14:textId="77777777" w:rsidR="00C6444C" w:rsidRDefault="00C6444C" w:rsidP="00020D20">
                                  <w:pPr>
                                    <w:pStyle w:val="Calloutboxes"/>
                                    <w:spacing w:line="264" w:lineRule="auto"/>
                                    <w:jc w:val="left"/>
                                  </w:pPr>
                                  <w:r>
                                    <w:rPr>
                                      <w:noProof/>
                                    </w:rPr>
                                    <w:drawing>
                                      <wp:inline distT="0" distB="0" distL="0" distR="0" wp14:anchorId="7726ACCF" wp14:editId="21C067A1">
                                        <wp:extent cx="91440" cy="91440"/>
                                        <wp:effectExtent l="0" t="0" r="3810" b="3810"/>
                                        <wp:docPr id="1690912897" name="Picture 169091289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0F6E1BC5" w14:textId="43C43607" w:rsidR="00C6444C" w:rsidRDefault="00C6444C" w:rsidP="00020D20">
                                  <w:pPr>
                                    <w:pStyle w:val="Calloutboxes"/>
                                    <w:spacing w:line="264" w:lineRule="auto"/>
                                    <w:jc w:val="left"/>
                                  </w:pPr>
                                  <w:r>
                                    <w:t>Total expenditures</w:t>
                                  </w:r>
                                </w:p>
                              </w:tc>
                            </w:tr>
                            <w:tr w:rsidR="00C6444C" w14:paraId="1BFD2B94" w14:textId="77777777" w:rsidTr="00020D20">
                              <w:trPr>
                                <w:trHeight w:val="290"/>
                              </w:trPr>
                              <w:tc>
                                <w:tcPr>
                                  <w:tcW w:w="457" w:type="dxa"/>
                                  <w:vAlign w:val="center"/>
                                </w:tcPr>
                                <w:p w14:paraId="4874543B" w14:textId="77777777" w:rsidR="00C6444C" w:rsidRDefault="00C6444C" w:rsidP="00020D20">
                                  <w:pPr>
                                    <w:pStyle w:val="Calloutboxes"/>
                                    <w:spacing w:line="264" w:lineRule="auto"/>
                                    <w:jc w:val="left"/>
                                  </w:pPr>
                                  <w:r>
                                    <w:rPr>
                                      <w:noProof/>
                                    </w:rPr>
                                    <w:drawing>
                                      <wp:inline distT="0" distB="0" distL="0" distR="0" wp14:anchorId="6D544AA7" wp14:editId="55C0C73A">
                                        <wp:extent cx="91440" cy="91440"/>
                                        <wp:effectExtent l="0" t="0" r="3810" b="3810"/>
                                        <wp:docPr id="1690912901" name="Picture 169091290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1D037E5" w14:textId="49F9F074" w:rsidR="00C6444C" w:rsidRDefault="00C6444C" w:rsidP="00020D20">
                                  <w:pPr>
                                    <w:pStyle w:val="Calloutboxes"/>
                                    <w:spacing w:line="264" w:lineRule="auto"/>
                                    <w:jc w:val="left"/>
                                  </w:pPr>
                                  <w:r>
                                    <w:t>Total reimbursement for the current invoice</w:t>
                                  </w:r>
                                </w:p>
                              </w:tc>
                            </w:tr>
                            <w:tr w:rsidR="00C6444C" w14:paraId="547C68C3" w14:textId="77777777" w:rsidTr="00020D20">
                              <w:trPr>
                                <w:trHeight w:val="273"/>
                              </w:trPr>
                              <w:tc>
                                <w:tcPr>
                                  <w:tcW w:w="457" w:type="dxa"/>
                                  <w:vAlign w:val="center"/>
                                </w:tcPr>
                                <w:p w14:paraId="5A7D8902" w14:textId="77777777" w:rsidR="00C6444C" w:rsidRDefault="00C6444C" w:rsidP="00020D20">
                                  <w:pPr>
                                    <w:pStyle w:val="Calloutboxes"/>
                                    <w:spacing w:line="264" w:lineRule="auto"/>
                                    <w:jc w:val="left"/>
                                  </w:pPr>
                                  <w:r>
                                    <w:rPr>
                                      <w:noProof/>
                                    </w:rPr>
                                    <w:drawing>
                                      <wp:inline distT="0" distB="0" distL="0" distR="0" wp14:anchorId="5FA7DEE6" wp14:editId="461F0DCC">
                                        <wp:extent cx="91440" cy="91440"/>
                                        <wp:effectExtent l="0" t="0" r="3810" b="3810"/>
                                        <wp:docPr id="1690912905" name="Picture 169091290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CFDED11" w14:textId="3C6C6B27" w:rsidR="00C6444C" w:rsidRDefault="00C6444C" w:rsidP="00020D20">
                                  <w:pPr>
                                    <w:pStyle w:val="Calloutboxes"/>
                                    <w:spacing w:line="264" w:lineRule="auto"/>
                                    <w:jc w:val="left"/>
                                  </w:pPr>
                                  <w:r>
                                    <w:t>Percentage of project complete</w:t>
                                  </w:r>
                                </w:p>
                              </w:tc>
                            </w:tr>
                            <w:tr w:rsidR="00C6444C" w14:paraId="4C99CA75" w14:textId="77777777" w:rsidTr="00020D20">
                              <w:trPr>
                                <w:trHeight w:val="290"/>
                              </w:trPr>
                              <w:tc>
                                <w:tcPr>
                                  <w:tcW w:w="457" w:type="dxa"/>
                                  <w:vAlign w:val="center"/>
                                </w:tcPr>
                                <w:p w14:paraId="43CBD489" w14:textId="77777777" w:rsidR="00C6444C" w:rsidRDefault="00C6444C" w:rsidP="00020D20">
                                  <w:pPr>
                                    <w:pStyle w:val="Calloutboxes"/>
                                    <w:spacing w:line="264" w:lineRule="auto"/>
                                    <w:jc w:val="left"/>
                                  </w:pPr>
                                  <w:r>
                                    <w:rPr>
                                      <w:noProof/>
                                    </w:rPr>
                                    <w:drawing>
                                      <wp:inline distT="0" distB="0" distL="0" distR="0" wp14:anchorId="306128B2" wp14:editId="1A63097C">
                                        <wp:extent cx="91440" cy="91440"/>
                                        <wp:effectExtent l="0" t="0" r="3810" b="3810"/>
                                        <wp:docPr id="1690912906" name="Picture 169091290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7DA5617C" w14:textId="771F5831" w:rsidR="00C6444C" w:rsidRDefault="00C6444C" w:rsidP="00020D20">
                                  <w:pPr>
                                    <w:pStyle w:val="Calloutboxes"/>
                                    <w:spacing w:line="264" w:lineRule="auto"/>
                                    <w:jc w:val="left"/>
                                  </w:pPr>
                                  <w:r>
                                    <w:t>Funds remaining in project</w:t>
                                  </w:r>
                                </w:p>
                              </w:tc>
                            </w:tr>
                            <w:tr w:rsidR="00C6444C" w14:paraId="5A09713D" w14:textId="77777777" w:rsidTr="00C941A7">
                              <w:trPr>
                                <w:trHeight w:val="290"/>
                              </w:trPr>
                              <w:tc>
                                <w:tcPr>
                                  <w:tcW w:w="457" w:type="dxa"/>
                                  <w:vAlign w:val="center"/>
                                </w:tcPr>
                                <w:p w14:paraId="7012DCDC" w14:textId="22E627EC" w:rsidR="00C6444C" w:rsidRDefault="00C6444C" w:rsidP="00020D20">
                                  <w:pPr>
                                    <w:pStyle w:val="Calloutboxes"/>
                                    <w:spacing w:line="264" w:lineRule="auto"/>
                                    <w:jc w:val="left"/>
                                    <w:rPr>
                                      <w:noProof/>
                                    </w:rPr>
                                  </w:pPr>
                                  <w:r>
                                    <w:rPr>
                                      <w:noProof/>
                                    </w:rPr>
                                    <w:drawing>
                                      <wp:inline distT="0" distB="0" distL="0" distR="0" wp14:anchorId="72965190" wp14:editId="0BC3F06F">
                                        <wp:extent cx="91440" cy="91440"/>
                                        <wp:effectExtent l="0" t="0" r="3810" b="3810"/>
                                        <wp:docPr id="1690912907" name="Picture 169091290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EAFD19F" w14:textId="5F857900" w:rsidR="00C6444C" w:rsidRDefault="00C6444C" w:rsidP="00020D20">
                                  <w:pPr>
                                    <w:pStyle w:val="Calloutboxes"/>
                                    <w:spacing w:line="264" w:lineRule="auto"/>
                                    <w:jc w:val="left"/>
                                  </w:pPr>
                                  <w:r>
                                    <w:t>Breakdown of expenditures by UPWP task</w:t>
                                  </w:r>
                                </w:p>
                              </w:tc>
                            </w:tr>
                            <w:tr w:rsidR="00C6444C" w14:paraId="1FA9C32A" w14:textId="77777777" w:rsidTr="00C941A7">
                              <w:trPr>
                                <w:trHeight w:val="290"/>
                              </w:trPr>
                              <w:tc>
                                <w:tcPr>
                                  <w:tcW w:w="457" w:type="dxa"/>
                                  <w:vAlign w:val="center"/>
                                </w:tcPr>
                                <w:p w14:paraId="68AD1A6A" w14:textId="29AFF1AA" w:rsidR="00C6444C" w:rsidRDefault="00C6444C" w:rsidP="00020D20">
                                  <w:pPr>
                                    <w:pStyle w:val="Calloutboxes"/>
                                    <w:spacing w:line="264" w:lineRule="auto"/>
                                    <w:jc w:val="left"/>
                                    <w:rPr>
                                      <w:noProof/>
                                    </w:rPr>
                                  </w:pPr>
                                  <w:r>
                                    <w:rPr>
                                      <w:noProof/>
                                    </w:rPr>
                                    <w:drawing>
                                      <wp:inline distT="0" distB="0" distL="0" distR="0" wp14:anchorId="5DD6DC2D" wp14:editId="16C986E3">
                                        <wp:extent cx="91440" cy="91440"/>
                                        <wp:effectExtent l="0" t="0" r="3810" b="3810"/>
                                        <wp:docPr id="1690912908" name="Picture 169091290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53DB5070" w14:textId="4569A017" w:rsidR="00C6444C" w:rsidRDefault="00C6444C" w:rsidP="00020D20">
                                  <w:pPr>
                                    <w:pStyle w:val="Calloutboxes"/>
                                    <w:spacing w:line="264" w:lineRule="auto"/>
                                    <w:jc w:val="left"/>
                                  </w:pPr>
                                  <w:r>
                                    <w:t>Progress reports</w:t>
                                  </w:r>
                                </w:p>
                              </w:tc>
                            </w:tr>
                            <w:tr w:rsidR="00C6444C" w14:paraId="5D69BD40" w14:textId="77777777" w:rsidTr="00C941A7">
                              <w:trPr>
                                <w:trHeight w:val="290"/>
                              </w:trPr>
                              <w:tc>
                                <w:tcPr>
                                  <w:tcW w:w="457" w:type="dxa"/>
                                  <w:vAlign w:val="center"/>
                                </w:tcPr>
                                <w:p w14:paraId="4EB0DA01" w14:textId="044ACAFD" w:rsidR="00C6444C" w:rsidRDefault="00C6444C" w:rsidP="00020D20">
                                  <w:pPr>
                                    <w:pStyle w:val="Calloutboxes"/>
                                    <w:spacing w:line="264" w:lineRule="auto"/>
                                    <w:jc w:val="left"/>
                                    <w:rPr>
                                      <w:noProof/>
                                    </w:rPr>
                                  </w:pPr>
                                  <w:r>
                                    <w:rPr>
                                      <w:noProof/>
                                    </w:rPr>
                                    <w:drawing>
                                      <wp:inline distT="0" distB="0" distL="0" distR="0" wp14:anchorId="4459EB88" wp14:editId="48AD8CE8">
                                        <wp:extent cx="91440" cy="91440"/>
                                        <wp:effectExtent l="0" t="0" r="3810" b="3810"/>
                                        <wp:docPr id="1690912909" name="Picture 169091290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71A83798" w14:textId="6C51E6B6" w:rsidR="00C6444C" w:rsidRDefault="00C6444C" w:rsidP="00020D20">
                                  <w:pPr>
                                    <w:pStyle w:val="Calloutboxes"/>
                                    <w:spacing w:line="264" w:lineRule="auto"/>
                                    <w:jc w:val="left"/>
                                  </w:pPr>
                                  <w:r>
                                    <w:t>The period of time covered by the invoice</w:t>
                                  </w:r>
                                </w:p>
                              </w:tc>
                            </w:tr>
                            <w:tr w:rsidR="00C6444C" w14:paraId="11219D81" w14:textId="77777777" w:rsidTr="00C941A7">
                              <w:trPr>
                                <w:trHeight w:val="290"/>
                              </w:trPr>
                              <w:tc>
                                <w:tcPr>
                                  <w:tcW w:w="457" w:type="dxa"/>
                                  <w:vAlign w:val="center"/>
                                </w:tcPr>
                                <w:p w14:paraId="3C8E23FB" w14:textId="2D08819A" w:rsidR="00C6444C" w:rsidRDefault="00C6444C" w:rsidP="00020D20">
                                  <w:pPr>
                                    <w:pStyle w:val="Calloutboxes"/>
                                    <w:spacing w:line="264" w:lineRule="auto"/>
                                    <w:jc w:val="left"/>
                                    <w:rPr>
                                      <w:noProof/>
                                    </w:rPr>
                                  </w:pPr>
                                  <w:r>
                                    <w:rPr>
                                      <w:noProof/>
                                    </w:rPr>
                                    <w:drawing>
                                      <wp:inline distT="0" distB="0" distL="0" distR="0" wp14:anchorId="3A60B954" wp14:editId="2BB290D3">
                                        <wp:extent cx="91440" cy="91440"/>
                                        <wp:effectExtent l="0" t="0" r="3810" b="3810"/>
                                        <wp:docPr id="1690912910" name="Picture 169091291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40724F5" w14:textId="0C6710B6" w:rsidR="00C6444C" w:rsidRDefault="00C6444C" w:rsidP="00020D20">
                                  <w:pPr>
                                    <w:pStyle w:val="Calloutboxes"/>
                                    <w:spacing w:line="264" w:lineRule="auto"/>
                                    <w:jc w:val="left"/>
                                  </w:pPr>
                                  <w:r>
                                    <w:t>Federal-aid project number</w:t>
                                  </w:r>
                                </w:p>
                              </w:tc>
                            </w:tr>
                            <w:tr w:rsidR="00C6444C" w14:paraId="2F6F7FF3" w14:textId="77777777" w:rsidTr="00C941A7">
                              <w:trPr>
                                <w:trHeight w:val="290"/>
                              </w:trPr>
                              <w:tc>
                                <w:tcPr>
                                  <w:tcW w:w="457" w:type="dxa"/>
                                  <w:vAlign w:val="center"/>
                                </w:tcPr>
                                <w:p w14:paraId="51A410D0" w14:textId="00F5F6FF" w:rsidR="00C6444C" w:rsidRDefault="00C6444C" w:rsidP="00020D20">
                                  <w:pPr>
                                    <w:pStyle w:val="Calloutboxes"/>
                                    <w:spacing w:line="264" w:lineRule="auto"/>
                                    <w:jc w:val="left"/>
                                    <w:rPr>
                                      <w:noProof/>
                                    </w:rPr>
                                  </w:pPr>
                                  <w:r>
                                    <w:rPr>
                                      <w:noProof/>
                                    </w:rPr>
                                    <w:drawing>
                                      <wp:inline distT="0" distB="0" distL="0" distR="0" wp14:anchorId="77113753" wp14:editId="6A846F2D">
                                        <wp:extent cx="91440" cy="91440"/>
                                        <wp:effectExtent l="0" t="0" r="3810" b="3810"/>
                                        <wp:docPr id="1690912911" name="Picture 169091291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E25E92F" w14:textId="21F82403" w:rsidR="00C6444C" w:rsidRDefault="00C6444C" w:rsidP="00020D20">
                                  <w:pPr>
                                    <w:pStyle w:val="Calloutboxes"/>
                                    <w:spacing w:line="264" w:lineRule="auto"/>
                                    <w:jc w:val="left"/>
                                  </w:pPr>
                                  <w:r>
                                    <w:t>Receipts for eligible expenses</w:t>
                                  </w:r>
                                </w:p>
                              </w:tc>
                            </w:tr>
                            <w:tr w:rsidR="00C6444C" w14:paraId="731CE455" w14:textId="77777777" w:rsidTr="00C941A7">
                              <w:trPr>
                                <w:trHeight w:val="290"/>
                              </w:trPr>
                              <w:tc>
                                <w:tcPr>
                                  <w:tcW w:w="457" w:type="dxa"/>
                                  <w:vAlign w:val="center"/>
                                </w:tcPr>
                                <w:p w14:paraId="5340641A" w14:textId="61E70704" w:rsidR="00C6444C" w:rsidRDefault="00C6444C" w:rsidP="00020D20">
                                  <w:pPr>
                                    <w:pStyle w:val="Calloutboxes"/>
                                    <w:spacing w:line="264" w:lineRule="auto"/>
                                    <w:jc w:val="left"/>
                                    <w:rPr>
                                      <w:noProof/>
                                    </w:rPr>
                                  </w:pPr>
                                  <w:r>
                                    <w:rPr>
                                      <w:noProof/>
                                    </w:rPr>
                                    <w:drawing>
                                      <wp:inline distT="0" distB="0" distL="0" distR="0" wp14:anchorId="77051EBC" wp14:editId="1A78FCEC">
                                        <wp:extent cx="91440" cy="91440"/>
                                        <wp:effectExtent l="0" t="0" r="3810" b="3810"/>
                                        <wp:docPr id="1690912912" name="Picture 169091291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84D28A3" w14:textId="06A2C3E4" w:rsidR="00C6444C" w:rsidRDefault="00C6444C" w:rsidP="00020D20">
                                  <w:pPr>
                                    <w:pStyle w:val="Calloutboxes"/>
                                    <w:spacing w:line="264" w:lineRule="auto"/>
                                    <w:jc w:val="left"/>
                                  </w:pPr>
                                  <w:r>
                                    <w:t>In-kind worksheet</w:t>
                                  </w:r>
                                </w:p>
                              </w:tc>
                            </w:tr>
                            <w:tr w:rsidR="00C6444C" w14:paraId="10B8F034" w14:textId="77777777" w:rsidTr="00C941A7">
                              <w:trPr>
                                <w:trHeight w:val="290"/>
                              </w:trPr>
                              <w:tc>
                                <w:tcPr>
                                  <w:tcW w:w="457" w:type="dxa"/>
                                  <w:vAlign w:val="center"/>
                                </w:tcPr>
                                <w:p w14:paraId="36707908" w14:textId="24B2845F" w:rsidR="00C6444C" w:rsidRDefault="00C6444C" w:rsidP="00020D20">
                                  <w:pPr>
                                    <w:pStyle w:val="Calloutboxes"/>
                                    <w:spacing w:line="264" w:lineRule="auto"/>
                                    <w:jc w:val="left"/>
                                    <w:rPr>
                                      <w:noProof/>
                                    </w:rPr>
                                  </w:pPr>
                                  <w:r>
                                    <w:rPr>
                                      <w:noProof/>
                                    </w:rPr>
                                    <w:drawing>
                                      <wp:inline distT="0" distB="0" distL="0" distR="0" wp14:anchorId="6F8CFCA3" wp14:editId="0EC4E80A">
                                        <wp:extent cx="91440" cy="91440"/>
                                        <wp:effectExtent l="0" t="0" r="3810" b="3810"/>
                                        <wp:docPr id="1690912913" name="Picture 169091291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3DFEDF8" w14:textId="4D7FB79D" w:rsidR="00C6444C" w:rsidRDefault="00C6444C" w:rsidP="00020D20">
                                  <w:pPr>
                                    <w:pStyle w:val="Calloutboxes"/>
                                    <w:spacing w:line="264" w:lineRule="auto"/>
                                    <w:jc w:val="left"/>
                                  </w:pPr>
                                  <w:r>
                                    <w:t>Detailed expense ledge</w:t>
                                  </w:r>
                                </w:p>
                              </w:tc>
                            </w:tr>
                          </w:tbl>
                          <w:p w14:paraId="42F8C072" w14:textId="77777777" w:rsidR="00C6444C" w:rsidRPr="00C6412C"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21767C" id="Text Box 816286483" o:spid="_x0000_s1104" type="#_x0000_t202" style="position:absolute;left:0;text-align:left;margin-left:234.4pt;margin-top:9.45pt;width:125.55pt;height:322.3pt;z-index:-2516979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" fillcolor="#f7f7f7" stroked="f" strokeweight=".5pt">
                <v:shadow on="t" type="perspective" color="black" opacity="26214f" offset="0,0" matrix="66847f,,,66847f"/>
                <v:textbox>
                  <w:txbxContent>
                    <w:p w14:paraId="13119437" w14:textId="77777777" w:rsidR="00C6444C" w:rsidRDefault="00C6444C" w:rsidP="00020D20">
                      <w:pPr>
                        <w:jc w:val="center"/>
                      </w:pPr>
                      <w:r>
                        <w:rPr>
                          <w:noProof/>
                        </w:rPr>
                        <w:drawing>
                          <wp:inline distT="0" distB="0" distL="0" distR="0" wp14:anchorId="63762BA7" wp14:editId="477586C6">
                            <wp:extent cx="457200" cy="457200"/>
                            <wp:effectExtent l="0" t="0" r="0" b="0"/>
                            <wp:docPr id="1690912830" name="Picture 169091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46FAB7E" w14:textId="2A84BA56" w:rsidR="00C6444C" w:rsidRDefault="00C6444C" w:rsidP="00020D20">
                      <w:pPr>
                        <w:pStyle w:val="Calloutboxes"/>
                      </w:pPr>
                      <w:r>
                        <w:t>At a minimum, invoices must include the following nine items:</w:t>
                      </w:r>
                    </w:p>
                    <w:tbl>
                      <w:tblPr>
                        <w:tblW w:w="0" w:type="auto"/>
                        <w:tblLook w:val="04A0" w:firstRow="1" w:lastRow="0" w:firstColumn="1" w:lastColumn="0" w:noHBand="0" w:noVBand="1"/>
                      </w:tblPr>
                      <w:tblGrid>
                        <w:gridCol w:w="425"/>
                        <w:gridCol w:w="1788"/>
                      </w:tblGrid>
                      <w:tr w:rsidR="00C6444C" w14:paraId="26E883EB" w14:textId="77777777" w:rsidTr="00020D20">
                        <w:trPr>
                          <w:trHeight w:val="273"/>
                        </w:trPr>
                        <w:tc>
                          <w:tcPr>
                            <w:tcW w:w="457" w:type="dxa"/>
                            <w:vAlign w:val="center"/>
                          </w:tcPr>
                          <w:p w14:paraId="6B12CC60" w14:textId="77777777" w:rsidR="00C6444C" w:rsidRDefault="00C6444C" w:rsidP="00020D20">
                            <w:pPr>
                              <w:pStyle w:val="Calloutboxes"/>
                              <w:spacing w:line="264" w:lineRule="auto"/>
                              <w:jc w:val="left"/>
                            </w:pPr>
                            <w:r>
                              <w:rPr>
                                <w:noProof/>
                              </w:rPr>
                              <w:drawing>
                                <wp:inline distT="0" distB="0" distL="0" distR="0" wp14:anchorId="02C0435C" wp14:editId="24E4C357">
                                  <wp:extent cx="91440" cy="91440"/>
                                  <wp:effectExtent l="0" t="0" r="3810" b="3810"/>
                                  <wp:docPr id="1690912831" name="Picture 169091283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4B376347" w14:textId="7BA938B7" w:rsidR="00C6444C" w:rsidRDefault="00C6444C" w:rsidP="00020D20">
                            <w:pPr>
                              <w:pStyle w:val="Calloutboxes"/>
                              <w:spacing w:line="264" w:lineRule="auto"/>
                              <w:jc w:val="left"/>
                            </w:pPr>
                            <w:r>
                              <w:t>Authorized amount by fund</w:t>
                            </w:r>
                          </w:p>
                        </w:tc>
                      </w:tr>
                      <w:tr w:rsidR="00C6444C" w14:paraId="0E2BFC22" w14:textId="77777777" w:rsidTr="00020D20">
                        <w:trPr>
                          <w:trHeight w:val="290"/>
                        </w:trPr>
                        <w:tc>
                          <w:tcPr>
                            <w:tcW w:w="457" w:type="dxa"/>
                            <w:vAlign w:val="center"/>
                          </w:tcPr>
                          <w:p w14:paraId="4119A224" w14:textId="77777777" w:rsidR="00C6444C" w:rsidRDefault="00C6444C" w:rsidP="00020D20">
                            <w:pPr>
                              <w:pStyle w:val="Calloutboxes"/>
                              <w:spacing w:line="264" w:lineRule="auto"/>
                              <w:jc w:val="left"/>
                            </w:pPr>
                            <w:r>
                              <w:rPr>
                                <w:noProof/>
                              </w:rPr>
                              <w:drawing>
                                <wp:inline distT="0" distB="0" distL="0" distR="0" wp14:anchorId="7726ACCF" wp14:editId="21C067A1">
                                  <wp:extent cx="91440" cy="91440"/>
                                  <wp:effectExtent l="0" t="0" r="3810" b="3810"/>
                                  <wp:docPr id="1690912897" name="Picture 169091289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0F6E1BC5" w14:textId="43C43607" w:rsidR="00C6444C" w:rsidRDefault="00C6444C" w:rsidP="00020D20">
                            <w:pPr>
                              <w:pStyle w:val="Calloutboxes"/>
                              <w:spacing w:line="264" w:lineRule="auto"/>
                              <w:jc w:val="left"/>
                            </w:pPr>
                            <w:r>
                              <w:t>Total expenditures</w:t>
                            </w:r>
                          </w:p>
                        </w:tc>
                      </w:tr>
                      <w:tr w:rsidR="00C6444C" w14:paraId="1BFD2B94" w14:textId="77777777" w:rsidTr="00020D20">
                        <w:trPr>
                          <w:trHeight w:val="290"/>
                        </w:trPr>
                        <w:tc>
                          <w:tcPr>
                            <w:tcW w:w="457" w:type="dxa"/>
                            <w:vAlign w:val="center"/>
                          </w:tcPr>
                          <w:p w14:paraId="4874543B" w14:textId="77777777" w:rsidR="00C6444C" w:rsidRDefault="00C6444C" w:rsidP="00020D20">
                            <w:pPr>
                              <w:pStyle w:val="Calloutboxes"/>
                              <w:spacing w:line="264" w:lineRule="auto"/>
                              <w:jc w:val="left"/>
                            </w:pPr>
                            <w:r>
                              <w:rPr>
                                <w:noProof/>
                              </w:rPr>
                              <w:drawing>
                                <wp:inline distT="0" distB="0" distL="0" distR="0" wp14:anchorId="6D544AA7" wp14:editId="55C0C73A">
                                  <wp:extent cx="91440" cy="91440"/>
                                  <wp:effectExtent l="0" t="0" r="3810" b="3810"/>
                                  <wp:docPr id="1690912901" name="Picture 169091290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1D037E5" w14:textId="49F9F074" w:rsidR="00C6444C" w:rsidRDefault="00C6444C" w:rsidP="00020D20">
                            <w:pPr>
                              <w:pStyle w:val="Calloutboxes"/>
                              <w:spacing w:line="264" w:lineRule="auto"/>
                              <w:jc w:val="left"/>
                            </w:pPr>
                            <w:r>
                              <w:t>Total reimbursement for the current invoice</w:t>
                            </w:r>
                          </w:p>
                        </w:tc>
                      </w:tr>
                      <w:tr w:rsidR="00C6444C" w14:paraId="547C68C3" w14:textId="77777777" w:rsidTr="00020D20">
                        <w:trPr>
                          <w:trHeight w:val="273"/>
                        </w:trPr>
                        <w:tc>
                          <w:tcPr>
                            <w:tcW w:w="457" w:type="dxa"/>
                            <w:vAlign w:val="center"/>
                          </w:tcPr>
                          <w:p w14:paraId="5A7D8902" w14:textId="77777777" w:rsidR="00C6444C" w:rsidRDefault="00C6444C" w:rsidP="00020D20">
                            <w:pPr>
                              <w:pStyle w:val="Calloutboxes"/>
                              <w:spacing w:line="264" w:lineRule="auto"/>
                              <w:jc w:val="left"/>
                            </w:pPr>
                            <w:r>
                              <w:rPr>
                                <w:noProof/>
                              </w:rPr>
                              <w:drawing>
                                <wp:inline distT="0" distB="0" distL="0" distR="0" wp14:anchorId="5FA7DEE6" wp14:editId="461F0DCC">
                                  <wp:extent cx="91440" cy="91440"/>
                                  <wp:effectExtent l="0" t="0" r="3810" b="3810"/>
                                  <wp:docPr id="1690912905" name="Picture 169091290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CFDED11" w14:textId="3C6C6B27" w:rsidR="00C6444C" w:rsidRDefault="00C6444C" w:rsidP="00020D20">
                            <w:pPr>
                              <w:pStyle w:val="Calloutboxes"/>
                              <w:spacing w:line="264" w:lineRule="auto"/>
                              <w:jc w:val="left"/>
                            </w:pPr>
                            <w:r>
                              <w:t>Percentage of project complete</w:t>
                            </w:r>
                          </w:p>
                        </w:tc>
                      </w:tr>
                      <w:tr w:rsidR="00C6444C" w14:paraId="4C99CA75" w14:textId="77777777" w:rsidTr="00020D20">
                        <w:trPr>
                          <w:trHeight w:val="290"/>
                        </w:trPr>
                        <w:tc>
                          <w:tcPr>
                            <w:tcW w:w="457" w:type="dxa"/>
                            <w:vAlign w:val="center"/>
                          </w:tcPr>
                          <w:p w14:paraId="43CBD489" w14:textId="77777777" w:rsidR="00C6444C" w:rsidRDefault="00C6444C" w:rsidP="00020D20">
                            <w:pPr>
                              <w:pStyle w:val="Calloutboxes"/>
                              <w:spacing w:line="264" w:lineRule="auto"/>
                              <w:jc w:val="left"/>
                            </w:pPr>
                            <w:r>
                              <w:rPr>
                                <w:noProof/>
                              </w:rPr>
                              <w:drawing>
                                <wp:inline distT="0" distB="0" distL="0" distR="0" wp14:anchorId="306128B2" wp14:editId="1A63097C">
                                  <wp:extent cx="91440" cy="91440"/>
                                  <wp:effectExtent l="0" t="0" r="3810" b="3810"/>
                                  <wp:docPr id="1690912906" name="Picture 169091290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7DA5617C" w14:textId="771F5831" w:rsidR="00C6444C" w:rsidRDefault="00C6444C" w:rsidP="00020D20">
                            <w:pPr>
                              <w:pStyle w:val="Calloutboxes"/>
                              <w:spacing w:line="264" w:lineRule="auto"/>
                              <w:jc w:val="left"/>
                            </w:pPr>
                            <w:r>
                              <w:t>Funds remaining in project</w:t>
                            </w:r>
                          </w:p>
                        </w:tc>
                      </w:tr>
                      <w:tr w:rsidR="00C6444C" w14:paraId="5A09713D" w14:textId="77777777" w:rsidTr="00C941A7">
                        <w:trPr>
                          <w:trHeight w:val="290"/>
                        </w:trPr>
                        <w:tc>
                          <w:tcPr>
                            <w:tcW w:w="457" w:type="dxa"/>
                            <w:vAlign w:val="center"/>
                          </w:tcPr>
                          <w:p w14:paraId="7012DCDC" w14:textId="22E627EC" w:rsidR="00C6444C" w:rsidRDefault="00C6444C" w:rsidP="00020D20">
                            <w:pPr>
                              <w:pStyle w:val="Calloutboxes"/>
                              <w:spacing w:line="264" w:lineRule="auto"/>
                              <w:jc w:val="left"/>
                              <w:rPr>
                                <w:noProof/>
                              </w:rPr>
                            </w:pPr>
                            <w:r>
                              <w:rPr>
                                <w:noProof/>
                              </w:rPr>
                              <w:drawing>
                                <wp:inline distT="0" distB="0" distL="0" distR="0" wp14:anchorId="72965190" wp14:editId="0BC3F06F">
                                  <wp:extent cx="91440" cy="91440"/>
                                  <wp:effectExtent l="0" t="0" r="3810" b="3810"/>
                                  <wp:docPr id="1690912907" name="Picture 169091290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EAFD19F" w14:textId="5F857900" w:rsidR="00C6444C" w:rsidRDefault="00C6444C" w:rsidP="00020D20">
                            <w:pPr>
                              <w:pStyle w:val="Calloutboxes"/>
                              <w:spacing w:line="264" w:lineRule="auto"/>
                              <w:jc w:val="left"/>
                            </w:pPr>
                            <w:r>
                              <w:t>Breakdown of expenditures by UPWP task</w:t>
                            </w:r>
                          </w:p>
                        </w:tc>
                      </w:tr>
                      <w:tr w:rsidR="00C6444C" w14:paraId="1FA9C32A" w14:textId="77777777" w:rsidTr="00C941A7">
                        <w:trPr>
                          <w:trHeight w:val="290"/>
                        </w:trPr>
                        <w:tc>
                          <w:tcPr>
                            <w:tcW w:w="457" w:type="dxa"/>
                            <w:vAlign w:val="center"/>
                          </w:tcPr>
                          <w:p w14:paraId="68AD1A6A" w14:textId="29AFF1AA" w:rsidR="00C6444C" w:rsidRDefault="00C6444C" w:rsidP="00020D20">
                            <w:pPr>
                              <w:pStyle w:val="Calloutboxes"/>
                              <w:spacing w:line="264" w:lineRule="auto"/>
                              <w:jc w:val="left"/>
                              <w:rPr>
                                <w:noProof/>
                              </w:rPr>
                            </w:pPr>
                            <w:r>
                              <w:rPr>
                                <w:noProof/>
                              </w:rPr>
                              <w:drawing>
                                <wp:inline distT="0" distB="0" distL="0" distR="0" wp14:anchorId="5DD6DC2D" wp14:editId="16C986E3">
                                  <wp:extent cx="91440" cy="91440"/>
                                  <wp:effectExtent l="0" t="0" r="3810" b="3810"/>
                                  <wp:docPr id="1690912908" name="Picture 169091290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53DB5070" w14:textId="4569A017" w:rsidR="00C6444C" w:rsidRDefault="00C6444C" w:rsidP="00020D20">
                            <w:pPr>
                              <w:pStyle w:val="Calloutboxes"/>
                              <w:spacing w:line="264" w:lineRule="auto"/>
                              <w:jc w:val="left"/>
                            </w:pPr>
                            <w:r>
                              <w:t>Progress reports</w:t>
                            </w:r>
                          </w:p>
                        </w:tc>
                      </w:tr>
                      <w:tr w:rsidR="00C6444C" w14:paraId="5D69BD40" w14:textId="77777777" w:rsidTr="00C941A7">
                        <w:trPr>
                          <w:trHeight w:val="290"/>
                        </w:trPr>
                        <w:tc>
                          <w:tcPr>
                            <w:tcW w:w="457" w:type="dxa"/>
                            <w:vAlign w:val="center"/>
                          </w:tcPr>
                          <w:p w14:paraId="4EB0DA01" w14:textId="044ACAFD" w:rsidR="00C6444C" w:rsidRDefault="00C6444C" w:rsidP="00020D20">
                            <w:pPr>
                              <w:pStyle w:val="Calloutboxes"/>
                              <w:spacing w:line="264" w:lineRule="auto"/>
                              <w:jc w:val="left"/>
                              <w:rPr>
                                <w:noProof/>
                              </w:rPr>
                            </w:pPr>
                            <w:r>
                              <w:rPr>
                                <w:noProof/>
                              </w:rPr>
                              <w:drawing>
                                <wp:inline distT="0" distB="0" distL="0" distR="0" wp14:anchorId="4459EB88" wp14:editId="48AD8CE8">
                                  <wp:extent cx="91440" cy="91440"/>
                                  <wp:effectExtent l="0" t="0" r="3810" b="3810"/>
                                  <wp:docPr id="1690912909" name="Picture 169091290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71A83798" w14:textId="6C51E6B6" w:rsidR="00C6444C" w:rsidRDefault="00C6444C" w:rsidP="00020D20">
                            <w:pPr>
                              <w:pStyle w:val="Calloutboxes"/>
                              <w:spacing w:line="264" w:lineRule="auto"/>
                              <w:jc w:val="left"/>
                            </w:pPr>
                            <w:r>
                              <w:t>The period of time covered by the invoice</w:t>
                            </w:r>
                          </w:p>
                        </w:tc>
                      </w:tr>
                      <w:tr w:rsidR="00C6444C" w14:paraId="11219D81" w14:textId="77777777" w:rsidTr="00C941A7">
                        <w:trPr>
                          <w:trHeight w:val="290"/>
                        </w:trPr>
                        <w:tc>
                          <w:tcPr>
                            <w:tcW w:w="457" w:type="dxa"/>
                            <w:vAlign w:val="center"/>
                          </w:tcPr>
                          <w:p w14:paraId="3C8E23FB" w14:textId="2D08819A" w:rsidR="00C6444C" w:rsidRDefault="00C6444C" w:rsidP="00020D20">
                            <w:pPr>
                              <w:pStyle w:val="Calloutboxes"/>
                              <w:spacing w:line="264" w:lineRule="auto"/>
                              <w:jc w:val="left"/>
                              <w:rPr>
                                <w:noProof/>
                              </w:rPr>
                            </w:pPr>
                            <w:r>
                              <w:rPr>
                                <w:noProof/>
                              </w:rPr>
                              <w:drawing>
                                <wp:inline distT="0" distB="0" distL="0" distR="0" wp14:anchorId="3A60B954" wp14:editId="2BB290D3">
                                  <wp:extent cx="91440" cy="91440"/>
                                  <wp:effectExtent l="0" t="0" r="3810" b="3810"/>
                                  <wp:docPr id="1690912910" name="Picture 169091291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40724F5" w14:textId="0C6710B6" w:rsidR="00C6444C" w:rsidRDefault="00C6444C" w:rsidP="00020D20">
                            <w:pPr>
                              <w:pStyle w:val="Calloutboxes"/>
                              <w:spacing w:line="264" w:lineRule="auto"/>
                              <w:jc w:val="left"/>
                            </w:pPr>
                            <w:r>
                              <w:t>Federal-aid project number</w:t>
                            </w:r>
                          </w:p>
                        </w:tc>
                      </w:tr>
                      <w:tr w:rsidR="00C6444C" w14:paraId="2F6F7FF3" w14:textId="77777777" w:rsidTr="00C941A7">
                        <w:trPr>
                          <w:trHeight w:val="290"/>
                        </w:trPr>
                        <w:tc>
                          <w:tcPr>
                            <w:tcW w:w="457" w:type="dxa"/>
                            <w:vAlign w:val="center"/>
                          </w:tcPr>
                          <w:p w14:paraId="51A410D0" w14:textId="00F5F6FF" w:rsidR="00C6444C" w:rsidRDefault="00C6444C" w:rsidP="00020D20">
                            <w:pPr>
                              <w:pStyle w:val="Calloutboxes"/>
                              <w:spacing w:line="264" w:lineRule="auto"/>
                              <w:jc w:val="left"/>
                              <w:rPr>
                                <w:noProof/>
                              </w:rPr>
                            </w:pPr>
                            <w:r>
                              <w:rPr>
                                <w:noProof/>
                              </w:rPr>
                              <w:drawing>
                                <wp:inline distT="0" distB="0" distL="0" distR="0" wp14:anchorId="77113753" wp14:editId="6A846F2D">
                                  <wp:extent cx="91440" cy="91440"/>
                                  <wp:effectExtent l="0" t="0" r="3810" b="3810"/>
                                  <wp:docPr id="1690912911" name="Picture 169091291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E25E92F" w14:textId="21F82403" w:rsidR="00C6444C" w:rsidRDefault="00C6444C" w:rsidP="00020D20">
                            <w:pPr>
                              <w:pStyle w:val="Calloutboxes"/>
                              <w:spacing w:line="264" w:lineRule="auto"/>
                              <w:jc w:val="left"/>
                            </w:pPr>
                            <w:r>
                              <w:t>Receipts for eligible expenses</w:t>
                            </w:r>
                          </w:p>
                        </w:tc>
                      </w:tr>
                      <w:tr w:rsidR="00C6444C" w14:paraId="731CE455" w14:textId="77777777" w:rsidTr="00C941A7">
                        <w:trPr>
                          <w:trHeight w:val="290"/>
                        </w:trPr>
                        <w:tc>
                          <w:tcPr>
                            <w:tcW w:w="457" w:type="dxa"/>
                            <w:vAlign w:val="center"/>
                          </w:tcPr>
                          <w:p w14:paraId="5340641A" w14:textId="61E70704" w:rsidR="00C6444C" w:rsidRDefault="00C6444C" w:rsidP="00020D20">
                            <w:pPr>
                              <w:pStyle w:val="Calloutboxes"/>
                              <w:spacing w:line="264" w:lineRule="auto"/>
                              <w:jc w:val="left"/>
                              <w:rPr>
                                <w:noProof/>
                              </w:rPr>
                            </w:pPr>
                            <w:r>
                              <w:rPr>
                                <w:noProof/>
                              </w:rPr>
                              <w:drawing>
                                <wp:inline distT="0" distB="0" distL="0" distR="0" wp14:anchorId="77051EBC" wp14:editId="1A78FCEC">
                                  <wp:extent cx="91440" cy="91440"/>
                                  <wp:effectExtent l="0" t="0" r="3810" b="3810"/>
                                  <wp:docPr id="1690912912" name="Picture 169091291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84D28A3" w14:textId="06A2C3E4" w:rsidR="00C6444C" w:rsidRDefault="00C6444C" w:rsidP="00020D20">
                            <w:pPr>
                              <w:pStyle w:val="Calloutboxes"/>
                              <w:spacing w:line="264" w:lineRule="auto"/>
                              <w:jc w:val="left"/>
                            </w:pPr>
                            <w:r>
                              <w:t>In-kind worksheet</w:t>
                            </w:r>
                          </w:p>
                        </w:tc>
                      </w:tr>
                      <w:tr w:rsidR="00C6444C" w14:paraId="10B8F034" w14:textId="77777777" w:rsidTr="00C941A7">
                        <w:trPr>
                          <w:trHeight w:val="290"/>
                        </w:trPr>
                        <w:tc>
                          <w:tcPr>
                            <w:tcW w:w="457" w:type="dxa"/>
                            <w:vAlign w:val="center"/>
                          </w:tcPr>
                          <w:p w14:paraId="36707908" w14:textId="24B2845F" w:rsidR="00C6444C" w:rsidRDefault="00C6444C" w:rsidP="00020D20">
                            <w:pPr>
                              <w:pStyle w:val="Calloutboxes"/>
                              <w:spacing w:line="264" w:lineRule="auto"/>
                              <w:jc w:val="left"/>
                              <w:rPr>
                                <w:noProof/>
                              </w:rPr>
                            </w:pPr>
                            <w:r>
                              <w:rPr>
                                <w:noProof/>
                              </w:rPr>
                              <w:drawing>
                                <wp:inline distT="0" distB="0" distL="0" distR="0" wp14:anchorId="6F8CFCA3" wp14:editId="0EC4E80A">
                                  <wp:extent cx="91440" cy="91440"/>
                                  <wp:effectExtent l="0" t="0" r="3810" b="3810"/>
                                  <wp:docPr id="1690912913" name="Picture 169091291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13DFEDF8" w14:textId="4D7FB79D" w:rsidR="00C6444C" w:rsidRDefault="00C6444C" w:rsidP="00020D20">
                            <w:pPr>
                              <w:pStyle w:val="Calloutboxes"/>
                              <w:spacing w:line="264" w:lineRule="auto"/>
                              <w:jc w:val="left"/>
                            </w:pPr>
                            <w:r>
                              <w:t>Detailed expense ledge</w:t>
                            </w:r>
                          </w:p>
                        </w:tc>
                      </w:tr>
                    </w:tbl>
                    <w:p w14:paraId="42F8C072" w14:textId="77777777" w:rsidR="00C6444C" w:rsidRPr="00C6412C" w:rsidRDefault="00C6444C" w:rsidP="00020D20"/>
                  </w:txbxContent>
                </v:textbox>
                <w10:wrap type="tight"/>
              </v:shape>
            </w:pict>
          </mc:Fallback>
        </mc:AlternateContent>
      </w:r>
      <w:r>
        <w:rPr>
          <w:rFonts w:cstheme="minorHAnsi"/>
          <w:noProof/>
        </w:rPr>
        <mc:AlternateContent>
          <mc:Choice Requires="wps">
            <w:drawing>
              <wp:anchor distT="0" distB="0" distL="114300" distR="114300" simplePos="0" relativeHeight="251618511" behindDoc="1" locked="0" layoutInCell="1" allowOverlap="1" wp14:anchorId="065D5FB4" wp14:editId="72487A33">
                <wp:simplePos x="0" y="0"/>
                <wp:positionH relativeFrom="column">
                  <wp:posOffset>4688840</wp:posOffset>
                </wp:positionH>
                <wp:positionV relativeFrom="paragraph">
                  <wp:posOffset>2385060</wp:posOffset>
                </wp:positionV>
                <wp:extent cx="1260475" cy="1828800"/>
                <wp:effectExtent l="76200" t="95250" r="73025" b="95250"/>
                <wp:wrapTight wrapText="bothSides">
                  <wp:wrapPolygon edited="0">
                    <wp:start x="-1306" y="-1125"/>
                    <wp:lineTo x="-1306" y="22500"/>
                    <wp:lineTo x="22525" y="22500"/>
                    <wp:lineTo x="22525" y="-1125"/>
                    <wp:lineTo x="-1306" y="-1125"/>
                  </wp:wrapPolygon>
                </wp:wrapTight>
                <wp:docPr id="816286492" name="Text Box 816286492"/>
                <wp:cNvGraphicFramePr/>
                <a:graphic xmlns:a="http://schemas.openxmlformats.org/drawingml/2006/main">
                  <a:graphicData uri="http://schemas.microsoft.com/office/word/2010/wordprocessingShape">
                    <wps:wsp>
                      <wps:cNvSpPr txBox="1"/>
                      <wps:spPr>
                        <a:xfrm>
                          <a:off x="0" y="0"/>
                          <a:ext cx="1260475" cy="18288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56CBC24" w14:textId="77777777" w:rsidR="00C6444C" w:rsidRDefault="00C6444C" w:rsidP="00020D20">
                            <w:pPr>
                              <w:jc w:val="center"/>
                            </w:pPr>
                            <w:r>
                              <w:rPr>
                                <w:noProof/>
                              </w:rPr>
                              <w:drawing>
                                <wp:inline distT="0" distB="0" distL="0" distR="0" wp14:anchorId="425C2B9B" wp14:editId="6774B29F">
                                  <wp:extent cx="457200" cy="457200"/>
                                  <wp:effectExtent l="0" t="0" r="0" b="0"/>
                                  <wp:docPr id="1690912914" name="Picture 169091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F259ABD" w14:textId="7AFBBDDD" w:rsidR="00C6444C" w:rsidRPr="00954116" w:rsidRDefault="00C6444C" w:rsidP="00020D20">
                            <w:pPr>
                              <w:pStyle w:val="Calloutboxes"/>
                            </w:pPr>
                            <w:r w:rsidRPr="00394A74">
                              <w:t>Information related to receipts for eligible expenses (e.g. meeting supplies) can be found in</w:t>
                            </w:r>
                          </w:p>
                          <w:p w14:paraId="26AFAF4A" w14:textId="234E0896" w:rsidR="00C6444C" w:rsidRPr="00020D20" w:rsidRDefault="00202C92">
                            <w:pPr>
                              <w:pStyle w:val="Title"/>
                              <w:rPr>
                                <w:sz w:val="16"/>
                                <w:szCs w:val="16"/>
                              </w:rPr>
                            </w:pPr>
                            <w:hyperlink r:id="rId369" w:history="1">
                              <w:r w:rsidR="00C6444C" w:rsidRPr="00020D20">
                                <w:rPr>
                                  <w:rStyle w:val="Hyperlink"/>
                                  <w:rFonts w:ascii="Calibri" w:hAnsi="Calibri" w:cstheme="majorBidi"/>
                                  <w:i/>
                                  <w:color w:val="CE5B18"/>
                                  <w:szCs w:val="56"/>
                                  <w:u w:val="none"/>
                                </w:rPr>
                                <w:t>https://www.govinfo.gov/app/details/CFR-2014-title2-vol1/CFR-2014-title2-vol1-part200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5D5FB4" id="Text Box 816286492" o:spid="_x0000_s1105" type="#_x0000_t202" style="position:absolute;left:0;text-align:left;margin-left:369.2pt;margin-top:187.8pt;width:99.25pt;height:2in;z-index:-2516979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" fillcolor="#f7f7f7" stroked="f" strokeweight=".5pt">
                <v:shadow on="t" type="perspective" color="black" opacity="26214f" offset="0,0" matrix="66847f,,,66847f"/>
                <v:textbox>
                  <w:txbxContent>
                    <w:p w14:paraId="756CBC24" w14:textId="77777777" w:rsidR="00C6444C" w:rsidRDefault="00C6444C" w:rsidP="00020D20">
                      <w:pPr>
                        <w:jc w:val="center"/>
                      </w:pPr>
                      <w:r>
                        <w:rPr>
                          <w:noProof/>
                        </w:rPr>
                        <w:drawing>
                          <wp:inline distT="0" distB="0" distL="0" distR="0" wp14:anchorId="425C2B9B" wp14:editId="6774B29F">
                            <wp:extent cx="457200" cy="457200"/>
                            <wp:effectExtent l="0" t="0" r="0" b="0"/>
                            <wp:docPr id="1690912914" name="Picture 169091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F259ABD" w14:textId="7AFBBDDD" w:rsidR="00C6444C" w:rsidRPr="00954116" w:rsidRDefault="00C6444C" w:rsidP="00020D20">
                      <w:pPr>
                        <w:pStyle w:val="Calloutboxes"/>
                      </w:pPr>
                      <w:r w:rsidRPr="00394A74">
                        <w:t>Information related to receipts for eligible expenses (e.g. meeting supplies) can be found in</w:t>
                      </w:r>
                    </w:p>
                    <w:p w14:paraId="26AFAF4A" w14:textId="234E0896" w:rsidR="00C6444C" w:rsidRPr="00020D20" w:rsidRDefault="00C6444C">
                      <w:pPr>
                        <w:pStyle w:val="Title"/>
                        <w:rPr>
                          <w:sz w:val="16"/>
                          <w:szCs w:val="16"/>
                        </w:rPr>
                      </w:pPr>
                      <w:hyperlink r:id="rId370" w:history="1">
                        <w:r w:rsidRPr="00020D20">
                          <w:rPr>
                            <w:rStyle w:val="Hyperlink"/>
                            <w:rFonts w:ascii="Calibri" w:hAnsi="Calibri" w:cstheme="majorBidi"/>
                            <w:i/>
                            <w:color w:val="CE5B18"/>
                            <w:szCs w:val="56"/>
                            <w:u w:val="none"/>
                          </w:rPr>
                          <w:t>https://www.govinfo.gov/app/details/CFR-2014-title2-vol1/CFR-2014-title2-vol1-part200</w:t>
                        </w:r>
                      </w:hyperlink>
                    </w:p>
                  </w:txbxContent>
                </v:textbox>
                <w10:wrap type="tight"/>
              </v:shape>
            </w:pict>
          </mc:Fallback>
        </mc:AlternateContent>
      </w:r>
      <w:r>
        <w:rPr>
          <w:rFonts w:cstheme="minorHAnsi"/>
          <w:noProof/>
        </w:rPr>
        <mc:AlternateContent>
          <mc:Choice Requires="wps">
            <w:drawing>
              <wp:anchor distT="0" distB="0" distL="114300" distR="114300" simplePos="0" relativeHeight="251618510" behindDoc="1" locked="0" layoutInCell="1" allowOverlap="1" wp14:anchorId="6B033962" wp14:editId="6184DAA1">
                <wp:simplePos x="0" y="0"/>
                <wp:positionH relativeFrom="column">
                  <wp:posOffset>4688840</wp:posOffset>
                </wp:positionH>
                <wp:positionV relativeFrom="paragraph">
                  <wp:posOffset>120207</wp:posOffset>
                </wp:positionV>
                <wp:extent cx="1256030" cy="2168525"/>
                <wp:effectExtent l="76200" t="95250" r="77470" b="98425"/>
                <wp:wrapTight wrapText="bothSides">
                  <wp:wrapPolygon edited="0">
                    <wp:start x="-1310" y="-949"/>
                    <wp:lineTo x="-1310" y="21442"/>
                    <wp:lineTo x="-983" y="22391"/>
                    <wp:lineTo x="22277" y="22391"/>
                    <wp:lineTo x="22605" y="20873"/>
                    <wp:lineTo x="22605" y="-949"/>
                    <wp:lineTo x="-1310" y="-949"/>
                  </wp:wrapPolygon>
                </wp:wrapTight>
                <wp:docPr id="816286490" name="Text Box 816286490"/>
                <wp:cNvGraphicFramePr/>
                <a:graphic xmlns:a="http://schemas.openxmlformats.org/drawingml/2006/main">
                  <a:graphicData uri="http://schemas.microsoft.com/office/word/2010/wordprocessingShape">
                    <wps:wsp>
                      <wps:cNvSpPr txBox="1"/>
                      <wps:spPr>
                        <a:xfrm>
                          <a:off x="0" y="0"/>
                          <a:ext cx="1256030" cy="21685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297BC77" w14:textId="77777777" w:rsidR="00C6444C" w:rsidRDefault="00C6444C" w:rsidP="00020D20">
                            <w:pPr>
                              <w:jc w:val="center"/>
                            </w:pPr>
                            <w:r>
                              <w:rPr>
                                <w:noProof/>
                              </w:rPr>
                              <w:drawing>
                                <wp:inline distT="0" distB="0" distL="0" distR="0" wp14:anchorId="2AD56E46" wp14:editId="621D0035">
                                  <wp:extent cx="457200" cy="457200"/>
                                  <wp:effectExtent l="0" t="0" r="0" b="0"/>
                                  <wp:docPr id="1690912915" name="Picture 169091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826FE5" w14:textId="228FC14A" w:rsidR="00C6444C" w:rsidRPr="0052715B" w:rsidRDefault="00C6444C" w:rsidP="00020D20">
                            <w:pPr>
                              <w:pStyle w:val="Calloutboxes"/>
                            </w:pPr>
                            <w:r w:rsidRPr="00394A74">
                              <w:t>Travel receipts should be submitted with invoices. Receipts for</w:t>
                            </w:r>
                            <w:r w:rsidRPr="00954116">
                              <w:t xml:space="preserve"> travel typically can include food, lodging and commercial transportation. The ADOA provides Travel Policy and Guidance at:</w:t>
                            </w:r>
                          </w:p>
                          <w:p w14:paraId="7FF6EA81" w14:textId="1B2B2777" w:rsidR="00C6444C" w:rsidRPr="00020D20" w:rsidRDefault="00202C92">
                            <w:pPr>
                              <w:pStyle w:val="Title"/>
                              <w:rPr>
                                <w:sz w:val="16"/>
                                <w:szCs w:val="16"/>
                              </w:rPr>
                            </w:pPr>
                            <w:hyperlink r:id="rId371" w:history="1">
                              <w:r w:rsidR="00C6444C" w:rsidRPr="00020D20">
                                <w:rPr>
                                  <w:rStyle w:val="Hyperlink"/>
                                  <w:rFonts w:ascii="Calibri" w:hAnsi="Calibri" w:cstheme="majorBidi"/>
                                  <w:i/>
                                  <w:color w:val="CE5B18"/>
                                  <w:szCs w:val="56"/>
                                  <w:u w:val="none"/>
                                </w:rPr>
                                <w:t>https://gao.az.gov/travel/welcome-gao-travel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033962" id="Text Box 816286490" o:spid="_x0000_s1106" type="#_x0000_t202" style="position:absolute;left:0;text-align:left;margin-left:369.2pt;margin-top:9.45pt;width:98.9pt;height:170.75pt;z-index:-251697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" fillcolor="#f7f7f7" stroked="f" strokeweight=".5pt">
                <v:shadow on="t" type="perspective" color="black" opacity="26214f" offset="0,0" matrix="66847f,,,66847f"/>
                <v:textbox>
                  <w:txbxContent>
                    <w:p w14:paraId="2297BC77" w14:textId="77777777" w:rsidR="00C6444C" w:rsidRDefault="00C6444C" w:rsidP="00020D20">
                      <w:pPr>
                        <w:jc w:val="center"/>
                      </w:pPr>
                      <w:r>
                        <w:rPr>
                          <w:noProof/>
                        </w:rPr>
                        <w:drawing>
                          <wp:inline distT="0" distB="0" distL="0" distR="0" wp14:anchorId="2AD56E46" wp14:editId="621D0035">
                            <wp:extent cx="457200" cy="457200"/>
                            <wp:effectExtent l="0" t="0" r="0" b="0"/>
                            <wp:docPr id="1690912915" name="Picture 169091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826FE5" w14:textId="228FC14A" w:rsidR="00C6444C" w:rsidRPr="0052715B" w:rsidRDefault="00C6444C" w:rsidP="00020D20">
                      <w:pPr>
                        <w:pStyle w:val="Calloutboxes"/>
                      </w:pPr>
                      <w:r w:rsidRPr="00394A74">
                        <w:t>Travel receipts should be submitted with invoices. Receipts for</w:t>
                      </w:r>
                      <w:r w:rsidRPr="00954116">
                        <w:t xml:space="preserve"> travel typically can include food, lodging and commercial transportation. The ADOA provides Travel Policy and Guidance at:</w:t>
                      </w:r>
                    </w:p>
                    <w:p w14:paraId="7FF6EA81" w14:textId="1B2B2777" w:rsidR="00C6444C" w:rsidRPr="00020D20" w:rsidRDefault="00C6444C">
                      <w:pPr>
                        <w:pStyle w:val="Title"/>
                        <w:rPr>
                          <w:sz w:val="16"/>
                          <w:szCs w:val="16"/>
                        </w:rPr>
                      </w:pPr>
                      <w:hyperlink r:id="rId372" w:history="1">
                        <w:r w:rsidRPr="00020D20">
                          <w:rPr>
                            <w:rStyle w:val="Hyperlink"/>
                            <w:rFonts w:ascii="Calibri" w:hAnsi="Calibri" w:cstheme="majorBidi"/>
                            <w:i/>
                            <w:color w:val="CE5B18"/>
                            <w:szCs w:val="56"/>
                            <w:u w:val="none"/>
                          </w:rPr>
                          <w:t>https://gao.az.gov/travel/welcome-gao-travel</w:t>
                        </w:r>
                      </w:hyperlink>
                    </w:p>
                  </w:txbxContent>
                </v:textbox>
                <w10:wrap type="tight"/>
              </v:shape>
            </w:pict>
          </mc:Fallback>
        </mc:AlternateContent>
      </w:r>
      <w:r w:rsidR="004D43C3">
        <w:rPr>
          <w:rFonts w:cstheme="minorHAnsi"/>
          <w:noProof/>
        </w:rPr>
        <mc:AlternateContent>
          <mc:Choice Requires="wps">
            <w:drawing>
              <wp:anchor distT="0" distB="0" distL="114300" distR="114300" simplePos="0" relativeHeight="251618507" behindDoc="1" locked="0" layoutInCell="1" allowOverlap="1" wp14:anchorId="336ACF77" wp14:editId="40C4461A">
                <wp:simplePos x="0" y="0"/>
                <wp:positionH relativeFrom="column">
                  <wp:posOffset>-2121</wp:posOffset>
                </wp:positionH>
                <wp:positionV relativeFrom="paragraph">
                  <wp:posOffset>94819</wp:posOffset>
                </wp:positionV>
                <wp:extent cx="1482725" cy="3086100"/>
                <wp:effectExtent l="95250" t="95250" r="98425" b="95250"/>
                <wp:wrapTight wrapText="bothSides">
                  <wp:wrapPolygon edited="0">
                    <wp:start x="-833" y="-667"/>
                    <wp:lineTo x="-1388" y="-533"/>
                    <wp:lineTo x="-1110" y="22133"/>
                    <wp:lineTo x="22479" y="22133"/>
                    <wp:lineTo x="22756" y="1600"/>
                    <wp:lineTo x="22201" y="-400"/>
                    <wp:lineTo x="22201" y="-667"/>
                    <wp:lineTo x="-833" y="-667"/>
                  </wp:wrapPolygon>
                </wp:wrapTight>
                <wp:docPr id="816286474" name="Text Box 816286474"/>
                <wp:cNvGraphicFramePr/>
                <a:graphic xmlns:a="http://schemas.openxmlformats.org/drawingml/2006/main">
                  <a:graphicData uri="http://schemas.microsoft.com/office/word/2010/wordprocessingShape">
                    <wps:wsp>
                      <wps:cNvSpPr txBox="1"/>
                      <wps:spPr>
                        <a:xfrm>
                          <a:off x="0" y="0"/>
                          <a:ext cx="1482725" cy="30861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E2ACFAC" w14:textId="77777777" w:rsidR="00C6444C" w:rsidRDefault="00C6444C" w:rsidP="00020D20">
                            <w:pPr>
                              <w:jc w:val="center"/>
                            </w:pPr>
                            <w:r>
                              <w:rPr>
                                <w:noProof/>
                              </w:rPr>
                              <w:drawing>
                                <wp:inline distT="0" distB="0" distL="0" distR="0" wp14:anchorId="2A7AD988" wp14:editId="3BF6E477">
                                  <wp:extent cx="457200" cy="457200"/>
                                  <wp:effectExtent l="0" t="0" r="0" b="0"/>
                                  <wp:docPr id="1690912916" name="Picture 169091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DD579E4" w14:textId="62BDBC86" w:rsidR="00C6444C" w:rsidRDefault="00C6444C" w:rsidP="00020D20">
                            <w:pPr>
                              <w:pStyle w:val="Calloutboxes"/>
                            </w:pPr>
                            <w:r>
                              <w:t>Progress reports must contain the following five items:</w:t>
                            </w:r>
                          </w:p>
                          <w:tbl>
                            <w:tblPr>
                              <w:tblW w:w="0" w:type="auto"/>
                              <w:tblLook w:val="04A0" w:firstRow="1" w:lastRow="0" w:firstColumn="1" w:lastColumn="0" w:noHBand="0" w:noVBand="1"/>
                            </w:tblPr>
                            <w:tblGrid>
                              <w:gridCol w:w="366"/>
                              <w:gridCol w:w="1671"/>
                            </w:tblGrid>
                            <w:tr w:rsidR="00C6444C" w14:paraId="386CFF60" w14:textId="77777777" w:rsidTr="00020D20">
                              <w:tc>
                                <w:tcPr>
                                  <w:tcW w:w="355" w:type="dxa"/>
                                  <w:vAlign w:val="center"/>
                                </w:tcPr>
                                <w:p w14:paraId="7FF2479F" w14:textId="5D1AF570" w:rsidR="00C6444C" w:rsidRDefault="00C6444C" w:rsidP="00020D20">
                                  <w:pPr>
                                    <w:pStyle w:val="Calloutboxes"/>
                                    <w:jc w:val="left"/>
                                  </w:pPr>
                                  <w:r>
                                    <w:rPr>
                                      <w:noProof/>
                                    </w:rPr>
                                    <w:drawing>
                                      <wp:inline distT="0" distB="0" distL="0" distR="0" wp14:anchorId="6E46B1FC" wp14:editId="527E273E">
                                        <wp:extent cx="91440" cy="91440"/>
                                        <wp:effectExtent l="0" t="0" r="3810" b="3810"/>
                                        <wp:docPr id="1690912917" name="Picture 169091291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0CB28A36" w14:textId="66CA2AC2" w:rsidR="00C6444C" w:rsidRDefault="00C6444C" w:rsidP="00020D20">
                                  <w:pPr>
                                    <w:pStyle w:val="Calloutboxes"/>
                                    <w:jc w:val="left"/>
                                  </w:pPr>
                                  <w:r>
                                    <w:t>Each authorized FHWA (PL funded) and FTA funded task separately</w:t>
                                  </w:r>
                                </w:p>
                              </w:tc>
                            </w:tr>
                            <w:tr w:rsidR="00C6444C" w14:paraId="390D0E8B" w14:textId="77777777" w:rsidTr="00020D20">
                              <w:tc>
                                <w:tcPr>
                                  <w:tcW w:w="355" w:type="dxa"/>
                                  <w:vAlign w:val="center"/>
                                </w:tcPr>
                                <w:p w14:paraId="488DE3D6" w14:textId="496F2231" w:rsidR="00C6444C" w:rsidRDefault="00C6444C" w:rsidP="00020D20">
                                  <w:pPr>
                                    <w:pStyle w:val="Calloutboxes"/>
                                    <w:jc w:val="left"/>
                                  </w:pPr>
                                  <w:r>
                                    <w:rPr>
                                      <w:noProof/>
                                    </w:rPr>
                                    <w:drawing>
                                      <wp:inline distT="0" distB="0" distL="0" distR="0" wp14:anchorId="477F9D66" wp14:editId="38B84241">
                                        <wp:extent cx="91440" cy="91440"/>
                                        <wp:effectExtent l="0" t="0" r="3810" b="3810"/>
                                        <wp:docPr id="1690912918" name="Picture 169091291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066A5A0B" w14:textId="09A4290B" w:rsidR="00C6444C" w:rsidRDefault="00C6444C" w:rsidP="00020D20">
                                  <w:pPr>
                                    <w:pStyle w:val="Calloutboxes"/>
                                    <w:jc w:val="left"/>
                                  </w:pPr>
                                  <w:r>
                                    <w:t>A comparison of actual performance with established goals</w:t>
                                  </w:r>
                                </w:p>
                              </w:tc>
                            </w:tr>
                            <w:tr w:rsidR="00C6444C" w14:paraId="4C58D547" w14:textId="77777777" w:rsidTr="00020D20">
                              <w:tc>
                                <w:tcPr>
                                  <w:tcW w:w="355" w:type="dxa"/>
                                  <w:vAlign w:val="center"/>
                                </w:tcPr>
                                <w:p w14:paraId="44F3CD54" w14:textId="02E2A30E" w:rsidR="00C6444C" w:rsidRDefault="00C6444C" w:rsidP="00020D20">
                                  <w:pPr>
                                    <w:pStyle w:val="Calloutboxes"/>
                                    <w:jc w:val="left"/>
                                  </w:pPr>
                                  <w:r>
                                    <w:rPr>
                                      <w:noProof/>
                                    </w:rPr>
                                    <w:drawing>
                                      <wp:inline distT="0" distB="0" distL="0" distR="0" wp14:anchorId="4B9604FC" wp14:editId="3B7AE228">
                                        <wp:extent cx="91440" cy="91440"/>
                                        <wp:effectExtent l="0" t="0" r="3810" b="3810"/>
                                        <wp:docPr id="1690912919" name="Picture 169091291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5818D965" w14:textId="6DC99C1F" w:rsidR="00C6444C" w:rsidRDefault="00C6444C" w:rsidP="00020D20">
                                  <w:pPr>
                                    <w:pStyle w:val="Calloutboxes"/>
                                    <w:jc w:val="left"/>
                                  </w:pPr>
                                  <w:r>
                                    <w:t>A description of progress in meeting schedules and milestones</w:t>
                                  </w:r>
                                </w:p>
                              </w:tc>
                            </w:tr>
                            <w:tr w:rsidR="00C6444C" w14:paraId="6F9B3D64" w14:textId="77777777" w:rsidTr="00020D20">
                              <w:tc>
                                <w:tcPr>
                                  <w:tcW w:w="355" w:type="dxa"/>
                                  <w:vAlign w:val="center"/>
                                </w:tcPr>
                                <w:p w14:paraId="06FAD99E" w14:textId="18691A81" w:rsidR="00C6444C" w:rsidRDefault="00C6444C" w:rsidP="00020D20">
                                  <w:pPr>
                                    <w:pStyle w:val="Calloutboxes"/>
                                    <w:jc w:val="left"/>
                                  </w:pPr>
                                  <w:r>
                                    <w:rPr>
                                      <w:noProof/>
                                    </w:rPr>
                                    <w:drawing>
                                      <wp:inline distT="0" distB="0" distL="0" distR="0" wp14:anchorId="132A7C71" wp14:editId="28BB290B">
                                        <wp:extent cx="91440" cy="91440"/>
                                        <wp:effectExtent l="0" t="0" r="3810" b="3810"/>
                                        <wp:docPr id="1690912920" name="Picture 169091292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607B2730" w14:textId="2FF839E1" w:rsidR="00C6444C" w:rsidRDefault="00C6444C" w:rsidP="00020D20">
                                  <w:pPr>
                                    <w:pStyle w:val="Calloutboxes"/>
                                    <w:jc w:val="left"/>
                                  </w:pPr>
                                  <w:r>
                                    <w:t>A comparison of approved budget amounts and actual costs incurred</w:t>
                                  </w:r>
                                </w:p>
                              </w:tc>
                            </w:tr>
                            <w:tr w:rsidR="00C6444C" w14:paraId="10766620" w14:textId="77777777" w:rsidTr="00020D20">
                              <w:tc>
                                <w:tcPr>
                                  <w:tcW w:w="355" w:type="dxa"/>
                                  <w:vAlign w:val="center"/>
                                </w:tcPr>
                                <w:p w14:paraId="318F272E" w14:textId="0B1A045E" w:rsidR="00C6444C" w:rsidRDefault="00C6444C" w:rsidP="00020D20">
                                  <w:pPr>
                                    <w:pStyle w:val="Calloutboxes"/>
                                    <w:jc w:val="left"/>
                                  </w:pPr>
                                  <w:r>
                                    <w:rPr>
                                      <w:noProof/>
                                    </w:rPr>
                                    <w:drawing>
                                      <wp:inline distT="0" distB="0" distL="0" distR="0" wp14:anchorId="00263DA1" wp14:editId="5616F4CC">
                                        <wp:extent cx="91440" cy="91440"/>
                                        <wp:effectExtent l="0" t="0" r="3810" b="3810"/>
                                        <wp:docPr id="1690912921" name="Picture 169091292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5BDEE14E" w14:textId="3ED7124C" w:rsidR="00C6444C" w:rsidRDefault="00C6444C" w:rsidP="00020D20">
                                  <w:pPr>
                                    <w:pStyle w:val="Calloutboxes"/>
                                    <w:jc w:val="left"/>
                                  </w:pPr>
                                  <w:r>
                                    <w:t>Revisions and any other supporting data</w:t>
                                  </w:r>
                                </w:p>
                              </w:tc>
                            </w:tr>
                          </w:tbl>
                          <w:p w14:paraId="76D7DE93" w14:textId="77777777" w:rsidR="00C6444C" w:rsidRPr="00C6412C"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6ACF77" id="Text Box 816286474" o:spid="_x0000_s1107" type="#_x0000_t202" style="position:absolute;left:0;text-align:left;margin-left:-.15pt;margin-top:7.45pt;width:116.75pt;height:243pt;z-index:-251697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" fillcolor="#f7f7f7" stroked="f" strokeweight=".5pt">
                <v:shadow on="t" type="perspective" color="black" opacity="26214f" offset="0,0" matrix="66847f,,,66847f"/>
                <v:textbox>
                  <w:txbxContent>
                    <w:p w14:paraId="2E2ACFAC" w14:textId="77777777" w:rsidR="00C6444C" w:rsidRDefault="00C6444C" w:rsidP="00020D20">
                      <w:pPr>
                        <w:jc w:val="center"/>
                      </w:pPr>
                      <w:r>
                        <w:rPr>
                          <w:noProof/>
                        </w:rPr>
                        <w:drawing>
                          <wp:inline distT="0" distB="0" distL="0" distR="0" wp14:anchorId="2A7AD988" wp14:editId="3BF6E477">
                            <wp:extent cx="457200" cy="457200"/>
                            <wp:effectExtent l="0" t="0" r="0" b="0"/>
                            <wp:docPr id="1690912916" name="Picture 169091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DD579E4" w14:textId="62BDBC86" w:rsidR="00C6444C" w:rsidRDefault="00C6444C" w:rsidP="00020D20">
                      <w:pPr>
                        <w:pStyle w:val="Calloutboxes"/>
                      </w:pPr>
                      <w:r>
                        <w:t>Progress reports must contain the following five items:</w:t>
                      </w:r>
                    </w:p>
                    <w:tbl>
                      <w:tblPr>
                        <w:tblW w:w="0" w:type="auto"/>
                        <w:tblLook w:val="04A0" w:firstRow="1" w:lastRow="0" w:firstColumn="1" w:lastColumn="0" w:noHBand="0" w:noVBand="1"/>
                      </w:tblPr>
                      <w:tblGrid>
                        <w:gridCol w:w="366"/>
                        <w:gridCol w:w="1671"/>
                      </w:tblGrid>
                      <w:tr w:rsidR="00C6444C" w14:paraId="386CFF60" w14:textId="77777777" w:rsidTr="00020D20">
                        <w:tc>
                          <w:tcPr>
                            <w:tcW w:w="355" w:type="dxa"/>
                            <w:vAlign w:val="center"/>
                          </w:tcPr>
                          <w:p w14:paraId="7FF2479F" w14:textId="5D1AF570" w:rsidR="00C6444C" w:rsidRDefault="00C6444C" w:rsidP="00020D20">
                            <w:pPr>
                              <w:pStyle w:val="Calloutboxes"/>
                              <w:jc w:val="left"/>
                            </w:pPr>
                            <w:r>
                              <w:rPr>
                                <w:noProof/>
                              </w:rPr>
                              <w:drawing>
                                <wp:inline distT="0" distB="0" distL="0" distR="0" wp14:anchorId="6E46B1FC" wp14:editId="527E273E">
                                  <wp:extent cx="91440" cy="91440"/>
                                  <wp:effectExtent l="0" t="0" r="3810" b="3810"/>
                                  <wp:docPr id="1690912917" name="Picture 169091291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0CB28A36" w14:textId="66CA2AC2" w:rsidR="00C6444C" w:rsidRDefault="00C6444C" w:rsidP="00020D20">
                            <w:pPr>
                              <w:pStyle w:val="Calloutboxes"/>
                              <w:jc w:val="left"/>
                            </w:pPr>
                            <w:r>
                              <w:t>Each authorized FHWA (PL funded) and FTA funded task separately</w:t>
                            </w:r>
                          </w:p>
                        </w:tc>
                      </w:tr>
                      <w:tr w:rsidR="00C6444C" w14:paraId="390D0E8B" w14:textId="77777777" w:rsidTr="00020D20">
                        <w:tc>
                          <w:tcPr>
                            <w:tcW w:w="355" w:type="dxa"/>
                            <w:vAlign w:val="center"/>
                          </w:tcPr>
                          <w:p w14:paraId="488DE3D6" w14:textId="496F2231" w:rsidR="00C6444C" w:rsidRDefault="00C6444C" w:rsidP="00020D20">
                            <w:pPr>
                              <w:pStyle w:val="Calloutboxes"/>
                              <w:jc w:val="left"/>
                            </w:pPr>
                            <w:r>
                              <w:rPr>
                                <w:noProof/>
                              </w:rPr>
                              <w:drawing>
                                <wp:inline distT="0" distB="0" distL="0" distR="0" wp14:anchorId="477F9D66" wp14:editId="38B84241">
                                  <wp:extent cx="91440" cy="91440"/>
                                  <wp:effectExtent l="0" t="0" r="3810" b="3810"/>
                                  <wp:docPr id="1690912918" name="Picture 169091291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066A5A0B" w14:textId="09A4290B" w:rsidR="00C6444C" w:rsidRDefault="00C6444C" w:rsidP="00020D20">
                            <w:pPr>
                              <w:pStyle w:val="Calloutboxes"/>
                              <w:jc w:val="left"/>
                            </w:pPr>
                            <w:r>
                              <w:t>A comparison of actual performance with established goals</w:t>
                            </w:r>
                          </w:p>
                        </w:tc>
                      </w:tr>
                      <w:tr w:rsidR="00C6444C" w14:paraId="4C58D547" w14:textId="77777777" w:rsidTr="00020D20">
                        <w:tc>
                          <w:tcPr>
                            <w:tcW w:w="355" w:type="dxa"/>
                            <w:vAlign w:val="center"/>
                          </w:tcPr>
                          <w:p w14:paraId="44F3CD54" w14:textId="02E2A30E" w:rsidR="00C6444C" w:rsidRDefault="00C6444C" w:rsidP="00020D20">
                            <w:pPr>
                              <w:pStyle w:val="Calloutboxes"/>
                              <w:jc w:val="left"/>
                            </w:pPr>
                            <w:r>
                              <w:rPr>
                                <w:noProof/>
                              </w:rPr>
                              <w:drawing>
                                <wp:inline distT="0" distB="0" distL="0" distR="0" wp14:anchorId="4B9604FC" wp14:editId="3B7AE228">
                                  <wp:extent cx="91440" cy="91440"/>
                                  <wp:effectExtent l="0" t="0" r="3810" b="3810"/>
                                  <wp:docPr id="1690912919" name="Picture 169091291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5818D965" w14:textId="6DC99C1F" w:rsidR="00C6444C" w:rsidRDefault="00C6444C" w:rsidP="00020D20">
                            <w:pPr>
                              <w:pStyle w:val="Calloutboxes"/>
                              <w:jc w:val="left"/>
                            </w:pPr>
                            <w:r>
                              <w:t>A description of progress in meeting schedules and milestones</w:t>
                            </w:r>
                          </w:p>
                        </w:tc>
                      </w:tr>
                      <w:tr w:rsidR="00C6444C" w14:paraId="6F9B3D64" w14:textId="77777777" w:rsidTr="00020D20">
                        <w:tc>
                          <w:tcPr>
                            <w:tcW w:w="355" w:type="dxa"/>
                            <w:vAlign w:val="center"/>
                          </w:tcPr>
                          <w:p w14:paraId="06FAD99E" w14:textId="18691A81" w:rsidR="00C6444C" w:rsidRDefault="00C6444C" w:rsidP="00020D20">
                            <w:pPr>
                              <w:pStyle w:val="Calloutboxes"/>
                              <w:jc w:val="left"/>
                            </w:pPr>
                            <w:r>
                              <w:rPr>
                                <w:noProof/>
                              </w:rPr>
                              <w:drawing>
                                <wp:inline distT="0" distB="0" distL="0" distR="0" wp14:anchorId="132A7C71" wp14:editId="28BB290B">
                                  <wp:extent cx="91440" cy="91440"/>
                                  <wp:effectExtent l="0" t="0" r="3810" b="3810"/>
                                  <wp:docPr id="1690912920" name="Picture 169091292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607B2730" w14:textId="2FF839E1" w:rsidR="00C6444C" w:rsidRDefault="00C6444C" w:rsidP="00020D20">
                            <w:pPr>
                              <w:pStyle w:val="Calloutboxes"/>
                              <w:jc w:val="left"/>
                            </w:pPr>
                            <w:r>
                              <w:t>A comparison of approved budget amounts and actual costs incurred</w:t>
                            </w:r>
                          </w:p>
                        </w:tc>
                      </w:tr>
                      <w:tr w:rsidR="00C6444C" w14:paraId="10766620" w14:textId="77777777" w:rsidTr="00020D20">
                        <w:tc>
                          <w:tcPr>
                            <w:tcW w:w="355" w:type="dxa"/>
                            <w:vAlign w:val="center"/>
                          </w:tcPr>
                          <w:p w14:paraId="318F272E" w14:textId="0B1A045E" w:rsidR="00C6444C" w:rsidRDefault="00C6444C" w:rsidP="00020D20">
                            <w:pPr>
                              <w:pStyle w:val="Calloutboxes"/>
                              <w:jc w:val="left"/>
                            </w:pPr>
                            <w:r>
                              <w:rPr>
                                <w:noProof/>
                              </w:rPr>
                              <w:drawing>
                                <wp:inline distT="0" distB="0" distL="0" distR="0" wp14:anchorId="00263DA1" wp14:editId="5616F4CC">
                                  <wp:extent cx="91440" cy="91440"/>
                                  <wp:effectExtent l="0" t="0" r="3810" b="3810"/>
                                  <wp:docPr id="1690912921" name="Picture 169091292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672" w:type="dxa"/>
                          </w:tcPr>
                          <w:p w14:paraId="5BDEE14E" w14:textId="3ED7124C" w:rsidR="00C6444C" w:rsidRDefault="00C6444C" w:rsidP="00020D20">
                            <w:pPr>
                              <w:pStyle w:val="Calloutboxes"/>
                              <w:jc w:val="left"/>
                            </w:pPr>
                            <w:r>
                              <w:t>Revisions and any other supporting data</w:t>
                            </w:r>
                          </w:p>
                        </w:tc>
                      </w:tr>
                    </w:tbl>
                    <w:p w14:paraId="76D7DE93" w14:textId="77777777" w:rsidR="00C6444C" w:rsidRPr="00C6412C" w:rsidRDefault="00C6444C" w:rsidP="00020D20"/>
                  </w:txbxContent>
                </v:textbox>
                <w10:wrap type="tight"/>
              </v:shape>
            </w:pict>
          </mc:Fallback>
        </mc:AlternateContent>
      </w:r>
      <w:r w:rsidR="001E49B3" w:rsidRPr="001E49B3">
        <w:t>The MPO must report to ADOT any events that have a significant impact on the UPWP, including problems, delays, or adverse conditions that materially affect the</w:t>
      </w:r>
      <w:r w:rsidR="001E49B3">
        <w:t xml:space="preserve"> </w:t>
      </w:r>
      <w:r w:rsidR="001E49B3" w:rsidRPr="001E49B3">
        <w:t>MPO’s ability to attain the UPWP’s objectives, as soon as they become known. A description of the action taken or contemplated and any federal or state assistance needed to resolve the situation must accompany the MPO’s disclosure (</w:t>
      </w:r>
      <w:hyperlink r:id="rId373" w:history="1">
        <w:r w:rsidR="004418C8" w:rsidRPr="00020D20">
          <w:rPr>
            <w:rStyle w:val="TitleChar"/>
          </w:rPr>
          <w:t xml:space="preserve">23 </w:t>
        </w:r>
        <w:r w:rsidR="009628C0">
          <w:rPr>
            <w:rStyle w:val="TitleChar"/>
          </w:rPr>
          <w:t xml:space="preserve">C.F.R. </w:t>
        </w:r>
        <w:r w:rsidR="004418C8" w:rsidRPr="00020D20">
          <w:rPr>
            <w:rStyle w:val="TitleChar"/>
          </w:rPr>
          <w:t>§ 420.117(d)</w:t>
        </w:r>
      </w:hyperlink>
      <w:r w:rsidR="001E49B3" w:rsidRPr="001E49B3">
        <w:t>). The ADOT regional planner will forward a copy of the MPO’s progress report, with a cover letter/memorandum and accompanying invoice(s) to the FHWA Arizona Division.</w:t>
      </w:r>
    </w:p>
    <w:p w14:paraId="59DE4BE0" w14:textId="7253CD6E" w:rsidR="001E49B3" w:rsidRPr="001E49B3" w:rsidRDefault="00762FAF" w:rsidP="00020D20">
      <w:pPr>
        <w:pStyle w:val="Heading2"/>
      </w:pPr>
      <w:bookmarkStart w:id="190" w:name="_Ref50029086"/>
      <w:r>
        <w:rPr>
          <w:noProof/>
        </w:rPr>
        <mc:AlternateContent>
          <mc:Choice Requires="wpg">
            <w:drawing>
              <wp:anchor distT="0" distB="0" distL="114300" distR="114300" simplePos="0" relativeHeight="251618612" behindDoc="0" locked="0" layoutInCell="1" allowOverlap="1" wp14:anchorId="250EF56E" wp14:editId="44C237B3">
                <wp:simplePos x="0" y="0"/>
                <wp:positionH relativeFrom="column">
                  <wp:posOffset>3038475</wp:posOffset>
                </wp:positionH>
                <wp:positionV relativeFrom="paragraph">
                  <wp:posOffset>11430</wp:posOffset>
                </wp:positionV>
                <wp:extent cx="2900680" cy="1184910"/>
                <wp:effectExtent l="95250" t="57150" r="90170" b="72390"/>
                <wp:wrapSquare wrapText="bothSides"/>
                <wp:docPr id="1690912806" name="Group 1690912806"/>
                <wp:cNvGraphicFramePr/>
                <a:graphic xmlns:a="http://schemas.openxmlformats.org/drawingml/2006/main">
                  <a:graphicData uri="http://schemas.microsoft.com/office/word/2010/wordprocessingGroup">
                    <wpg:wgp>
                      <wpg:cNvGrpSpPr/>
                      <wpg:grpSpPr>
                        <a:xfrm>
                          <a:off x="0" y="0"/>
                          <a:ext cx="2900680" cy="1184910"/>
                          <a:chOff x="0" y="40367"/>
                          <a:chExt cx="2738755" cy="1184962"/>
                        </a:xfrm>
                      </wpg:grpSpPr>
                      <wps:wsp>
                        <wps:cNvPr id="1690912807" name="Text Box 1690912807"/>
                        <wps:cNvSpPr txBox="1"/>
                        <wps:spPr>
                          <a:xfrm>
                            <a:off x="0" y="55659"/>
                            <a:ext cx="2738755" cy="116967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1260"/>
                                <w:gridCol w:w="3240"/>
                              </w:tblGrid>
                              <w:tr w:rsidR="00C6444C" w14:paraId="71DABF27" w14:textId="77777777" w:rsidTr="00020D20">
                                <w:trPr>
                                  <w:trHeight w:val="543"/>
                                </w:trPr>
                                <w:tc>
                                  <w:tcPr>
                                    <w:tcW w:w="1260" w:type="dxa"/>
                                    <w:shd w:val="clear" w:color="auto" w:fill="auto"/>
                                  </w:tcPr>
                                  <w:p w14:paraId="1AC2DA1B" w14:textId="77777777" w:rsidR="00C6444C" w:rsidRPr="00020D20" w:rsidRDefault="00C6444C">
                                    <w:pPr>
                                      <w:pStyle w:val="Calloutboxes"/>
                                      <w:rPr>
                                        <w:color w:val="012768"/>
                                      </w:rPr>
                                    </w:pPr>
                                  </w:p>
                                </w:tc>
                                <w:tc>
                                  <w:tcPr>
                                    <w:tcW w:w="3240" w:type="dxa"/>
                                    <w:shd w:val="clear" w:color="auto" w:fill="auto"/>
                                  </w:tcPr>
                                  <w:p w14:paraId="4035FA93" w14:textId="77777777" w:rsidR="00C6444C" w:rsidRPr="00020D20" w:rsidRDefault="00C6444C" w:rsidP="00D30138">
                                    <w:pPr>
                                      <w:pStyle w:val="Calloutboxes"/>
                                      <w:jc w:val="left"/>
                                      <w:rPr>
                                        <w:color w:val="FFFFFF" w:themeColor="background1"/>
                                        <w:sz w:val="24"/>
                                        <w:szCs w:val="24"/>
                                      </w:rPr>
                                    </w:pPr>
                                  </w:p>
                                </w:tc>
                              </w:tr>
                              <w:tr w:rsidR="00C6444C" w14:paraId="1BFDDC00" w14:textId="77777777" w:rsidTr="00020D20">
                                <w:trPr>
                                  <w:trHeight w:val="1081"/>
                                </w:trPr>
                                <w:tc>
                                  <w:tcPr>
                                    <w:tcW w:w="1260" w:type="dxa"/>
                                    <w:vAlign w:val="center"/>
                                  </w:tcPr>
                                  <w:p w14:paraId="6FE42EA1" w14:textId="77777777" w:rsidR="00C6444C" w:rsidRPr="00347D6E" w:rsidDel="0082411B" w:rsidRDefault="00C6444C" w:rsidP="00D554CF">
                                    <w:pPr>
                                      <w:pStyle w:val="Calloutboxes"/>
                                    </w:pPr>
                                    <w:r>
                                      <w:rPr>
                                        <w:noProof/>
                                      </w:rPr>
                                      <w:drawing>
                                        <wp:inline distT="0" distB="0" distL="0" distR="0" wp14:anchorId="3E818534" wp14:editId="2F6DABD9">
                                          <wp:extent cx="457200" cy="457200"/>
                                          <wp:effectExtent l="0" t="0" r="0" b="0"/>
                                          <wp:docPr id="1690912922" name="Picture 169091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3240" w:type="dxa"/>
                                    <w:vAlign w:val="center"/>
                                  </w:tcPr>
                                  <w:p w14:paraId="1FDDD33F" w14:textId="77777777" w:rsidR="00C6444C" w:rsidRPr="00314591" w:rsidRDefault="00C6444C">
                                    <w:pPr>
                                      <w:pStyle w:val="Calloutboxes"/>
                                      <w:jc w:val="left"/>
                                    </w:pPr>
                                    <w:r w:rsidRPr="00314591">
                                      <w:t>All invoices are paid as reimbursements for expenses. All work performed by a third party must be paid before a reimbursement is made.</w:t>
                                    </w:r>
                                  </w:p>
                                </w:tc>
                              </w:tr>
                            </w:tbl>
                            <w:p w14:paraId="74EDA3BE"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2808" name="Group 1690912808"/>
                        <wpg:cNvGrpSpPr/>
                        <wpg:grpSpPr>
                          <a:xfrm>
                            <a:off x="0" y="40367"/>
                            <a:ext cx="2738755" cy="384448"/>
                            <a:chOff x="11875" y="29688"/>
                            <a:chExt cx="2772410" cy="570016"/>
                          </a:xfrm>
                        </wpg:grpSpPr>
                        <wps:wsp>
                          <wps:cNvPr id="1690912815" name="Rectangle 1690912815"/>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2823" name="Text Box 1690912823"/>
                          <wps:cNvSpPr txBox="1"/>
                          <wps:spPr>
                            <a:xfrm>
                              <a:off x="36944" y="52333"/>
                              <a:ext cx="2714510" cy="460616"/>
                            </a:xfrm>
                            <a:prstGeom prst="rect">
                              <a:avLst/>
                            </a:prstGeom>
                            <a:noFill/>
                            <a:ln w="6350">
                              <a:noFill/>
                            </a:ln>
                            <a:effectLst/>
                          </wps:spPr>
                          <wps:txbx>
                            <w:txbxContent>
                              <w:p w14:paraId="5BAFB59F" w14:textId="77777777" w:rsidR="00C6444C" w:rsidRPr="00020D20" w:rsidRDefault="00C6444C" w:rsidP="00020D20">
                                <w:pPr>
                                  <w:jc w:val="center"/>
                                  <w:rPr>
                                    <w:color w:val="FFFFFF" w:themeColor="background1"/>
                                  </w:rPr>
                                </w:pPr>
                                <w:r>
                                  <w:rPr>
                                    <w:color w:val="FFFFFF" w:themeColor="background1"/>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50EF56E" id="Group 1690912806" o:spid="_x0000_s1108" style="position:absolute;left:0;text-align:left;margin-left:239.25pt;margin-top:.9pt;width:228.4pt;height:93.3pt;z-index:251618612;mso-width-relative:margin;mso-height-relative:margin" coordorigin=",403" coordsize="27387,1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">
                <v:shape id="Text Box 1690912807" o:spid="_x0000_s1109" type="#_x0000_t202" style="position:absolute;top:556;width:27387;height:1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1260"/>
                          <w:gridCol w:w="3240"/>
                        </w:tblGrid>
                        <w:tr w:rsidR="00C6444C" w14:paraId="71DABF27" w14:textId="77777777" w:rsidTr="00020D20">
                          <w:trPr>
                            <w:trHeight w:val="543"/>
                          </w:trPr>
                          <w:tc>
                            <w:tcPr>
                              <w:tcW w:w="1260" w:type="dxa"/>
                              <w:shd w:val="clear" w:color="auto" w:fill="auto"/>
                            </w:tcPr>
                            <w:p w14:paraId="1AC2DA1B" w14:textId="77777777" w:rsidR="00C6444C" w:rsidRPr="00020D20" w:rsidRDefault="00C6444C">
                              <w:pPr>
                                <w:pStyle w:val="Calloutboxes"/>
                                <w:rPr>
                                  <w:color w:val="012768"/>
                                </w:rPr>
                              </w:pPr>
                            </w:p>
                          </w:tc>
                          <w:tc>
                            <w:tcPr>
                              <w:tcW w:w="3240" w:type="dxa"/>
                              <w:shd w:val="clear" w:color="auto" w:fill="auto"/>
                            </w:tcPr>
                            <w:p w14:paraId="4035FA93" w14:textId="77777777" w:rsidR="00C6444C" w:rsidRPr="00020D20" w:rsidRDefault="00C6444C" w:rsidP="00D30138">
                              <w:pPr>
                                <w:pStyle w:val="Calloutboxes"/>
                                <w:jc w:val="left"/>
                                <w:rPr>
                                  <w:color w:val="FFFFFF" w:themeColor="background1"/>
                                  <w:sz w:val="24"/>
                                  <w:szCs w:val="24"/>
                                </w:rPr>
                              </w:pPr>
                            </w:p>
                          </w:tc>
                        </w:tr>
                        <w:tr w:rsidR="00C6444C" w14:paraId="1BFDDC00" w14:textId="77777777" w:rsidTr="00020D20">
                          <w:trPr>
                            <w:trHeight w:val="1081"/>
                          </w:trPr>
                          <w:tc>
                            <w:tcPr>
                              <w:tcW w:w="1260" w:type="dxa"/>
                              <w:vAlign w:val="center"/>
                            </w:tcPr>
                            <w:p w14:paraId="6FE42EA1" w14:textId="77777777" w:rsidR="00C6444C" w:rsidRPr="00347D6E" w:rsidDel="0082411B" w:rsidRDefault="00C6444C" w:rsidP="00D554CF">
                              <w:pPr>
                                <w:pStyle w:val="Calloutboxes"/>
                              </w:pPr>
                              <w:r>
                                <w:rPr>
                                  <w:noProof/>
                                </w:rPr>
                                <w:drawing>
                                  <wp:inline distT="0" distB="0" distL="0" distR="0" wp14:anchorId="3E818534" wp14:editId="2F6DABD9">
                                    <wp:extent cx="457200" cy="457200"/>
                                    <wp:effectExtent l="0" t="0" r="0" b="0"/>
                                    <wp:docPr id="1690912922" name="Picture 169091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3240" w:type="dxa"/>
                              <w:vAlign w:val="center"/>
                            </w:tcPr>
                            <w:p w14:paraId="1FDDD33F" w14:textId="77777777" w:rsidR="00C6444C" w:rsidRPr="00314591" w:rsidRDefault="00C6444C">
                              <w:pPr>
                                <w:pStyle w:val="Calloutboxes"/>
                                <w:jc w:val="left"/>
                              </w:pPr>
                              <w:r w:rsidRPr="00314591">
                                <w:t>All invoices are paid as reimbursements for expenses. All work performed by a third party must be paid before a reimbursement is made.</w:t>
                              </w:r>
                            </w:p>
                          </w:tc>
                        </w:tr>
                      </w:tbl>
                      <w:p w14:paraId="74EDA3BE" w14:textId="77777777" w:rsidR="00C6444C" w:rsidRPr="00347D6E" w:rsidRDefault="00C6444C" w:rsidP="00020D20"/>
                    </w:txbxContent>
                  </v:textbox>
                </v:shape>
                <v:group id="Group 1690912808" o:spid="_x0000_s1110" style="position:absolute;top:403;width:27387;height:3845" coordorigin="118,296" coordsize="27724,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">
                  <v:rect id="Rectangle 1690912815" o:spid="_x0000_s1111"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" fillcolor="#012768" strokecolor="#1f4d78 [1604]" strokeweight="1pt"/>
                  <v:shape id="Text Box 1690912823" o:spid="_x0000_s1112" type="#_x0000_t202" style="position:absolute;left:369;top:523;width:27145;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" filled="f" stroked="f" strokeweight=".5pt">
                    <v:textbox>
                      <w:txbxContent>
                        <w:p w14:paraId="5BAFB59F" w14:textId="77777777" w:rsidR="00C6444C" w:rsidRPr="00020D20" w:rsidRDefault="00C6444C" w:rsidP="00020D20">
                          <w:pPr>
                            <w:jc w:val="center"/>
                            <w:rPr>
                              <w:color w:val="FFFFFF" w:themeColor="background1"/>
                            </w:rPr>
                          </w:pPr>
                          <w:r>
                            <w:rPr>
                              <w:color w:val="FFFFFF" w:themeColor="background1"/>
                            </w:rPr>
                            <w:t>DID YOU KNOW</w:t>
                          </w:r>
                        </w:p>
                      </w:txbxContent>
                    </v:textbox>
                  </v:shape>
                </v:group>
                <w10:wrap type="square"/>
              </v:group>
            </w:pict>
          </mc:Fallback>
        </mc:AlternateContent>
      </w:r>
      <w:r w:rsidR="001E49B3" w:rsidRPr="001E49B3">
        <w:t>4.10 | INVOICING</w:t>
      </w:r>
      <w:bookmarkEnd w:id="190"/>
    </w:p>
    <w:p w14:paraId="4011AE09" w14:textId="3CB6E269" w:rsidR="001E49B3" w:rsidRPr="001E49B3" w:rsidRDefault="001E49B3" w:rsidP="00020D20">
      <w:pPr>
        <w:pStyle w:val="Heading3"/>
        <w:jc w:val="both"/>
      </w:pPr>
      <w:bookmarkStart w:id="191" w:name="_Ref50029093"/>
      <w:r w:rsidRPr="001E49B3">
        <w:t>4.10.1 | Submitting Invoices</w:t>
      </w:r>
      <w:bookmarkEnd w:id="191"/>
    </w:p>
    <w:p w14:paraId="386DE57B" w14:textId="3D413F69" w:rsidR="001E49B3" w:rsidRPr="001E49B3" w:rsidRDefault="00164ED7" w:rsidP="00020D20">
      <w:pPr>
        <w:jc w:val="both"/>
        <w:rPr>
          <w:b/>
        </w:rPr>
      </w:pPr>
      <w:r>
        <w:t>MP</w:t>
      </w:r>
      <w:r w:rsidRPr="004A08C2">
        <w:t xml:space="preserve">Os </w:t>
      </w:r>
      <w:r>
        <w:t>must</w:t>
      </w:r>
      <w:r w:rsidRPr="004A08C2">
        <w:t xml:space="preserve"> use ADOT</w:t>
      </w:r>
      <w:r>
        <w:t>’s</w:t>
      </w:r>
      <w:r w:rsidRPr="00305187">
        <w:rPr>
          <w:bCs/>
        </w:rPr>
        <w:t xml:space="preserve"> </w:t>
      </w:r>
      <w:hyperlink r:id="rId374" w:history="1">
        <w:r w:rsidRPr="00F54BBB">
          <w:rPr>
            <w:rStyle w:val="TitleChar"/>
          </w:rPr>
          <w:t>E-GRANTS</w:t>
        </w:r>
      </w:hyperlink>
      <w:r w:rsidRPr="007B6EEE">
        <w:rPr>
          <w:rStyle w:val="TitleChar"/>
        </w:rPr>
        <w:t xml:space="preserve"> </w:t>
      </w:r>
      <w:r>
        <w:t xml:space="preserve">platform to </w:t>
      </w:r>
      <w:r w:rsidRPr="004A08C2">
        <w:t xml:space="preserve">submit invoices no more frequently than monthly, but </w:t>
      </w:r>
      <w:r>
        <w:t>no less than</w:t>
      </w:r>
      <w:r w:rsidRPr="004A08C2">
        <w:t xml:space="preserve"> quarterly.</w:t>
      </w:r>
      <w:r w:rsidR="00A93737">
        <w:rPr>
          <w:rFonts w:cstheme="minorHAnsi"/>
          <w:noProof/>
        </w:rPr>
        <mc:AlternateContent>
          <mc:Choice Requires="wps">
            <w:drawing>
              <wp:anchor distT="0" distB="0" distL="114300" distR="114300" simplePos="0" relativeHeight="251618508" behindDoc="1" locked="0" layoutInCell="1" allowOverlap="1" wp14:anchorId="5B719602" wp14:editId="69DFA936">
                <wp:simplePos x="0" y="0"/>
                <wp:positionH relativeFrom="column">
                  <wp:posOffset>0</wp:posOffset>
                </wp:positionH>
                <wp:positionV relativeFrom="paragraph">
                  <wp:posOffset>1105535</wp:posOffset>
                </wp:positionV>
                <wp:extent cx="1249680" cy="1809750"/>
                <wp:effectExtent l="76200" t="95250" r="83820" b="95250"/>
                <wp:wrapTight wrapText="bothSides">
                  <wp:wrapPolygon edited="0">
                    <wp:start x="-1317" y="-1137"/>
                    <wp:lineTo x="-1317" y="22509"/>
                    <wp:lineTo x="22720" y="22509"/>
                    <wp:lineTo x="22720" y="-1137"/>
                    <wp:lineTo x="-1317" y="-1137"/>
                  </wp:wrapPolygon>
                </wp:wrapTight>
                <wp:docPr id="1690911467" name="Text Box 1690911467"/>
                <wp:cNvGraphicFramePr/>
                <a:graphic xmlns:a="http://schemas.openxmlformats.org/drawingml/2006/main">
                  <a:graphicData uri="http://schemas.microsoft.com/office/word/2010/wordprocessingShape">
                    <wps:wsp>
                      <wps:cNvSpPr txBox="1"/>
                      <wps:spPr>
                        <a:xfrm>
                          <a:off x="0" y="0"/>
                          <a:ext cx="1249680" cy="18097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F8A81D6" w14:textId="77777777" w:rsidR="00C6444C" w:rsidRDefault="00C6444C" w:rsidP="00020D20">
                            <w:pPr>
                              <w:jc w:val="center"/>
                            </w:pPr>
                            <w:r>
                              <w:rPr>
                                <w:noProof/>
                              </w:rPr>
                              <w:drawing>
                                <wp:inline distT="0" distB="0" distL="0" distR="0" wp14:anchorId="47A31C7E" wp14:editId="0C09C995">
                                  <wp:extent cx="457200" cy="457200"/>
                                  <wp:effectExtent l="0" t="0" r="0" b="0"/>
                                  <wp:docPr id="1690912923" name="Picture 169091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FA3A96A" w14:textId="77777777" w:rsidR="00C6444C" w:rsidRPr="00954116" w:rsidRDefault="00C6444C" w:rsidP="00020D20">
                            <w:pPr>
                              <w:pStyle w:val="Calloutboxes"/>
                            </w:pPr>
                            <w:r w:rsidRPr="00394A74">
                              <w:t>Submit invoices to ADOT Finance and Contract Administration.</w:t>
                            </w:r>
                          </w:p>
                          <w:p w14:paraId="64A70399" w14:textId="6769DB48" w:rsidR="00C6444C" w:rsidRPr="00020D20" w:rsidRDefault="00202C92">
                            <w:pPr>
                              <w:pStyle w:val="Title"/>
                              <w:rPr>
                                <w:sz w:val="16"/>
                              </w:rPr>
                            </w:pPr>
                            <w:hyperlink r:id="rId375" w:history="1">
                              <w:r w:rsidR="00C6444C" w:rsidRPr="00020D20">
                                <w:rPr>
                                  <w:rStyle w:val="Hyperlink"/>
                                  <w:rFonts w:ascii="Calibri" w:hAnsi="Calibri" w:cstheme="majorBidi"/>
                                  <w:i/>
                                  <w:iCs w:val="0"/>
                                  <w:color w:val="CE5B18"/>
                                  <w:szCs w:val="56"/>
                                  <w:u w:val="none"/>
                                </w:rPr>
                                <w:t>mpdinvoice@azdot.gov</w:t>
                              </w:r>
                            </w:hyperlink>
                          </w:p>
                          <w:p w14:paraId="7641F858" w14:textId="77777777" w:rsidR="00C6444C" w:rsidRPr="0052715B" w:rsidRDefault="00C6444C" w:rsidP="00020D20">
                            <w:pPr>
                              <w:pStyle w:val="Calloutboxes"/>
                            </w:pPr>
                            <w:r w:rsidRPr="00394A74">
                              <w:t xml:space="preserve">You will receive an automatic reply from ADOT confirming </w:t>
                            </w:r>
                            <w:r w:rsidRPr="00954116">
                              <w:t>the email has been received.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719602" id="Text Box 1690911467" o:spid="_x0000_s1113" type="#_x0000_t202" style="position:absolute;left:0;text-align:left;margin-left:0;margin-top:87.05pt;width:98.4pt;height:142.5pt;z-index:-251697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" fillcolor="#f7f7f7" stroked="f" strokeweight=".5pt">
                <v:shadow on="t" type="perspective" color="black" opacity="26214f" offset="0,0" matrix="66847f,,,66847f"/>
                <v:textbox>
                  <w:txbxContent>
                    <w:p w14:paraId="1F8A81D6" w14:textId="77777777" w:rsidR="00C6444C" w:rsidRDefault="00C6444C" w:rsidP="00020D20">
                      <w:pPr>
                        <w:jc w:val="center"/>
                      </w:pPr>
                      <w:r>
                        <w:rPr>
                          <w:noProof/>
                        </w:rPr>
                        <w:drawing>
                          <wp:inline distT="0" distB="0" distL="0" distR="0" wp14:anchorId="47A31C7E" wp14:editId="0C09C995">
                            <wp:extent cx="457200" cy="457200"/>
                            <wp:effectExtent l="0" t="0" r="0" b="0"/>
                            <wp:docPr id="1690912923" name="Picture 169091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FA3A96A" w14:textId="77777777" w:rsidR="00C6444C" w:rsidRPr="00954116" w:rsidRDefault="00C6444C" w:rsidP="00020D20">
                      <w:pPr>
                        <w:pStyle w:val="Calloutboxes"/>
                      </w:pPr>
                      <w:r w:rsidRPr="00394A74">
                        <w:t>Submit invoices to ADOT Finance and Contract Administration.</w:t>
                      </w:r>
                    </w:p>
                    <w:p w14:paraId="64A70399" w14:textId="6769DB48" w:rsidR="00C6444C" w:rsidRPr="00020D20" w:rsidRDefault="00C6444C">
                      <w:pPr>
                        <w:pStyle w:val="Title"/>
                        <w:rPr>
                          <w:sz w:val="16"/>
                        </w:rPr>
                      </w:pPr>
                      <w:hyperlink r:id="rId376" w:history="1">
                        <w:r w:rsidRPr="00020D20">
                          <w:rPr>
                            <w:rStyle w:val="Hyperlink"/>
                            <w:rFonts w:ascii="Calibri" w:hAnsi="Calibri" w:cstheme="majorBidi"/>
                            <w:i/>
                            <w:iCs w:val="0"/>
                            <w:color w:val="CE5B18"/>
                            <w:szCs w:val="56"/>
                            <w:u w:val="none"/>
                          </w:rPr>
                          <w:t>mpdinvoice@azdot.gov</w:t>
                        </w:r>
                      </w:hyperlink>
                    </w:p>
                    <w:p w14:paraId="7641F858" w14:textId="77777777" w:rsidR="00C6444C" w:rsidRPr="0052715B" w:rsidRDefault="00C6444C" w:rsidP="00020D20">
                      <w:pPr>
                        <w:pStyle w:val="Calloutboxes"/>
                      </w:pPr>
                      <w:r w:rsidRPr="00394A74">
                        <w:t xml:space="preserve">You will receive an automatic reply from ADOT confirming </w:t>
                      </w:r>
                      <w:r w:rsidRPr="00954116">
                        <w:t>the email has been received.</w:t>
                      </w:r>
                    </w:p>
                  </w:txbxContent>
                </v:textbox>
                <w10:wrap type="tight"/>
              </v:shape>
            </w:pict>
          </mc:Fallback>
        </mc:AlternateContent>
      </w:r>
      <w:r>
        <w:t xml:space="preserve"> </w:t>
      </w:r>
      <w:r w:rsidR="001E49B3" w:rsidRPr="001E49B3">
        <w:t xml:space="preserve">Standard </w:t>
      </w:r>
      <w:r w:rsidR="00BD216C">
        <w:t>GRT</w:t>
      </w:r>
      <w:r w:rsidR="001E49B3" w:rsidRPr="001E49B3">
        <w:t xml:space="preserve"> language requires MPOs to submit invoices to the ADOT Finance and Contract Administration section</w:t>
      </w:r>
      <w:r w:rsidR="003C6A96">
        <w:t xml:space="preserve"> monthly. </w:t>
      </w:r>
      <w:r w:rsidR="001E49B3" w:rsidRPr="001E49B3">
        <w:t>The various MPO accounting offices in consultation with ADOT determine invoice detail requirements. The invoice must provide enough detail to accurately document all charges. It’s assumed that supply or material expenses may require a receipt to confirm eligibility of expenses. ADOT has the right to request these records or receipts. Supporting documents for invoices should include receipts for eligible expenses</w:t>
      </w:r>
      <w:r w:rsidR="003B3BF5">
        <w:t>, p</w:t>
      </w:r>
      <w:r w:rsidR="001E49B3" w:rsidRPr="001E49B3">
        <w:t xml:space="preserve">rogress </w:t>
      </w:r>
      <w:r w:rsidR="003B3BF5">
        <w:t>r</w:t>
      </w:r>
      <w:r w:rsidR="001E49B3" w:rsidRPr="001E49B3">
        <w:t xml:space="preserve">eports, </w:t>
      </w:r>
      <w:r w:rsidR="003B3BF5">
        <w:t>i</w:t>
      </w:r>
      <w:r w:rsidR="001E49B3" w:rsidRPr="001E49B3">
        <w:t xml:space="preserve">n-kind </w:t>
      </w:r>
      <w:r w:rsidR="003B3BF5">
        <w:t>w</w:t>
      </w:r>
      <w:r w:rsidR="001E49B3" w:rsidRPr="001E49B3">
        <w:t>orksheets,</w:t>
      </w:r>
      <w:r w:rsidR="001E49B3">
        <w:t xml:space="preserve"> and a </w:t>
      </w:r>
      <w:r w:rsidR="003B3BF5">
        <w:t>d</w:t>
      </w:r>
      <w:r w:rsidR="001E49B3">
        <w:t xml:space="preserve">etailed </w:t>
      </w:r>
      <w:r w:rsidR="003B3BF5">
        <w:t>e</w:t>
      </w:r>
      <w:r w:rsidR="001E49B3">
        <w:t xml:space="preserve">xpense </w:t>
      </w:r>
      <w:r w:rsidR="003B3BF5">
        <w:t>l</w:t>
      </w:r>
      <w:r w:rsidR="001E49B3">
        <w:t>edger.</w:t>
      </w:r>
    </w:p>
    <w:p w14:paraId="6B098104" w14:textId="4F8EBEF4" w:rsidR="001E49B3" w:rsidRPr="001E49B3" w:rsidRDefault="001E49B3" w:rsidP="00020D20">
      <w:pPr>
        <w:pStyle w:val="Heading3"/>
        <w:jc w:val="both"/>
      </w:pPr>
      <w:bookmarkStart w:id="192" w:name="_Ref50029096"/>
      <w:r w:rsidRPr="001E49B3">
        <w:t>4.10.2 | Processing Payment</w:t>
      </w:r>
      <w:bookmarkEnd w:id="192"/>
    </w:p>
    <w:p w14:paraId="66A759E2" w14:textId="0359F023" w:rsidR="001E49B3" w:rsidRPr="001E49B3" w:rsidRDefault="001E49B3" w:rsidP="00020D20">
      <w:pPr>
        <w:jc w:val="both"/>
      </w:pPr>
      <w:r w:rsidRPr="001E49B3">
        <w:t>Upon approval by Project Manager and MPO Finance section at ADOT, Arizona reimburses expenses within 30 days of receipt of the request for reimbursement from the MPO relating to Section 134 (</w:t>
      </w:r>
      <w:hyperlink r:id="rId377" w:history="1">
        <w:r w:rsidR="004418C8" w:rsidRPr="00020D20">
          <w:rPr>
            <w:rStyle w:val="TitleChar"/>
          </w:rPr>
          <w:t xml:space="preserve">23 </w:t>
        </w:r>
        <w:r w:rsidR="009628C0">
          <w:rPr>
            <w:rStyle w:val="TitleChar"/>
          </w:rPr>
          <w:t>U.S.C.</w:t>
        </w:r>
        <w:r w:rsidR="004418C8" w:rsidRPr="00020D20">
          <w:rPr>
            <w:rStyle w:val="TitleChar"/>
          </w:rPr>
          <w:t xml:space="preserve"> § 104</w:t>
        </w:r>
      </w:hyperlink>
      <w:r w:rsidRPr="001E49B3">
        <w:t xml:space="preserve">). Should ADOT later determine those charges were unallowable, ADOT deducts those charges from any future claim for reimbursement. ADOT may request additional information </w:t>
      </w:r>
      <w:r w:rsidR="003416CC">
        <w:rPr>
          <w:rFonts w:cstheme="minorHAnsi"/>
          <w:noProof/>
        </w:rPr>
        <mc:AlternateContent>
          <mc:Choice Requires="wps">
            <w:drawing>
              <wp:anchor distT="0" distB="0" distL="114300" distR="114300" simplePos="0" relativeHeight="251618512" behindDoc="1" locked="0" layoutInCell="1" allowOverlap="1" wp14:anchorId="0BB95963" wp14:editId="446B7EFE">
                <wp:simplePos x="0" y="0"/>
                <wp:positionH relativeFrom="column">
                  <wp:posOffset>1375410</wp:posOffset>
                </wp:positionH>
                <wp:positionV relativeFrom="paragraph">
                  <wp:posOffset>190500</wp:posOffset>
                </wp:positionV>
                <wp:extent cx="1486535" cy="2229485"/>
                <wp:effectExtent l="95250" t="95250" r="94615" b="94615"/>
                <wp:wrapTight wrapText="bothSides">
                  <wp:wrapPolygon edited="0">
                    <wp:start x="-1107" y="-923"/>
                    <wp:lineTo x="-1384" y="21409"/>
                    <wp:lineTo x="-830" y="22332"/>
                    <wp:lineTo x="22144" y="22332"/>
                    <wp:lineTo x="22698" y="20117"/>
                    <wp:lineTo x="22421" y="-923"/>
                    <wp:lineTo x="-1107" y="-923"/>
                  </wp:wrapPolygon>
                </wp:wrapTight>
                <wp:docPr id="816286507" name="Text Box 816286507"/>
                <wp:cNvGraphicFramePr/>
                <a:graphic xmlns:a="http://schemas.openxmlformats.org/drawingml/2006/main">
                  <a:graphicData uri="http://schemas.microsoft.com/office/word/2010/wordprocessingShape">
                    <wps:wsp>
                      <wps:cNvSpPr txBox="1"/>
                      <wps:spPr>
                        <a:xfrm>
                          <a:off x="0" y="0"/>
                          <a:ext cx="1486535" cy="222948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A2B34DC" w14:textId="77777777" w:rsidR="00C6444C" w:rsidRDefault="00C6444C" w:rsidP="00020D20">
                            <w:pPr>
                              <w:jc w:val="center"/>
                            </w:pPr>
                            <w:r>
                              <w:rPr>
                                <w:noProof/>
                              </w:rPr>
                              <w:drawing>
                                <wp:inline distT="0" distB="0" distL="0" distR="0" wp14:anchorId="2919AC86" wp14:editId="58FC5696">
                                  <wp:extent cx="457200" cy="457200"/>
                                  <wp:effectExtent l="0" t="0" r="0" b="0"/>
                                  <wp:docPr id="1690912924" name="Picture 169091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3280268" w14:textId="5C2D7C3F" w:rsidR="00C6444C" w:rsidRPr="0052715B" w:rsidRDefault="00C6444C" w:rsidP="00020D20">
                            <w:pPr>
                              <w:pStyle w:val="Calloutboxes"/>
                            </w:pPr>
                            <w:r w:rsidRPr="00394A74">
                              <w:t>ADOT uses a centralized financial information system. VendorPay allows for vendors and customers to effectively monitor status of payment. For vend</w:t>
                            </w:r>
                            <w:r w:rsidRPr="00954116">
                              <w:t>or payment or to sign up for automated payment, instructions and forms are located under “Payment Options” at</w:t>
                            </w:r>
                          </w:p>
                          <w:p w14:paraId="4324F99A" w14:textId="3027F619" w:rsidR="00C6444C" w:rsidRPr="00020D20" w:rsidRDefault="00202C92">
                            <w:pPr>
                              <w:pStyle w:val="Title"/>
                              <w:rPr>
                                <w:sz w:val="16"/>
                                <w:szCs w:val="16"/>
                              </w:rPr>
                            </w:pPr>
                            <w:hyperlink r:id="rId378" w:history="1">
                              <w:r w:rsidR="00C6444C" w:rsidRPr="00020D20">
                                <w:rPr>
                                  <w:rStyle w:val="Hyperlink"/>
                                  <w:rFonts w:ascii="Calibri" w:hAnsi="Calibri" w:cstheme="majorBidi"/>
                                  <w:i/>
                                  <w:color w:val="CE5B18"/>
                                  <w:szCs w:val="56"/>
                                  <w:u w:val="none"/>
                                </w:rPr>
                                <w:t>https://gao.az.gov/afis/vendor-information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B95963" id="Text Box 816286507" o:spid="_x0000_s1114" type="#_x0000_t202" style="position:absolute;left:0;text-align:left;margin-left:108.3pt;margin-top:15pt;width:117.05pt;height:175.55pt;z-index:-25169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" fillcolor="#f7f7f7" stroked="f" strokeweight=".5pt">
                <v:shadow on="t" type="perspective" color="black" opacity="26214f" offset="0,0" matrix="66847f,,,66847f"/>
                <v:textbox>
                  <w:txbxContent>
                    <w:p w14:paraId="1A2B34DC" w14:textId="77777777" w:rsidR="00C6444C" w:rsidRDefault="00C6444C" w:rsidP="00020D20">
                      <w:pPr>
                        <w:jc w:val="center"/>
                      </w:pPr>
                      <w:r>
                        <w:rPr>
                          <w:noProof/>
                        </w:rPr>
                        <w:drawing>
                          <wp:inline distT="0" distB="0" distL="0" distR="0" wp14:anchorId="2919AC86" wp14:editId="58FC5696">
                            <wp:extent cx="457200" cy="457200"/>
                            <wp:effectExtent l="0" t="0" r="0" b="0"/>
                            <wp:docPr id="1690912924" name="Picture 169091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3280268" w14:textId="5C2D7C3F" w:rsidR="00C6444C" w:rsidRPr="0052715B" w:rsidRDefault="00C6444C" w:rsidP="00020D20">
                      <w:pPr>
                        <w:pStyle w:val="Calloutboxes"/>
                      </w:pPr>
                      <w:r w:rsidRPr="00394A74">
                        <w:t>ADOT uses a centralized financial information system. VendorPay allows for vendors and customers to effectively monitor status of payment. For vend</w:t>
                      </w:r>
                      <w:r w:rsidRPr="00954116">
                        <w:t>or payment or to sign up for automated payment, instructions and forms are located under “Payment Options” at</w:t>
                      </w:r>
                    </w:p>
                    <w:p w14:paraId="4324F99A" w14:textId="3027F619" w:rsidR="00C6444C" w:rsidRPr="00020D20" w:rsidRDefault="00C6444C">
                      <w:pPr>
                        <w:pStyle w:val="Title"/>
                        <w:rPr>
                          <w:sz w:val="16"/>
                          <w:szCs w:val="16"/>
                        </w:rPr>
                      </w:pPr>
                      <w:hyperlink r:id="rId379" w:history="1">
                        <w:r w:rsidRPr="00020D20">
                          <w:rPr>
                            <w:rStyle w:val="Hyperlink"/>
                            <w:rFonts w:ascii="Calibri" w:hAnsi="Calibri" w:cstheme="majorBidi"/>
                            <w:i/>
                            <w:color w:val="CE5B18"/>
                            <w:szCs w:val="56"/>
                            <w:u w:val="none"/>
                          </w:rPr>
                          <w:t>https://gao.az.gov/afis/vendor-information</w:t>
                        </w:r>
                      </w:hyperlink>
                    </w:p>
                  </w:txbxContent>
                </v:textbox>
                <w10:wrap type="tight"/>
              </v:shape>
            </w:pict>
          </mc:Fallback>
        </mc:AlternateContent>
      </w:r>
      <w:r w:rsidRPr="001E49B3">
        <w:t xml:space="preserve">before approving and processing the invoice. </w:t>
      </w:r>
    </w:p>
    <w:p w14:paraId="3CE89162" w14:textId="77777777" w:rsidR="00495085" w:rsidRDefault="001E49B3" w:rsidP="00020D20">
      <w:pPr>
        <w:jc w:val="both"/>
      </w:pPr>
      <w:r w:rsidRPr="001E49B3">
        <w:t>The State of Arizona has tools for vendors and customers to check if an invoice or reimbursement has been paid. Additionally,</w:t>
      </w:r>
      <w:r w:rsidR="001F26D3">
        <w:t xml:space="preserve"> </w:t>
      </w:r>
      <w:r w:rsidR="001F26D3" w:rsidRPr="001F26D3">
        <w:t>vendors and customers have the opportunity to sign up for automated payment; this option will allow the State to send payment electronically through a bank institution. This automatic payment is processed as a direct deposit and reduces the amount of time it takes for the vendor or customer to receive payment from the State.</w:t>
      </w:r>
    </w:p>
    <w:p w14:paraId="74A3CB05" w14:textId="36A453D1" w:rsidR="00495085" w:rsidRDefault="00495085" w:rsidP="00020D20">
      <w:pPr>
        <w:jc w:val="both"/>
      </w:pPr>
    </w:p>
    <w:p w14:paraId="56553549" w14:textId="77777777" w:rsidR="00495085" w:rsidRDefault="00495085" w:rsidP="00020D20">
      <w:pPr>
        <w:jc w:val="both"/>
      </w:pPr>
    </w:p>
    <w:p w14:paraId="39C5CD32" w14:textId="77777777" w:rsidR="00495085" w:rsidRDefault="00495085" w:rsidP="00020D20">
      <w:pPr>
        <w:jc w:val="both"/>
      </w:pPr>
    </w:p>
    <w:p w14:paraId="4C19DCB4" w14:textId="77777777" w:rsidR="00495085" w:rsidRDefault="00495085" w:rsidP="00020D20">
      <w:pPr>
        <w:jc w:val="both"/>
      </w:pPr>
    </w:p>
    <w:p w14:paraId="229B1238" w14:textId="77777777" w:rsidR="00495085" w:rsidRDefault="00495085" w:rsidP="00020D20">
      <w:pPr>
        <w:jc w:val="both"/>
      </w:pPr>
    </w:p>
    <w:p w14:paraId="6095EFB6" w14:textId="77777777" w:rsidR="00495085" w:rsidRDefault="00495085" w:rsidP="00020D20">
      <w:pPr>
        <w:jc w:val="both"/>
      </w:pPr>
    </w:p>
    <w:p w14:paraId="08E1268D" w14:textId="77777777" w:rsidR="00495085" w:rsidRDefault="00495085" w:rsidP="00020D20">
      <w:pPr>
        <w:jc w:val="both"/>
      </w:pPr>
    </w:p>
    <w:p w14:paraId="09062FF6" w14:textId="77777777" w:rsidR="00495085" w:rsidRDefault="00495085" w:rsidP="00020D20">
      <w:pPr>
        <w:jc w:val="both"/>
      </w:pPr>
    </w:p>
    <w:p w14:paraId="0DA0F837" w14:textId="56ED2817" w:rsidR="00495085" w:rsidRDefault="00495085" w:rsidP="00020D20">
      <w:pPr>
        <w:jc w:val="both"/>
      </w:pPr>
    </w:p>
    <w:p w14:paraId="6327D6BD" w14:textId="77777777" w:rsidR="00164ED7" w:rsidRDefault="00164ED7" w:rsidP="00020D20">
      <w:pPr>
        <w:jc w:val="both"/>
      </w:pPr>
    </w:p>
    <w:p w14:paraId="4DC91A87" w14:textId="77777777" w:rsidR="00495085" w:rsidRDefault="00495085" w:rsidP="00020D20">
      <w:pPr>
        <w:jc w:val="both"/>
      </w:pPr>
    </w:p>
    <w:p w14:paraId="4E5E888F" w14:textId="77777777" w:rsidR="00CD09F5" w:rsidRDefault="00CD09F5" w:rsidP="00020D20">
      <w:pPr>
        <w:jc w:val="both"/>
      </w:pPr>
    </w:p>
    <w:p w14:paraId="51E8EAC3" w14:textId="77777777" w:rsidR="00495085" w:rsidRDefault="00495085" w:rsidP="00020D20">
      <w:pPr>
        <w:jc w:val="both"/>
      </w:pPr>
    </w:p>
    <w:p w14:paraId="2CD224A9" w14:textId="77777777" w:rsidR="00495085" w:rsidRDefault="00495085" w:rsidP="00020D20">
      <w:pPr>
        <w:jc w:val="both"/>
      </w:pPr>
    </w:p>
    <w:p w14:paraId="14E5CBAC" w14:textId="77777777" w:rsidR="00495085" w:rsidRDefault="00495085" w:rsidP="00020D20">
      <w:pPr>
        <w:jc w:val="both"/>
      </w:pPr>
    </w:p>
    <w:p w14:paraId="4ACAFC95" w14:textId="5038BE17" w:rsidR="00814B19" w:rsidRDefault="00814B19" w:rsidP="00020D20">
      <w:pPr>
        <w:jc w:val="both"/>
        <w:sectPr w:rsidR="00814B19" w:rsidSect="00020D20">
          <w:type w:val="continuous"/>
          <w:pgSz w:w="12240" w:h="15840"/>
          <w:pgMar w:top="1440" w:right="1440" w:bottom="1440" w:left="1440" w:header="720" w:footer="720" w:gutter="0"/>
          <w:pgNumType w:chapStyle="1"/>
          <w:cols w:num="2" w:space="720"/>
          <w:docGrid w:linePitch="360"/>
        </w:sectPr>
      </w:pPr>
    </w:p>
    <w:p w14:paraId="31756D98" w14:textId="0B4AAC91" w:rsidR="00814B19" w:rsidRDefault="00814B19" w:rsidP="00020D20">
      <w:pPr>
        <w:jc w:val="both"/>
        <w:sectPr w:rsidR="00814B19" w:rsidSect="00096406">
          <w:type w:val="continuous"/>
          <w:pgSz w:w="12240" w:h="15840"/>
          <w:pgMar w:top="1440" w:right="1440" w:bottom="1440" w:left="1440" w:header="720" w:footer="720" w:gutter="0"/>
          <w:cols w:space="720"/>
          <w:docGrid w:linePitch="360"/>
        </w:sectPr>
      </w:pPr>
    </w:p>
    <w:p w14:paraId="7DBFCE19" w14:textId="77777777" w:rsidR="00904690" w:rsidRDefault="004B7825" w:rsidP="00020D20">
      <w:pPr>
        <w:pStyle w:val="BodyTextTitle"/>
        <w:spacing w:after="0" w:line="240" w:lineRule="auto"/>
        <w:jc w:val="both"/>
      </w:pPr>
      <w:r>
        <w:t>5</w:t>
      </w:r>
      <w:r w:rsidR="00904690">
        <w:t xml:space="preserve"> </w:t>
      </w:r>
      <w:r>
        <w:t xml:space="preserve">| </w:t>
      </w:r>
      <w:r w:rsidR="00904690">
        <w:t>COG WORK PROGRAM</w:t>
      </w:r>
    </w:p>
    <w:p w14:paraId="02DCFFA9" w14:textId="6F146DA9" w:rsidR="000B18E9" w:rsidRPr="00020D20" w:rsidRDefault="004B7825" w:rsidP="00020D20">
      <w:pPr>
        <w:pStyle w:val="BodyTextTitle"/>
        <w:spacing w:before="0" w:line="240" w:lineRule="auto"/>
        <w:jc w:val="both"/>
        <w:rPr>
          <w:sz w:val="36"/>
        </w:rPr>
      </w:pPr>
      <w:r w:rsidRPr="00020D20">
        <w:rPr>
          <w:sz w:val="36"/>
        </w:rPr>
        <w:t>TABLE OF CONTENTS</w:t>
      </w:r>
    </w:p>
    <w:p w14:paraId="450D2DD6" w14:textId="799F8A5A" w:rsidR="000B18E9" w:rsidRDefault="004B782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_Ref50029612 \h </w:instrText>
      </w:r>
      <w:r w:rsidR="002D38FC">
        <w:instrText xml:space="preserve"> \* MERGEFORMAT </w:instrText>
      </w:r>
      <w:r>
        <w:fldChar w:fldCharType="separate"/>
      </w:r>
      <w:r w:rsidRPr="00B10564">
        <w:t>5.1 | PURPOSE</w:t>
      </w:r>
      <w:r>
        <w:fldChar w:fldCharType="end"/>
      </w:r>
    </w:p>
    <w:p w14:paraId="557E8CFA" w14:textId="788B84F8"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_Ref50029618 \h </w:instrText>
      </w:r>
      <w:r w:rsidR="002D38FC">
        <w:instrText xml:space="preserve"> \* MERGEFORMAT </w:instrText>
      </w:r>
      <w:r>
        <w:fldChar w:fldCharType="separate"/>
      </w:r>
      <w:r w:rsidRPr="00B10564">
        <w:t>5.2 | AUTHORITY</w:t>
      </w:r>
      <w:r>
        <w:fldChar w:fldCharType="end"/>
      </w:r>
    </w:p>
    <w:p w14:paraId="26688307" w14:textId="1B791C0D"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_Ref50029621 \h </w:instrText>
      </w:r>
      <w:r w:rsidR="002D38FC">
        <w:instrText xml:space="preserve"> \* MERGEFORMAT </w:instrText>
      </w:r>
      <w:r>
        <w:fldChar w:fldCharType="separate"/>
      </w:r>
      <w:r w:rsidRPr="00B10564">
        <w:t>5.3 | SCOPE</w:t>
      </w:r>
      <w:r>
        <w:fldChar w:fldCharType="end"/>
      </w:r>
    </w:p>
    <w:p w14:paraId="17739BA5" w14:textId="1035DF3D"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_Ref50029624 \h </w:instrText>
      </w:r>
      <w:r w:rsidR="002D38FC">
        <w:instrText xml:space="preserve"> \* MERGEFORMAT </w:instrText>
      </w:r>
      <w:r>
        <w:fldChar w:fldCharType="separate"/>
      </w:r>
      <w:r w:rsidRPr="00B10564">
        <w:t>5.4 | FUNDING</w:t>
      </w:r>
      <w:r>
        <w:fldChar w:fldCharType="end"/>
      </w:r>
    </w:p>
    <w:p w14:paraId="6893E0BD" w14:textId="7DC1E9B1"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_Ref50029627 \h </w:instrText>
      </w:r>
      <w:r w:rsidR="002D38FC">
        <w:instrText xml:space="preserve"> \* MERGEFORMAT </w:instrText>
      </w:r>
      <w:r>
        <w:fldChar w:fldCharType="separate"/>
      </w:r>
      <w:r w:rsidRPr="00B10564">
        <w:t>5.5 | DEVELOPMENT, REVIEW, &amp; APPROVAL</w:t>
      </w:r>
      <w:r>
        <w:fldChar w:fldCharType="end"/>
      </w:r>
    </w:p>
    <w:p w14:paraId="4520D466" w14:textId="132F36E5"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_Ref50029633 \h </w:instrText>
      </w:r>
      <w:r w:rsidR="002D38FC">
        <w:instrText xml:space="preserve"> \* MERGEFORMAT </w:instrText>
      </w:r>
      <w:r>
        <w:fldChar w:fldCharType="separate"/>
      </w:r>
      <w:r w:rsidRPr="00B10564">
        <w:t>5.5.1 | Early Coordination</w:t>
      </w:r>
      <w:r>
        <w:fldChar w:fldCharType="end"/>
      </w:r>
    </w:p>
    <w:p w14:paraId="5986C046" w14:textId="1559B1F5"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_Ref50029636 \h </w:instrText>
      </w:r>
      <w:r w:rsidR="002D38FC">
        <w:instrText xml:space="preserve"> \* MERGEFORMAT </w:instrText>
      </w:r>
      <w:r>
        <w:fldChar w:fldCharType="separate"/>
      </w:r>
      <w:r w:rsidRPr="00B10564">
        <w:t>5.5.2 | Draft Review</w:t>
      </w:r>
      <w:r>
        <w:fldChar w:fldCharType="end"/>
      </w:r>
    </w:p>
    <w:p w14:paraId="07F96CCF" w14:textId="2D0CB169"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_Ref50029640 \h </w:instrText>
      </w:r>
      <w:r w:rsidR="002D38FC">
        <w:instrText xml:space="preserve"> \* MERGEFORMAT </w:instrText>
      </w:r>
      <w:r>
        <w:fldChar w:fldCharType="separate"/>
      </w:r>
      <w:r w:rsidRPr="00B10564">
        <w:t>5.5.3 | ADOT Review</w:t>
      </w:r>
      <w:r>
        <w:fldChar w:fldCharType="end"/>
      </w:r>
    </w:p>
    <w:p w14:paraId="7DAEF1C5" w14:textId="5AFEE5D4" w:rsidR="004B7825" w:rsidRDefault="004B7825"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_Ref50029643 \h </w:instrText>
      </w:r>
      <w:r w:rsidR="002D38FC">
        <w:instrText xml:space="preserve"> \* MERGEFORMAT </w:instrText>
      </w:r>
      <w:r>
        <w:fldChar w:fldCharType="separate"/>
      </w:r>
      <w:r w:rsidRPr="00B10564">
        <w:t>5.5.4 | Adoption &amp; Submittal</w:t>
      </w:r>
      <w:r>
        <w:fldChar w:fldCharType="end"/>
      </w:r>
    </w:p>
    <w:p w14:paraId="75060988" w14:textId="7FC3EA4D"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_Ref50029654 \h </w:instrText>
      </w:r>
      <w:r w:rsidR="002D38FC">
        <w:instrText xml:space="preserve"> \* MERGEFORMAT </w:instrText>
      </w:r>
      <w:r>
        <w:fldChar w:fldCharType="separate"/>
      </w:r>
      <w:r w:rsidRPr="00B10564">
        <w:t>5.6 | MODIFICATIONS</w:t>
      </w:r>
      <w:r>
        <w:fldChar w:fldCharType="end"/>
      </w:r>
    </w:p>
    <w:p w14:paraId="2611F5A6" w14:textId="1A008895"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_Ref50029661 \h </w:instrText>
      </w:r>
      <w:r w:rsidR="002D38FC">
        <w:instrText xml:space="preserve"> \* MERGEFORMAT </w:instrText>
      </w:r>
      <w:r>
        <w:fldChar w:fldCharType="separate"/>
      </w:r>
      <w:r w:rsidRPr="004A08C2">
        <w:t>5.7 | BUDGET APPROVAL</w:t>
      </w:r>
      <w:r>
        <w:fldChar w:fldCharType="end"/>
      </w:r>
    </w:p>
    <w:p w14:paraId="596168D9" w14:textId="2184724E"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_Ref50029665 \h </w:instrText>
      </w:r>
      <w:r w:rsidR="002D38FC">
        <w:instrText xml:space="preserve"> \* MERGEFORMAT </w:instrText>
      </w:r>
      <w:r>
        <w:fldChar w:fldCharType="separate"/>
      </w:r>
      <w:r w:rsidRPr="004A08C2">
        <w:t>5.8 | WORK ELEMENT DESCRIPTIONS</w:t>
      </w:r>
      <w:r>
        <w:fldChar w:fldCharType="end"/>
      </w:r>
    </w:p>
    <w:p w14:paraId="143398CA" w14:textId="7121DA52"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_Ref50029671 \h </w:instrText>
      </w:r>
      <w:r w:rsidR="002D38FC">
        <w:instrText xml:space="preserve"> \* MERGEFORMAT </w:instrText>
      </w:r>
      <w:r>
        <w:fldChar w:fldCharType="separate"/>
      </w:r>
      <w:r w:rsidRPr="004A08C2">
        <w:t>5.8.1 | Public Involvement Plan</w:t>
      </w:r>
      <w:r>
        <w:fldChar w:fldCharType="end"/>
      </w:r>
    </w:p>
    <w:p w14:paraId="1F5D0B30" w14:textId="3AC180A3"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_Ref50029674 \h </w:instrText>
      </w:r>
      <w:r w:rsidR="002D38FC">
        <w:instrText xml:space="preserve"> \* MERGEFORMAT </w:instrText>
      </w:r>
      <w:r>
        <w:fldChar w:fldCharType="separate"/>
      </w:r>
      <w:r w:rsidRPr="004A08C2">
        <w:t>5.8.2 | Website</w:t>
      </w:r>
      <w:r>
        <w:fldChar w:fldCharType="end"/>
      </w:r>
    </w:p>
    <w:p w14:paraId="51211C12" w14:textId="2C70C901"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_Ref50029677 \h </w:instrText>
      </w:r>
      <w:r w:rsidR="002D38FC">
        <w:instrText xml:space="preserve"> \* MERGEFORMAT </w:instrText>
      </w:r>
      <w:r>
        <w:fldChar w:fldCharType="separate"/>
      </w:r>
      <w:r w:rsidRPr="004A08C2">
        <w:t>5.8.3 | HPMS Data Collection</w:t>
      </w:r>
      <w:r>
        <w:fldChar w:fldCharType="end"/>
      </w:r>
    </w:p>
    <w:p w14:paraId="229FDF32" w14:textId="7DDBF264"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_Ref50029682 \h </w:instrText>
      </w:r>
      <w:r w:rsidR="002D38FC">
        <w:instrText xml:space="preserve"> \* MERGEFORMAT </w:instrText>
      </w:r>
      <w:r>
        <w:fldChar w:fldCharType="separate"/>
      </w:r>
      <w:r w:rsidRPr="004A08C2">
        <w:t>5.8.4 | Functional Classification</w:t>
      </w:r>
      <w:r>
        <w:fldChar w:fldCharType="end"/>
      </w:r>
    </w:p>
    <w:p w14:paraId="045F87FE" w14:textId="79EEEE05"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_Ref50029687 \h </w:instrText>
      </w:r>
      <w:r w:rsidR="002D38FC">
        <w:instrText xml:space="preserve"> \* MERGEFORMAT </w:instrText>
      </w:r>
      <w:r>
        <w:fldChar w:fldCharType="separate"/>
      </w:r>
      <w:r w:rsidRPr="004A08C2">
        <w:t>5.8.5 | Air Quality Standards</w:t>
      </w:r>
      <w:r>
        <w:fldChar w:fldCharType="end"/>
      </w:r>
    </w:p>
    <w:p w14:paraId="612A1DA9" w14:textId="5E2E3438"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_Ref50029690 \h </w:instrText>
      </w:r>
      <w:r w:rsidR="002D38FC">
        <w:instrText xml:space="preserve"> \* MERGEFORMAT </w:instrText>
      </w:r>
      <w:r>
        <w:fldChar w:fldCharType="separate"/>
      </w:r>
      <w:r w:rsidRPr="004A08C2">
        <w:t>5.8.6 | Population Projections &amp; Estimates</w:t>
      </w:r>
      <w:r>
        <w:fldChar w:fldCharType="end"/>
      </w:r>
    </w:p>
    <w:p w14:paraId="1AC4C0B2" w14:textId="2D9632AB"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_Ref50029693 \h </w:instrText>
      </w:r>
      <w:r w:rsidR="002D38FC">
        <w:instrText xml:space="preserve"> \* MERGEFORMAT </w:instrText>
      </w:r>
      <w:r>
        <w:fldChar w:fldCharType="separate"/>
      </w:r>
      <w:r w:rsidRPr="004A08C2">
        <w:t>5.8.7 | Transportation Improvement Program</w:t>
      </w:r>
      <w:r>
        <w:fldChar w:fldCharType="end"/>
      </w:r>
    </w:p>
    <w:p w14:paraId="55D4D74B" w14:textId="76229A4B"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_Ref50029696 \h </w:instrText>
      </w:r>
      <w:r w:rsidR="002D38FC">
        <w:instrText xml:space="preserve"> \* MERGEFORMAT </w:instrText>
      </w:r>
      <w:r>
        <w:fldChar w:fldCharType="separate"/>
      </w:r>
      <w:r w:rsidRPr="004A08C2">
        <w:t>5.8.8 | Transportation Technical Advisory Committee</w:t>
      </w:r>
      <w:r>
        <w:fldChar w:fldCharType="end"/>
      </w:r>
    </w:p>
    <w:p w14:paraId="0E328960" w14:textId="288616B9"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_Ref50029701 \h </w:instrText>
      </w:r>
      <w:r w:rsidR="002D38FC">
        <w:instrText xml:space="preserve"> \* MERGEFORMAT </w:instrText>
      </w:r>
      <w:r>
        <w:fldChar w:fldCharType="separate"/>
      </w:r>
      <w:r w:rsidRPr="004A08C2">
        <w:t>5.8.9 | ADOT Five-Year Facilities Construction Program</w:t>
      </w:r>
      <w:r>
        <w:fldChar w:fldCharType="end"/>
      </w:r>
    </w:p>
    <w:p w14:paraId="2BF7F467" w14:textId="70FB32F4"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_Ref50029704 \h </w:instrText>
      </w:r>
      <w:r w:rsidR="002D38FC">
        <w:instrText xml:space="preserve"> \* MERGEFORMAT </w:instrText>
      </w:r>
      <w:r>
        <w:fldChar w:fldCharType="separate"/>
      </w:r>
      <w:r w:rsidRPr="004A08C2">
        <w:t xml:space="preserve">5.8.10 | </w:t>
      </w:r>
      <w:r>
        <w:t xml:space="preserve">Surface </w:t>
      </w:r>
      <w:r w:rsidRPr="004A08C2">
        <w:t>Transportation</w:t>
      </w:r>
      <w:r>
        <w:t xml:space="preserve"> Block Grant</w:t>
      </w:r>
      <w:r w:rsidRPr="004A08C2">
        <w:t xml:space="preserve"> </w:t>
      </w:r>
      <w:r w:rsidR="0033578B">
        <w:t xml:space="preserve">(STBG) </w:t>
      </w:r>
      <w:r w:rsidRPr="004A08C2">
        <w:t>Program</w:t>
      </w:r>
      <w:r>
        <w:fldChar w:fldCharType="end"/>
      </w:r>
    </w:p>
    <w:p w14:paraId="6812CF34" w14:textId="3743151F"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_Ref50029709 \h </w:instrText>
      </w:r>
      <w:r w:rsidR="002D38FC">
        <w:instrText xml:space="preserve"> \* MERGEFORMAT </w:instrText>
      </w:r>
      <w:r>
        <w:fldChar w:fldCharType="separate"/>
      </w:r>
      <w:r w:rsidRPr="004A08C2">
        <w:t>5.9 | INVOICING</w:t>
      </w:r>
      <w:r>
        <w:fldChar w:fldCharType="end"/>
      </w:r>
    </w:p>
    <w:p w14:paraId="764600E3" w14:textId="238E07D3"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_Ref50029711 \h </w:instrText>
      </w:r>
      <w:r w:rsidR="002D38FC">
        <w:instrText xml:space="preserve"> \* MERGEFORMAT </w:instrText>
      </w:r>
      <w:r>
        <w:fldChar w:fldCharType="separate"/>
      </w:r>
      <w:r w:rsidRPr="004A08C2">
        <w:t>5.9.1 | Submitting Invoices</w:t>
      </w:r>
      <w:r>
        <w:fldChar w:fldCharType="end"/>
      </w:r>
    </w:p>
    <w:p w14:paraId="2CF38C9E" w14:textId="1ACF0105" w:rsidR="00C5296A" w:rsidRDefault="00C5296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_Ref50029714 \h </w:instrText>
      </w:r>
      <w:r w:rsidR="002D38FC">
        <w:instrText xml:space="preserve"> \* MERGEFORMAT </w:instrText>
      </w:r>
      <w:r>
        <w:fldChar w:fldCharType="separate"/>
      </w:r>
      <w:r w:rsidRPr="005A291A">
        <w:t>5.9.2 | Processing Payment</w:t>
      </w:r>
      <w:r>
        <w:fldChar w:fldCharType="end"/>
      </w:r>
    </w:p>
    <w:p w14:paraId="1681A2DF" w14:textId="77777777" w:rsidR="00492D0B" w:rsidRDefault="000B18E9"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076532">
          <w:footerReference w:type="default" r:id="rId380"/>
          <w:pgSz w:w="12240" w:h="15840"/>
          <w:pgMar w:top="1440" w:right="1440" w:bottom="1440" w:left="1440" w:header="720" w:footer="720" w:gutter="0"/>
          <w:pgNumType w:start="1" w:chapStyle="1"/>
          <w:cols w:space="720"/>
          <w:docGrid w:linePitch="360"/>
        </w:sectPr>
      </w:pPr>
      <w:r>
        <w:br w:type="page"/>
      </w:r>
    </w:p>
    <w:p w14:paraId="5D90FEA1" w14:textId="5E4470D4" w:rsidR="00F60861" w:rsidRDefault="00F60861" w:rsidP="00020D20">
      <w:pPr>
        <w:pStyle w:val="Heading1"/>
        <w:tabs>
          <w:tab w:val="left" w:pos="360"/>
        </w:tabs>
        <w:jc w:val="both"/>
      </w:pPr>
      <w:bookmarkStart w:id="193" w:name="_|_COG_Work"/>
      <w:bookmarkStart w:id="194" w:name="_Toc49862232"/>
      <w:bookmarkStart w:id="195" w:name="_Toc49870625"/>
      <w:bookmarkStart w:id="196" w:name="_Toc50540221"/>
      <w:bookmarkEnd w:id="193"/>
      <w:r>
        <w:t>|</w:t>
      </w:r>
      <w:r w:rsidR="000E518A">
        <w:t xml:space="preserve"> </w:t>
      </w:r>
      <w:r>
        <w:t>COG Work Program</w:t>
      </w:r>
      <w:bookmarkEnd w:id="194"/>
      <w:bookmarkEnd w:id="195"/>
      <w:bookmarkEnd w:id="196"/>
    </w:p>
    <w:p w14:paraId="4594C41C" w14:textId="77777777" w:rsidR="00814B19" w:rsidRDefault="00814B19" w:rsidP="00020D20">
      <w:pPr>
        <w:pStyle w:val="SectionHeadersADOTText"/>
        <w:jc w:val="both"/>
        <w:sectPr w:rsidR="00814B19" w:rsidSect="00020D20">
          <w:footerReference w:type="default" r:id="rId381"/>
          <w:type w:val="continuous"/>
          <w:pgSz w:w="12240" w:h="15840"/>
          <w:pgMar w:top="1440" w:right="1440" w:bottom="1440" w:left="1440" w:header="720" w:footer="720" w:gutter="0"/>
          <w:pgNumType w:start="1" w:chapStyle="1"/>
          <w:cols w:space="720"/>
          <w:docGrid w:linePitch="360"/>
        </w:sectPr>
      </w:pPr>
    </w:p>
    <w:p w14:paraId="2D620574" w14:textId="399FE158" w:rsidR="00B10564" w:rsidRPr="00B10564" w:rsidRDefault="00B10564" w:rsidP="00020D20">
      <w:pPr>
        <w:pStyle w:val="Heading2"/>
      </w:pPr>
      <w:bookmarkStart w:id="197" w:name="_Ref50029612"/>
      <w:r w:rsidRPr="00B10564">
        <w:t>5.1 | PURPOSE</w:t>
      </w:r>
      <w:bookmarkEnd w:id="197"/>
    </w:p>
    <w:p w14:paraId="2477FB26" w14:textId="77777777" w:rsidR="00B10564" w:rsidRPr="00B10564" w:rsidRDefault="00B10564" w:rsidP="00020D20">
      <w:pPr>
        <w:jc w:val="both"/>
      </w:pPr>
      <w:r w:rsidRPr="00B10564">
        <w:t xml:space="preserve">The role of a COG is multifaceted; in the transportation planning process, it functions as an arm of ADOT and provides a local direct linkage between ADOT and local government transportation decision making. The WP outlines the COG responsibilities to fulfill ADOT’s requirements to create a 3-C decision-making environment. </w:t>
      </w:r>
    </w:p>
    <w:p w14:paraId="29EAA9A3" w14:textId="54FB50CD" w:rsidR="00B10564" w:rsidRDefault="004E438A" w:rsidP="00020D20">
      <w:pPr>
        <w:jc w:val="both"/>
      </w:pPr>
      <w:r>
        <w:t xml:space="preserve">Every two years, </w:t>
      </w:r>
      <w:r w:rsidR="00B10564" w:rsidRPr="00B10564">
        <w:t xml:space="preserve">ADOT MPD prepares a draft WP that includes goals, objectives, and required elements to be executed with federal funds that are distributed by ADOT to the COG. The WP requires each COG to comply with all applicable federal and state requirements and describes required transportation planning activities that are to be conducted by the COG during the July 1–June 30 fiscal year. </w:t>
      </w:r>
    </w:p>
    <w:p w14:paraId="2A7A9AF9" w14:textId="77777777" w:rsidR="00B10564" w:rsidRPr="00B10564" w:rsidRDefault="00B10564" w:rsidP="00020D20">
      <w:pPr>
        <w:pStyle w:val="Heading2"/>
      </w:pPr>
      <w:bookmarkStart w:id="198" w:name="_Ref50029618"/>
      <w:r w:rsidRPr="00B10564">
        <w:t>5.2 | AUTHORITY</w:t>
      </w:r>
      <w:bookmarkEnd w:id="198"/>
    </w:p>
    <w:p w14:paraId="3C98043F" w14:textId="695D6B6C" w:rsidR="00B10564" w:rsidRDefault="00B10564" w:rsidP="00020D20">
      <w:pPr>
        <w:jc w:val="both"/>
      </w:pPr>
      <w:r w:rsidRPr="00B10564">
        <w:t xml:space="preserve">Table 5-1 lists the authority provided by the State of Arizona for the COG Work Program. </w:t>
      </w:r>
    </w:p>
    <w:p w14:paraId="3FEEF3FD" w14:textId="043B358B" w:rsidR="00B10564" w:rsidRDefault="00B10564" w:rsidP="00020D20">
      <w:pPr>
        <w:pStyle w:val="Heading4"/>
        <w:jc w:val="both"/>
      </w:pPr>
      <w:r w:rsidRPr="00B10564">
        <w:t>Table 5-1 | Authority</w:t>
      </w:r>
    </w:p>
    <w:tbl>
      <w:tblPr>
        <w:tblW w:w="4673"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04"/>
        <w:gridCol w:w="1178"/>
        <w:gridCol w:w="2991"/>
      </w:tblGrid>
      <w:tr w:rsidR="00B10564" w:rsidRPr="00B10564" w14:paraId="24A367EE" w14:textId="77777777" w:rsidTr="00020D20">
        <w:trPr>
          <w:trHeight w:hRule="exact" w:val="479"/>
        </w:trPr>
        <w:tc>
          <w:tcPr>
            <w:tcW w:w="1682" w:type="dxa"/>
            <w:gridSpan w:val="2"/>
            <w:tcBorders>
              <w:top w:val="single" w:sz="8" w:space="0" w:color="auto"/>
              <w:left w:val="single" w:sz="8" w:space="0" w:color="auto"/>
              <w:bottom w:val="single" w:sz="8" w:space="0" w:color="FFFFFF" w:themeColor="background1"/>
              <w:right w:val="single" w:sz="8" w:space="0" w:color="FFFFFF" w:themeColor="background1"/>
            </w:tcBorders>
            <w:shd w:val="clear" w:color="auto" w:fill="012768"/>
            <w:tcMar>
              <w:top w:w="90" w:type="dxa"/>
              <w:left w:w="90" w:type="dxa"/>
              <w:bottom w:w="90" w:type="dxa"/>
              <w:right w:w="90" w:type="dxa"/>
            </w:tcMar>
            <w:vAlign w:val="center"/>
          </w:tcPr>
          <w:p w14:paraId="36A2D844" w14:textId="77777777" w:rsidR="00B10564" w:rsidRPr="00020D20" w:rsidRDefault="00B10564" w:rsidP="00020D20">
            <w:pPr>
              <w:spacing w:before="0" w:after="0" w:line="240" w:lineRule="auto"/>
              <w:jc w:val="center"/>
              <w:rPr>
                <w:sz w:val="22"/>
              </w:rPr>
            </w:pPr>
            <w:r w:rsidRPr="00020D20">
              <w:rPr>
                <w:sz w:val="22"/>
              </w:rPr>
              <w:t>Code</w:t>
            </w:r>
          </w:p>
        </w:tc>
        <w:tc>
          <w:tcPr>
            <w:tcW w:w="2991" w:type="dxa"/>
            <w:tcBorders>
              <w:top w:val="single" w:sz="8" w:space="0" w:color="auto"/>
              <w:left w:val="single" w:sz="8" w:space="0" w:color="FFFFFF" w:themeColor="background1"/>
              <w:bottom w:val="single" w:sz="8" w:space="0" w:color="FFFFFF" w:themeColor="background1"/>
              <w:right w:val="single" w:sz="8" w:space="0" w:color="auto"/>
            </w:tcBorders>
            <w:shd w:val="clear" w:color="auto" w:fill="012768"/>
            <w:tcMar>
              <w:top w:w="90" w:type="dxa"/>
              <w:left w:w="90" w:type="dxa"/>
              <w:bottom w:w="90" w:type="dxa"/>
              <w:right w:w="90" w:type="dxa"/>
            </w:tcMar>
            <w:vAlign w:val="center"/>
          </w:tcPr>
          <w:p w14:paraId="204F7E0C" w14:textId="77777777" w:rsidR="00B10564" w:rsidRPr="00020D20" w:rsidRDefault="00B10564" w:rsidP="00020D20">
            <w:pPr>
              <w:spacing w:before="0" w:after="0" w:line="240" w:lineRule="auto"/>
              <w:jc w:val="center"/>
              <w:rPr>
                <w:sz w:val="22"/>
              </w:rPr>
            </w:pPr>
            <w:r w:rsidRPr="00020D20">
              <w:rPr>
                <w:sz w:val="22"/>
              </w:rPr>
              <w:t>Description</w:t>
            </w:r>
          </w:p>
        </w:tc>
      </w:tr>
      <w:tr w:rsidR="00A42477" w:rsidRPr="00B10564" w14:paraId="38583561" w14:textId="77777777" w:rsidTr="00020D20">
        <w:trPr>
          <w:trHeight w:val="789"/>
        </w:trPr>
        <w:tc>
          <w:tcPr>
            <w:tcW w:w="504" w:type="dxa"/>
            <w:vMerge w:val="restart"/>
            <w:tcBorders>
              <w:top w:val="single" w:sz="8" w:space="0" w:color="FFFFFF" w:themeColor="background1"/>
            </w:tcBorders>
            <w:shd w:val="clear" w:color="auto" w:fill="012768"/>
            <w:tcMar>
              <w:top w:w="90" w:type="dxa"/>
              <w:left w:w="90" w:type="dxa"/>
              <w:bottom w:w="90" w:type="dxa"/>
              <w:right w:w="90" w:type="dxa"/>
            </w:tcMar>
            <w:textDirection w:val="btLr"/>
            <w:vAlign w:val="center"/>
          </w:tcPr>
          <w:p w14:paraId="2BD6D993" w14:textId="77777777" w:rsidR="00A42477" w:rsidRPr="00B10564" w:rsidRDefault="00A42477" w:rsidP="00020D20">
            <w:pPr>
              <w:spacing w:before="0" w:after="0" w:line="240" w:lineRule="auto"/>
              <w:jc w:val="center"/>
            </w:pPr>
            <w:r w:rsidRPr="00B10564">
              <w:t>State</w:t>
            </w:r>
          </w:p>
        </w:tc>
        <w:tc>
          <w:tcPr>
            <w:tcW w:w="1177" w:type="dxa"/>
            <w:tcBorders>
              <w:top w:val="single" w:sz="8" w:space="0" w:color="FFFFFF" w:themeColor="background1"/>
            </w:tcBorders>
            <w:tcMar>
              <w:top w:w="90" w:type="dxa"/>
              <w:left w:w="90" w:type="dxa"/>
              <w:bottom w:w="90" w:type="dxa"/>
              <w:right w:w="90" w:type="dxa"/>
            </w:tcMar>
            <w:vAlign w:val="center"/>
          </w:tcPr>
          <w:p w14:paraId="6C659426" w14:textId="68B15B90" w:rsidR="00A42477" w:rsidRPr="00020D20" w:rsidRDefault="00202C92">
            <w:pPr>
              <w:pStyle w:val="Title"/>
              <w:rPr>
                <w:sz w:val="18"/>
                <w:szCs w:val="18"/>
              </w:rPr>
            </w:pPr>
            <w:hyperlink r:id="rId382" w:history="1">
              <w:r w:rsidR="00A42477" w:rsidRPr="00020D20">
                <w:rPr>
                  <w:rStyle w:val="Hyperlink"/>
                  <w:rFonts w:asciiTheme="minorHAnsi" w:hAnsiTheme="minorHAnsi" w:cstheme="majorBidi"/>
                  <w:i/>
                  <w:iCs w:val="0"/>
                  <w:color w:val="CE5B18"/>
                  <w:sz w:val="18"/>
                  <w:szCs w:val="18"/>
                  <w:u w:val="none"/>
                </w:rPr>
                <w:t>Executive Order 70-2</w:t>
              </w:r>
            </w:hyperlink>
          </w:p>
        </w:tc>
        <w:tc>
          <w:tcPr>
            <w:tcW w:w="2991" w:type="dxa"/>
            <w:tcBorders>
              <w:top w:val="single" w:sz="8" w:space="0" w:color="FFFFFF" w:themeColor="background1"/>
            </w:tcBorders>
            <w:tcMar>
              <w:top w:w="90" w:type="dxa"/>
              <w:left w:w="90" w:type="dxa"/>
              <w:bottom w:w="90" w:type="dxa"/>
              <w:right w:w="90" w:type="dxa"/>
            </w:tcMar>
            <w:vAlign w:val="center"/>
          </w:tcPr>
          <w:p w14:paraId="0FF1550B" w14:textId="77777777" w:rsidR="00A42477" w:rsidRPr="00394A74" w:rsidRDefault="00A42477" w:rsidP="00020D20">
            <w:pPr>
              <w:spacing w:before="0" w:after="0" w:line="240" w:lineRule="auto"/>
              <w:jc w:val="both"/>
            </w:pPr>
            <w:r w:rsidRPr="00020D20">
              <w:rPr>
                <w:w w:val="96"/>
                <w:sz w:val="18"/>
                <w:szCs w:val="18"/>
              </w:rPr>
              <w:t xml:space="preserve">Executive Order 70-2 established planning boundaries in 1970 in response to federal planning requirements in an effort to achieve uniformity in various planning areas. </w:t>
            </w:r>
          </w:p>
        </w:tc>
      </w:tr>
      <w:tr w:rsidR="00A42477" w:rsidRPr="00B10564" w14:paraId="40C98564" w14:textId="77777777" w:rsidTr="00020D20">
        <w:trPr>
          <w:trHeight w:val="789"/>
        </w:trPr>
        <w:tc>
          <w:tcPr>
            <w:tcW w:w="504" w:type="dxa"/>
            <w:vMerge/>
            <w:shd w:val="clear" w:color="auto" w:fill="012768"/>
          </w:tcPr>
          <w:p w14:paraId="2B048E6D" w14:textId="77777777" w:rsidR="00A42477" w:rsidRPr="00B10564" w:rsidRDefault="00A42477" w:rsidP="00020D20">
            <w:pPr>
              <w:spacing w:before="0" w:after="0" w:line="240" w:lineRule="auto"/>
              <w:jc w:val="center"/>
            </w:pPr>
          </w:p>
        </w:tc>
        <w:tc>
          <w:tcPr>
            <w:tcW w:w="1177" w:type="dxa"/>
            <w:tcMar>
              <w:top w:w="90" w:type="dxa"/>
              <w:left w:w="90" w:type="dxa"/>
              <w:bottom w:w="90" w:type="dxa"/>
              <w:right w:w="90" w:type="dxa"/>
            </w:tcMar>
            <w:vAlign w:val="center"/>
          </w:tcPr>
          <w:p w14:paraId="68D8AA4F" w14:textId="4857A037" w:rsidR="00A42477" w:rsidRPr="00020D20" w:rsidRDefault="00202C92">
            <w:pPr>
              <w:pStyle w:val="Title"/>
              <w:rPr>
                <w:sz w:val="18"/>
                <w:szCs w:val="18"/>
              </w:rPr>
            </w:pPr>
            <w:hyperlink r:id="rId383" w:history="1">
              <w:r w:rsidR="009628C0">
                <w:rPr>
                  <w:sz w:val="18"/>
                  <w:szCs w:val="18"/>
                </w:rPr>
                <w:t xml:space="preserve">C.F.R. </w:t>
              </w:r>
              <w:r w:rsidR="00A42477" w:rsidRPr="00020D20">
                <w:rPr>
                  <w:sz w:val="18"/>
                  <w:szCs w:val="18"/>
                </w:rPr>
                <w:t>§</w:t>
              </w:r>
              <w:r w:rsidR="008216A0">
                <w:rPr>
                  <w:sz w:val="18"/>
                  <w:szCs w:val="18"/>
                </w:rPr>
                <w:t xml:space="preserve"> </w:t>
              </w:r>
              <w:r w:rsidR="00A42477" w:rsidRPr="00020D20">
                <w:rPr>
                  <w:sz w:val="18"/>
                  <w:szCs w:val="18"/>
                </w:rPr>
                <w:t>200</w:t>
              </w:r>
            </w:hyperlink>
          </w:p>
        </w:tc>
        <w:tc>
          <w:tcPr>
            <w:tcW w:w="2991" w:type="dxa"/>
            <w:tcMar>
              <w:top w:w="90" w:type="dxa"/>
              <w:left w:w="90" w:type="dxa"/>
              <w:bottom w:w="90" w:type="dxa"/>
              <w:right w:w="90" w:type="dxa"/>
            </w:tcMar>
            <w:vAlign w:val="center"/>
          </w:tcPr>
          <w:p w14:paraId="5B0A9A2D" w14:textId="77777777" w:rsidR="00A42477" w:rsidRPr="00394A74" w:rsidRDefault="00A42477" w:rsidP="00020D20">
            <w:pPr>
              <w:spacing w:before="0" w:after="0" w:line="240" w:lineRule="auto"/>
              <w:jc w:val="both"/>
            </w:pPr>
            <w:r w:rsidRPr="00020D20">
              <w:rPr>
                <w:w w:val="96"/>
                <w:sz w:val="18"/>
                <w:szCs w:val="18"/>
              </w:rPr>
              <w:t xml:space="preserve">Uniform Administrative Requirements, Cost Principles, and Audit Requirements for Federal Awards. </w:t>
            </w:r>
          </w:p>
        </w:tc>
      </w:tr>
    </w:tbl>
    <w:p w14:paraId="2EE7AACC" w14:textId="77777777" w:rsidR="00B10564" w:rsidRPr="00B10564" w:rsidRDefault="00B10564" w:rsidP="00020D20">
      <w:pPr>
        <w:pStyle w:val="Heading2"/>
      </w:pPr>
      <w:bookmarkStart w:id="199" w:name="_Ref50029621"/>
      <w:r w:rsidRPr="00B10564">
        <w:t>5.3 | SCOPE</w:t>
      </w:r>
      <w:bookmarkEnd w:id="199"/>
    </w:p>
    <w:p w14:paraId="089019A6" w14:textId="2A9673AE" w:rsidR="00B10564" w:rsidRDefault="00B10564" w:rsidP="00020D20">
      <w:pPr>
        <w:jc w:val="both"/>
      </w:pPr>
      <w:r w:rsidRPr="00B10564">
        <w:t xml:space="preserve">WP work elements are developed to meet the </w:t>
      </w:r>
      <w:r w:rsidR="00DE6490">
        <w:t>ten</w:t>
      </w:r>
      <w:r w:rsidR="00DE6490" w:rsidRPr="00B10564">
        <w:t xml:space="preserve"> </w:t>
      </w:r>
      <w:r w:rsidRPr="00B10564">
        <w:t xml:space="preserve">planning factors of </w:t>
      </w:r>
      <w:r w:rsidR="00DE6490">
        <w:t>FAST Act</w:t>
      </w:r>
      <w:r w:rsidRPr="00B10564">
        <w:t xml:space="preserve"> and the goals of ADOT. The WP establishes the scope that is referred to in the </w:t>
      </w:r>
      <w:r w:rsidR="00BD216C">
        <w:t>GRT</w:t>
      </w:r>
      <w:r w:rsidRPr="00B10564">
        <w:t xml:space="preserve"> for work to be completed throughout the fiscal year, primarily focused on coordination, facilitation, and data development and management to accomplish transportation planning throughout the state. This chapter provides guidance on how to accomplish the tasks outlined in the WP. Other chapters in this manual provide significant detail and guidance on specific WP tasks.</w:t>
      </w:r>
    </w:p>
    <w:p w14:paraId="1B349800" w14:textId="77777777" w:rsidR="00B10564" w:rsidRPr="00B10564" w:rsidRDefault="00B10564" w:rsidP="00020D20">
      <w:pPr>
        <w:pStyle w:val="Heading2"/>
      </w:pPr>
      <w:bookmarkStart w:id="200" w:name="_Ref50029624"/>
      <w:r w:rsidRPr="00B10564">
        <w:t>5.4 | FUNDING</w:t>
      </w:r>
      <w:bookmarkEnd w:id="200"/>
    </w:p>
    <w:p w14:paraId="4BB7EF4C" w14:textId="77777777" w:rsidR="00B10564" w:rsidRPr="00B10564" w:rsidRDefault="00B10564" w:rsidP="00020D20">
      <w:pPr>
        <w:jc w:val="both"/>
      </w:pPr>
      <w:r w:rsidRPr="00B10564">
        <w:t>Each year in December, ADOT begins to draft new WPs in cooperation with the COGs in order to program planning funds to the COGs for the state fiscal year, which begins the following July 1. The following are some of the most common funds used for administering the COG Work Program:</w:t>
      </w:r>
    </w:p>
    <w:p w14:paraId="6A641265" w14:textId="77777777" w:rsidR="00B10564" w:rsidRPr="00B10564" w:rsidRDefault="00B10564" w:rsidP="00020D20">
      <w:pPr>
        <w:pStyle w:val="Body-Bullets"/>
        <w:jc w:val="both"/>
      </w:pPr>
      <w:r w:rsidRPr="00B10564">
        <w:t>SPR funds which require a 20 percent local match;</w:t>
      </w:r>
    </w:p>
    <w:p w14:paraId="767E1F52" w14:textId="51C23666" w:rsidR="00B10564" w:rsidRPr="00831809" w:rsidRDefault="00B10564" w:rsidP="00020D20">
      <w:pPr>
        <w:pStyle w:val="Body-Bullets"/>
        <w:jc w:val="both"/>
        <w:rPr>
          <w:b/>
        </w:rPr>
      </w:pPr>
      <w:r w:rsidRPr="00B10564">
        <w:t>FTA Section 531</w:t>
      </w:r>
      <w:r w:rsidR="00F06AB8">
        <w:t>1</w:t>
      </w:r>
      <w:r w:rsidRPr="00B10564">
        <w:t xml:space="preserve"> state administrative funds which require no match. </w:t>
      </w:r>
    </w:p>
    <w:p w14:paraId="5F848B1E" w14:textId="0654812A" w:rsidR="00B10564" w:rsidRDefault="00B431AA" w:rsidP="00020D20">
      <w:pPr>
        <w:jc w:val="both"/>
      </w:pPr>
      <w:r>
        <w:rPr>
          <w:rFonts w:cstheme="minorHAnsi"/>
          <w:noProof/>
        </w:rPr>
        <mc:AlternateContent>
          <mc:Choice Requires="wps">
            <w:drawing>
              <wp:anchor distT="0" distB="0" distL="114300" distR="114300" simplePos="0" relativeHeight="251618516" behindDoc="1" locked="0" layoutInCell="1" allowOverlap="1" wp14:anchorId="56149A03" wp14:editId="6AF3B235">
                <wp:simplePos x="0" y="0"/>
                <wp:positionH relativeFrom="column">
                  <wp:posOffset>1342582</wp:posOffset>
                </wp:positionH>
                <wp:positionV relativeFrom="paragraph">
                  <wp:posOffset>130175</wp:posOffset>
                </wp:positionV>
                <wp:extent cx="1428750" cy="1419225"/>
                <wp:effectExtent l="76200" t="95250" r="76200" b="104775"/>
                <wp:wrapTight wrapText="bothSides">
                  <wp:wrapPolygon edited="0">
                    <wp:start x="-1152" y="-1450"/>
                    <wp:lineTo x="-1152" y="22905"/>
                    <wp:lineTo x="22464" y="22905"/>
                    <wp:lineTo x="22464" y="-1450"/>
                    <wp:lineTo x="-1152" y="-1450"/>
                  </wp:wrapPolygon>
                </wp:wrapTight>
                <wp:docPr id="816286521" name="Text Box 816286521"/>
                <wp:cNvGraphicFramePr/>
                <a:graphic xmlns:a="http://schemas.openxmlformats.org/drawingml/2006/main">
                  <a:graphicData uri="http://schemas.microsoft.com/office/word/2010/wordprocessingShape">
                    <wps:wsp>
                      <wps:cNvSpPr txBox="1"/>
                      <wps:spPr>
                        <a:xfrm>
                          <a:off x="0" y="0"/>
                          <a:ext cx="1428750" cy="14192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7E2EE0C" w14:textId="77777777" w:rsidR="00C6444C" w:rsidRDefault="00C6444C" w:rsidP="00020D20">
                            <w:pPr>
                              <w:jc w:val="center"/>
                            </w:pPr>
                            <w:r>
                              <w:rPr>
                                <w:noProof/>
                              </w:rPr>
                              <w:drawing>
                                <wp:inline distT="0" distB="0" distL="0" distR="0" wp14:anchorId="0ED8EAD8" wp14:editId="40178FC2">
                                  <wp:extent cx="457200" cy="457200"/>
                                  <wp:effectExtent l="0" t="0" r="0" b="0"/>
                                  <wp:docPr id="1690912925" name="Picture 169091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991574" w14:textId="3792B14A" w:rsidR="00C6444C" w:rsidRPr="0052715B" w:rsidRDefault="00C6444C" w:rsidP="00020D20">
                            <w:pPr>
                              <w:pStyle w:val="Calloutboxes"/>
                            </w:pPr>
                            <w:r w:rsidRPr="00394A74">
                              <w:t>Chapter 10, “Fina</w:t>
                            </w:r>
                            <w:r w:rsidRPr="00954116">
                              <w:t>ncial Planning &amp; Programming,” provides detailed information on the available funding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149A03" id="Text Box 816286521" o:spid="_x0000_s1115" type="#_x0000_t202" style="position:absolute;left:0;text-align:left;margin-left:105.7pt;margin-top:10.25pt;width:112.5pt;height:111.75pt;z-index:-251697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" fillcolor="#f7f7f7" stroked="f" strokeweight=".5pt">
                <v:shadow on="t" type="perspective" color="black" opacity="26214f" offset="0,0" matrix="66847f,,,66847f"/>
                <v:textbox>
                  <w:txbxContent>
                    <w:p w14:paraId="77E2EE0C" w14:textId="77777777" w:rsidR="00C6444C" w:rsidRDefault="00C6444C" w:rsidP="00020D20">
                      <w:pPr>
                        <w:jc w:val="center"/>
                      </w:pPr>
                      <w:r>
                        <w:rPr>
                          <w:noProof/>
                        </w:rPr>
                        <w:drawing>
                          <wp:inline distT="0" distB="0" distL="0" distR="0" wp14:anchorId="0ED8EAD8" wp14:editId="40178FC2">
                            <wp:extent cx="457200" cy="457200"/>
                            <wp:effectExtent l="0" t="0" r="0" b="0"/>
                            <wp:docPr id="1690912925" name="Picture 169091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991574" w14:textId="3792B14A" w:rsidR="00C6444C" w:rsidRPr="0052715B" w:rsidRDefault="00C6444C" w:rsidP="00020D20">
                      <w:pPr>
                        <w:pStyle w:val="Calloutboxes"/>
                      </w:pPr>
                      <w:r w:rsidRPr="00394A74">
                        <w:t>Chapter 10, “Fina</w:t>
                      </w:r>
                      <w:r w:rsidRPr="00954116">
                        <w:t>ncial Planning &amp; Programming,” provides detailed information on the available funding programs.</w:t>
                      </w:r>
                    </w:p>
                  </w:txbxContent>
                </v:textbox>
                <w10:wrap type="tight"/>
              </v:shape>
            </w:pict>
          </mc:Fallback>
        </mc:AlternateContent>
      </w:r>
      <w:r w:rsidR="00B10564" w:rsidRPr="00B10564">
        <w:t>Funding for the WPs comes primarily from the federal SPR funds that are allocated to ADOT to conduct transportation planning activities. The SPR funding that is allocated to Arizona is</w:t>
      </w:r>
      <w:r w:rsidR="004E438A">
        <w:rPr>
          <w:b/>
        </w:rPr>
        <w:t xml:space="preserve"> </w:t>
      </w:r>
      <w:r w:rsidR="004E438A" w:rsidRPr="00020D20">
        <w:t>a</w:t>
      </w:r>
      <w:r w:rsidR="00B10564" w:rsidRPr="00020D20">
        <w:t xml:space="preserve"> </w:t>
      </w:r>
      <w:r w:rsidR="004E438A" w:rsidRPr="00020D20">
        <w:t xml:space="preserve">discretionary </w:t>
      </w:r>
      <w:r w:rsidR="00B10564" w:rsidRPr="00020D20">
        <w:t>distribut</w:t>
      </w:r>
      <w:r w:rsidR="004E438A" w:rsidRPr="00020D20">
        <w:t>ion</w:t>
      </w:r>
      <w:r w:rsidR="00B10564" w:rsidRPr="00020D20">
        <w:t xml:space="preserve"> to all COGs. For COGs that also perform transit-related activities, additional FTA planning funds are available. COGs perform data collection activities for the HPMS work element. Because COGs may take on other roles, human services functions in particular, they may use funds from a number of other federal or state funding sources as long as they meet the guidelines for the use of those funds</w:t>
      </w:r>
      <w:r w:rsidR="006E7679">
        <w:t>.</w:t>
      </w:r>
    </w:p>
    <w:p w14:paraId="6ABAB540" w14:textId="72EBDBF5" w:rsidR="00B10564" w:rsidRPr="00B10564" w:rsidRDefault="00831809">
      <w:pPr>
        <w:pStyle w:val="Heading2"/>
      </w:pPr>
      <w:r>
        <w:rPr>
          <w:b w:val="0"/>
          <w:noProof/>
        </w:rPr>
        <mc:AlternateContent>
          <mc:Choice Requires="wpg">
            <w:drawing>
              <wp:anchor distT="0" distB="0" distL="114300" distR="114300" simplePos="0" relativeHeight="251618613" behindDoc="0" locked="0" layoutInCell="1" allowOverlap="1" wp14:anchorId="5E093E53" wp14:editId="22089697">
                <wp:simplePos x="0" y="0"/>
                <wp:positionH relativeFrom="column">
                  <wp:posOffset>635</wp:posOffset>
                </wp:positionH>
                <wp:positionV relativeFrom="paragraph">
                  <wp:posOffset>19050</wp:posOffset>
                </wp:positionV>
                <wp:extent cx="2738755" cy="1143000"/>
                <wp:effectExtent l="95250" t="19050" r="99695" b="76200"/>
                <wp:wrapSquare wrapText="bothSides"/>
                <wp:docPr id="816286523" name="Group 816286523"/>
                <wp:cNvGraphicFramePr/>
                <a:graphic xmlns:a="http://schemas.openxmlformats.org/drawingml/2006/main">
                  <a:graphicData uri="http://schemas.microsoft.com/office/word/2010/wordprocessingGroup">
                    <wpg:wgp>
                      <wpg:cNvGrpSpPr/>
                      <wpg:grpSpPr>
                        <a:xfrm>
                          <a:off x="0" y="0"/>
                          <a:ext cx="2738755" cy="1143000"/>
                          <a:chOff x="0" y="0"/>
                          <a:chExt cx="2738755" cy="1225329"/>
                        </a:xfrm>
                      </wpg:grpSpPr>
                      <wps:wsp>
                        <wps:cNvPr id="816286524" name="Text Box 816286524"/>
                        <wps:cNvSpPr txBox="1"/>
                        <wps:spPr>
                          <a:xfrm>
                            <a:off x="0" y="55659"/>
                            <a:ext cx="2738755" cy="116967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1260"/>
                                <w:gridCol w:w="3240"/>
                              </w:tblGrid>
                              <w:tr w:rsidR="00C6444C" w14:paraId="4477F12B" w14:textId="77777777" w:rsidTr="00020D20">
                                <w:trPr>
                                  <w:trHeight w:val="543"/>
                                </w:trPr>
                                <w:tc>
                                  <w:tcPr>
                                    <w:tcW w:w="1260" w:type="dxa"/>
                                    <w:shd w:val="clear" w:color="auto" w:fill="auto"/>
                                  </w:tcPr>
                                  <w:p w14:paraId="08696098" w14:textId="77777777" w:rsidR="00C6444C" w:rsidRPr="00020D20" w:rsidRDefault="00C6444C">
                                    <w:pPr>
                                      <w:pStyle w:val="Calloutboxes"/>
                                      <w:rPr>
                                        <w:color w:val="012768"/>
                                      </w:rPr>
                                    </w:pPr>
                                  </w:p>
                                </w:tc>
                                <w:tc>
                                  <w:tcPr>
                                    <w:tcW w:w="3240" w:type="dxa"/>
                                    <w:shd w:val="clear" w:color="auto" w:fill="auto"/>
                                  </w:tcPr>
                                  <w:p w14:paraId="4DAB6CC0" w14:textId="77777777" w:rsidR="00C6444C" w:rsidRPr="00020D20" w:rsidRDefault="00C6444C" w:rsidP="00D30138">
                                    <w:pPr>
                                      <w:pStyle w:val="Calloutboxes"/>
                                      <w:jc w:val="left"/>
                                      <w:rPr>
                                        <w:color w:val="FFFFFF" w:themeColor="background1"/>
                                        <w:sz w:val="24"/>
                                        <w:szCs w:val="24"/>
                                      </w:rPr>
                                    </w:pPr>
                                  </w:p>
                                </w:tc>
                              </w:tr>
                              <w:tr w:rsidR="00C6444C" w14:paraId="1761B7F3" w14:textId="77777777" w:rsidTr="00020D20">
                                <w:trPr>
                                  <w:trHeight w:val="1081"/>
                                </w:trPr>
                                <w:tc>
                                  <w:tcPr>
                                    <w:tcW w:w="1260" w:type="dxa"/>
                                    <w:vAlign w:val="center"/>
                                  </w:tcPr>
                                  <w:p w14:paraId="486BDC48" w14:textId="77777777" w:rsidR="00C6444C" w:rsidRPr="00347D6E" w:rsidDel="0082411B" w:rsidRDefault="00C6444C" w:rsidP="00D554CF">
                                    <w:pPr>
                                      <w:pStyle w:val="Calloutboxes"/>
                                    </w:pPr>
                                    <w:r>
                                      <w:rPr>
                                        <w:noProof/>
                                      </w:rPr>
                                      <w:drawing>
                                        <wp:inline distT="0" distB="0" distL="0" distR="0" wp14:anchorId="504268DA" wp14:editId="1EBD567A">
                                          <wp:extent cx="457200" cy="457200"/>
                                          <wp:effectExtent l="0" t="0" r="0" b="0"/>
                                          <wp:docPr id="1690912926" name="Picture 169091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3240" w:type="dxa"/>
                                    <w:vAlign w:val="center"/>
                                  </w:tcPr>
                                  <w:p w14:paraId="2C408161" w14:textId="77777777" w:rsidR="00C6444C" w:rsidRDefault="00C6444C">
                                    <w:pPr>
                                      <w:pStyle w:val="Calloutboxes"/>
                                      <w:jc w:val="left"/>
                                    </w:pPr>
                                    <w:r w:rsidRPr="00465FC7">
                                      <w:t>CAG is a COG that has developed an agreement with the local member agencies</w:t>
                                    </w:r>
                                  </w:p>
                                  <w:p w14:paraId="6CEE91F1" w14:textId="422CAF6E" w:rsidR="00C6444C" w:rsidRPr="00465FC7" w:rsidRDefault="00C6444C">
                                    <w:pPr>
                                      <w:pStyle w:val="Calloutboxes"/>
                                      <w:jc w:val="left"/>
                                    </w:pPr>
                                    <w:r w:rsidRPr="00465FC7">
                                      <w:t>to provide GIS-related services for a fee.</w:t>
                                    </w:r>
                                  </w:p>
                                </w:tc>
                              </w:tr>
                            </w:tbl>
                            <w:p w14:paraId="1ADAA040"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525" name="Group 816286525"/>
                        <wpg:cNvGrpSpPr/>
                        <wpg:grpSpPr>
                          <a:xfrm>
                            <a:off x="0" y="0"/>
                            <a:ext cx="2738755" cy="424815"/>
                            <a:chOff x="11875" y="-30164"/>
                            <a:chExt cx="2772410" cy="629868"/>
                          </a:xfrm>
                        </wpg:grpSpPr>
                        <wps:wsp>
                          <wps:cNvPr id="816286526" name="Rectangle 816286526"/>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527" name="Text Box 816286527"/>
                          <wps:cNvSpPr txBox="1"/>
                          <wps:spPr>
                            <a:xfrm>
                              <a:off x="65324" y="-30164"/>
                              <a:ext cx="2714509" cy="629868"/>
                            </a:xfrm>
                            <a:prstGeom prst="rect">
                              <a:avLst/>
                            </a:prstGeom>
                            <a:noFill/>
                            <a:ln w="6350">
                              <a:noFill/>
                            </a:ln>
                            <a:effectLst/>
                          </wps:spPr>
                          <wps:txbx>
                            <w:txbxContent>
                              <w:p w14:paraId="60AB53A5"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E093E53" id="Group 816286523" o:spid="_x0000_s1116" style="position:absolute;left:0;text-align:left;margin-left:.05pt;margin-top:1.5pt;width:215.65pt;height:90pt;z-index:251618613;mso-width-relative:margin;mso-height-relative:margin" coordsize="27387,12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">
                <v:shape id="Text Box 816286524" o:spid="_x0000_s1117" type="#_x0000_t202" style="position:absolute;top:556;width:27387;height:1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1260"/>
                          <w:gridCol w:w="3240"/>
                        </w:tblGrid>
                        <w:tr w:rsidR="00C6444C" w14:paraId="4477F12B" w14:textId="77777777" w:rsidTr="00020D20">
                          <w:trPr>
                            <w:trHeight w:val="543"/>
                          </w:trPr>
                          <w:tc>
                            <w:tcPr>
                              <w:tcW w:w="1260" w:type="dxa"/>
                              <w:shd w:val="clear" w:color="auto" w:fill="auto"/>
                            </w:tcPr>
                            <w:p w14:paraId="08696098" w14:textId="77777777" w:rsidR="00C6444C" w:rsidRPr="00020D20" w:rsidRDefault="00C6444C">
                              <w:pPr>
                                <w:pStyle w:val="Calloutboxes"/>
                                <w:rPr>
                                  <w:color w:val="012768"/>
                                </w:rPr>
                              </w:pPr>
                            </w:p>
                          </w:tc>
                          <w:tc>
                            <w:tcPr>
                              <w:tcW w:w="3240" w:type="dxa"/>
                              <w:shd w:val="clear" w:color="auto" w:fill="auto"/>
                            </w:tcPr>
                            <w:p w14:paraId="4DAB6CC0" w14:textId="77777777" w:rsidR="00C6444C" w:rsidRPr="00020D20" w:rsidRDefault="00C6444C" w:rsidP="00D30138">
                              <w:pPr>
                                <w:pStyle w:val="Calloutboxes"/>
                                <w:jc w:val="left"/>
                                <w:rPr>
                                  <w:color w:val="FFFFFF" w:themeColor="background1"/>
                                  <w:sz w:val="24"/>
                                  <w:szCs w:val="24"/>
                                </w:rPr>
                              </w:pPr>
                            </w:p>
                          </w:tc>
                        </w:tr>
                        <w:tr w:rsidR="00C6444C" w14:paraId="1761B7F3" w14:textId="77777777" w:rsidTr="00020D20">
                          <w:trPr>
                            <w:trHeight w:val="1081"/>
                          </w:trPr>
                          <w:tc>
                            <w:tcPr>
                              <w:tcW w:w="1260" w:type="dxa"/>
                              <w:vAlign w:val="center"/>
                            </w:tcPr>
                            <w:p w14:paraId="486BDC48" w14:textId="77777777" w:rsidR="00C6444C" w:rsidRPr="00347D6E" w:rsidDel="0082411B" w:rsidRDefault="00C6444C" w:rsidP="00D554CF">
                              <w:pPr>
                                <w:pStyle w:val="Calloutboxes"/>
                              </w:pPr>
                              <w:r>
                                <w:rPr>
                                  <w:noProof/>
                                </w:rPr>
                                <w:drawing>
                                  <wp:inline distT="0" distB="0" distL="0" distR="0" wp14:anchorId="504268DA" wp14:editId="1EBD567A">
                                    <wp:extent cx="457200" cy="457200"/>
                                    <wp:effectExtent l="0" t="0" r="0" b="0"/>
                                    <wp:docPr id="1690912926" name="Picture 169091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3240" w:type="dxa"/>
                              <w:vAlign w:val="center"/>
                            </w:tcPr>
                            <w:p w14:paraId="2C408161" w14:textId="77777777" w:rsidR="00C6444C" w:rsidRDefault="00C6444C">
                              <w:pPr>
                                <w:pStyle w:val="Calloutboxes"/>
                                <w:jc w:val="left"/>
                              </w:pPr>
                              <w:r w:rsidRPr="00465FC7">
                                <w:t>CAG is a COG that has developed an agreement with the local member agencies</w:t>
                              </w:r>
                            </w:p>
                            <w:p w14:paraId="6CEE91F1" w14:textId="422CAF6E" w:rsidR="00C6444C" w:rsidRPr="00465FC7" w:rsidRDefault="00C6444C">
                              <w:pPr>
                                <w:pStyle w:val="Calloutboxes"/>
                                <w:jc w:val="left"/>
                              </w:pPr>
                              <w:r w:rsidRPr="00465FC7">
                                <w:t>to provide GIS-related services for a fee.</w:t>
                              </w:r>
                            </w:p>
                          </w:tc>
                        </w:tr>
                      </w:tbl>
                      <w:p w14:paraId="1ADAA040" w14:textId="77777777" w:rsidR="00C6444C" w:rsidRPr="00347D6E" w:rsidRDefault="00C6444C" w:rsidP="00020D20"/>
                    </w:txbxContent>
                  </v:textbox>
                </v:shape>
                <v:group id="Group 816286525" o:spid="_x0000_s1118" style="position:absolute;width:27387;height:4248" coordorigin="118,-301" coordsize="27724,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">
                  <v:rect id="Rectangle 816286526" o:spid="_x0000_s1119"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" fillcolor="#012768" strokecolor="#1f4d78 [1604]" strokeweight="1pt"/>
                  <v:shape id="Text Box 816286527" o:spid="_x0000_s1120" type="#_x0000_t202" style="position:absolute;left:653;top:-301;width:27145;height:6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" filled="f" stroked="f" strokeweight=".5pt">
                    <v:textbox>
                      <w:txbxContent>
                        <w:p w14:paraId="60AB53A5"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v:textbox>
                  </v:shape>
                </v:group>
                <w10:wrap type="square"/>
              </v:group>
            </w:pict>
          </mc:Fallback>
        </mc:AlternateContent>
      </w:r>
      <w:bookmarkStart w:id="201" w:name="_Ref50029627"/>
      <w:r w:rsidR="00B10564" w:rsidRPr="00B10564">
        <w:t>5.5 | DEVELOPMENT, REVIEW, &amp; APPROVAL</w:t>
      </w:r>
      <w:bookmarkEnd w:id="201"/>
    </w:p>
    <w:p w14:paraId="77DFDAE2" w14:textId="02AD88E3" w:rsidR="00B10564" w:rsidRPr="00B10564" w:rsidRDefault="00B10564" w:rsidP="00020D20">
      <w:pPr>
        <w:pStyle w:val="Heading3"/>
        <w:jc w:val="both"/>
      </w:pPr>
      <w:bookmarkStart w:id="202" w:name="_Ref50029633"/>
      <w:r w:rsidRPr="00B10564">
        <w:t>5.5.1 | Early Coordination</w:t>
      </w:r>
      <w:bookmarkEnd w:id="202"/>
      <w:r w:rsidRPr="00B10564">
        <w:t xml:space="preserve"> </w:t>
      </w:r>
    </w:p>
    <w:p w14:paraId="61DD13C0" w14:textId="1A551D3C" w:rsidR="00B10564" w:rsidRPr="00B10564" w:rsidRDefault="00B10564" w:rsidP="00020D20">
      <w:pPr>
        <w:jc w:val="both"/>
      </w:pPr>
      <w:r w:rsidRPr="00B10564">
        <w:t xml:space="preserve">Beginning in December, the ADOT regional planners coordinate with the COGs to develop the first draft of the </w:t>
      </w:r>
      <w:r w:rsidR="004E438A" w:rsidRPr="00885508">
        <w:t xml:space="preserve">two-year </w:t>
      </w:r>
      <w:r w:rsidRPr="00F04814">
        <w:t>WP. Preliminary steps include reviewing previous work items and outlining new WP tasks.</w:t>
      </w:r>
      <w:r w:rsidR="00732928" w:rsidRPr="00732928">
        <w:rPr>
          <w:noProof/>
        </w:rPr>
        <w:t xml:space="preserve"> </w:t>
      </w:r>
    </w:p>
    <w:p w14:paraId="794B8C21" w14:textId="77777777" w:rsidR="00B10564" w:rsidRPr="00020D20" w:rsidRDefault="00B10564" w:rsidP="00020D20">
      <w:pPr>
        <w:jc w:val="both"/>
      </w:pPr>
      <w:r w:rsidRPr="00B10564">
        <w:t>The WP generally covers activities in the following seven primary functional areas that COGs facilitate and manage:</w:t>
      </w:r>
    </w:p>
    <w:p w14:paraId="624BD6F5" w14:textId="77777777" w:rsidR="00B10564" w:rsidRPr="00B10564" w:rsidRDefault="00B10564" w:rsidP="00020D20">
      <w:pPr>
        <w:pStyle w:val="NumberedList"/>
        <w:jc w:val="both"/>
      </w:pPr>
      <w:r w:rsidRPr="00B10564">
        <w:t>Public involvement (</w:t>
      </w:r>
      <w:r w:rsidRPr="00B614C4">
        <w:t>chapter 13 of this manual</w:t>
      </w:r>
      <w:r w:rsidRPr="00B10564">
        <w:t>)</w:t>
      </w:r>
    </w:p>
    <w:p w14:paraId="12825058" w14:textId="77777777" w:rsidR="00B10564" w:rsidRPr="00B10564" w:rsidRDefault="00B10564" w:rsidP="00020D20">
      <w:pPr>
        <w:pStyle w:val="NumberedList"/>
        <w:jc w:val="both"/>
      </w:pPr>
      <w:r w:rsidRPr="00B10564">
        <w:t>HPMS (</w:t>
      </w:r>
      <w:r w:rsidRPr="00B614C4">
        <w:t>chapter 17.3 of this manual</w:t>
      </w:r>
      <w:r w:rsidRPr="00B10564">
        <w:t>)</w:t>
      </w:r>
    </w:p>
    <w:p w14:paraId="2C51038E" w14:textId="77777777" w:rsidR="00B10564" w:rsidRPr="00B10564" w:rsidRDefault="00B10564" w:rsidP="00020D20">
      <w:pPr>
        <w:pStyle w:val="NumberedList"/>
        <w:jc w:val="both"/>
      </w:pPr>
      <w:r w:rsidRPr="00B10564">
        <w:t>Data collection (</w:t>
      </w:r>
      <w:r w:rsidRPr="00B614C4">
        <w:t>chapter 17.3 of this manual</w:t>
      </w:r>
      <w:r w:rsidRPr="00B10564">
        <w:t>)</w:t>
      </w:r>
    </w:p>
    <w:p w14:paraId="3B023248" w14:textId="77777777" w:rsidR="00B10564" w:rsidRPr="00020D20" w:rsidRDefault="00B10564" w:rsidP="00020D20">
      <w:pPr>
        <w:pStyle w:val="NumberedList"/>
        <w:jc w:val="both"/>
      </w:pPr>
      <w:r w:rsidRPr="00B10564">
        <w:t>TIP development and programming (</w:t>
      </w:r>
      <w:r w:rsidRPr="00020D20">
        <w:rPr>
          <w:i/>
        </w:rPr>
        <w:t>chapter 8 of this manual</w:t>
      </w:r>
      <w:r w:rsidRPr="00020D20">
        <w:t>)</w:t>
      </w:r>
    </w:p>
    <w:p w14:paraId="5E4FC9DF" w14:textId="77777777" w:rsidR="00B10564" w:rsidRPr="00020D20" w:rsidRDefault="00B10564" w:rsidP="00020D20">
      <w:pPr>
        <w:pStyle w:val="NumberedList"/>
        <w:jc w:val="both"/>
      </w:pPr>
      <w:r w:rsidRPr="00B10564">
        <w:t>Regional planning coordination</w:t>
      </w:r>
    </w:p>
    <w:p w14:paraId="3600686C" w14:textId="77777777" w:rsidR="00B10564" w:rsidRPr="00020D20" w:rsidRDefault="00B10564" w:rsidP="00020D20">
      <w:pPr>
        <w:pStyle w:val="NumberedList"/>
        <w:jc w:val="both"/>
      </w:pPr>
      <w:r w:rsidRPr="00B10564">
        <w:t>Coordinated mobility programs (</w:t>
      </w:r>
      <w:r w:rsidRPr="00020D20">
        <w:rPr>
          <w:i/>
        </w:rPr>
        <w:t>chapter 14 of this manual</w:t>
      </w:r>
      <w:r w:rsidRPr="00020D20">
        <w:t>)</w:t>
      </w:r>
    </w:p>
    <w:p w14:paraId="48B2CD1A" w14:textId="77777777" w:rsidR="00B10564" w:rsidRPr="00020D20" w:rsidRDefault="00B10564" w:rsidP="00020D20">
      <w:pPr>
        <w:pStyle w:val="NumberedList"/>
        <w:jc w:val="both"/>
      </w:pPr>
      <w:r w:rsidRPr="00B10564">
        <w:t>Rural public transportation (</w:t>
      </w:r>
      <w:r w:rsidRPr="00020D20">
        <w:rPr>
          <w:i/>
        </w:rPr>
        <w:t>chapter 14 of this manual</w:t>
      </w:r>
      <w:r w:rsidRPr="00020D20">
        <w:t>)</w:t>
      </w:r>
    </w:p>
    <w:p w14:paraId="0E733E6F" w14:textId="77777777" w:rsidR="00B10564" w:rsidRPr="00B10564" w:rsidRDefault="00B10564" w:rsidP="00020D20">
      <w:pPr>
        <w:jc w:val="both"/>
      </w:pPr>
      <w:r w:rsidRPr="00B10564">
        <w:t>Additional work tasks that are unique to a specific COG, such as developing an RTP</w:t>
      </w:r>
      <w:r w:rsidRPr="001241F0">
        <w:t xml:space="preserve"> for a region, also may be defined and described in the WP.</w:t>
      </w:r>
    </w:p>
    <w:p w14:paraId="762ECF95" w14:textId="77777777" w:rsidR="00B10564" w:rsidRPr="00B10564" w:rsidRDefault="00B10564" w:rsidP="00020D20">
      <w:pPr>
        <w:pStyle w:val="Heading3"/>
        <w:jc w:val="both"/>
      </w:pPr>
      <w:bookmarkStart w:id="203" w:name="_Ref50029636"/>
      <w:r w:rsidRPr="00B10564">
        <w:t>5.5.2 | Draft Review</w:t>
      </w:r>
      <w:bookmarkEnd w:id="203"/>
    </w:p>
    <w:p w14:paraId="7CDE8E39" w14:textId="77777777" w:rsidR="00B10564" w:rsidRPr="00B10564" w:rsidRDefault="00B10564" w:rsidP="00020D20">
      <w:pPr>
        <w:jc w:val="both"/>
      </w:pPr>
      <w:r w:rsidRPr="00B10564">
        <w:t xml:space="preserve">The ADOT regional planner must submit the draft WP to the COG no later than March 15. The COG then reviews the draft WP for format and content and submits its edits and comments to the ADOT regional planner by April 15. During the 30-day review period, ADOT and the COG work together to ensure concerns are properly addressed. </w:t>
      </w:r>
    </w:p>
    <w:p w14:paraId="01030DBB" w14:textId="5B3B7F1F" w:rsidR="00B10564" w:rsidRPr="00B10564" w:rsidRDefault="00B10564" w:rsidP="00020D20">
      <w:pPr>
        <w:pStyle w:val="Heading3"/>
        <w:jc w:val="both"/>
      </w:pPr>
      <w:bookmarkStart w:id="204" w:name="_Ref50029640"/>
      <w:r w:rsidRPr="00B10564">
        <w:t>5.5.3 | ADOT Review</w:t>
      </w:r>
      <w:bookmarkEnd w:id="204"/>
    </w:p>
    <w:p w14:paraId="6D327D7F" w14:textId="7E4A2055" w:rsidR="00B10564" w:rsidRPr="00B10564" w:rsidRDefault="00B10564" w:rsidP="00020D20">
      <w:pPr>
        <w:jc w:val="both"/>
      </w:pPr>
      <w:r w:rsidRPr="00B10564">
        <w:t>After comments received during the draft review process have been addressed, ADOT produces the final WP, which the COG must review within 10 working days of receipt. ADOT addresses any additional concerns raised during the COG’s review and determines ways to resolve those issues.</w:t>
      </w:r>
    </w:p>
    <w:p w14:paraId="450564AD" w14:textId="77777777" w:rsidR="00B10564" w:rsidRPr="00B10564" w:rsidRDefault="00B10564" w:rsidP="00020D20">
      <w:pPr>
        <w:pStyle w:val="Heading3"/>
        <w:jc w:val="both"/>
      </w:pPr>
      <w:bookmarkStart w:id="205" w:name="_Ref50029643"/>
      <w:r w:rsidRPr="00B10564">
        <w:t>5.5.4 | Adoption &amp; Submittal</w:t>
      </w:r>
      <w:bookmarkEnd w:id="205"/>
    </w:p>
    <w:p w14:paraId="7AF429AB" w14:textId="4FF4472E" w:rsidR="00B10564" w:rsidRPr="00B10564" w:rsidRDefault="00B10564" w:rsidP="00020D20">
      <w:pPr>
        <w:jc w:val="both"/>
      </w:pPr>
      <w:r w:rsidRPr="00B10564">
        <w:t>The final WP must be signed by the COG director and the regional council chair. The COG may decide to take the draft WP before the TAC and the regional council prior to submitting it to ADOT. This demonstrates transparency in the process to the member agencies while providing an overview of the work activities expected to be undertaken in the upcoming fiscal year. The final WP must be transmitted to the ADOT regional planner by May 15. The timeline for activities is described in figure 5-1.</w:t>
      </w:r>
    </w:p>
    <w:p w14:paraId="03EF89C0" w14:textId="77777777" w:rsidR="00B10564" w:rsidRPr="00B10564" w:rsidRDefault="00B10564" w:rsidP="00020D20">
      <w:pPr>
        <w:pStyle w:val="Heading2"/>
      </w:pPr>
      <w:bookmarkStart w:id="206" w:name="_Ref50029654"/>
      <w:r w:rsidRPr="00B10564">
        <w:t>5.6 | MODIFICATIONS</w:t>
      </w:r>
      <w:bookmarkEnd w:id="206"/>
      <w:r w:rsidRPr="00B10564">
        <w:t xml:space="preserve"> </w:t>
      </w:r>
    </w:p>
    <w:p w14:paraId="17842B59" w14:textId="77777777" w:rsidR="00B10564" w:rsidRPr="00B10564" w:rsidRDefault="00B10564" w:rsidP="00020D20">
      <w:pPr>
        <w:jc w:val="both"/>
      </w:pPr>
      <w:r w:rsidRPr="00B10564">
        <w:t xml:space="preserve">ADOT and the COG monitor all invoices to ensure consistency between task expenditure amounts and WP budget amounts. When a budget line item requires modification, the COG must prepare and submit a request for a modification to the ADOT regional planner. Amendments are also necessary when WP scope or task items are added, removed, or modified. </w:t>
      </w:r>
    </w:p>
    <w:p w14:paraId="447FA955" w14:textId="695B8AF9" w:rsidR="00B10564" w:rsidRPr="00B10564" w:rsidRDefault="00B10564" w:rsidP="00020D20">
      <w:pPr>
        <w:jc w:val="both"/>
        <w:rPr>
          <w:b/>
        </w:rPr>
      </w:pPr>
      <w:r w:rsidRPr="00B10564">
        <w:t xml:space="preserve">Progress reports are used to monitor the implementation of the WP. A progress report must be included with each invoice that is submitted to ADOT and must reflect the work agreed to in the WP. </w:t>
      </w:r>
    </w:p>
    <w:p w14:paraId="73153B16" w14:textId="33AD8181" w:rsidR="00980C21" w:rsidRDefault="00B10564" w:rsidP="00020D20">
      <w:pPr>
        <w:jc w:val="both"/>
        <w:rPr>
          <w:iCs/>
        </w:rPr>
        <w:sectPr w:rsidR="00980C21" w:rsidSect="00020D20">
          <w:type w:val="continuous"/>
          <w:pgSz w:w="12240" w:h="15840"/>
          <w:pgMar w:top="1440" w:right="1440" w:bottom="1440" w:left="1440" w:header="720" w:footer="720" w:gutter="0"/>
          <w:pgNumType w:chapStyle="1"/>
          <w:cols w:num="2" w:space="720"/>
          <w:docGrid w:linePitch="360"/>
        </w:sectPr>
      </w:pPr>
      <w:r w:rsidRPr="00B10564">
        <w:t>The COG should report to the ADOT regional planner any events that have a significant impact on the WP,</w:t>
      </w:r>
      <w:r w:rsidR="004A08C2">
        <w:t xml:space="preserve"> </w:t>
      </w:r>
      <w:r w:rsidR="004A08C2" w:rsidRPr="004A08C2">
        <w:t>including delays, staffing issues, and any adverse conditions that materially affect the COG’s ability to conduct the work items outlined in the WP, as soon as they become known. The COG must send a description of the action taken or considered and any related federal and state assistance needed to resolve the situation to the ADOT regional planner to ensure that ADOT MPD is aware of the COG’s desired direction.</w:t>
      </w:r>
    </w:p>
    <w:p w14:paraId="33C1BD32" w14:textId="224E0735" w:rsidR="004A08C2" w:rsidRDefault="004A08C2" w:rsidP="00020D20">
      <w:pPr>
        <w:pStyle w:val="Heading4"/>
        <w:jc w:val="both"/>
      </w:pPr>
      <w:r>
        <w:t xml:space="preserve">Figure 5.1 </w:t>
      </w:r>
      <w:r w:rsidR="0041632D">
        <w:rPr>
          <w:bCs/>
        </w:rPr>
        <w:t xml:space="preserve">| </w:t>
      </w:r>
      <w:r>
        <w:t>COG Work Timeline</w:t>
      </w:r>
    </w:p>
    <w:p w14:paraId="4B76F23C" w14:textId="545F3BBE" w:rsidR="00980C21" w:rsidRDefault="00A8227A" w:rsidP="00020D20">
      <w:pPr>
        <w:jc w:val="both"/>
        <w:sectPr w:rsidR="00980C21" w:rsidSect="00F4276A">
          <w:type w:val="continuous"/>
          <w:pgSz w:w="12240" w:h="15840"/>
          <w:pgMar w:top="1440" w:right="1440" w:bottom="1440" w:left="1440" w:header="720" w:footer="720" w:gutter="0"/>
          <w:cols w:space="720"/>
          <w:docGrid w:linePitch="360"/>
        </w:sectPr>
      </w:pPr>
      <w:r>
        <w:rPr>
          <w:noProof/>
        </w:rPr>
        <w:drawing>
          <wp:inline distT="0" distB="0" distL="0" distR="0" wp14:anchorId="5AAC2E0B" wp14:editId="3E85D1BB">
            <wp:extent cx="5943600" cy="344315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_Figure5-1_ADOT_MPO-COG_Manual_Chapter5-graphic.png"/>
                    <pic:cNvPicPr/>
                  </pic:nvPicPr>
                  <pic:blipFill>
                    <a:blip r:embed="rId384" cstate="hqprint">
                      <a:extLst>
                        <a:ext uri="{28A0092B-C50C-407E-A947-70E740481C1C}">
                          <a14:useLocalDpi xmlns:a14="http://schemas.microsoft.com/office/drawing/2010/main" val="0"/>
                        </a:ext>
                      </a:extLst>
                    </a:blip>
                    <a:stretch>
                      <a:fillRect/>
                    </a:stretch>
                  </pic:blipFill>
                  <pic:spPr>
                    <a:xfrm>
                      <a:off x="0" y="0"/>
                      <a:ext cx="5943600" cy="3443158"/>
                    </a:xfrm>
                    <a:prstGeom prst="rect">
                      <a:avLst/>
                    </a:prstGeom>
                  </pic:spPr>
                </pic:pic>
              </a:graphicData>
            </a:graphic>
          </wp:inline>
        </w:drawing>
      </w:r>
    </w:p>
    <w:p w14:paraId="4136569D" w14:textId="77777777" w:rsidR="004A08C2" w:rsidRPr="004A08C2" w:rsidRDefault="004A08C2">
      <w:pPr>
        <w:pStyle w:val="Heading2"/>
      </w:pPr>
      <w:bookmarkStart w:id="207" w:name="_Ref50029661"/>
      <w:r w:rsidRPr="004A08C2">
        <w:t>5.7 | BUDGET APPROVAL</w:t>
      </w:r>
      <w:bookmarkEnd w:id="207"/>
    </w:p>
    <w:p w14:paraId="5CA5950F" w14:textId="77777777" w:rsidR="004A08C2" w:rsidRPr="004A08C2" w:rsidRDefault="004A08C2" w:rsidP="00020D20">
      <w:pPr>
        <w:jc w:val="both"/>
      </w:pPr>
      <w:r w:rsidRPr="004A08C2">
        <w:t xml:space="preserve">The COG must submit the approved WP and budget to the ADOT regional planner by May 15. The COG may not incur any expenses when the WP begins on July 1 until the FHWA has approved the WP and the agreement is executed. </w:t>
      </w:r>
    </w:p>
    <w:p w14:paraId="55417B12" w14:textId="77777777" w:rsidR="004A08C2" w:rsidRPr="004A08C2" w:rsidRDefault="004A08C2" w:rsidP="00020D20">
      <w:pPr>
        <w:pStyle w:val="Heading2"/>
      </w:pPr>
      <w:bookmarkStart w:id="208" w:name="_Ref50029665"/>
      <w:r w:rsidRPr="004A08C2">
        <w:t>5.8 | WORK ELEMENT DESCRIPTIONS</w:t>
      </w:r>
      <w:bookmarkEnd w:id="208"/>
    </w:p>
    <w:p w14:paraId="4C1B4B6A" w14:textId="77777777" w:rsidR="004A08C2" w:rsidRPr="004A08C2" w:rsidRDefault="004A08C2" w:rsidP="00020D20">
      <w:pPr>
        <w:pStyle w:val="Heading3"/>
        <w:jc w:val="both"/>
      </w:pPr>
      <w:bookmarkStart w:id="209" w:name="_Ref50029671"/>
      <w:r w:rsidRPr="004A08C2">
        <w:t>5.8.1 | Public Involvement Plan</w:t>
      </w:r>
      <w:bookmarkEnd w:id="209"/>
    </w:p>
    <w:p w14:paraId="4E28EE3C" w14:textId="77777777" w:rsidR="004A08C2" w:rsidRPr="004A08C2" w:rsidRDefault="004A08C2" w:rsidP="00020D20">
      <w:pPr>
        <w:jc w:val="both"/>
      </w:pPr>
      <w:r w:rsidRPr="004A08C2">
        <w:t xml:space="preserve">The COG must develop a public involvement plan to guide outreach activities to stakeholders, including agency staff, elected officials, the public, and other interested parties. The public involvement plan addresses outreach for COG activities that occur throughout the fiscal year, in compliance with federal and state regulations. These include the development and amendment of the COG TIP and ADOT STIP, standing meetings, committee meetings, and participation in ADOT planning studies such as the statewide long-range plan. </w:t>
      </w:r>
    </w:p>
    <w:p w14:paraId="13484DA4" w14:textId="144A86E8" w:rsidR="004A08C2" w:rsidRPr="004A08C2" w:rsidRDefault="004A08C2" w:rsidP="00020D20">
      <w:pPr>
        <w:jc w:val="both"/>
        <w:rPr>
          <w:b/>
        </w:rPr>
      </w:pPr>
      <w:r w:rsidRPr="004A08C2">
        <w:t>Key aspects of the public involvement plan include the following:</w:t>
      </w:r>
    </w:p>
    <w:p w14:paraId="046DEDAA" w14:textId="6DC30DA4" w:rsidR="004A08C2" w:rsidRDefault="004A08C2" w:rsidP="00020D20">
      <w:pPr>
        <w:pStyle w:val="Body-Bullets"/>
        <w:jc w:val="both"/>
      </w:pPr>
      <w:r w:rsidRPr="004A08C2">
        <w:t>Outreach activities must include consultation with non-metropolitan elected officials and appointed officials with</w:t>
      </w:r>
      <w:r>
        <w:rPr>
          <w:b/>
        </w:rPr>
        <w:t xml:space="preserve"> </w:t>
      </w:r>
      <w:r w:rsidRPr="001241F0">
        <w:t>responsibility for transportatio</w:t>
      </w:r>
      <w:r w:rsidRPr="00885508">
        <w:t>n, public meetings, appropriate notification, and other elements.</w:t>
      </w:r>
    </w:p>
    <w:p w14:paraId="7BE5261B" w14:textId="75967951" w:rsidR="004A08C2" w:rsidRPr="004A08C2" w:rsidRDefault="00A3547D" w:rsidP="00020D20">
      <w:pPr>
        <w:pStyle w:val="Body-Bullets"/>
        <w:jc w:val="both"/>
        <w:rPr>
          <w:b/>
        </w:rPr>
      </w:pPr>
      <w:r>
        <w:rPr>
          <w:rFonts w:cstheme="minorHAnsi"/>
          <w:noProof/>
        </w:rPr>
        <mc:AlternateContent>
          <mc:Choice Requires="wps">
            <w:drawing>
              <wp:anchor distT="0" distB="0" distL="114300" distR="114300" simplePos="0" relativeHeight="251618520" behindDoc="1" locked="0" layoutInCell="1" allowOverlap="1" wp14:anchorId="2083AB2B" wp14:editId="2ECBD996">
                <wp:simplePos x="0" y="0"/>
                <wp:positionH relativeFrom="column">
                  <wp:posOffset>3199765</wp:posOffset>
                </wp:positionH>
                <wp:positionV relativeFrom="paragraph">
                  <wp:posOffset>114300</wp:posOffset>
                </wp:positionV>
                <wp:extent cx="2762250" cy="4986020"/>
                <wp:effectExtent l="95250" t="114300" r="95250" b="119380"/>
                <wp:wrapTight wrapText="bothSides">
                  <wp:wrapPolygon edited="0">
                    <wp:start x="-596" y="-495"/>
                    <wp:lineTo x="-745" y="-413"/>
                    <wp:lineTo x="-745" y="21539"/>
                    <wp:lineTo x="-596" y="22035"/>
                    <wp:lineTo x="22047" y="22035"/>
                    <wp:lineTo x="22196" y="20797"/>
                    <wp:lineTo x="22196" y="908"/>
                    <wp:lineTo x="22047" y="-330"/>
                    <wp:lineTo x="22047" y="-495"/>
                    <wp:lineTo x="-596" y="-495"/>
                  </wp:wrapPolygon>
                </wp:wrapTight>
                <wp:docPr id="1690911398" name="Text Box 1690911398"/>
                <wp:cNvGraphicFramePr/>
                <a:graphic xmlns:a="http://schemas.openxmlformats.org/drawingml/2006/main">
                  <a:graphicData uri="http://schemas.microsoft.com/office/word/2010/wordprocessingShape">
                    <wps:wsp>
                      <wps:cNvSpPr txBox="1"/>
                      <wps:spPr>
                        <a:xfrm>
                          <a:off x="0" y="0"/>
                          <a:ext cx="2762250" cy="498602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1A5CC6B" w14:textId="77777777" w:rsidR="00C6444C" w:rsidRDefault="00C6444C" w:rsidP="00020D20">
                            <w:pPr>
                              <w:jc w:val="center"/>
                            </w:pPr>
                            <w:r>
                              <w:rPr>
                                <w:noProof/>
                              </w:rPr>
                              <w:drawing>
                                <wp:inline distT="0" distB="0" distL="0" distR="0" wp14:anchorId="2C4B45F0" wp14:editId="5EC6CF98">
                                  <wp:extent cx="457200" cy="457200"/>
                                  <wp:effectExtent l="0" t="0" r="0" b="0"/>
                                  <wp:docPr id="1690912927" name="Picture 169091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0A01531" w14:textId="30C0DE97" w:rsidR="00C6444C" w:rsidRPr="00954116" w:rsidRDefault="00C6444C" w:rsidP="00020D20">
                            <w:pPr>
                              <w:pStyle w:val="Calloutboxes"/>
                            </w:pPr>
                            <w:r w:rsidRPr="00394A74">
                              <w:t>A COGs website must include:</w:t>
                            </w:r>
                          </w:p>
                          <w:tbl>
                            <w:tblPr>
                              <w:tblW w:w="0" w:type="auto"/>
                              <w:tblLook w:val="04A0" w:firstRow="1" w:lastRow="0" w:firstColumn="1" w:lastColumn="0" w:noHBand="0" w:noVBand="1"/>
                            </w:tblPr>
                            <w:tblGrid>
                              <w:gridCol w:w="540"/>
                              <w:gridCol w:w="3483"/>
                            </w:tblGrid>
                            <w:tr w:rsidR="00C6444C" w14:paraId="1C01D761" w14:textId="77777777" w:rsidTr="00020D20">
                              <w:trPr>
                                <w:trHeight w:val="321"/>
                              </w:trPr>
                              <w:tc>
                                <w:tcPr>
                                  <w:tcW w:w="540" w:type="dxa"/>
                                  <w:vAlign w:val="center"/>
                                </w:tcPr>
                                <w:p w14:paraId="1859B712" w14:textId="77777777" w:rsidR="00C6444C" w:rsidRDefault="00C6444C">
                                  <w:pPr>
                                    <w:pStyle w:val="Calloutboxes"/>
                                  </w:pPr>
                                  <w:r>
                                    <w:rPr>
                                      <w:noProof/>
                                    </w:rPr>
                                    <w:drawing>
                                      <wp:inline distT="0" distB="0" distL="0" distR="0" wp14:anchorId="0C16D808" wp14:editId="636A6E44">
                                        <wp:extent cx="91440" cy="91440"/>
                                        <wp:effectExtent l="0" t="0" r="3810" b="3810"/>
                                        <wp:docPr id="1690912928" name="Picture 169091292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4D0DED8" w14:textId="77777777" w:rsidR="00C6444C" w:rsidRDefault="00C6444C" w:rsidP="00020D20">
                                  <w:pPr>
                                    <w:pStyle w:val="Calloutboxes"/>
                                    <w:jc w:val="left"/>
                                  </w:pPr>
                                  <w:r>
                                    <w:t>organizational chart</w:t>
                                  </w:r>
                                </w:p>
                              </w:tc>
                            </w:tr>
                            <w:tr w:rsidR="00C6444C" w14:paraId="0D118556" w14:textId="77777777" w:rsidTr="00020D20">
                              <w:trPr>
                                <w:trHeight w:val="456"/>
                              </w:trPr>
                              <w:tc>
                                <w:tcPr>
                                  <w:tcW w:w="540" w:type="dxa"/>
                                  <w:vAlign w:val="center"/>
                                </w:tcPr>
                                <w:p w14:paraId="0DB06A60" w14:textId="77777777" w:rsidR="00C6444C" w:rsidRDefault="00C6444C" w:rsidP="00981460">
                                  <w:pPr>
                                    <w:pStyle w:val="Calloutboxes"/>
                                  </w:pPr>
                                  <w:r>
                                    <w:rPr>
                                      <w:noProof/>
                                    </w:rPr>
                                    <w:drawing>
                                      <wp:inline distT="0" distB="0" distL="0" distR="0" wp14:anchorId="05150BDC" wp14:editId="1374B2A5">
                                        <wp:extent cx="91440" cy="91440"/>
                                        <wp:effectExtent l="0" t="0" r="3810" b="3810"/>
                                        <wp:docPr id="1690912929" name="Picture 169091292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3ED98F3" w14:textId="77777777" w:rsidR="00C6444C" w:rsidRDefault="00C6444C" w:rsidP="00020D20">
                                  <w:pPr>
                                    <w:pStyle w:val="Calloutboxes"/>
                                    <w:jc w:val="left"/>
                                  </w:pPr>
                                  <w:r>
                                    <w:t>name, title, and contact information for each staff member</w:t>
                                  </w:r>
                                </w:p>
                              </w:tc>
                            </w:tr>
                            <w:tr w:rsidR="00C6444C" w14:paraId="0AE0A121" w14:textId="77777777" w:rsidTr="00020D20">
                              <w:trPr>
                                <w:trHeight w:val="267"/>
                              </w:trPr>
                              <w:tc>
                                <w:tcPr>
                                  <w:tcW w:w="540" w:type="dxa"/>
                                  <w:vAlign w:val="center"/>
                                </w:tcPr>
                                <w:p w14:paraId="7434ECA9" w14:textId="77777777" w:rsidR="00C6444C" w:rsidRDefault="00C6444C" w:rsidP="00981460">
                                  <w:pPr>
                                    <w:pStyle w:val="Calloutboxes"/>
                                  </w:pPr>
                                  <w:r>
                                    <w:rPr>
                                      <w:noProof/>
                                    </w:rPr>
                                    <w:drawing>
                                      <wp:inline distT="0" distB="0" distL="0" distR="0" wp14:anchorId="7EF60E7F" wp14:editId="409724EF">
                                        <wp:extent cx="91440" cy="91440"/>
                                        <wp:effectExtent l="0" t="0" r="3810" b="3810"/>
                                        <wp:docPr id="1690912930" name="Picture 169091293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2D6806FB" w14:textId="77777777" w:rsidR="00C6444C" w:rsidRDefault="00C6444C" w:rsidP="00020D20">
                                  <w:pPr>
                                    <w:pStyle w:val="Calloutboxes"/>
                                    <w:jc w:val="left"/>
                                  </w:pPr>
                                  <w:r>
                                    <w:t>Public Involvement Plan</w:t>
                                  </w:r>
                                </w:p>
                              </w:tc>
                            </w:tr>
                            <w:tr w:rsidR="00C6444C" w14:paraId="2DEEDA2D" w14:textId="77777777" w:rsidTr="00020D20">
                              <w:trPr>
                                <w:trHeight w:val="87"/>
                              </w:trPr>
                              <w:tc>
                                <w:tcPr>
                                  <w:tcW w:w="540" w:type="dxa"/>
                                  <w:vAlign w:val="center"/>
                                </w:tcPr>
                                <w:p w14:paraId="66922F93" w14:textId="77777777" w:rsidR="00C6444C" w:rsidRDefault="00C6444C" w:rsidP="00981460">
                                  <w:pPr>
                                    <w:pStyle w:val="Calloutboxes"/>
                                  </w:pPr>
                                  <w:r>
                                    <w:rPr>
                                      <w:noProof/>
                                    </w:rPr>
                                    <w:drawing>
                                      <wp:inline distT="0" distB="0" distL="0" distR="0" wp14:anchorId="0170B5FA" wp14:editId="5C01E06E">
                                        <wp:extent cx="91440" cy="91440"/>
                                        <wp:effectExtent l="0" t="0" r="3810" b="3810"/>
                                        <wp:docPr id="1690912931" name="Picture 169091293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11380A46" w14:textId="77777777" w:rsidR="00C6444C" w:rsidRDefault="00C6444C" w:rsidP="00020D20">
                                  <w:pPr>
                                    <w:pStyle w:val="Calloutboxes"/>
                                    <w:jc w:val="left"/>
                                  </w:pPr>
                                  <w:r>
                                    <w:t>Title VI Plan</w:t>
                                  </w:r>
                                </w:p>
                              </w:tc>
                            </w:tr>
                            <w:tr w:rsidR="00C6444C" w14:paraId="45BEFDCD" w14:textId="77777777" w:rsidTr="00020D20">
                              <w:trPr>
                                <w:trHeight w:val="258"/>
                              </w:trPr>
                              <w:tc>
                                <w:tcPr>
                                  <w:tcW w:w="540" w:type="dxa"/>
                                  <w:vAlign w:val="center"/>
                                </w:tcPr>
                                <w:p w14:paraId="3F34B369" w14:textId="77777777" w:rsidR="00C6444C" w:rsidRDefault="00C6444C" w:rsidP="00981460">
                                  <w:pPr>
                                    <w:pStyle w:val="Calloutboxes"/>
                                  </w:pPr>
                                  <w:r>
                                    <w:rPr>
                                      <w:noProof/>
                                    </w:rPr>
                                    <w:drawing>
                                      <wp:inline distT="0" distB="0" distL="0" distR="0" wp14:anchorId="4F0BC709" wp14:editId="11DF78DE">
                                        <wp:extent cx="91440" cy="91440"/>
                                        <wp:effectExtent l="0" t="0" r="3810" b="3810"/>
                                        <wp:docPr id="1690912932" name="Picture 169091293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63D38C6C" w14:textId="77777777" w:rsidR="00C6444C" w:rsidRDefault="00C6444C" w:rsidP="00020D20">
                                  <w:pPr>
                                    <w:pStyle w:val="Calloutboxes"/>
                                    <w:jc w:val="left"/>
                                  </w:pPr>
                                  <w:r>
                                    <w:t>approved WP</w:t>
                                  </w:r>
                                </w:p>
                              </w:tc>
                            </w:tr>
                            <w:tr w:rsidR="00C6444C" w14:paraId="48E6EFE2" w14:textId="77777777" w:rsidTr="00020D20">
                              <w:trPr>
                                <w:trHeight w:val="267"/>
                              </w:trPr>
                              <w:tc>
                                <w:tcPr>
                                  <w:tcW w:w="540" w:type="dxa"/>
                                  <w:vAlign w:val="center"/>
                                </w:tcPr>
                                <w:p w14:paraId="4B1B70E5" w14:textId="77777777" w:rsidR="00C6444C" w:rsidRDefault="00C6444C" w:rsidP="00020D20">
                                  <w:pPr>
                                    <w:pStyle w:val="Calloutboxes"/>
                                    <w:rPr>
                                      <w:noProof/>
                                    </w:rPr>
                                  </w:pPr>
                                  <w:r>
                                    <w:rPr>
                                      <w:noProof/>
                                    </w:rPr>
                                    <w:drawing>
                                      <wp:inline distT="0" distB="0" distL="0" distR="0" wp14:anchorId="452C92E6" wp14:editId="5A0C4883">
                                        <wp:extent cx="91440" cy="91440"/>
                                        <wp:effectExtent l="0" t="0" r="3810" b="3810"/>
                                        <wp:docPr id="1690912933" name="Picture 169091293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6C6EFB5" w14:textId="77777777" w:rsidR="00C6444C" w:rsidRDefault="00C6444C" w:rsidP="00200A9D">
                                  <w:pPr>
                                    <w:pStyle w:val="Calloutboxes"/>
                                    <w:jc w:val="left"/>
                                  </w:pPr>
                                  <w:r>
                                    <w:t>schedule of activities</w:t>
                                  </w:r>
                                </w:p>
                              </w:tc>
                            </w:tr>
                            <w:tr w:rsidR="00C6444C" w14:paraId="41C25DDA" w14:textId="77777777" w:rsidTr="00020D20">
                              <w:trPr>
                                <w:trHeight w:val="470"/>
                              </w:trPr>
                              <w:tc>
                                <w:tcPr>
                                  <w:tcW w:w="540" w:type="dxa"/>
                                  <w:vAlign w:val="center"/>
                                </w:tcPr>
                                <w:p w14:paraId="5E8D9820" w14:textId="77777777" w:rsidR="00C6444C" w:rsidRDefault="00C6444C" w:rsidP="00020D20">
                                  <w:pPr>
                                    <w:pStyle w:val="Calloutboxes"/>
                                    <w:rPr>
                                      <w:noProof/>
                                    </w:rPr>
                                  </w:pPr>
                                  <w:r>
                                    <w:rPr>
                                      <w:noProof/>
                                    </w:rPr>
                                    <w:drawing>
                                      <wp:inline distT="0" distB="0" distL="0" distR="0" wp14:anchorId="2446A3F5" wp14:editId="450CA3BA">
                                        <wp:extent cx="91440" cy="91440"/>
                                        <wp:effectExtent l="0" t="0" r="3810" b="3810"/>
                                        <wp:docPr id="1690912934" name="Picture 169091293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911FA75" w14:textId="77777777" w:rsidR="00C6444C" w:rsidRDefault="00C6444C" w:rsidP="00200A9D">
                                  <w:pPr>
                                    <w:pStyle w:val="Calloutboxes"/>
                                    <w:jc w:val="left"/>
                                  </w:pPr>
                                  <w:r>
                                    <w:t>membership lists (for the TAC, regional council/executive board, and any other COG committees that include the name, title, and contact information for each member)</w:t>
                                  </w:r>
                                </w:p>
                              </w:tc>
                            </w:tr>
                            <w:tr w:rsidR="00C6444C" w14:paraId="2DD0FB8B" w14:textId="77777777" w:rsidTr="00020D20">
                              <w:trPr>
                                <w:trHeight w:val="470"/>
                              </w:trPr>
                              <w:tc>
                                <w:tcPr>
                                  <w:tcW w:w="540" w:type="dxa"/>
                                  <w:vAlign w:val="center"/>
                                </w:tcPr>
                                <w:p w14:paraId="58975E11" w14:textId="77777777" w:rsidR="00C6444C" w:rsidRDefault="00C6444C" w:rsidP="00020D20">
                                  <w:pPr>
                                    <w:pStyle w:val="Calloutboxes"/>
                                    <w:rPr>
                                      <w:noProof/>
                                    </w:rPr>
                                  </w:pPr>
                                  <w:r>
                                    <w:rPr>
                                      <w:noProof/>
                                    </w:rPr>
                                    <w:drawing>
                                      <wp:inline distT="0" distB="0" distL="0" distR="0" wp14:anchorId="10F1F97B" wp14:editId="2DFC8E2B">
                                        <wp:extent cx="91440" cy="91440"/>
                                        <wp:effectExtent l="0" t="0" r="3810" b="3810"/>
                                        <wp:docPr id="1690912935" name="Picture 169091293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200A544" w14:textId="77777777" w:rsidR="00C6444C" w:rsidRDefault="00C6444C" w:rsidP="00200A9D">
                                  <w:pPr>
                                    <w:pStyle w:val="Calloutboxes"/>
                                    <w:jc w:val="left"/>
                                  </w:pPr>
                                  <w:r>
                                    <w:t>dates, locations, agendas, and minutes for the reoccurring meetings of each committee (Agendas must be posted a minimum of 24 hours before the scheduled meeting. Minutes must be posted within 5 days of approval)</w:t>
                                  </w:r>
                                </w:p>
                              </w:tc>
                            </w:tr>
                            <w:tr w:rsidR="00C6444C" w14:paraId="5757BD50" w14:textId="77777777" w:rsidTr="00020D20">
                              <w:trPr>
                                <w:trHeight w:val="470"/>
                              </w:trPr>
                              <w:tc>
                                <w:tcPr>
                                  <w:tcW w:w="540" w:type="dxa"/>
                                  <w:vAlign w:val="center"/>
                                </w:tcPr>
                                <w:p w14:paraId="454ED52B" w14:textId="77777777" w:rsidR="00C6444C" w:rsidRDefault="00C6444C" w:rsidP="00020D20">
                                  <w:pPr>
                                    <w:pStyle w:val="Calloutboxes"/>
                                    <w:rPr>
                                      <w:noProof/>
                                    </w:rPr>
                                  </w:pPr>
                                  <w:r>
                                    <w:rPr>
                                      <w:noProof/>
                                    </w:rPr>
                                    <w:drawing>
                                      <wp:inline distT="0" distB="0" distL="0" distR="0" wp14:anchorId="4CE6E116" wp14:editId="5055DE2F">
                                        <wp:extent cx="91440" cy="91440"/>
                                        <wp:effectExtent l="0" t="0" r="3810" b="3810"/>
                                        <wp:docPr id="1690912936" name="Picture 169091293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C54AC02" w14:textId="77777777" w:rsidR="00C6444C" w:rsidRDefault="00C6444C" w:rsidP="00200A9D">
                                  <w:pPr>
                                    <w:pStyle w:val="Calloutboxes"/>
                                    <w:jc w:val="left"/>
                                  </w:pPr>
                                  <w:r>
                                    <w:t>dates, locations, agendas, and minutes for non-reoccurring meetings that support tasks outlined in the WP, including air quality interagency consultation</w:t>
                                  </w:r>
                                </w:p>
                              </w:tc>
                            </w:tr>
                            <w:tr w:rsidR="00C6444C" w14:paraId="64D388D1" w14:textId="77777777" w:rsidTr="00020D20">
                              <w:trPr>
                                <w:trHeight w:val="249"/>
                              </w:trPr>
                              <w:tc>
                                <w:tcPr>
                                  <w:tcW w:w="540" w:type="dxa"/>
                                  <w:vAlign w:val="center"/>
                                </w:tcPr>
                                <w:p w14:paraId="5C06982D" w14:textId="77777777" w:rsidR="00C6444C" w:rsidRDefault="00C6444C" w:rsidP="00020D20">
                                  <w:pPr>
                                    <w:pStyle w:val="Calloutboxes"/>
                                    <w:rPr>
                                      <w:noProof/>
                                    </w:rPr>
                                  </w:pPr>
                                  <w:r>
                                    <w:rPr>
                                      <w:noProof/>
                                    </w:rPr>
                                    <w:drawing>
                                      <wp:inline distT="0" distB="0" distL="0" distR="0" wp14:anchorId="09399F13" wp14:editId="029841E5">
                                        <wp:extent cx="91440" cy="91440"/>
                                        <wp:effectExtent l="0" t="0" r="3810" b="3810"/>
                                        <wp:docPr id="1690912937" name="Picture 169091293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0408E8B1" w14:textId="77777777" w:rsidR="00C6444C" w:rsidRDefault="00C6444C" w:rsidP="00200A9D">
                                  <w:pPr>
                                    <w:pStyle w:val="Calloutboxes"/>
                                    <w:jc w:val="left"/>
                                  </w:pPr>
                                  <w:r>
                                    <w:t>contact person for key responsibilities of the COG</w:t>
                                  </w:r>
                                </w:p>
                              </w:tc>
                            </w:tr>
                            <w:tr w:rsidR="00C6444C" w14:paraId="0CBCAF8D" w14:textId="77777777" w:rsidTr="00020D20">
                              <w:trPr>
                                <w:trHeight w:val="470"/>
                              </w:trPr>
                              <w:tc>
                                <w:tcPr>
                                  <w:tcW w:w="540" w:type="dxa"/>
                                  <w:vAlign w:val="center"/>
                                </w:tcPr>
                                <w:p w14:paraId="2234B4CF" w14:textId="77777777" w:rsidR="00C6444C" w:rsidRDefault="00C6444C" w:rsidP="00020D20">
                                  <w:pPr>
                                    <w:pStyle w:val="Calloutboxes"/>
                                    <w:rPr>
                                      <w:noProof/>
                                    </w:rPr>
                                  </w:pPr>
                                  <w:r>
                                    <w:rPr>
                                      <w:noProof/>
                                    </w:rPr>
                                    <w:drawing>
                                      <wp:inline distT="0" distB="0" distL="0" distR="0" wp14:anchorId="2624A531" wp14:editId="66E208B7">
                                        <wp:extent cx="91440" cy="91440"/>
                                        <wp:effectExtent l="0" t="0" r="3810" b="3810"/>
                                        <wp:docPr id="1690912938" name="Picture 169091293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5B093ED7" w14:textId="453DE6F4" w:rsidR="00C6444C" w:rsidRDefault="00C6444C" w:rsidP="00200A9D">
                                  <w:pPr>
                                    <w:pStyle w:val="Calloutboxes"/>
                                    <w:jc w:val="left"/>
                                  </w:pPr>
                                  <w:r>
                                    <w:t>TIP to include all subsequent amendments; complete TIP amendments in compliance with federal regulations (23 C.F.R. 450) and conformity (40 C.F.R. 93)</w:t>
                                  </w:r>
                                </w:p>
                              </w:tc>
                            </w:tr>
                            <w:tr w:rsidR="00C6444C" w14:paraId="0FEDF334" w14:textId="77777777" w:rsidTr="00020D20">
                              <w:trPr>
                                <w:trHeight w:val="294"/>
                              </w:trPr>
                              <w:tc>
                                <w:tcPr>
                                  <w:tcW w:w="540" w:type="dxa"/>
                                  <w:vAlign w:val="center"/>
                                </w:tcPr>
                                <w:p w14:paraId="3DA767D9" w14:textId="77777777" w:rsidR="00C6444C" w:rsidRDefault="00C6444C" w:rsidP="00020D20">
                                  <w:pPr>
                                    <w:pStyle w:val="Calloutboxes"/>
                                    <w:rPr>
                                      <w:noProof/>
                                    </w:rPr>
                                  </w:pPr>
                                  <w:r>
                                    <w:rPr>
                                      <w:noProof/>
                                    </w:rPr>
                                    <w:drawing>
                                      <wp:inline distT="0" distB="0" distL="0" distR="0" wp14:anchorId="08754301" wp14:editId="15982DC5">
                                        <wp:extent cx="91440" cy="91440"/>
                                        <wp:effectExtent l="0" t="0" r="3810" b="3810"/>
                                        <wp:docPr id="1690912939" name="Picture 169091293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5A47CF70" w14:textId="77777777" w:rsidR="00C6444C" w:rsidRDefault="00C6444C" w:rsidP="00200A9D">
                                  <w:pPr>
                                    <w:pStyle w:val="Calloutboxes"/>
                                    <w:jc w:val="left"/>
                                  </w:pPr>
                                  <w:r>
                                    <w:t>public involvement opportunities and activities</w:t>
                                  </w:r>
                                </w:p>
                              </w:tc>
                            </w:tr>
                            <w:tr w:rsidR="00C6444C" w14:paraId="60F4EF88" w14:textId="77777777" w:rsidTr="00020D20">
                              <w:trPr>
                                <w:trHeight w:val="470"/>
                              </w:trPr>
                              <w:tc>
                                <w:tcPr>
                                  <w:tcW w:w="540" w:type="dxa"/>
                                  <w:vAlign w:val="center"/>
                                </w:tcPr>
                                <w:p w14:paraId="3697BA81" w14:textId="537B7BFB" w:rsidR="00C6444C" w:rsidRDefault="00C6444C" w:rsidP="00020D20">
                                  <w:pPr>
                                    <w:pStyle w:val="Calloutboxes"/>
                                    <w:rPr>
                                      <w:noProof/>
                                    </w:rPr>
                                  </w:pPr>
                                  <w:r>
                                    <w:rPr>
                                      <w:noProof/>
                                    </w:rPr>
                                    <w:drawing>
                                      <wp:inline distT="0" distB="0" distL="0" distR="0" wp14:anchorId="43503EE6" wp14:editId="7889DAEA">
                                        <wp:extent cx="91440" cy="91440"/>
                                        <wp:effectExtent l="0" t="0" r="3810" b="3810"/>
                                        <wp:docPr id="1690912943" name="Picture 169091294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5DAAB92" w14:textId="77777777" w:rsidR="00C6444C" w:rsidRDefault="00C6444C" w:rsidP="00200A9D">
                                  <w:pPr>
                                    <w:pStyle w:val="Calloutboxes"/>
                                    <w:jc w:val="left"/>
                                  </w:pPr>
                                  <w:r>
                                    <w:t>files of or links to relevant planning studies conducted by the COG, ADOT, or member agencies</w:t>
                                  </w:r>
                                </w:p>
                              </w:tc>
                            </w:tr>
                            <w:tr w:rsidR="00C6444C" w14:paraId="6707BBEF" w14:textId="77777777" w:rsidTr="00020D20">
                              <w:trPr>
                                <w:trHeight w:val="330"/>
                              </w:trPr>
                              <w:tc>
                                <w:tcPr>
                                  <w:tcW w:w="540" w:type="dxa"/>
                                  <w:vAlign w:val="center"/>
                                </w:tcPr>
                                <w:p w14:paraId="4B7B04F5" w14:textId="03E302A1" w:rsidR="00C6444C" w:rsidRDefault="00C6444C" w:rsidP="00020D20">
                                  <w:pPr>
                                    <w:pStyle w:val="Calloutboxes"/>
                                    <w:rPr>
                                      <w:noProof/>
                                    </w:rPr>
                                  </w:pPr>
                                  <w:r>
                                    <w:rPr>
                                      <w:noProof/>
                                    </w:rPr>
                                    <w:drawing>
                                      <wp:inline distT="0" distB="0" distL="0" distR="0" wp14:anchorId="36E891B6" wp14:editId="132AC7F0">
                                        <wp:extent cx="91440" cy="91440"/>
                                        <wp:effectExtent l="0" t="0" r="3810" b="3810"/>
                                        <wp:docPr id="1690912944" name="Picture 169091294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979F70E" w14:textId="6F37AE8F" w:rsidR="00C6444C" w:rsidRDefault="00C6444C" w:rsidP="00200A9D">
                                  <w:pPr>
                                    <w:pStyle w:val="Calloutboxes"/>
                                    <w:jc w:val="left"/>
                                  </w:pPr>
                                  <w:r>
                                    <w:t>approvals for fund expenditures</w:t>
                                  </w:r>
                                </w:p>
                              </w:tc>
                            </w:tr>
                          </w:tbl>
                          <w:p w14:paraId="2F961909" w14:textId="77777777" w:rsidR="00C6444C" w:rsidRPr="00C6412C"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83AB2B" id="Text Box 1690911398" o:spid="_x0000_s1121" type="#_x0000_t202" style="position:absolute;left:0;text-align:left;margin-left:251.95pt;margin-top:9pt;width:217.5pt;height:392.6pt;z-index:-251697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" fillcolor="#f7f7f7" stroked="f" strokeweight=".5pt">
                <v:shadow on="t" type="perspective" color="black" opacity="26214f" offset="0,0" matrix="66847f,,,66847f"/>
                <v:textbox>
                  <w:txbxContent>
                    <w:p w14:paraId="71A5CC6B" w14:textId="77777777" w:rsidR="00C6444C" w:rsidRDefault="00C6444C" w:rsidP="00020D20">
                      <w:pPr>
                        <w:jc w:val="center"/>
                      </w:pPr>
                      <w:r>
                        <w:rPr>
                          <w:noProof/>
                        </w:rPr>
                        <w:drawing>
                          <wp:inline distT="0" distB="0" distL="0" distR="0" wp14:anchorId="2C4B45F0" wp14:editId="5EC6CF98">
                            <wp:extent cx="457200" cy="457200"/>
                            <wp:effectExtent l="0" t="0" r="0" b="0"/>
                            <wp:docPr id="1690912927" name="Picture 169091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0A01531" w14:textId="30C0DE97" w:rsidR="00C6444C" w:rsidRPr="00954116" w:rsidRDefault="00C6444C" w:rsidP="00020D20">
                      <w:pPr>
                        <w:pStyle w:val="Calloutboxes"/>
                      </w:pPr>
                      <w:r w:rsidRPr="00394A74">
                        <w:t>A COGs website must include:</w:t>
                      </w:r>
                    </w:p>
                    <w:tbl>
                      <w:tblPr>
                        <w:tblW w:w="0" w:type="auto"/>
                        <w:tblLook w:val="04A0" w:firstRow="1" w:lastRow="0" w:firstColumn="1" w:lastColumn="0" w:noHBand="0" w:noVBand="1"/>
                      </w:tblPr>
                      <w:tblGrid>
                        <w:gridCol w:w="540"/>
                        <w:gridCol w:w="3483"/>
                      </w:tblGrid>
                      <w:tr w:rsidR="00C6444C" w14:paraId="1C01D761" w14:textId="77777777" w:rsidTr="00020D20">
                        <w:trPr>
                          <w:trHeight w:val="321"/>
                        </w:trPr>
                        <w:tc>
                          <w:tcPr>
                            <w:tcW w:w="540" w:type="dxa"/>
                            <w:vAlign w:val="center"/>
                          </w:tcPr>
                          <w:p w14:paraId="1859B712" w14:textId="77777777" w:rsidR="00C6444C" w:rsidRDefault="00C6444C">
                            <w:pPr>
                              <w:pStyle w:val="Calloutboxes"/>
                            </w:pPr>
                            <w:r>
                              <w:rPr>
                                <w:noProof/>
                              </w:rPr>
                              <w:drawing>
                                <wp:inline distT="0" distB="0" distL="0" distR="0" wp14:anchorId="0C16D808" wp14:editId="636A6E44">
                                  <wp:extent cx="91440" cy="91440"/>
                                  <wp:effectExtent l="0" t="0" r="3810" b="3810"/>
                                  <wp:docPr id="1690912928" name="Picture 169091292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4D0DED8" w14:textId="77777777" w:rsidR="00C6444C" w:rsidRDefault="00C6444C" w:rsidP="00020D20">
                            <w:pPr>
                              <w:pStyle w:val="Calloutboxes"/>
                              <w:jc w:val="left"/>
                            </w:pPr>
                            <w:r>
                              <w:t>organizational chart</w:t>
                            </w:r>
                          </w:p>
                        </w:tc>
                      </w:tr>
                      <w:tr w:rsidR="00C6444C" w14:paraId="0D118556" w14:textId="77777777" w:rsidTr="00020D20">
                        <w:trPr>
                          <w:trHeight w:val="456"/>
                        </w:trPr>
                        <w:tc>
                          <w:tcPr>
                            <w:tcW w:w="540" w:type="dxa"/>
                            <w:vAlign w:val="center"/>
                          </w:tcPr>
                          <w:p w14:paraId="0DB06A60" w14:textId="77777777" w:rsidR="00C6444C" w:rsidRDefault="00C6444C" w:rsidP="00981460">
                            <w:pPr>
                              <w:pStyle w:val="Calloutboxes"/>
                            </w:pPr>
                            <w:r>
                              <w:rPr>
                                <w:noProof/>
                              </w:rPr>
                              <w:drawing>
                                <wp:inline distT="0" distB="0" distL="0" distR="0" wp14:anchorId="05150BDC" wp14:editId="1374B2A5">
                                  <wp:extent cx="91440" cy="91440"/>
                                  <wp:effectExtent l="0" t="0" r="3810" b="3810"/>
                                  <wp:docPr id="1690912929" name="Picture 169091292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3ED98F3" w14:textId="77777777" w:rsidR="00C6444C" w:rsidRDefault="00C6444C" w:rsidP="00020D20">
                            <w:pPr>
                              <w:pStyle w:val="Calloutboxes"/>
                              <w:jc w:val="left"/>
                            </w:pPr>
                            <w:r>
                              <w:t>name, title, and contact information for each staff member</w:t>
                            </w:r>
                          </w:p>
                        </w:tc>
                      </w:tr>
                      <w:tr w:rsidR="00C6444C" w14:paraId="0AE0A121" w14:textId="77777777" w:rsidTr="00020D20">
                        <w:trPr>
                          <w:trHeight w:val="267"/>
                        </w:trPr>
                        <w:tc>
                          <w:tcPr>
                            <w:tcW w:w="540" w:type="dxa"/>
                            <w:vAlign w:val="center"/>
                          </w:tcPr>
                          <w:p w14:paraId="7434ECA9" w14:textId="77777777" w:rsidR="00C6444C" w:rsidRDefault="00C6444C" w:rsidP="00981460">
                            <w:pPr>
                              <w:pStyle w:val="Calloutboxes"/>
                            </w:pPr>
                            <w:r>
                              <w:rPr>
                                <w:noProof/>
                              </w:rPr>
                              <w:drawing>
                                <wp:inline distT="0" distB="0" distL="0" distR="0" wp14:anchorId="7EF60E7F" wp14:editId="409724EF">
                                  <wp:extent cx="91440" cy="91440"/>
                                  <wp:effectExtent l="0" t="0" r="3810" b="3810"/>
                                  <wp:docPr id="1690912930" name="Picture 169091293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2D6806FB" w14:textId="77777777" w:rsidR="00C6444C" w:rsidRDefault="00C6444C" w:rsidP="00020D20">
                            <w:pPr>
                              <w:pStyle w:val="Calloutboxes"/>
                              <w:jc w:val="left"/>
                            </w:pPr>
                            <w:r>
                              <w:t>Public Involvement Plan</w:t>
                            </w:r>
                          </w:p>
                        </w:tc>
                      </w:tr>
                      <w:tr w:rsidR="00C6444C" w14:paraId="2DEEDA2D" w14:textId="77777777" w:rsidTr="00020D20">
                        <w:trPr>
                          <w:trHeight w:val="87"/>
                        </w:trPr>
                        <w:tc>
                          <w:tcPr>
                            <w:tcW w:w="540" w:type="dxa"/>
                            <w:vAlign w:val="center"/>
                          </w:tcPr>
                          <w:p w14:paraId="66922F93" w14:textId="77777777" w:rsidR="00C6444C" w:rsidRDefault="00C6444C" w:rsidP="00981460">
                            <w:pPr>
                              <w:pStyle w:val="Calloutboxes"/>
                            </w:pPr>
                            <w:r>
                              <w:rPr>
                                <w:noProof/>
                              </w:rPr>
                              <w:drawing>
                                <wp:inline distT="0" distB="0" distL="0" distR="0" wp14:anchorId="0170B5FA" wp14:editId="5C01E06E">
                                  <wp:extent cx="91440" cy="91440"/>
                                  <wp:effectExtent l="0" t="0" r="3810" b="3810"/>
                                  <wp:docPr id="1690912931" name="Picture 169091293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11380A46" w14:textId="77777777" w:rsidR="00C6444C" w:rsidRDefault="00C6444C" w:rsidP="00020D20">
                            <w:pPr>
                              <w:pStyle w:val="Calloutboxes"/>
                              <w:jc w:val="left"/>
                            </w:pPr>
                            <w:r>
                              <w:t>Title VI Plan</w:t>
                            </w:r>
                          </w:p>
                        </w:tc>
                      </w:tr>
                      <w:tr w:rsidR="00C6444C" w14:paraId="45BEFDCD" w14:textId="77777777" w:rsidTr="00020D20">
                        <w:trPr>
                          <w:trHeight w:val="258"/>
                        </w:trPr>
                        <w:tc>
                          <w:tcPr>
                            <w:tcW w:w="540" w:type="dxa"/>
                            <w:vAlign w:val="center"/>
                          </w:tcPr>
                          <w:p w14:paraId="3F34B369" w14:textId="77777777" w:rsidR="00C6444C" w:rsidRDefault="00C6444C" w:rsidP="00981460">
                            <w:pPr>
                              <w:pStyle w:val="Calloutboxes"/>
                            </w:pPr>
                            <w:r>
                              <w:rPr>
                                <w:noProof/>
                              </w:rPr>
                              <w:drawing>
                                <wp:inline distT="0" distB="0" distL="0" distR="0" wp14:anchorId="4F0BC709" wp14:editId="11DF78DE">
                                  <wp:extent cx="91440" cy="91440"/>
                                  <wp:effectExtent l="0" t="0" r="3810" b="3810"/>
                                  <wp:docPr id="1690912932" name="Picture 169091293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63D38C6C" w14:textId="77777777" w:rsidR="00C6444C" w:rsidRDefault="00C6444C" w:rsidP="00020D20">
                            <w:pPr>
                              <w:pStyle w:val="Calloutboxes"/>
                              <w:jc w:val="left"/>
                            </w:pPr>
                            <w:r>
                              <w:t>approved WP</w:t>
                            </w:r>
                          </w:p>
                        </w:tc>
                      </w:tr>
                      <w:tr w:rsidR="00C6444C" w14:paraId="48E6EFE2" w14:textId="77777777" w:rsidTr="00020D20">
                        <w:trPr>
                          <w:trHeight w:val="267"/>
                        </w:trPr>
                        <w:tc>
                          <w:tcPr>
                            <w:tcW w:w="540" w:type="dxa"/>
                            <w:vAlign w:val="center"/>
                          </w:tcPr>
                          <w:p w14:paraId="4B1B70E5" w14:textId="77777777" w:rsidR="00C6444C" w:rsidRDefault="00C6444C" w:rsidP="00020D20">
                            <w:pPr>
                              <w:pStyle w:val="Calloutboxes"/>
                              <w:rPr>
                                <w:noProof/>
                              </w:rPr>
                            </w:pPr>
                            <w:r>
                              <w:rPr>
                                <w:noProof/>
                              </w:rPr>
                              <w:drawing>
                                <wp:inline distT="0" distB="0" distL="0" distR="0" wp14:anchorId="452C92E6" wp14:editId="5A0C4883">
                                  <wp:extent cx="91440" cy="91440"/>
                                  <wp:effectExtent l="0" t="0" r="3810" b="3810"/>
                                  <wp:docPr id="1690912933" name="Picture 169091293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6C6EFB5" w14:textId="77777777" w:rsidR="00C6444C" w:rsidRDefault="00C6444C" w:rsidP="00200A9D">
                            <w:pPr>
                              <w:pStyle w:val="Calloutboxes"/>
                              <w:jc w:val="left"/>
                            </w:pPr>
                            <w:r>
                              <w:t>schedule of activities</w:t>
                            </w:r>
                          </w:p>
                        </w:tc>
                      </w:tr>
                      <w:tr w:rsidR="00C6444C" w14:paraId="41C25DDA" w14:textId="77777777" w:rsidTr="00020D20">
                        <w:trPr>
                          <w:trHeight w:val="470"/>
                        </w:trPr>
                        <w:tc>
                          <w:tcPr>
                            <w:tcW w:w="540" w:type="dxa"/>
                            <w:vAlign w:val="center"/>
                          </w:tcPr>
                          <w:p w14:paraId="5E8D9820" w14:textId="77777777" w:rsidR="00C6444C" w:rsidRDefault="00C6444C" w:rsidP="00020D20">
                            <w:pPr>
                              <w:pStyle w:val="Calloutboxes"/>
                              <w:rPr>
                                <w:noProof/>
                              </w:rPr>
                            </w:pPr>
                            <w:r>
                              <w:rPr>
                                <w:noProof/>
                              </w:rPr>
                              <w:drawing>
                                <wp:inline distT="0" distB="0" distL="0" distR="0" wp14:anchorId="2446A3F5" wp14:editId="450CA3BA">
                                  <wp:extent cx="91440" cy="91440"/>
                                  <wp:effectExtent l="0" t="0" r="3810" b="3810"/>
                                  <wp:docPr id="1690912934" name="Picture 169091293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911FA75" w14:textId="77777777" w:rsidR="00C6444C" w:rsidRDefault="00C6444C" w:rsidP="00200A9D">
                            <w:pPr>
                              <w:pStyle w:val="Calloutboxes"/>
                              <w:jc w:val="left"/>
                            </w:pPr>
                            <w:r>
                              <w:t>membership lists (for the TAC, regional council/executive board, and any other COG committees that include the name, title, and contact information for each member)</w:t>
                            </w:r>
                          </w:p>
                        </w:tc>
                      </w:tr>
                      <w:tr w:rsidR="00C6444C" w14:paraId="2DD0FB8B" w14:textId="77777777" w:rsidTr="00020D20">
                        <w:trPr>
                          <w:trHeight w:val="470"/>
                        </w:trPr>
                        <w:tc>
                          <w:tcPr>
                            <w:tcW w:w="540" w:type="dxa"/>
                            <w:vAlign w:val="center"/>
                          </w:tcPr>
                          <w:p w14:paraId="58975E11" w14:textId="77777777" w:rsidR="00C6444C" w:rsidRDefault="00C6444C" w:rsidP="00020D20">
                            <w:pPr>
                              <w:pStyle w:val="Calloutboxes"/>
                              <w:rPr>
                                <w:noProof/>
                              </w:rPr>
                            </w:pPr>
                            <w:r>
                              <w:rPr>
                                <w:noProof/>
                              </w:rPr>
                              <w:drawing>
                                <wp:inline distT="0" distB="0" distL="0" distR="0" wp14:anchorId="10F1F97B" wp14:editId="2DFC8E2B">
                                  <wp:extent cx="91440" cy="91440"/>
                                  <wp:effectExtent l="0" t="0" r="3810" b="3810"/>
                                  <wp:docPr id="1690912935" name="Picture 169091293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200A544" w14:textId="77777777" w:rsidR="00C6444C" w:rsidRDefault="00C6444C" w:rsidP="00200A9D">
                            <w:pPr>
                              <w:pStyle w:val="Calloutboxes"/>
                              <w:jc w:val="left"/>
                            </w:pPr>
                            <w:r>
                              <w:t>dates, locations, agendas, and minutes for the reoccurring meetings of each committee (Agendas must be posted a minimum of 24 hours before the scheduled meeting. Minutes must be posted within 5 days of approval)</w:t>
                            </w:r>
                          </w:p>
                        </w:tc>
                      </w:tr>
                      <w:tr w:rsidR="00C6444C" w14:paraId="5757BD50" w14:textId="77777777" w:rsidTr="00020D20">
                        <w:trPr>
                          <w:trHeight w:val="470"/>
                        </w:trPr>
                        <w:tc>
                          <w:tcPr>
                            <w:tcW w:w="540" w:type="dxa"/>
                            <w:vAlign w:val="center"/>
                          </w:tcPr>
                          <w:p w14:paraId="454ED52B" w14:textId="77777777" w:rsidR="00C6444C" w:rsidRDefault="00C6444C" w:rsidP="00020D20">
                            <w:pPr>
                              <w:pStyle w:val="Calloutboxes"/>
                              <w:rPr>
                                <w:noProof/>
                              </w:rPr>
                            </w:pPr>
                            <w:r>
                              <w:rPr>
                                <w:noProof/>
                              </w:rPr>
                              <w:drawing>
                                <wp:inline distT="0" distB="0" distL="0" distR="0" wp14:anchorId="4CE6E116" wp14:editId="5055DE2F">
                                  <wp:extent cx="91440" cy="91440"/>
                                  <wp:effectExtent l="0" t="0" r="3810" b="3810"/>
                                  <wp:docPr id="1690912936" name="Picture 169091293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C54AC02" w14:textId="77777777" w:rsidR="00C6444C" w:rsidRDefault="00C6444C" w:rsidP="00200A9D">
                            <w:pPr>
                              <w:pStyle w:val="Calloutboxes"/>
                              <w:jc w:val="left"/>
                            </w:pPr>
                            <w:r>
                              <w:t>dates, locations, agendas, and minutes for non-reoccurring meetings that support tasks outlined in the WP, including air quality interagency consultation</w:t>
                            </w:r>
                          </w:p>
                        </w:tc>
                      </w:tr>
                      <w:tr w:rsidR="00C6444C" w14:paraId="64D388D1" w14:textId="77777777" w:rsidTr="00020D20">
                        <w:trPr>
                          <w:trHeight w:val="249"/>
                        </w:trPr>
                        <w:tc>
                          <w:tcPr>
                            <w:tcW w:w="540" w:type="dxa"/>
                            <w:vAlign w:val="center"/>
                          </w:tcPr>
                          <w:p w14:paraId="5C06982D" w14:textId="77777777" w:rsidR="00C6444C" w:rsidRDefault="00C6444C" w:rsidP="00020D20">
                            <w:pPr>
                              <w:pStyle w:val="Calloutboxes"/>
                              <w:rPr>
                                <w:noProof/>
                              </w:rPr>
                            </w:pPr>
                            <w:r>
                              <w:rPr>
                                <w:noProof/>
                              </w:rPr>
                              <w:drawing>
                                <wp:inline distT="0" distB="0" distL="0" distR="0" wp14:anchorId="09399F13" wp14:editId="029841E5">
                                  <wp:extent cx="91440" cy="91440"/>
                                  <wp:effectExtent l="0" t="0" r="3810" b="3810"/>
                                  <wp:docPr id="1690912937" name="Picture 169091293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0408E8B1" w14:textId="77777777" w:rsidR="00C6444C" w:rsidRDefault="00C6444C" w:rsidP="00200A9D">
                            <w:pPr>
                              <w:pStyle w:val="Calloutboxes"/>
                              <w:jc w:val="left"/>
                            </w:pPr>
                            <w:r>
                              <w:t>contact person for key responsibilities of the COG</w:t>
                            </w:r>
                          </w:p>
                        </w:tc>
                      </w:tr>
                      <w:tr w:rsidR="00C6444C" w14:paraId="0CBCAF8D" w14:textId="77777777" w:rsidTr="00020D20">
                        <w:trPr>
                          <w:trHeight w:val="470"/>
                        </w:trPr>
                        <w:tc>
                          <w:tcPr>
                            <w:tcW w:w="540" w:type="dxa"/>
                            <w:vAlign w:val="center"/>
                          </w:tcPr>
                          <w:p w14:paraId="2234B4CF" w14:textId="77777777" w:rsidR="00C6444C" w:rsidRDefault="00C6444C" w:rsidP="00020D20">
                            <w:pPr>
                              <w:pStyle w:val="Calloutboxes"/>
                              <w:rPr>
                                <w:noProof/>
                              </w:rPr>
                            </w:pPr>
                            <w:r>
                              <w:rPr>
                                <w:noProof/>
                              </w:rPr>
                              <w:drawing>
                                <wp:inline distT="0" distB="0" distL="0" distR="0" wp14:anchorId="2624A531" wp14:editId="66E208B7">
                                  <wp:extent cx="91440" cy="91440"/>
                                  <wp:effectExtent l="0" t="0" r="3810" b="3810"/>
                                  <wp:docPr id="1690912938" name="Picture 169091293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5B093ED7" w14:textId="453DE6F4" w:rsidR="00C6444C" w:rsidRDefault="00C6444C" w:rsidP="00200A9D">
                            <w:pPr>
                              <w:pStyle w:val="Calloutboxes"/>
                              <w:jc w:val="left"/>
                            </w:pPr>
                            <w:r>
                              <w:t>TIP to include all subsequent amendments; complete TIP amendments in compliance with federal regulations (23 C.F.R. 450) and conformity (40 C.F.R. 93)</w:t>
                            </w:r>
                          </w:p>
                        </w:tc>
                      </w:tr>
                      <w:tr w:rsidR="00C6444C" w14:paraId="0FEDF334" w14:textId="77777777" w:rsidTr="00020D20">
                        <w:trPr>
                          <w:trHeight w:val="294"/>
                        </w:trPr>
                        <w:tc>
                          <w:tcPr>
                            <w:tcW w:w="540" w:type="dxa"/>
                            <w:vAlign w:val="center"/>
                          </w:tcPr>
                          <w:p w14:paraId="3DA767D9" w14:textId="77777777" w:rsidR="00C6444C" w:rsidRDefault="00C6444C" w:rsidP="00020D20">
                            <w:pPr>
                              <w:pStyle w:val="Calloutboxes"/>
                              <w:rPr>
                                <w:noProof/>
                              </w:rPr>
                            </w:pPr>
                            <w:r>
                              <w:rPr>
                                <w:noProof/>
                              </w:rPr>
                              <w:drawing>
                                <wp:inline distT="0" distB="0" distL="0" distR="0" wp14:anchorId="08754301" wp14:editId="15982DC5">
                                  <wp:extent cx="91440" cy="91440"/>
                                  <wp:effectExtent l="0" t="0" r="3810" b="3810"/>
                                  <wp:docPr id="1690912939" name="Picture 169091293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5A47CF70" w14:textId="77777777" w:rsidR="00C6444C" w:rsidRDefault="00C6444C" w:rsidP="00200A9D">
                            <w:pPr>
                              <w:pStyle w:val="Calloutboxes"/>
                              <w:jc w:val="left"/>
                            </w:pPr>
                            <w:r>
                              <w:t>public involvement opportunities and activities</w:t>
                            </w:r>
                          </w:p>
                        </w:tc>
                      </w:tr>
                      <w:tr w:rsidR="00C6444C" w14:paraId="60F4EF88" w14:textId="77777777" w:rsidTr="00020D20">
                        <w:trPr>
                          <w:trHeight w:val="470"/>
                        </w:trPr>
                        <w:tc>
                          <w:tcPr>
                            <w:tcW w:w="540" w:type="dxa"/>
                            <w:vAlign w:val="center"/>
                          </w:tcPr>
                          <w:p w14:paraId="3697BA81" w14:textId="537B7BFB" w:rsidR="00C6444C" w:rsidRDefault="00C6444C" w:rsidP="00020D20">
                            <w:pPr>
                              <w:pStyle w:val="Calloutboxes"/>
                              <w:rPr>
                                <w:noProof/>
                              </w:rPr>
                            </w:pPr>
                            <w:r>
                              <w:rPr>
                                <w:noProof/>
                              </w:rPr>
                              <w:drawing>
                                <wp:inline distT="0" distB="0" distL="0" distR="0" wp14:anchorId="43503EE6" wp14:editId="7889DAEA">
                                  <wp:extent cx="91440" cy="91440"/>
                                  <wp:effectExtent l="0" t="0" r="3810" b="3810"/>
                                  <wp:docPr id="1690912943" name="Picture 169091294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75DAAB92" w14:textId="77777777" w:rsidR="00C6444C" w:rsidRDefault="00C6444C" w:rsidP="00200A9D">
                            <w:pPr>
                              <w:pStyle w:val="Calloutboxes"/>
                              <w:jc w:val="left"/>
                            </w:pPr>
                            <w:r>
                              <w:t>files of or links to relevant planning studies conducted by the COG, ADOT, or member agencies</w:t>
                            </w:r>
                          </w:p>
                        </w:tc>
                      </w:tr>
                      <w:tr w:rsidR="00C6444C" w14:paraId="6707BBEF" w14:textId="77777777" w:rsidTr="00020D20">
                        <w:trPr>
                          <w:trHeight w:val="330"/>
                        </w:trPr>
                        <w:tc>
                          <w:tcPr>
                            <w:tcW w:w="540" w:type="dxa"/>
                            <w:vAlign w:val="center"/>
                          </w:tcPr>
                          <w:p w14:paraId="4B7B04F5" w14:textId="03E302A1" w:rsidR="00C6444C" w:rsidRDefault="00C6444C" w:rsidP="00020D20">
                            <w:pPr>
                              <w:pStyle w:val="Calloutboxes"/>
                              <w:rPr>
                                <w:noProof/>
                              </w:rPr>
                            </w:pPr>
                            <w:r>
                              <w:rPr>
                                <w:noProof/>
                              </w:rPr>
                              <w:drawing>
                                <wp:inline distT="0" distB="0" distL="0" distR="0" wp14:anchorId="36E891B6" wp14:editId="132AC7F0">
                                  <wp:extent cx="91440" cy="91440"/>
                                  <wp:effectExtent l="0" t="0" r="3810" b="3810"/>
                                  <wp:docPr id="1690912944" name="Picture 169091294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3483" w:type="dxa"/>
                          </w:tcPr>
                          <w:p w14:paraId="4979F70E" w14:textId="6F37AE8F" w:rsidR="00C6444C" w:rsidRDefault="00C6444C" w:rsidP="00200A9D">
                            <w:pPr>
                              <w:pStyle w:val="Calloutboxes"/>
                              <w:jc w:val="left"/>
                            </w:pPr>
                            <w:r>
                              <w:t>approvals for fund expenditures</w:t>
                            </w:r>
                          </w:p>
                        </w:tc>
                      </w:tr>
                    </w:tbl>
                    <w:p w14:paraId="2F961909" w14:textId="77777777" w:rsidR="00C6444C" w:rsidRPr="00C6412C" w:rsidRDefault="00C6444C" w:rsidP="00020D20"/>
                  </w:txbxContent>
                </v:textbox>
                <w10:wrap type="tight"/>
              </v:shape>
            </w:pict>
          </mc:Fallback>
        </mc:AlternateContent>
      </w:r>
      <w:r w:rsidR="004A08C2" w:rsidRPr="004A08C2">
        <w:t>COGs must conduct public involvement activities, as defined by the public involvement plan, as appropriate and feasible based on the development of the plan.</w:t>
      </w:r>
    </w:p>
    <w:p w14:paraId="20F3C868" w14:textId="25D9584A" w:rsidR="004A08C2" w:rsidRPr="004A08C2" w:rsidRDefault="00742994" w:rsidP="00020D20">
      <w:pPr>
        <w:pStyle w:val="Body-Bullets"/>
        <w:jc w:val="both"/>
        <w:rPr>
          <w:b/>
        </w:rPr>
      </w:pPr>
      <w:r>
        <w:rPr>
          <w:rFonts w:cstheme="minorHAnsi"/>
          <w:noProof/>
        </w:rPr>
        <mc:AlternateContent>
          <mc:Choice Requires="wps">
            <w:drawing>
              <wp:anchor distT="0" distB="0" distL="114300" distR="114300" simplePos="0" relativeHeight="251618517" behindDoc="1" locked="0" layoutInCell="1" allowOverlap="1" wp14:anchorId="5BD9504C" wp14:editId="5D67237C">
                <wp:simplePos x="0" y="0"/>
                <wp:positionH relativeFrom="column">
                  <wp:posOffset>1488452</wp:posOffset>
                </wp:positionH>
                <wp:positionV relativeFrom="paragraph">
                  <wp:posOffset>21806</wp:posOffset>
                </wp:positionV>
                <wp:extent cx="1352550" cy="2057400"/>
                <wp:effectExtent l="76200" t="95250" r="95250" b="95250"/>
                <wp:wrapTight wrapText="bothSides">
                  <wp:wrapPolygon edited="0">
                    <wp:start x="-1217" y="-1000"/>
                    <wp:lineTo x="-1217" y="22200"/>
                    <wp:lineTo x="-913" y="22400"/>
                    <wp:lineTo x="22208" y="22400"/>
                    <wp:lineTo x="22817" y="21800"/>
                    <wp:lineTo x="22513" y="-1000"/>
                    <wp:lineTo x="-1217" y="-1000"/>
                  </wp:wrapPolygon>
                </wp:wrapTight>
                <wp:docPr id="1690911392" name="Text Box 1690911392"/>
                <wp:cNvGraphicFramePr/>
                <a:graphic xmlns:a="http://schemas.openxmlformats.org/drawingml/2006/main">
                  <a:graphicData uri="http://schemas.microsoft.com/office/word/2010/wordprocessingShape">
                    <wps:wsp>
                      <wps:cNvSpPr txBox="1"/>
                      <wps:spPr>
                        <a:xfrm>
                          <a:off x="0" y="0"/>
                          <a:ext cx="1352550" cy="20574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7C68351" w14:textId="77777777" w:rsidR="00C6444C" w:rsidRDefault="00C6444C" w:rsidP="00020D20">
                            <w:pPr>
                              <w:jc w:val="center"/>
                            </w:pPr>
                            <w:r>
                              <w:rPr>
                                <w:noProof/>
                              </w:rPr>
                              <w:drawing>
                                <wp:inline distT="0" distB="0" distL="0" distR="0" wp14:anchorId="338B8E4D" wp14:editId="29ED007D">
                                  <wp:extent cx="457200" cy="457200"/>
                                  <wp:effectExtent l="0" t="0" r="0" b="0"/>
                                  <wp:docPr id="1690912945" name="Picture 169091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5A89F35" w14:textId="5C4CCA90" w:rsidR="00C6444C" w:rsidRPr="00954116" w:rsidRDefault="00C6444C" w:rsidP="00020D20">
                            <w:pPr>
                              <w:pStyle w:val="Calloutboxes"/>
                            </w:pPr>
                            <w:r w:rsidRPr="00394A74">
                              <w:t>COGs must follow guidelines set forth in ADOT policy document Transportation Consultation with Rural Officials, which can be found at:</w:t>
                            </w:r>
                          </w:p>
                          <w:p w14:paraId="19A45FE5" w14:textId="5DAD67B3" w:rsidR="00C6444C" w:rsidRPr="00020D20" w:rsidRDefault="00202C92">
                            <w:pPr>
                              <w:pStyle w:val="Title"/>
                              <w:rPr>
                                <w:sz w:val="16"/>
                                <w:szCs w:val="16"/>
                              </w:rPr>
                            </w:pPr>
                            <w:hyperlink r:id="rId385" w:history="1">
                              <w:r w:rsidR="00C6444C" w:rsidRPr="00020D20">
                                <w:rPr>
                                  <w:rStyle w:val="Hyperlink"/>
                                  <w:rFonts w:ascii="Calibri" w:hAnsi="Calibri" w:cstheme="majorBidi"/>
                                  <w:i/>
                                  <w:color w:val="CE5B18"/>
                                  <w:szCs w:val="56"/>
                                  <w:u w:val="none"/>
                                </w:rPr>
                                <w:t>https://azdot.gov/sites/default/files/2019/05/tcro-policy-update.pdf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D9504C" id="Text Box 1690911392" o:spid="_x0000_s1122" type="#_x0000_t202" style="position:absolute;left:0;text-align:left;margin-left:117.2pt;margin-top:1.7pt;width:106.5pt;height:162pt;z-index:-251697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" fillcolor="#f7f7f7" stroked="f" strokeweight=".5pt">
                <v:shadow on="t" type="perspective" color="black" opacity="26214f" offset="0,0" matrix="66847f,,,66847f"/>
                <v:textbox>
                  <w:txbxContent>
                    <w:p w14:paraId="47C68351" w14:textId="77777777" w:rsidR="00C6444C" w:rsidRDefault="00C6444C" w:rsidP="00020D20">
                      <w:pPr>
                        <w:jc w:val="center"/>
                      </w:pPr>
                      <w:r>
                        <w:rPr>
                          <w:noProof/>
                        </w:rPr>
                        <w:drawing>
                          <wp:inline distT="0" distB="0" distL="0" distR="0" wp14:anchorId="338B8E4D" wp14:editId="29ED007D">
                            <wp:extent cx="457200" cy="457200"/>
                            <wp:effectExtent l="0" t="0" r="0" b="0"/>
                            <wp:docPr id="1690912945" name="Picture 169091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5A89F35" w14:textId="5C4CCA90" w:rsidR="00C6444C" w:rsidRPr="00954116" w:rsidRDefault="00C6444C" w:rsidP="00020D20">
                      <w:pPr>
                        <w:pStyle w:val="Calloutboxes"/>
                      </w:pPr>
                      <w:r w:rsidRPr="00394A74">
                        <w:t>COGs must follow guidelines set forth in ADOT policy document Transportation Consultation with Rural Officials, which can be found at:</w:t>
                      </w:r>
                    </w:p>
                    <w:p w14:paraId="19A45FE5" w14:textId="5DAD67B3" w:rsidR="00C6444C" w:rsidRPr="00020D20" w:rsidRDefault="00C6444C">
                      <w:pPr>
                        <w:pStyle w:val="Title"/>
                        <w:rPr>
                          <w:sz w:val="16"/>
                          <w:szCs w:val="16"/>
                        </w:rPr>
                      </w:pPr>
                      <w:hyperlink r:id="rId386" w:history="1">
                        <w:r w:rsidRPr="00020D20">
                          <w:rPr>
                            <w:rStyle w:val="Hyperlink"/>
                            <w:rFonts w:ascii="Calibri" w:hAnsi="Calibri" w:cstheme="majorBidi"/>
                            <w:i/>
                            <w:color w:val="CE5B18"/>
                            <w:szCs w:val="56"/>
                            <w:u w:val="none"/>
                          </w:rPr>
                          <w:t>https://azdot.gov/sites/default/files/2019/05/tcro-policy-update.pdf</w:t>
                        </w:r>
                      </w:hyperlink>
                    </w:p>
                  </w:txbxContent>
                </v:textbox>
                <w10:wrap type="tight"/>
              </v:shape>
            </w:pict>
          </mc:Fallback>
        </mc:AlternateContent>
      </w:r>
      <w:r w:rsidR="004A08C2" w:rsidRPr="004A08C2">
        <w:t>COGs must demonstrate compliance with public involvement activities, such as the required minimum 45-day review period for the TIP.</w:t>
      </w:r>
    </w:p>
    <w:p w14:paraId="435C0C3B" w14:textId="5C354BBC" w:rsidR="004A08C2" w:rsidRPr="004A08C2" w:rsidRDefault="00742994" w:rsidP="00020D20">
      <w:pPr>
        <w:pStyle w:val="Body-Bullets"/>
        <w:jc w:val="both"/>
        <w:rPr>
          <w:b/>
        </w:rPr>
      </w:pPr>
      <w:r>
        <w:rPr>
          <w:rFonts w:cstheme="minorHAnsi"/>
          <w:noProof/>
        </w:rPr>
        <mc:AlternateContent>
          <mc:Choice Requires="wps">
            <w:drawing>
              <wp:anchor distT="0" distB="0" distL="114300" distR="114300" simplePos="0" relativeHeight="251618518" behindDoc="1" locked="0" layoutInCell="1" allowOverlap="1" wp14:anchorId="023468A0" wp14:editId="58C93DA3">
                <wp:simplePos x="0" y="0"/>
                <wp:positionH relativeFrom="column">
                  <wp:posOffset>1492262</wp:posOffset>
                </wp:positionH>
                <wp:positionV relativeFrom="paragraph">
                  <wp:posOffset>132715</wp:posOffset>
                </wp:positionV>
                <wp:extent cx="1352550" cy="1257300"/>
                <wp:effectExtent l="95250" t="76200" r="95250" b="76200"/>
                <wp:wrapTight wrapText="bothSides">
                  <wp:wrapPolygon edited="0">
                    <wp:start x="-913" y="-1309"/>
                    <wp:lineTo x="-1521" y="-982"/>
                    <wp:lineTo x="-1217" y="22582"/>
                    <wp:lineTo x="22513" y="22582"/>
                    <wp:lineTo x="22817" y="4255"/>
                    <wp:lineTo x="22208" y="-655"/>
                    <wp:lineTo x="22208" y="-1309"/>
                    <wp:lineTo x="-913" y="-1309"/>
                  </wp:wrapPolygon>
                </wp:wrapTight>
                <wp:docPr id="1690911394" name="Text Box 1690911394"/>
                <wp:cNvGraphicFramePr/>
                <a:graphic xmlns:a="http://schemas.openxmlformats.org/drawingml/2006/main">
                  <a:graphicData uri="http://schemas.microsoft.com/office/word/2010/wordprocessingShape">
                    <wps:wsp>
                      <wps:cNvSpPr txBox="1"/>
                      <wps:spPr>
                        <a:xfrm>
                          <a:off x="0" y="0"/>
                          <a:ext cx="1352550" cy="1257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4CF4208" w14:textId="77777777" w:rsidR="00C6444C" w:rsidRDefault="00C6444C" w:rsidP="00020D20">
                            <w:pPr>
                              <w:jc w:val="center"/>
                            </w:pPr>
                            <w:r>
                              <w:rPr>
                                <w:noProof/>
                              </w:rPr>
                              <w:drawing>
                                <wp:inline distT="0" distB="0" distL="0" distR="0" wp14:anchorId="52803F78" wp14:editId="5EBABDCF">
                                  <wp:extent cx="457200" cy="457200"/>
                                  <wp:effectExtent l="0" t="0" r="0" b="0"/>
                                  <wp:docPr id="1690912946" name="Picture 169091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105897" w14:textId="13322C7C" w:rsidR="00C6444C" w:rsidRPr="00977A9B" w:rsidRDefault="00C6444C" w:rsidP="00020D20">
                            <w:pPr>
                              <w:pStyle w:val="Calloutboxes"/>
                            </w:pPr>
                            <w:r w:rsidRPr="00394A74">
                              <w:t>Details on public involvement activities and civil rights can be found in chapter 12, “Civil Rights</w:t>
                            </w:r>
                            <w:r w:rsidRPr="00954116">
                              <w:t>.</w:t>
                            </w:r>
                            <w:r w:rsidRPr="005A673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3468A0" id="Text Box 1690911394" o:spid="_x0000_s1123" type="#_x0000_t202" style="position:absolute;left:0;text-align:left;margin-left:117.5pt;margin-top:10.45pt;width:106.5pt;height:99pt;z-index:-2516979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" fillcolor="#f7f7f7" stroked="f" strokeweight=".5pt">
                <v:shadow on="t" type="perspective" color="black" opacity="26214f" offset="0,0" matrix="66847f,,,66847f"/>
                <v:textbox>
                  <w:txbxContent>
                    <w:p w14:paraId="54CF4208" w14:textId="77777777" w:rsidR="00C6444C" w:rsidRDefault="00C6444C" w:rsidP="00020D20">
                      <w:pPr>
                        <w:jc w:val="center"/>
                      </w:pPr>
                      <w:r>
                        <w:rPr>
                          <w:noProof/>
                        </w:rPr>
                        <w:drawing>
                          <wp:inline distT="0" distB="0" distL="0" distR="0" wp14:anchorId="52803F78" wp14:editId="5EBABDCF">
                            <wp:extent cx="457200" cy="457200"/>
                            <wp:effectExtent l="0" t="0" r="0" b="0"/>
                            <wp:docPr id="1690912946" name="Picture 169091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105897" w14:textId="13322C7C" w:rsidR="00C6444C" w:rsidRPr="00977A9B" w:rsidRDefault="00C6444C" w:rsidP="00020D20">
                      <w:pPr>
                        <w:pStyle w:val="Calloutboxes"/>
                      </w:pPr>
                      <w:r w:rsidRPr="00394A74">
                        <w:t>Details on public involvement activities and civil rights can be found in chapter 12, “Civil Rights</w:t>
                      </w:r>
                      <w:r w:rsidRPr="00954116">
                        <w:t>.</w:t>
                      </w:r>
                      <w:r w:rsidRPr="005A6734">
                        <w:t>”</w:t>
                      </w:r>
                    </w:p>
                  </w:txbxContent>
                </v:textbox>
                <w10:wrap type="tight"/>
              </v:shape>
            </w:pict>
          </mc:Fallback>
        </mc:AlternateContent>
      </w:r>
      <w:r>
        <w:rPr>
          <w:rFonts w:cstheme="minorHAnsi"/>
          <w:noProof/>
        </w:rPr>
        <mc:AlternateContent>
          <mc:Choice Requires="wps">
            <w:drawing>
              <wp:anchor distT="0" distB="0" distL="114300" distR="114300" simplePos="0" relativeHeight="251618519" behindDoc="1" locked="0" layoutInCell="1" allowOverlap="1" wp14:anchorId="402F1612" wp14:editId="3B4E7E24">
                <wp:simplePos x="0" y="0"/>
                <wp:positionH relativeFrom="column">
                  <wp:posOffset>1489339</wp:posOffset>
                </wp:positionH>
                <wp:positionV relativeFrom="paragraph">
                  <wp:posOffset>1457337</wp:posOffset>
                </wp:positionV>
                <wp:extent cx="1352550" cy="1371600"/>
                <wp:effectExtent l="95250" t="95250" r="95250" b="95250"/>
                <wp:wrapTight wrapText="bothSides">
                  <wp:wrapPolygon edited="0">
                    <wp:start x="-913" y="-1500"/>
                    <wp:lineTo x="-1521" y="-900"/>
                    <wp:lineTo x="-1217" y="22800"/>
                    <wp:lineTo x="22513" y="22800"/>
                    <wp:lineTo x="22817" y="3900"/>
                    <wp:lineTo x="22208" y="-600"/>
                    <wp:lineTo x="22208" y="-1500"/>
                    <wp:lineTo x="-913" y="-1500"/>
                  </wp:wrapPolygon>
                </wp:wrapTight>
                <wp:docPr id="1690911396" name="Text Box 1690911396"/>
                <wp:cNvGraphicFramePr/>
                <a:graphic xmlns:a="http://schemas.openxmlformats.org/drawingml/2006/main">
                  <a:graphicData uri="http://schemas.microsoft.com/office/word/2010/wordprocessingShape">
                    <wps:wsp>
                      <wps:cNvSpPr txBox="1"/>
                      <wps:spPr>
                        <a:xfrm>
                          <a:off x="0" y="0"/>
                          <a:ext cx="135255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81E38EC" w14:textId="77777777" w:rsidR="00C6444C" w:rsidRDefault="00C6444C" w:rsidP="00020D20">
                            <w:pPr>
                              <w:jc w:val="center"/>
                            </w:pPr>
                            <w:r>
                              <w:rPr>
                                <w:noProof/>
                              </w:rPr>
                              <w:drawing>
                                <wp:inline distT="0" distB="0" distL="0" distR="0" wp14:anchorId="48D3D1B2" wp14:editId="0120790D">
                                  <wp:extent cx="457200" cy="457200"/>
                                  <wp:effectExtent l="0" t="0" r="0" b="0"/>
                                  <wp:docPr id="1690912947" name="Picture 169091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A7AAA06" w14:textId="01D5F502" w:rsidR="00C6444C" w:rsidRPr="0052715B" w:rsidRDefault="00C6444C" w:rsidP="00020D20">
                            <w:pPr>
                              <w:pStyle w:val="Calloutboxes"/>
                            </w:pPr>
                            <w:r w:rsidRPr="00394A74">
                              <w:t xml:space="preserve">Further details on public involvement activities and civil rights can be found in chapter 13, “Public </w:t>
                            </w:r>
                            <w:r w:rsidRPr="00954116">
                              <w:t>Involvement</w:t>
                            </w:r>
                            <w:r>
                              <w:t>.</w:t>
                            </w:r>
                            <w:r w:rsidRPr="00394A7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2F1612" id="Text Box 1690911396" o:spid="_x0000_s1124" type="#_x0000_t202" style="position:absolute;left:0;text-align:left;margin-left:117.25pt;margin-top:114.75pt;width:106.5pt;height:108pt;z-index:-251697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" fillcolor="#f7f7f7" stroked="f" strokeweight=".5pt">
                <v:shadow on="t" type="perspective" color="black" opacity="26214f" offset="0,0" matrix="66847f,,,66847f"/>
                <v:textbox>
                  <w:txbxContent>
                    <w:p w14:paraId="781E38EC" w14:textId="77777777" w:rsidR="00C6444C" w:rsidRDefault="00C6444C" w:rsidP="00020D20">
                      <w:pPr>
                        <w:jc w:val="center"/>
                      </w:pPr>
                      <w:r>
                        <w:rPr>
                          <w:noProof/>
                        </w:rPr>
                        <w:drawing>
                          <wp:inline distT="0" distB="0" distL="0" distR="0" wp14:anchorId="48D3D1B2" wp14:editId="0120790D">
                            <wp:extent cx="457200" cy="457200"/>
                            <wp:effectExtent l="0" t="0" r="0" b="0"/>
                            <wp:docPr id="1690912947" name="Picture 169091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A7AAA06" w14:textId="01D5F502" w:rsidR="00C6444C" w:rsidRPr="0052715B" w:rsidRDefault="00C6444C" w:rsidP="00020D20">
                      <w:pPr>
                        <w:pStyle w:val="Calloutboxes"/>
                      </w:pPr>
                      <w:r w:rsidRPr="00394A74">
                        <w:t xml:space="preserve">Further details on public involvement activities and civil rights can be found in chapter 13, “Public </w:t>
                      </w:r>
                      <w:r w:rsidRPr="00954116">
                        <w:t>Involvement</w:t>
                      </w:r>
                      <w:r>
                        <w:t>.</w:t>
                      </w:r>
                      <w:r w:rsidRPr="00394A74">
                        <w:t>”</w:t>
                      </w:r>
                    </w:p>
                  </w:txbxContent>
                </v:textbox>
                <w10:wrap type="tight"/>
              </v:shape>
            </w:pict>
          </mc:Fallback>
        </mc:AlternateContent>
      </w:r>
      <w:r w:rsidR="004A08C2" w:rsidRPr="004A08C2">
        <w:t>COGs must post the Title VI poster at all locations where COG-related activities, regional council meetings, committee meetings, and public meetings are held (chapter 12).</w:t>
      </w:r>
    </w:p>
    <w:p w14:paraId="62EE52D1" w14:textId="7D7E757F" w:rsidR="004A08C2" w:rsidRDefault="004A08C2" w:rsidP="00020D20">
      <w:pPr>
        <w:pStyle w:val="Body-Bullets"/>
        <w:jc w:val="both"/>
        <w:rPr>
          <w:b/>
        </w:rPr>
      </w:pPr>
      <w:r w:rsidRPr="004A08C2">
        <w:t>In nonattainment areas, interagency consultation for conformity</w:t>
      </w:r>
      <w:r w:rsidR="00A3547D">
        <w:t xml:space="preserve"> is recommended</w:t>
      </w:r>
      <w:r w:rsidRPr="004A08C2">
        <w:t>.</w:t>
      </w:r>
    </w:p>
    <w:p w14:paraId="10655160" w14:textId="37D489A6" w:rsidR="004A08C2" w:rsidRPr="004A08C2" w:rsidRDefault="004A08C2" w:rsidP="00020D20">
      <w:pPr>
        <w:pStyle w:val="Heading3"/>
        <w:jc w:val="both"/>
      </w:pPr>
      <w:bookmarkStart w:id="210" w:name="_Ref50029674"/>
      <w:r w:rsidRPr="004A08C2">
        <w:t>5.8.2 | Website</w:t>
      </w:r>
      <w:bookmarkEnd w:id="210"/>
    </w:p>
    <w:p w14:paraId="19EF93B0" w14:textId="12C26E02" w:rsidR="004A08C2" w:rsidRDefault="004A08C2" w:rsidP="00020D20">
      <w:pPr>
        <w:jc w:val="both"/>
        <w:rPr>
          <w:b/>
        </w:rPr>
      </w:pPr>
      <w:r w:rsidRPr="004A08C2">
        <w:t>The COG must develop and maintain a website with current and accurate information relating to the COG organizational structure, activities, data, and plans. The website must include, at a minimum, the items shown</w:t>
      </w:r>
      <w:r w:rsidR="00A3547D">
        <w:t xml:space="preserve"> in the following chart</w:t>
      </w:r>
      <w:r w:rsidRPr="004A08C2">
        <w:t>.</w:t>
      </w:r>
    </w:p>
    <w:p w14:paraId="1701892D" w14:textId="59343050" w:rsidR="004A08C2" w:rsidRPr="004A08C2" w:rsidRDefault="004A08C2" w:rsidP="00020D20">
      <w:pPr>
        <w:pStyle w:val="Heading3"/>
        <w:jc w:val="both"/>
      </w:pPr>
      <w:bookmarkStart w:id="211" w:name="_Ref50029677"/>
      <w:r w:rsidRPr="004A08C2">
        <w:t>5.8.3 | HPMS Data Collection</w:t>
      </w:r>
      <w:bookmarkEnd w:id="211"/>
      <w:r w:rsidRPr="004A08C2">
        <w:t xml:space="preserve"> </w:t>
      </w:r>
    </w:p>
    <w:p w14:paraId="30F84CB4" w14:textId="48672B9F" w:rsidR="004A08C2" w:rsidRPr="004A08C2" w:rsidRDefault="001554C0" w:rsidP="00020D20">
      <w:pPr>
        <w:jc w:val="both"/>
      </w:pPr>
      <w:r>
        <w:rPr>
          <w:rFonts w:cstheme="minorHAnsi"/>
          <w:noProof/>
        </w:rPr>
        <mc:AlternateContent>
          <mc:Choice Requires="wps">
            <w:drawing>
              <wp:anchor distT="0" distB="0" distL="114300" distR="114300" simplePos="0" relativeHeight="251618521" behindDoc="1" locked="0" layoutInCell="1" allowOverlap="1" wp14:anchorId="652B2E5E" wp14:editId="4D4A0272">
                <wp:simplePos x="0" y="0"/>
                <wp:positionH relativeFrom="column">
                  <wp:posOffset>1409700</wp:posOffset>
                </wp:positionH>
                <wp:positionV relativeFrom="paragraph">
                  <wp:posOffset>132080</wp:posOffset>
                </wp:positionV>
                <wp:extent cx="1352550" cy="1596390"/>
                <wp:effectExtent l="76200" t="95250" r="76200" b="99060"/>
                <wp:wrapTight wrapText="bothSides">
                  <wp:wrapPolygon edited="0">
                    <wp:start x="-1217" y="-1289"/>
                    <wp:lineTo x="-1217" y="22683"/>
                    <wp:lineTo x="22513" y="22683"/>
                    <wp:lineTo x="22513" y="-1289"/>
                    <wp:lineTo x="-1217" y="-1289"/>
                  </wp:wrapPolygon>
                </wp:wrapTight>
                <wp:docPr id="1690911456" name="Text Box 1690911456"/>
                <wp:cNvGraphicFramePr/>
                <a:graphic xmlns:a="http://schemas.openxmlformats.org/drawingml/2006/main">
                  <a:graphicData uri="http://schemas.microsoft.com/office/word/2010/wordprocessingShape">
                    <wps:wsp>
                      <wps:cNvSpPr txBox="1"/>
                      <wps:spPr>
                        <a:xfrm>
                          <a:off x="0" y="0"/>
                          <a:ext cx="1352550" cy="159639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2C28945" w14:textId="77777777" w:rsidR="00C6444C" w:rsidRDefault="00C6444C" w:rsidP="00020D20">
                            <w:pPr>
                              <w:jc w:val="center"/>
                            </w:pPr>
                            <w:r>
                              <w:rPr>
                                <w:noProof/>
                              </w:rPr>
                              <w:drawing>
                                <wp:inline distT="0" distB="0" distL="0" distR="0" wp14:anchorId="3797A363" wp14:editId="4F63EF32">
                                  <wp:extent cx="457200" cy="457200"/>
                                  <wp:effectExtent l="0" t="0" r="0" b="0"/>
                                  <wp:docPr id="1690912948" name="Picture 169091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C18F23D" w14:textId="4DFD7EF7" w:rsidR="00C6444C" w:rsidRPr="00954116" w:rsidRDefault="00C6444C" w:rsidP="00020D20">
                            <w:pPr>
                              <w:pStyle w:val="Calloutboxes"/>
                            </w:pPr>
                            <w:r w:rsidRPr="00394A74">
                              <w:t>Detailed information on HPMS and associated HPMS data collection is provided in chapter 17.3, “Transportation Data &amp; Functional Classifications,” of this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2B2E5E" id="Text Box 1690911456" o:spid="_x0000_s1125" type="#_x0000_t202" style="position:absolute;left:0;text-align:left;margin-left:111pt;margin-top:10.4pt;width:106.5pt;height:125.7pt;z-index:-251697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" fillcolor="#f7f7f7" stroked="f" strokeweight=".5pt">
                <v:shadow on="t" type="perspective" color="black" opacity="26214f" offset="0,0" matrix="66847f,,,66847f"/>
                <v:textbox>
                  <w:txbxContent>
                    <w:p w14:paraId="22C28945" w14:textId="77777777" w:rsidR="00C6444C" w:rsidRDefault="00C6444C" w:rsidP="00020D20">
                      <w:pPr>
                        <w:jc w:val="center"/>
                      </w:pPr>
                      <w:r>
                        <w:rPr>
                          <w:noProof/>
                        </w:rPr>
                        <w:drawing>
                          <wp:inline distT="0" distB="0" distL="0" distR="0" wp14:anchorId="3797A363" wp14:editId="4F63EF32">
                            <wp:extent cx="457200" cy="457200"/>
                            <wp:effectExtent l="0" t="0" r="0" b="0"/>
                            <wp:docPr id="1690912948" name="Picture 169091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C18F23D" w14:textId="4DFD7EF7" w:rsidR="00C6444C" w:rsidRPr="00954116" w:rsidRDefault="00C6444C" w:rsidP="00020D20">
                      <w:pPr>
                        <w:pStyle w:val="Calloutboxes"/>
                      </w:pPr>
                      <w:r w:rsidRPr="00394A74">
                        <w:t>Detailed information on HPMS and associated HPMS data collection is provided in chapter 17.3, “Transportation Data &amp; Functional Classifications,” of this manual.</w:t>
                      </w:r>
                    </w:p>
                  </w:txbxContent>
                </v:textbox>
                <w10:wrap type="tight"/>
              </v:shape>
            </w:pict>
          </mc:Fallback>
        </mc:AlternateContent>
      </w:r>
      <w:r w:rsidR="004A08C2" w:rsidRPr="004A08C2">
        <w:t>The HPMS data collection is completed through the HPMS web-based application that provides a method to upload and monitor the HPMS data for any roadway classified as a “major collector” or higher.</w:t>
      </w:r>
      <w:r w:rsidR="004B3873">
        <w:t xml:space="preserve"> Note that HPMS data for minor collector roads in urban areas is</w:t>
      </w:r>
      <w:r w:rsidR="00866AC2">
        <w:t xml:space="preserve"> also</w:t>
      </w:r>
      <w:r w:rsidR="004B3873">
        <w:t xml:space="preserve"> collected</w:t>
      </w:r>
      <w:r w:rsidR="00866AC2">
        <w:t xml:space="preserve"> since these are included in the definition of </w:t>
      </w:r>
      <w:r w:rsidR="003416CC">
        <w:rPr>
          <w:rFonts w:cstheme="minorHAnsi"/>
          <w:noProof/>
        </w:rPr>
        <mc:AlternateContent>
          <mc:Choice Requires="wps">
            <w:drawing>
              <wp:anchor distT="0" distB="0" distL="114300" distR="114300" simplePos="0" relativeHeight="251618524" behindDoc="1" locked="0" layoutInCell="1" allowOverlap="1" wp14:anchorId="7003950F" wp14:editId="2B4CA150">
                <wp:simplePos x="0" y="0"/>
                <wp:positionH relativeFrom="column">
                  <wp:posOffset>4572000</wp:posOffset>
                </wp:positionH>
                <wp:positionV relativeFrom="paragraph">
                  <wp:posOffset>76200</wp:posOffset>
                </wp:positionV>
                <wp:extent cx="1352550" cy="1257300"/>
                <wp:effectExtent l="95250" t="76200" r="95250" b="76200"/>
                <wp:wrapTight wrapText="bothSides">
                  <wp:wrapPolygon edited="0">
                    <wp:start x="-913" y="-1309"/>
                    <wp:lineTo x="-1521" y="-982"/>
                    <wp:lineTo x="-1217" y="22582"/>
                    <wp:lineTo x="22513" y="22582"/>
                    <wp:lineTo x="22817" y="4255"/>
                    <wp:lineTo x="22208" y="-655"/>
                    <wp:lineTo x="22208" y="-1309"/>
                    <wp:lineTo x="-913" y="-1309"/>
                  </wp:wrapPolygon>
                </wp:wrapTight>
                <wp:docPr id="1690911462" name="Text Box 1690911462"/>
                <wp:cNvGraphicFramePr/>
                <a:graphic xmlns:a="http://schemas.openxmlformats.org/drawingml/2006/main">
                  <a:graphicData uri="http://schemas.microsoft.com/office/word/2010/wordprocessingShape">
                    <wps:wsp>
                      <wps:cNvSpPr txBox="1"/>
                      <wps:spPr>
                        <a:xfrm>
                          <a:off x="0" y="0"/>
                          <a:ext cx="1352550" cy="1257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1007798" w14:textId="77777777" w:rsidR="00C6444C" w:rsidRDefault="00C6444C" w:rsidP="00020D20">
                            <w:pPr>
                              <w:jc w:val="center"/>
                            </w:pPr>
                            <w:r>
                              <w:rPr>
                                <w:noProof/>
                              </w:rPr>
                              <w:drawing>
                                <wp:inline distT="0" distB="0" distL="0" distR="0" wp14:anchorId="587D07F2" wp14:editId="52C00624">
                                  <wp:extent cx="457200" cy="457200"/>
                                  <wp:effectExtent l="0" t="0" r="0" b="0"/>
                                  <wp:docPr id="1690912949" name="Picture 169091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9F8BBC4" w14:textId="2A0F7E0E" w:rsidR="00C6444C" w:rsidRPr="00954116" w:rsidRDefault="00C6444C" w:rsidP="00020D20">
                            <w:pPr>
                              <w:pStyle w:val="Calloutboxes"/>
                            </w:pPr>
                            <w:r w:rsidRPr="00394A74">
                              <w:t>Additional detail on air quality is available in chapter 17.1, “Air Quality,” of this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03950F" id="Text Box 1690911462" o:spid="_x0000_s1126" type="#_x0000_t202" style="position:absolute;left:0;text-align:left;margin-left:5in;margin-top:6pt;width:106.5pt;height:99pt;z-index:-251697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" fillcolor="#f7f7f7" stroked="f" strokeweight=".5pt">
                <v:shadow on="t" type="perspective" color="black" opacity="26214f" offset="0,0" matrix="66847f,,,66847f"/>
                <v:textbox>
                  <w:txbxContent>
                    <w:p w14:paraId="21007798" w14:textId="77777777" w:rsidR="00C6444C" w:rsidRDefault="00C6444C" w:rsidP="00020D20">
                      <w:pPr>
                        <w:jc w:val="center"/>
                      </w:pPr>
                      <w:r>
                        <w:rPr>
                          <w:noProof/>
                        </w:rPr>
                        <w:drawing>
                          <wp:inline distT="0" distB="0" distL="0" distR="0" wp14:anchorId="587D07F2" wp14:editId="52C00624">
                            <wp:extent cx="457200" cy="457200"/>
                            <wp:effectExtent l="0" t="0" r="0" b="0"/>
                            <wp:docPr id="1690912949" name="Picture 169091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9F8BBC4" w14:textId="2A0F7E0E" w:rsidR="00C6444C" w:rsidRPr="00954116" w:rsidRDefault="00C6444C" w:rsidP="00020D20">
                      <w:pPr>
                        <w:pStyle w:val="Calloutboxes"/>
                      </w:pPr>
                      <w:r w:rsidRPr="00394A74">
                        <w:t>Additional detail on air quality is available in chapter 17.1, “Air Quality,” of this manual.</w:t>
                      </w:r>
                    </w:p>
                  </w:txbxContent>
                </v:textbox>
                <w10:wrap type="tight"/>
              </v:shape>
            </w:pict>
          </mc:Fallback>
        </mc:AlternateContent>
      </w:r>
      <w:r w:rsidR="00866AC2">
        <w:t>Federal-Aid Highways</w:t>
      </w:r>
      <w:r w:rsidR="004B3873">
        <w:t>.</w:t>
      </w:r>
      <w:r w:rsidR="004A08C2" w:rsidRPr="004A08C2">
        <w:t xml:space="preserve"> Many COGs and MPOs hire contractors to collect the HPMS data. </w:t>
      </w:r>
    </w:p>
    <w:p w14:paraId="40A36890" w14:textId="6ECD7974" w:rsidR="004A08C2" w:rsidRPr="004A08C2" w:rsidRDefault="004A08C2" w:rsidP="00020D20">
      <w:pPr>
        <w:pStyle w:val="Heading3"/>
        <w:jc w:val="both"/>
      </w:pPr>
      <w:bookmarkStart w:id="212" w:name="_Ref50029682"/>
      <w:r w:rsidRPr="004A08C2">
        <w:t>5.8.4 | Functional Classification</w:t>
      </w:r>
      <w:bookmarkEnd w:id="212"/>
    </w:p>
    <w:p w14:paraId="4EB5742B" w14:textId="6EA91409" w:rsidR="004A08C2" w:rsidRPr="004A08C2" w:rsidRDefault="003F0B2F" w:rsidP="00020D20">
      <w:pPr>
        <w:jc w:val="both"/>
      </w:pPr>
      <w:r>
        <w:rPr>
          <w:rFonts w:cstheme="minorHAnsi"/>
          <w:noProof/>
        </w:rPr>
        <mc:AlternateContent>
          <mc:Choice Requires="wps">
            <w:drawing>
              <wp:anchor distT="0" distB="0" distL="114300" distR="114300" simplePos="0" relativeHeight="251618523" behindDoc="1" locked="0" layoutInCell="1" allowOverlap="1" wp14:anchorId="6BAD76BC" wp14:editId="35D541FF">
                <wp:simplePos x="0" y="0"/>
                <wp:positionH relativeFrom="column">
                  <wp:posOffset>-587</wp:posOffset>
                </wp:positionH>
                <wp:positionV relativeFrom="paragraph">
                  <wp:posOffset>159888</wp:posOffset>
                </wp:positionV>
                <wp:extent cx="1352550" cy="1492250"/>
                <wp:effectExtent l="76200" t="95250" r="76200" b="88900"/>
                <wp:wrapTight wrapText="bothSides">
                  <wp:wrapPolygon edited="0">
                    <wp:start x="-1217" y="-1379"/>
                    <wp:lineTo x="-1217" y="22611"/>
                    <wp:lineTo x="22513" y="22611"/>
                    <wp:lineTo x="22513" y="-1379"/>
                    <wp:lineTo x="-1217" y="-1379"/>
                  </wp:wrapPolygon>
                </wp:wrapTight>
                <wp:docPr id="1690911460" name="Text Box 1690911460"/>
                <wp:cNvGraphicFramePr/>
                <a:graphic xmlns:a="http://schemas.openxmlformats.org/drawingml/2006/main">
                  <a:graphicData uri="http://schemas.microsoft.com/office/word/2010/wordprocessingShape">
                    <wps:wsp>
                      <wps:cNvSpPr txBox="1"/>
                      <wps:spPr>
                        <a:xfrm>
                          <a:off x="0" y="0"/>
                          <a:ext cx="1352550" cy="14922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20E8983" w14:textId="77777777" w:rsidR="00C6444C" w:rsidRDefault="00C6444C" w:rsidP="00020D20">
                            <w:pPr>
                              <w:jc w:val="center"/>
                            </w:pPr>
                            <w:r>
                              <w:rPr>
                                <w:noProof/>
                              </w:rPr>
                              <w:drawing>
                                <wp:inline distT="0" distB="0" distL="0" distR="0" wp14:anchorId="49AC23D1" wp14:editId="6BE6F771">
                                  <wp:extent cx="457200" cy="457200"/>
                                  <wp:effectExtent l="0" t="0" r="0" b="0"/>
                                  <wp:docPr id="1690912950" name="Picture 169091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2BE2083" w14:textId="6773FB24" w:rsidR="00C6444C" w:rsidRPr="00977A9B" w:rsidRDefault="00C6444C" w:rsidP="00020D20">
                            <w:pPr>
                              <w:pStyle w:val="Calloutboxes"/>
                            </w:pPr>
                            <w:r w:rsidRPr="00394A74">
                              <w:t>Detailed information on functional classification is provided in chapter 17.3, “Transportat</w:t>
                            </w:r>
                            <w:r w:rsidRPr="00954116">
                              <w:t xml:space="preserve">ion Data &amp; Functional </w:t>
                            </w:r>
                            <w:r w:rsidRPr="0052715B">
                              <w:t>Classifications, “of</w:t>
                            </w:r>
                            <w:r w:rsidRPr="005A6734">
                              <w:t xml:space="preserve"> this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AD76BC" id="Text Box 1690911460" o:spid="_x0000_s1127" type="#_x0000_t202" style="position:absolute;left:0;text-align:left;margin-left:-.05pt;margin-top:12.6pt;width:106.5pt;height:117.5pt;z-index:-2516979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" fillcolor="#f7f7f7" stroked="f" strokeweight=".5pt">
                <v:shadow on="t" type="perspective" color="black" opacity="26214f" offset="0,0" matrix="66847f,,,66847f"/>
                <v:textbox>
                  <w:txbxContent>
                    <w:p w14:paraId="220E8983" w14:textId="77777777" w:rsidR="00C6444C" w:rsidRDefault="00C6444C" w:rsidP="00020D20">
                      <w:pPr>
                        <w:jc w:val="center"/>
                      </w:pPr>
                      <w:r>
                        <w:rPr>
                          <w:noProof/>
                        </w:rPr>
                        <w:drawing>
                          <wp:inline distT="0" distB="0" distL="0" distR="0" wp14:anchorId="49AC23D1" wp14:editId="6BE6F771">
                            <wp:extent cx="457200" cy="457200"/>
                            <wp:effectExtent l="0" t="0" r="0" b="0"/>
                            <wp:docPr id="1690912950" name="Picture 169091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2BE2083" w14:textId="6773FB24" w:rsidR="00C6444C" w:rsidRPr="00977A9B" w:rsidRDefault="00C6444C" w:rsidP="00020D20">
                      <w:pPr>
                        <w:pStyle w:val="Calloutboxes"/>
                      </w:pPr>
                      <w:r w:rsidRPr="00394A74">
                        <w:t>Detailed information on functional classification is provided in chapter 17.3, “Transportat</w:t>
                      </w:r>
                      <w:r w:rsidRPr="00954116">
                        <w:t xml:space="preserve">ion Data &amp; Functional </w:t>
                      </w:r>
                      <w:r w:rsidRPr="0052715B">
                        <w:t>Classifications, “of</w:t>
                      </w:r>
                      <w:r w:rsidRPr="005A6734">
                        <w:t xml:space="preserve"> this manual.</w:t>
                      </w:r>
                    </w:p>
                  </w:txbxContent>
                </v:textbox>
                <w10:wrap type="tight"/>
              </v:shape>
            </w:pict>
          </mc:Fallback>
        </mc:AlternateContent>
      </w:r>
      <w:r w:rsidR="004A08C2" w:rsidRPr="004A08C2">
        <w:t>Monitoring and maintaining a current inventory of the COG region’s functional classification of roadways and urban boundaries is critical to</w:t>
      </w:r>
      <w:r w:rsidR="004A08C2" w:rsidRPr="001241F0">
        <w:t xml:space="preserve"> understanding project eligibility for federal transportation funding and accurate TIP development. Key aspects of a COG’s role regarding functional classification include:</w:t>
      </w:r>
    </w:p>
    <w:p w14:paraId="22367C93" w14:textId="2CA8D58B" w:rsidR="004A08C2" w:rsidRPr="004A08C2" w:rsidRDefault="004A08C2" w:rsidP="00020D20">
      <w:pPr>
        <w:pStyle w:val="Body-Bullets"/>
        <w:jc w:val="both"/>
      </w:pPr>
      <w:r w:rsidRPr="004A08C2">
        <w:t>maintaining an inventory of basic centerline data for federally functionally classified roads (collector and above classifications);</w:t>
      </w:r>
    </w:p>
    <w:p w14:paraId="1F55DCE9" w14:textId="5A00E5C0" w:rsidR="004A08C2" w:rsidRPr="004A08C2" w:rsidRDefault="004A08C2" w:rsidP="00020D20">
      <w:pPr>
        <w:pStyle w:val="Body-Bullets"/>
        <w:jc w:val="both"/>
        <w:rPr>
          <w:b/>
        </w:rPr>
      </w:pPr>
      <w:r w:rsidRPr="004A08C2">
        <w:t>processing proposed changes in classification with approvals through the ADOT regional planner and ADOT Geographic Information Systems for Transportation (GIS-T) Section; and</w:t>
      </w:r>
    </w:p>
    <w:p w14:paraId="3C089164" w14:textId="4802F65A" w:rsidR="004A08C2" w:rsidRPr="004A08C2" w:rsidRDefault="004A08C2" w:rsidP="00020D20">
      <w:pPr>
        <w:pStyle w:val="Body-Bullets"/>
        <w:jc w:val="both"/>
        <w:rPr>
          <w:b/>
        </w:rPr>
      </w:pPr>
      <w:r w:rsidRPr="004A08C2">
        <w:t>verifying that projects identified for the TIP are eligible for federal funding (</w:t>
      </w:r>
      <w:r w:rsidR="004B3873">
        <w:t>minor</w:t>
      </w:r>
      <w:r w:rsidR="004B3873" w:rsidRPr="004A08C2">
        <w:t xml:space="preserve"> </w:t>
      </w:r>
      <w:r w:rsidRPr="004A08C2">
        <w:t>collector</w:t>
      </w:r>
      <w:r w:rsidR="004B3873">
        <w:t xml:space="preserve"> in urban area</w:t>
      </w:r>
      <w:r w:rsidRPr="004A08C2">
        <w:t xml:space="preserve"> and higher).</w:t>
      </w:r>
    </w:p>
    <w:p w14:paraId="2FBE6C64" w14:textId="63C2CE5B" w:rsidR="004A08C2" w:rsidRPr="004A08C2" w:rsidRDefault="004A08C2" w:rsidP="00020D20">
      <w:pPr>
        <w:pStyle w:val="Heading3"/>
        <w:jc w:val="both"/>
      </w:pPr>
      <w:bookmarkStart w:id="213" w:name="_Ref50029687"/>
      <w:r w:rsidRPr="004A08C2">
        <w:t>5.8.5 | Air Quality Standards</w:t>
      </w:r>
      <w:bookmarkEnd w:id="213"/>
      <w:r w:rsidRPr="004A08C2">
        <w:t xml:space="preserve"> </w:t>
      </w:r>
    </w:p>
    <w:p w14:paraId="39B789E0" w14:textId="510C9908" w:rsidR="004A08C2" w:rsidRPr="004A08C2" w:rsidRDefault="003416CC" w:rsidP="00020D20">
      <w:pPr>
        <w:jc w:val="both"/>
      </w:pPr>
      <w:r>
        <w:rPr>
          <w:rFonts w:cstheme="minorHAnsi"/>
          <w:noProof/>
        </w:rPr>
        <mc:AlternateContent>
          <mc:Choice Requires="wps">
            <w:drawing>
              <wp:anchor distT="0" distB="0" distL="114300" distR="114300" simplePos="0" relativeHeight="251618522" behindDoc="1" locked="0" layoutInCell="1" allowOverlap="1" wp14:anchorId="7B61A13D" wp14:editId="5151957F">
                <wp:simplePos x="0" y="0"/>
                <wp:positionH relativeFrom="column">
                  <wp:posOffset>1600200</wp:posOffset>
                </wp:positionH>
                <wp:positionV relativeFrom="paragraph">
                  <wp:posOffset>93980</wp:posOffset>
                </wp:positionV>
                <wp:extent cx="1352550" cy="1419225"/>
                <wp:effectExtent l="76200" t="95250" r="76200" b="104775"/>
                <wp:wrapTight wrapText="bothSides">
                  <wp:wrapPolygon edited="0">
                    <wp:start x="-1217" y="-1450"/>
                    <wp:lineTo x="-1217" y="22905"/>
                    <wp:lineTo x="22513" y="22905"/>
                    <wp:lineTo x="22513" y="-1450"/>
                    <wp:lineTo x="-1217" y="-1450"/>
                  </wp:wrapPolygon>
                </wp:wrapTight>
                <wp:docPr id="1690911458" name="Text Box 1690911458"/>
                <wp:cNvGraphicFramePr/>
                <a:graphic xmlns:a="http://schemas.openxmlformats.org/drawingml/2006/main">
                  <a:graphicData uri="http://schemas.microsoft.com/office/word/2010/wordprocessingShape">
                    <wps:wsp>
                      <wps:cNvSpPr txBox="1"/>
                      <wps:spPr>
                        <a:xfrm>
                          <a:off x="0" y="0"/>
                          <a:ext cx="1352550" cy="14192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2E65381" w14:textId="77777777" w:rsidR="00C6444C" w:rsidRDefault="00C6444C" w:rsidP="00020D20">
                            <w:pPr>
                              <w:jc w:val="center"/>
                            </w:pPr>
                            <w:r>
                              <w:rPr>
                                <w:noProof/>
                              </w:rPr>
                              <w:drawing>
                                <wp:inline distT="0" distB="0" distL="0" distR="0" wp14:anchorId="7C4D9019" wp14:editId="1263F5C8">
                                  <wp:extent cx="457200" cy="457200"/>
                                  <wp:effectExtent l="0" t="0" r="0" b="0"/>
                                  <wp:docPr id="1690912951" name="Picture 169091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91E642B" w14:textId="6CC82C5B" w:rsidR="00C6444C" w:rsidRPr="00394A74" w:rsidRDefault="00C6444C" w:rsidP="00020D20">
                            <w:pPr>
                              <w:pStyle w:val="Calloutboxes"/>
                            </w:pPr>
                            <w:r w:rsidRPr="00394A74">
                              <w:t>N</w:t>
                            </w:r>
                            <w:r w:rsidRPr="00954116">
                              <w:t>onattainment areas is</w:t>
                            </w:r>
                            <w:r w:rsidRPr="0052715B">
                              <w:t xml:space="preserve"> available on ADOT’s website:</w:t>
                            </w:r>
                            <w:r w:rsidRPr="005A6734">
                              <w:t xml:space="preserve"> </w:t>
                            </w:r>
                            <w:hyperlink r:id="rId387" w:history="1">
                              <w:r w:rsidRPr="00020D20">
                                <w:rPr>
                                  <w:rStyle w:val="TitleChar"/>
                                  <w:sz w:val="16"/>
                                </w:rPr>
                                <w:t>https://azdot.gov/business/environmental-planning/air-quality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61A13D" id="Text Box 1690911458" o:spid="_x0000_s1128" type="#_x0000_t202" style="position:absolute;left:0;text-align:left;margin-left:126pt;margin-top:7.4pt;width:106.5pt;height:111.75pt;z-index:-251697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" fillcolor="#f7f7f7" stroked="f" strokeweight=".5pt">
                <v:shadow on="t" type="perspective" color="black" opacity="26214f" offset="0,0" matrix="66847f,,,66847f"/>
                <v:textbox>
                  <w:txbxContent>
                    <w:p w14:paraId="72E65381" w14:textId="77777777" w:rsidR="00C6444C" w:rsidRDefault="00C6444C" w:rsidP="00020D20">
                      <w:pPr>
                        <w:jc w:val="center"/>
                      </w:pPr>
                      <w:r>
                        <w:rPr>
                          <w:noProof/>
                        </w:rPr>
                        <w:drawing>
                          <wp:inline distT="0" distB="0" distL="0" distR="0" wp14:anchorId="7C4D9019" wp14:editId="1263F5C8">
                            <wp:extent cx="457200" cy="457200"/>
                            <wp:effectExtent l="0" t="0" r="0" b="0"/>
                            <wp:docPr id="1690912951" name="Picture 169091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91E642B" w14:textId="6CC82C5B" w:rsidR="00C6444C" w:rsidRPr="00394A74" w:rsidRDefault="00C6444C" w:rsidP="00020D20">
                      <w:pPr>
                        <w:pStyle w:val="Calloutboxes"/>
                      </w:pPr>
                      <w:r w:rsidRPr="00394A74">
                        <w:t>N</w:t>
                      </w:r>
                      <w:r w:rsidRPr="00954116">
                        <w:t>onattainment areas is</w:t>
                      </w:r>
                      <w:r w:rsidRPr="0052715B">
                        <w:t xml:space="preserve"> available on ADOT’s website:</w:t>
                      </w:r>
                      <w:r w:rsidRPr="005A6734">
                        <w:t xml:space="preserve"> </w:t>
                      </w:r>
                      <w:hyperlink r:id="rId388" w:history="1">
                        <w:r w:rsidRPr="00020D20">
                          <w:rPr>
                            <w:rStyle w:val="TitleChar"/>
                            <w:sz w:val="16"/>
                          </w:rPr>
                          <w:t>https://azdot.gov/business/environmental-planning/air-quality</w:t>
                        </w:r>
                      </w:hyperlink>
                    </w:p>
                  </w:txbxContent>
                </v:textbox>
                <w10:wrap type="tight"/>
              </v:shape>
            </w:pict>
          </mc:Fallback>
        </mc:AlternateContent>
      </w:r>
      <w:r w:rsidR="004A08C2" w:rsidRPr="004A08C2">
        <w:t>There are several areas within the state that do not meet the National Ambient Air Quality Standards (NAAQS). These geographic areas must coordinate closely with the ADOT Transportation Analysis/Air Quality teams to comply with requirements regarding nonattainment areas. Specifically,</w:t>
      </w:r>
      <w:r w:rsidR="00C10FAA">
        <w:t xml:space="preserve"> </w:t>
      </w:r>
      <w:r w:rsidR="00C10FAA" w:rsidRPr="004A08C2">
        <w:t>the COG staff must notify the Air Quality staff and copy the ADOT region</w:t>
      </w:r>
      <w:r w:rsidR="00C10FAA" w:rsidRPr="00A0218B">
        <w:t>al planner of the notification</w:t>
      </w:r>
      <w:r w:rsidR="004A08C2" w:rsidRPr="004A08C2">
        <w:t xml:space="preserve"> when there is a change to a qualifying improvement project in the TIP, or if a new qualifying improvement project is added to the TIP in any of the areas identified as not meeting the NAAQ</w:t>
      </w:r>
      <w:r w:rsidR="00C10FAA">
        <w:t>S</w:t>
      </w:r>
      <w:r w:rsidR="004A08C2" w:rsidRPr="00020D20">
        <w:t>.</w:t>
      </w:r>
    </w:p>
    <w:p w14:paraId="513125CC" w14:textId="374F48C7" w:rsidR="004A08C2" w:rsidRPr="004A08C2" w:rsidRDefault="004A08C2" w:rsidP="00020D20">
      <w:pPr>
        <w:jc w:val="both"/>
        <w:rPr>
          <w:b/>
        </w:rPr>
      </w:pPr>
      <w:r w:rsidRPr="004A08C2">
        <w:t xml:space="preserve">When a qualifying project is within a nonattainment or air quality maintenance area, the ADOT staff provides guidance on the appropriate methodology and processes for projects in the TIP, other transportation control measures, and interagency consultation that may be required. </w:t>
      </w:r>
    </w:p>
    <w:p w14:paraId="6583F1A0" w14:textId="35B8F523" w:rsidR="004A08C2" w:rsidRPr="004A08C2" w:rsidRDefault="004A08C2" w:rsidP="00020D20">
      <w:pPr>
        <w:pStyle w:val="Heading3"/>
        <w:jc w:val="both"/>
      </w:pPr>
      <w:bookmarkStart w:id="214" w:name="_Ref50029690"/>
      <w:r w:rsidRPr="004A08C2">
        <w:t>5.8.6 | Population Projections &amp; Estimates</w:t>
      </w:r>
      <w:bookmarkEnd w:id="214"/>
    </w:p>
    <w:p w14:paraId="11D98442" w14:textId="0D9C8356" w:rsidR="004A08C2" w:rsidRPr="004A08C2" w:rsidRDefault="004A08C2" w:rsidP="00020D20">
      <w:pPr>
        <w:jc w:val="both"/>
      </w:pPr>
      <w:r w:rsidRPr="004A08C2">
        <w:t xml:space="preserve">Population projections are developed and maintained by each of the COGs and MPOs to feed into local and regional planning processes. This task requires extensive coordination with the local agencies to calculate the number of building permits and certificates of occupancy that are issued. This ensures that population data from the COG region is collected according to requirements of the Arizona Department of Administration, including: </w:t>
      </w:r>
    </w:p>
    <w:p w14:paraId="60B3987D" w14:textId="77777777" w:rsidR="004A08C2" w:rsidRPr="004A08C2" w:rsidRDefault="004A08C2" w:rsidP="00020D20">
      <w:pPr>
        <w:pStyle w:val="Body-Bullets"/>
        <w:jc w:val="both"/>
      </w:pPr>
      <w:r w:rsidRPr="004A08C2">
        <w:t>actively participating in the Department of Administration Council for Technical Solutions; and</w:t>
      </w:r>
    </w:p>
    <w:p w14:paraId="64EDDC4F" w14:textId="1918ADF5" w:rsidR="004A08C2" w:rsidRPr="004A08C2" w:rsidRDefault="004A08C2" w:rsidP="00020D20">
      <w:pPr>
        <w:pStyle w:val="Body-Bullets"/>
        <w:jc w:val="both"/>
        <w:rPr>
          <w:b/>
        </w:rPr>
      </w:pPr>
      <w:r w:rsidRPr="004A08C2">
        <w:t>working with local jurisdictions to ensure that data required for the preparation of population estimates and projections are collected and submitted to the Department of Administration by the prescribed due date. The building permit and certificate of occupancy information must be consistent with the estimates and projections to be submitted to the Department of Administration.</w:t>
      </w:r>
    </w:p>
    <w:bookmarkStart w:id="215" w:name="_Ref50029693"/>
    <w:p w14:paraId="1429A7EE" w14:textId="44E0E7B5" w:rsidR="004A08C2" w:rsidRPr="004A08C2" w:rsidRDefault="001453D9" w:rsidP="00020D20">
      <w:pPr>
        <w:pStyle w:val="Heading3"/>
        <w:jc w:val="both"/>
      </w:pPr>
      <w:r>
        <w:rPr>
          <w:rFonts w:cstheme="minorHAnsi"/>
          <w:noProof/>
        </w:rPr>
        <mc:AlternateContent>
          <mc:Choice Requires="wps">
            <w:drawing>
              <wp:anchor distT="0" distB="0" distL="114300" distR="114300" simplePos="0" relativeHeight="251618525" behindDoc="1" locked="0" layoutInCell="1" allowOverlap="1" wp14:anchorId="42D7A062" wp14:editId="41E11C60">
                <wp:simplePos x="0" y="0"/>
                <wp:positionH relativeFrom="column">
                  <wp:posOffset>1495425</wp:posOffset>
                </wp:positionH>
                <wp:positionV relativeFrom="paragraph">
                  <wp:posOffset>308610</wp:posOffset>
                </wp:positionV>
                <wp:extent cx="1238250" cy="1371600"/>
                <wp:effectExtent l="76200" t="95250" r="76200" b="95250"/>
                <wp:wrapTight wrapText="bothSides">
                  <wp:wrapPolygon edited="0">
                    <wp:start x="-997" y="-1500"/>
                    <wp:lineTo x="-1329" y="-900"/>
                    <wp:lineTo x="-1329" y="22800"/>
                    <wp:lineTo x="22597" y="22800"/>
                    <wp:lineTo x="22597" y="3900"/>
                    <wp:lineTo x="22265" y="-600"/>
                    <wp:lineTo x="22265" y="-1500"/>
                    <wp:lineTo x="-997" y="-1500"/>
                  </wp:wrapPolygon>
                </wp:wrapTight>
                <wp:docPr id="1690911466" name="Text Box 1690911466"/>
                <wp:cNvGraphicFramePr/>
                <a:graphic xmlns:a="http://schemas.openxmlformats.org/drawingml/2006/main">
                  <a:graphicData uri="http://schemas.microsoft.com/office/word/2010/wordprocessingShape">
                    <wps:wsp>
                      <wps:cNvSpPr txBox="1"/>
                      <wps:spPr>
                        <a:xfrm>
                          <a:off x="0" y="0"/>
                          <a:ext cx="123825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19A066C" w14:textId="77777777" w:rsidR="00C6444C" w:rsidRDefault="00C6444C" w:rsidP="00020D20">
                            <w:pPr>
                              <w:jc w:val="center"/>
                            </w:pPr>
                            <w:r>
                              <w:rPr>
                                <w:noProof/>
                              </w:rPr>
                              <w:drawing>
                                <wp:inline distT="0" distB="0" distL="0" distR="0" wp14:anchorId="7B3017A8" wp14:editId="4AFA1818">
                                  <wp:extent cx="457200" cy="457200"/>
                                  <wp:effectExtent l="0" t="0" r="0" b="0"/>
                                  <wp:docPr id="1690912952" name="Picture 169091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CF52817" w14:textId="0B3A716C" w:rsidR="00C6444C" w:rsidRPr="00954116" w:rsidRDefault="00C6444C" w:rsidP="00020D20">
                            <w:pPr>
                              <w:pStyle w:val="Calloutboxes"/>
                            </w:pPr>
                            <w:r w:rsidRPr="00394A74">
                              <w:t>Chapter 8, “Transportation Improvement Program,” in this manual describes the TIP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7A062" id="Text Box 1690911466" o:spid="_x0000_s1129" type="#_x0000_t202" style="position:absolute;left:0;text-align:left;margin-left:117.75pt;margin-top:24.3pt;width:97.5pt;height:108pt;z-index:-251697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" fillcolor="#f7f7f7" stroked="f" strokeweight=".5pt">
                <v:shadow on="t" type="perspective" color="black" opacity="26214f" offset="0,0" matrix="66847f,,,66847f"/>
                <v:textbox>
                  <w:txbxContent>
                    <w:p w14:paraId="219A066C" w14:textId="77777777" w:rsidR="00C6444C" w:rsidRDefault="00C6444C" w:rsidP="00020D20">
                      <w:pPr>
                        <w:jc w:val="center"/>
                      </w:pPr>
                      <w:r>
                        <w:rPr>
                          <w:noProof/>
                        </w:rPr>
                        <w:drawing>
                          <wp:inline distT="0" distB="0" distL="0" distR="0" wp14:anchorId="7B3017A8" wp14:editId="4AFA1818">
                            <wp:extent cx="457200" cy="457200"/>
                            <wp:effectExtent l="0" t="0" r="0" b="0"/>
                            <wp:docPr id="1690912952" name="Picture 169091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CF52817" w14:textId="0B3A716C" w:rsidR="00C6444C" w:rsidRPr="00954116" w:rsidRDefault="00C6444C" w:rsidP="00020D20">
                      <w:pPr>
                        <w:pStyle w:val="Calloutboxes"/>
                      </w:pPr>
                      <w:r w:rsidRPr="00394A74">
                        <w:t>Chapter 8, “Transportation Improvement Program,” in this manual describes the TIP process.</w:t>
                      </w:r>
                    </w:p>
                  </w:txbxContent>
                </v:textbox>
                <w10:wrap type="tight"/>
              </v:shape>
            </w:pict>
          </mc:Fallback>
        </mc:AlternateContent>
      </w:r>
      <w:r w:rsidR="004A08C2" w:rsidRPr="004A08C2">
        <w:t>5.8.7 | Transportation Improvement Program</w:t>
      </w:r>
      <w:bookmarkEnd w:id="215"/>
    </w:p>
    <w:p w14:paraId="7F025626" w14:textId="3D62C322" w:rsidR="004A08C2" w:rsidRDefault="004A08C2" w:rsidP="00020D20">
      <w:pPr>
        <w:jc w:val="both"/>
      </w:pPr>
      <w:r w:rsidRPr="004A08C2">
        <w:t>COGs must identify and prioritize transportation improvement projects that are to be completed over a four- to five-year period on local and regional roads, using regionally accepted policies and plans.</w:t>
      </w:r>
    </w:p>
    <w:p w14:paraId="3AD5CCAD" w14:textId="77777777" w:rsidR="004A08C2" w:rsidRPr="004A08C2" w:rsidRDefault="004A08C2" w:rsidP="00020D20">
      <w:pPr>
        <w:pStyle w:val="Heading3"/>
        <w:jc w:val="both"/>
      </w:pPr>
      <w:bookmarkStart w:id="216" w:name="_Ref50029696"/>
      <w:r w:rsidRPr="004A08C2">
        <w:t>5.8.8 | Transportation Technical Advisory Committee</w:t>
      </w:r>
      <w:bookmarkEnd w:id="216"/>
    </w:p>
    <w:p w14:paraId="3719C970" w14:textId="7197988F" w:rsidR="004A08C2" w:rsidRPr="004A08C2" w:rsidRDefault="004A08C2" w:rsidP="00020D20">
      <w:pPr>
        <w:jc w:val="both"/>
      </w:pPr>
      <w:r w:rsidRPr="004A08C2">
        <w:t>COGs must maintain a TAC comprising representatives of local jurisdictions and tribal nations for the purpose of carrying out regional planning activities. The TAC meets regularly to discuss all aspects of transportation planning as it relates to local, regional, state, and public transportation coordination, public participation, plan development, programming of funds (TIP), and data submittals to ADOT. TAC representation includes all member agencies, ADOT, and transit providers.</w:t>
      </w:r>
    </w:p>
    <w:p w14:paraId="73519730" w14:textId="53670301" w:rsidR="004A08C2" w:rsidRPr="004A08C2" w:rsidRDefault="004A08C2" w:rsidP="00020D20">
      <w:pPr>
        <w:pStyle w:val="Heading3"/>
        <w:jc w:val="both"/>
      </w:pPr>
      <w:bookmarkStart w:id="217" w:name="_Ref50029701"/>
      <w:r w:rsidRPr="004A08C2">
        <w:t>5.8.9 | ADOT Five-Year Facilities Construction Program</w:t>
      </w:r>
      <w:bookmarkEnd w:id="217"/>
    </w:p>
    <w:p w14:paraId="1C2213E9" w14:textId="08E5E4A3" w:rsidR="004A08C2" w:rsidRPr="004A08C2" w:rsidRDefault="00FA7F5B" w:rsidP="00020D20">
      <w:pPr>
        <w:jc w:val="both"/>
      </w:pPr>
      <w:r>
        <w:rPr>
          <w:rFonts w:cstheme="minorHAnsi"/>
          <w:noProof/>
        </w:rPr>
        <mc:AlternateContent>
          <mc:Choice Requires="wps">
            <w:drawing>
              <wp:anchor distT="0" distB="0" distL="114300" distR="114300" simplePos="0" relativeHeight="251618439" behindDoc="1" locked="0" layoutInCell="1" allowOverlap="1" wp14:anchorId="2843DB52" wp14:editId="740A76A6">
                <wp:simplePos x="0" y="0"/>
                <wp:positionH relativeFrom="margin">
                  <wp:posOffset>3167380</wp:posOffset>
                </wp:positionH>
                <wp:positionV relativeFrom="paragraph">
                  <wp:posOffset>1016000</wp:posOffset>
                </wp:positionV>
                <wp:extent cx="1178560" cy="2000250"/>
                <wp:effectExtent l="76200" t="95250" r="78740" b="95250"/>
                <wp:wrapTight wrapText="bothSides">
                  <wp:wrapPolygon edited="0">
                    <wp:start x="-1397" y="-1029"/>
                    <wp:lineTo x="-1397" y="21394"/>
                    <wp:lineTo x="-698" y="22423"/>
                    <wp:lineTo x="22345" y="22423"/>
                    <wp:lineTo x="22694" y="19337"/>
                    <wp:lineTo x="22694" y="-1029"/>
                    <wp:lineTo x="-1397" y="-1029"/>
                  </wp:wrapPolygon>
                </wp:wrapTight>
                <wp:docPr id="816285998" name="Text Box 816285998"/>
                <wp:cNvGraphicFramePr/>
                <a:graphic xmlns:a="http://schemas.openxmlformats.org/drawingml/2006/main">
                  <a:graphicData uri="http://schemas.microsoft.com/office/word/2010/wordprocessingShape">
                    <wps:wsp>
                      <wps:cNvSpPr txBox="1"/>
                      <wps:spPr>
                        <a:xfrm>
                          <a:off x="0" y="0"/>
                          <a:ext cx="1178560" cy="20002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8C6B28B" w14:textId="77777777" w:rsidR="00C6444C" w:rsidRPr="0051438A" w:rsidRDefault="00C6444C" w:rsidP="00020D20">
                            <w:pPr>
                              <w:jc w:val="center"/>
                            </w:pPr>
                            <w:r w:rsidRPr="001241F0">
                              <w:rPr>
                                <w:noProof/>
                              </w:rPr>
                              <w:drawing>
                                <wp:inline distT="0" distB="0" distL="0" distR="0" wp14:anchorId="1785289A" wp14:editId="59D69E00">
                                  <wp:extent cx="457200" cy="457200"/>
                                  <wp:effectExtent l="0" t="0" r="0" b="0"/>
                                  <wp:docPr id="1690912953" name="Picture 1690912953">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38D6E9B" w14:textId="02596EE4" w:rsidR="00C6444C" w:rsidRPr="00020D20" w:rsidRDefault="00C6444C" w:rsidP="00020D20">
                            <w:pPr>
                              <w:pStyle w:val="Calloutboxes"/>
                              <w:rPr>
                                <w:rStyle w:val="TitleChar"/>
                                <w:sz w:val="16"/>
                              </w:rPr>
                            </w:pPr>
                            <w:r w:rsidRPr="000D70F2">
                              <w:rPr>
                                <w:rFonts w:cstheme="minorBidi"/>
                              </w:rPr>
                              <w:t xml:space="preserve">Submit invoices to ADOT Finance and Contract Administration. </w:t>
                            </w:r>
                            <w:hyperlink r:id="rId390" w:history="1">
                              <w:r w:rsidRPr="00020D20">
                                <w:rPr>
                                  <w:rStyle w:val="TitleChar"/>
                                  <w:sz w:val="16"/>
                                </w:rPr>
                                <w:t>mpdinvoice@azdot.gov</w:t>
                              </w:r>
                            </w:hyperlink>
                          </w:p>
                          <w:p w14:paraId="79C3AAD7" w14:textId="3BFFDDE5" w:rsidR="00C6444C" w:rsidRPr="00394A74" w:rsidRDefault="00C6444C" w:rsidP="00020D20">
                            <w:pPr>
                              <w:pStyle w:val="Calloutboxes"/>
                            </w:pPr>
                            <w:r w:rsidRPr="00977A9B">
                              <w:t xml:space="preserve">You will receive an automatic reply from ADOT confirming the email has been received.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43DB52" id="Text Box 816285998" o:spid="_x0000_s1130" type="#_x0000_t202" style="position:absolute;left:0;text-align:left;margin-left:249.4pt;margin-top:80pt;width:92.8pt;height:157.5pt;z-index:-2516980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" fillcolor="#f7f7f7" stroked="f" strokeweight=".5pt">
                <v:shadow on="t" type="perspective" color="black" opacity="26214f" offset="0,0" matrix="66847f,,,66847f"/>
                <v:textbox>
                  <w:txbxContent>
                    <w:p w14:paraId="28C6B28B" w14:textId="77777777" w:rsidR="00C6444C" w:rsidRPr="0051438A" w:rsidRDefault="00C6444C" w:rsidP="00020D20">
                      <w:pPr>
                        <w:jc w:val="center"/>
                      </w:pPr>
                      <w:r w:rsidRPr="001241F0">
                        <w:rPr>
                          <w:noProof/>
                        </w:rPr>
                        <w:drawing>
                          <wp:inline distT="0" distB="0" distL="0" distR="0" wp14:anchorId="1785289A" wp14:editId="59D69E00">
                            <wp:extent cx="457200" cy="457200"/>
                            <wp:effectExtent l="0" t="0" r="0" b="0"/>
                            <wp:docPr id="1690912953" name="Picture 1690912953">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38D6E9B" w14:textId="02596EE4" w:rsidR="00C6444C" w:rsidRPr="00020D20" w:rsidRDefault="00C6444C" w:rsidP="00020D20">
                      <w:pPr>
                        <w:pStyle w:val="Calloutboxes"/>
                        <w:rPr>
                          <w:rStyle w:val="TitleChar"/>
                          <w:sz w:val="16"/>
                        </w:rPr>
                      </w:pPr>
                      <w:r w:rsidRPr="000D70F2">
                        <w:rPr>
                          <w:rFonts w:cstheme="minorBidi"/>
                        </w:rPr>
                        <w:t xml:space="preserve">Submit invoices to ADOT Finance and Contract Administration. </w:t>
                      </w:r>
                      <w:hyperlink r:id="rId392" w:history="1">
                        <w:r w:rsidRPr="00020D20">
                          <w:rPr>
                            <w:rStyle w:val="TitleChar"/>
                            <w:sz w:val="16"/>
                          </w:rPr>
                          <w:t>mpdinvoice@azdot.gov</w:t>
                        </w:r>
                      </w:hyperlink>
                    </w:p>
                    <w:p w14:paraId="79C3AAD7" w14:textId="3BFFDDE5" w:rsidR="00C6444C" w:rsidRPr="00394A74" w:rsidRDefault="00C6444C" w:rsidP="00020D20">
                      <w:pPr>
                        <w:pStyle w:val="Calloutboxes"/>
                      </w:pPr>
                      <w:r w:rsidRPr="00977A9B">
                        <w:t xml:space="preserve">You will receive an automatic reply from ADOT confirming the email has been received. </w:t>
                      </w:r>
                    </w:p>
                  </w:txbxContent>
                </v:textbox>
                <w10:wrap type="tight" anchorx="margin"/>
              </v:shape>
            </w:pict>
          </mc:Fallback>
        </mc:AlternateContent>
      </w:r>
      <w:r w:rsidR="004A08C2" w:rsidRPr="004A08C2">
        <w:t>COGs work with the ADOT regional planner, ADOT district staff, and the TAC to prioritize and recommend improvements to roadways on the state highway system to be considered for inclusion in the ADOT Five-Year Transportation Facilities Construction Program. All recommendations that result in the prioritized project listing from the COG must be recommended by the TAC and approved by the regional council before they are submitted to ADOT.</w:t>
      </w:r>
    </w:p>
    <w:p w14:paraId="626294B4" w14:textId="1E8E2F69" w:rsidR="004A08C2" w:rsidRPr="004A08C2" w:rsidRDefault="004A08C2" w:rsidP="00020D20">
      <w:pPr>
        <w:pStyle w:val="Heading3"/>
        <w:jc w:val="both"/>
      </w:pPr>
      <w:bookmarkStart w:id="218" w:name="_Ref50029704"/>
      <w:r w:rsidRPr="004A08C2">
        <w:t xml:space="preserve">5.8.10 | </w:t>
      </w:r>
      <w:r w:rsidR="00DD565A">
        <w:t xml:space="preserve">Surface </w:t>
      </w:r>
      <w:r w:rsidRPr="004A08C2">
        <w:t>Transportation</w:t>
      </w:r>
      <w:r w:rsidR="00DD565A">
        <w:t xml:space="preserve"> Block Grant</w:t>
      </w:r>
      <w:r w:rsidRPr="004A08C2">
        <w:t xml:space="preserve"> </w:t>
      </w:r>
      <w:r w:rsidR="0033578B">
        <w:t xml:space="preserve">(STBG) </w:t>
      </w:r>
      <w:r w:rsidRPr="004A08C2">
        <w:t>Program</w:t>
      </w:r>
      <w:bookmarkEnd w:id="218"/>
    </w:p>
    <w:p w14:paraId="0AFA9DC7" w14:textId="483D7F52" w:rsidR="004A08C2" w:rsidRPr="004A08C2" w:rsidRDefault="004A08C2" w:rsidP="00020D20">
      <w:pPr>
        <w:jc w:val="both"/>
      </w:pPr>
      <w:r w:rsidRPr="00F4276A">
        <w:t>T</w:t>
      </w:r>
      <w:r w:rsidR="00DD565A" w:rsidRPr="00F4276A">
        <w:t xml:space="preserve">he FAST Act eliminates the </w:t>
      </w:r>
      <w:r w:rsidRPr="00F4276A">
        <w:t xml:space="preserve">MAP-21 </w:t>
      </w:r>
      <w:r w:rsidR="00DD565A" w:rsidRPr="00F4276A">
        <w:t xml:space="preserve">Transportation Alternatives Program (TAP) </w:t>
      </w:r>
      <w:r w:rsidRPr="00F4276A">
        <w:t xml:space="preserve">and replaces </w:t>
      </w:r>
      <w:r w:rsidR="00DD565A" w:rsidRPr="00F4276A">
        <w:t xml:space="preserve">it with a set-aside of Surface Transportation Block Grant </w:t>
      </w:r>
      <w:r w:rsidR="007A1665" w:rsidRPr="00F4276A">
        <w:t xml:space="preserve">Program </w:t>
      </w:r>
      <w:r w:rsidR="00DD565A" w:rsidRPr="00F4276A">
        <w:t>(STBG</w:t>
      </w:r>
      <w:r w:rsidR="007A1665" w:rsidRPr="00F4276A">
        <w:t>P</w:t>
      </w:r>
      <w:r w:rsidR="00DD565A" w:rsidRPr="00F4276A">
        <w:t>) funding for transportation alternatives (TA).</w:t>
      </w:r>
      <w:r w:rsidRPr="004A08C2">
        <w:rPr>
          <w:b/>
        </w:rPr>
        <w:t xml:space="preserve"> </w:t>
      </w:r>
      <w:r w:rsidR="00DD565A" w:rsidRPr="00DD565A">
        <w:t>These set-aside funds include all projects and activities that were previously eligible under TAP, encompassing a variety of smaller-scale transportation projects such as pedestrian and bicycle facilities, recreational trails, safe routes to school projects, community improvements such as historic preservation and vegetation management, and environmental mitigation related to stormwater and habitat connectivity.</w:t>
      </w:r>
    </w:p>
    <w:p w14:paraId="4B839FDA" w14:textId="7A4A45E0" w:rsidR="004A08C2" w:rsidRPr="004A08C2" w:rsidRDefault="004A08C2" w:rsidP="00020D20">
      <w:pPr>
        <w:pStyle w:val="Heading3"/>
        <w:jc w:val="both"/>
      </w:pPr>
      <w:r w:rsidRPr="004A08C2">
        <w:t>5.8.11 | Public Transportation/Transit</w:t>
      </w:r>
    </w:p>
    <w:p w14:paraId="13984FC1" w14:textId="2E963FC2" w:rsidR="004A08C2" w:rsidRPr="004A08C2" w:rsidRDefault="004A08C2" w:rsidP="00020D20">
      <w:pPr>
        <w:jc w:val="both"/>
      </w:pPr>
      <w:r w:rsidRPr="004A08C2">
        <w:t>The WP defines extensive COG staff responsibilities relating to transit requirements, reporting, and facilitation. Chapter 14 in this manual describes the transit programs and processes.</w:t>
      </w:r>
    </w:p>
    <w:p w14:paraId="5538659F" w14:textId="7B9C42A3" w:rsidR="004A08C2" w:rsidRPr="005A291A" w:rsidRDefault="004A08C2">
      <w:pPr>
        <w:pStyle w:val="Heading2"/>
      </w:pPr>
      <w:bookmarkStart w:id="219" w:name="_Ref50029709"/>
      <w:r w:rsidRPr="004A08C2">
        <w:t>5.9 | INVOICING</w:t>
      </w:r>
      <w:bookmarkEnd w:id="219"/>
    </w:p>
    <w:p w14:paraId="5DAD19E2" w14:textId="43DAA89F" w:rsidR="00C60EEA" w:rsidRPr="0051438A" w:rsidRDefault="004A08C2" w:rsidP="00020D20">
      <w:pPr>
        <w:pStyle w:val="Heading3"/>
        <w:jc w:val="both"/>
      </w:pPr>
      <w:bookmarkStart w:id="220" w:name="_Ref50029711"/>
      <w:r w:rsidRPr="004A08C2">
        <w:t>5.9.1 | Submitting Invoices</w:t>
      </w:r>
      <w:bookmarkEnd w:id="220"/>
    </w:p>
    <w:p w14:paraId="3740F25D" w14:textId="70068226" w:rsidR="005A291A" w:rsidRDefault="00FA7F5B" w:rsidP="00020D20">
      <w:pPr>
        <w:jc w:val="both"/>
      </w:pPr>
      <w:r>
        <w:rPr>
          <w:rFonts w:cstheme="minorHAnsi"/>
          <w:noProof/>
        </w:rPr>
        <mc:AlternateContent>
          <mc:Choice Requires="wps">
            <w:drawing>
              <wp:anchor distT="0" distB="0" distL="114300" distR="114300" simplePos="0" relativeHeight="251618526" behindDoc="1" locked="0" layoutInCell="1" allowOverlap="1" wp14:anchorId="7B500415" wp14:editId="7401CF38">
                <wp:simplePos x="0" y="0"/>
                <wp:positionH relativeFrom="column">
                  <wp:posOffset>1294130</wp:posOffset>
                </wp:positionH>
                <wp:positionV relativeFrom="paragraph">
                  <wp:posOffset>948055</wp:posOffset>
                </wp:positionV>
                <wp:extent cx="1706245" cy="3886200"/>
                <wp:effectExtent l="95250" t="114300" r="103505" b="114300"/>
                <wp:wrapTight wrapText="bothSides">
                  <wp:wrapPolygon edited="0">
                    <wp:start x="-965" y="-635"/>
                    <wp:lineTo x="-1206" y="21494"/>
                    <wp:lineTo x="-723" y="22129"/>
                    <wp:lineTo x="22187" y="22129"/>
                    <wp:lineTo x="22669" y="21600"/>
                    <wp:lineTo x="22428" y="-635"/>
                    <wp:lineTo x="-965" y="-635"/>
                  </wp:wrapPolygon>
                </wp:wrapTight>
                <wp:docPr id="1690911468" name="Text Box 1690911468"/>
                <wp:cNvGraphicFramePr/>
                <a:graphic xmlns:a="http://schemas.openxmlformats.org/drawingml/2006/main">
                  <a:graphicData uri="http://schemas.microsoft.com/office/word/2010/wordprocessingShape">
                    <wps:wsp>
                      <wps:cNvSpPr txBox="1"/>
                      <wps:spPr>
                        <a:xfrm>
                          <a:off x="0" y="0"/>
                          <a:ext cx="1706245" cy="38862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9E937CC" w14:textId="77777777" w:rsidR="00C6444C" w:rsidRDefault="00C6444C" w:rsidP="00020D20">
                            <w:pPr>
                              <w:jc w:val="center"/>
                            </w:pPr>
                            <w:r>
                              <w:rPr>
                                <w:noProof/>
                              </w:rPr>
                              <w:drawing>
                                <wp:inline distT="0" distB="0" distL="0" distR="0" wp14:anchorId="7FAE1C49" wp14:editId="558017DA">
                                  <wp:extent cx="457200" cy="457200"/>
                                  <wp:effectExtent l="0" t="0" r="0" b="0"/>
                                  <wp:docPr id="1690912954" name="Picture 16909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30E6BBE" w14:textId="2CFFAA39" w:rsidR="00C6444C" w:rsidRPr="00957CC4" w:rsidRDefault="00C6444C" w:rsidP="00020D20">
                            <w:pPr>
                              <w:pStyle w:val="Calloutboxes"/>
                            </w:pPr>
                            <w:r w:rsidRPr="00957CC4">
                              <w:t>At a minimum, invoices must include the following nine items:</w:t>
                            </w:r>
                          </w:p>
                          <w:tbl>
                            <w:tblPr>
                              <w:tblW w:w="0" w:type="auto"/>
                              <w:tblLook w:val="04A0" w:firstRow="1" w:lastRow="0" w:firstColumn="1" w:lastColumn="0" w:noHBand="0" w:noVBand="1"/>
                            </w:tblPr>
                            <w:tblGrid>
                              <w:gridCol w:w="442"/>
                              <w:gridCol w:w="1947"/>
                            </w:tblGrid>
                            <w:tr w:rsidR="00C6444C" w:rsidRPr="009B18C1" w14:paraId="77402352" w14:textId="77777777" w:rsidTr="00020D20">
                              <w:trPr>
                                <w:trHeight w:val="273"/>
                              </w:trPr>
                              <w:tc>
                                <w:tcPr>
                                  <w:tcW w:w="457" w:type="dxa"/>
                                  <w:vAlign w:val="center"/>
                                </w:tcPr>
                                <w:p w14:paraId="1B4841AD" w14:textId="77777777" w:rsidR="00C6444C" w:rsidRPr="009B18C1" w:rsidRDefault="00C6444C">
                                  <w:pPr>
                                    <w:pStyle w:val="Calloutboxes"/>
                                  </w:pPr>
                                  <w:r w:rsidRPr="00957CC4">
                                    <w:rPr>
                                      <w:noProof/>
                                    </w:rPr>
                                    <w:drawing>
                                      <wp:inline distT="0" distB="0" distL="0" distR="0" wp14:anchorId="2E1FDF70" wp14:editId="17CB8BFB">
                                        <wp:extent cx="91440" cy="91440"/>
                                        <wp:effectExtent l="0" t="0" r="3810" b="3810"/>
                                        <wp:docPr id="1690912955" name="Picture 169091295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E0C41AB" w14:textId="4859FB40" w:rsidR="00C6444C" w:rsidRPr="009B18C1" w:rsidRDefault="00C6444C" w:rsidP="00020D20">
                                  <w:pPr>
                                    <w:pStyle w:val="Calloutboxes"/>
                                    <w:jc w:val="left"/>
                                  </w:pPr>
                                  <w:r w:rsidRPr="009B18C1">
                                    <w:t>Authorized amount by fund</w:t>
                                  </w:r>
                                </w:p>
                              </w:tc>
                            </w:tr>
                            <w:tr w:rsidR="00C6444C" w:rsidRPr="009B18C1" w14:paraId="51526FCE" w14:textId="77777777" w:rsidTr="00020D20">
                              <w:trPr>
                                <w:trHeight w:val="290"/>
                              </w:trPr>
                              <w:tc>
                                <w:tcPr>
                                  <w:tcW w:w="457" w:type="dxa"/>
                                  <w:vAlign w:val="center"/>
                                </w:tcPr>
                                <w:p w14:paraId="7297F7B3" w14:textId="77777777" w:rsidR="00C6444C" w:rsidRPr="009B18C1" w:rsidRDefault="00C6444C">
                                  <w:pPr>
                                    <w:pStyle w:val="Calloutboxes"/>
                                  </w:pPr>
                                  <w:r w:rsidRPr="00957CC4">
                                    <w:rPr>
                                      <w:noProof/>
                                    </w:rPr>
                                    <w:drawing>
                                      <wp:inline distT="0" distB="0" distL="0" distR="0" wp14:anchorId="76C5C9D0" wp14:editId="1CDC2228">
                                        <wp:extent cx="91440" cy="91440"/>
                                        <wp:effectExtent l="0" t="0" r="3810" b="3810"/>
                                        <wp:docPr id="1690912956" name="Picture 169091295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4B06720E" w14:textId="4AEE6F6B" w:rsidR="00C6444C" w:rsidRPr="009B18C1" w:rsidRDefault="00C6444C" w:rsidP="00020D20">
                                  <w:pPr>
                                    <w:pStyle w:val="Calloutboxes"/>
                                    <w:jc w:val="left"/>
                                  </w:pPr>
                                  <w:r w:rsidRPr="009B18C1">
                                    <w:t>Total expenditures</w:t>
                                  </w:r>
                                </w:p>
                              </w:tc>
                            </w:tr>
                            <w:tr w:rsidR="00C6444C" w:rsidRPr="009B18C1" w14:paraId="37D82754" w14:textId="77777777" w:rsidTr="00020D20">
                              <w:trPr>
                                <w:trHeight w:val="290"/>
                              </w:trPr>
                              <w:tc>
                                <w:tcPr>
                                  <w:tcW w:w="457" w:type="dxa"/>
                                  <w:vAlign w:val="center"/>
                                </w:tcPr>
                                <w:p w14:paraId="6298212D" w14:textId="77777777" w:rsidR="00C6444C" w:rsidRPr="009B18C1" w:rsidRDefault="00C6444C">
                                  <w:pPr>
                                    <w:pStyle w:val="Calloutboxes"/>
                                  </w:pPr>
                                  <w:r w:rsidRPr="00957CC4">
                                    <w:rPr>
                                      <w:noProof/>
                                    </w:rPr>
                                    <w:drawing>
                                      <wp:inline distT="0" distB="0" distL="0" distR="0" wp14:anchorId="44171A18" wp14:editId="4550E216">
                                        <wp:extent cx="91440" cy="91440"/>
                                        <wp:effectExtent l="0" t="0" r="3810" b="3810"/>
                                        <wp:docPr id="1690912957" name="Picture 169091295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013DB868" w14:textId="2BFE9D72" w:rsidR="00C6444C" w:rsidRPr="009B18C1" w:rsidRDefault="00C6444C" w:rsidP="00020D20">
                                  <w:pPr>
                                    <w:pStyle w:val="Calloutboxes"/>
                                    <w:jc w:val="left"/>
                                  </w:pPr>
                                  <w:r w:rsidRPr="009B18C1">
                                    <w:t>Total reimbursement for the current invoice</w:t>
                                  </w:r>
                                </w:p>
                              </w:tc>
                            </w:tr>
                            <w:tr w:rsidR="00C6444C" w:rsidRPr="009B18C1" w14:paraId="55A49E9A" w14:textId="77777777" w:rsidTr="00020D20">
                              <w:trPr>
                                <w:trHeight w:val="273"/>
                              </w:trPr>
                              <w:tc>
                                <w:tcPr>
                                  <w:tcW w:w="457" w:type="dxa"/>
                                  <w:vAlign w:val="center"/>
                                </w:tcPr>
                                <w:p w14:paraId="7A69882C" w14:textId="77777777" w:rsidR="00C6444C" w:rsidRPr="009B18C1" w:rsidRDefault="00C6444C">
                                  <w:pPr>
                                    <w:pStyle w:val="Calloutboxes"/>
                                  </w:pPr>
                                  <w:r w:rsidRPr="00957CC4">
                                    <w:rPr>
                                      <w:noProof/>
                                    </w:rPr>
                                    <w:drawing>
                                      <wp:inline distT="0" distB="0" distL="0" distR="0" wp14:anchorId="4AFE37E3" wp14:editId="15B2EDC3">
                                        <wp:extent cx="91440" cy="91440"/>
                                        <wp:effectExtent l="0" t="0" r="3810" b="3810"/>
                                        <wp:docPr id="1690912958" name="Picture 169091295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D99F04D" w14:textId="2BFE94E3" w:rsidR="00C6444C" w:rsidRPr="009B18C1" w:rsidRDefault="00C6444C" w:rsidP="00020D20">
                                  <w:pPr>
                                    <w:pStyle w:val="Calloutboxes"/>
                                    <w:jc w:val="left"/>
                                  </w:pPr>
                                  <w:r w:rsidRPr="009B18C1">
                                    <w:t>Percentage of project complete</w:t>
                                  </w:r>
                                </w:p>
                              </w:tc>
                            </w:tr>
                            <w:tr w:rsidR="00C6444C" w:rsidRPr="009B18C1" w14:paraId="053BBBDD" w14:textId="77777777" w:rsidTr="00020D20">
                              <w:trPr>
                                <w:trHeight w:val="290"/>
                              </w:trPr>
                              <w:tc>
                                <w:tcPr>
                                  <w:tcW w:w="457" w:type="dxa"/>
                                  <w:vAlign w:val="center"/>
                                </w:tcPr>
                                <w:p w14:paraId="2765519D" w14:textId="77777777" w:rsidR="00C6444C" w:rsidRPr="009B18C1" w:rsidRDefault="00C6444C">
                                  <w:pPr>
                                    <w:pStyle w:val="Calloutboxes"/>
                                  </w:pPr>
                                  <w:r w:rsidRPr="00957CC4">
                                    <w:rPr>
                                      <w:noProof/>
                                    </w:rPr>
                                    <w:drawing>
                                      <wp:inline distT="0" distB="0" distL="0" distR="0" wp14:anchorId="0C5813B5" wp14:editId="29F8AD45">
                                        <wp:extent cx="91440" cy="91440"/>
                                        <wp:effectExtent l="0" t="0" r="3810" b="3810"/>
                                        <wp:docPr id="1690912959" name="Picture 169091295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74F8BB70" w14:textId="6EFE14AE" w:rsidR="00C6444C" w:rsidRPr="009B18C1" w:rsidRDefault="00C6444C" w:rsidP="00020D20">
                                  <w:pPr>
                                    <w:pStyle w:val="Calloutboxes"/>
                                    <w:jc w:val="left"/>
                                  </w:pPr>
                                  <w:r w:rsidRPr="009B18C1">
                                    <w:t>Funds remaining in project</w:t>
                                  </w:r>
                                </w:p>
                              </w:tc>
                            </w:tr>
                            <w:tr w:rsidR="00C6444C" w:rsidRPr="009B18C1" w14:paraId="07BA8DCE" w14:textId="77777777" w:rsidTr="00C941A7">
                              <w:trPr>
                                <w:trHeight w:val="290"/>
                              </w:trPr>
                              <w:tc>
                                <w:tcPr>
                                  <w:tcW w:w="457" w:type="dxa"/>
                                  <w:vAlign w:val="center"/>
                                </w:tcPr>
                                <w:p w14:paraId="5FA2D0A5" w14:textId="77777777" w:rsidR="00C6444C" w:rsidRPr="00020D20" w:rsidRDefault="00C6444C" w:rsidP="00020D20">
                                  <w:pPr>
                                    <w:pStyle w:val="Calloutboxes"/>
                                  </w:pPr>
                                  <w:r w:rsidRPr="00957CC4">
                                    <w:rPr>
                                      <w:noProof/>
                                    </w:rPr>
                                    <w:drawing>
                                      <wp:inline distT="0" distB="0" distL="0" distR="0" wp14:anchorId="441BF17B" wp14:editId="7F0BC51C">
                                        <wp:extent cx="91440" cy="91440"/>
                                        <wp:effectExtent l="0" t="0" r="3810" b="3810"/>
                                        <wp:docPr id="1690911407" name="Picture 169091140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042B2F19" w14:textId="361DD24F" w:rsidR="00C6444C" w:rsidRPr="009B18C1" w:rsidRDefault="00C6444C">
                                  <w:pPr>
                                    <w:pStyle w:val="Calloutboxes"/>
                                    <w:jc w:val="left"/>
                                  </w:pPr>
                                  <w:r w:rsidRPr="009B18C1">
                                    <w:t>Breakdown of expenditures by UPWP task</w:t>
                                  </w:r>
                                </w:p>
                              </w:tc>
                            </w:tr>
                            <w:tr w:rsidR="00C6444C" w:rsidRPr="009B18C1" w14:paraId="68D105B2" w14:textId="77777777" w:rsidTr="00C941A7">
                              <w:trPr>
                                <w:trHeight w:val="290"/>
                              </w:trPr>
                              <w:tc>
                                <w:tcPr>
                                  <w:tcW w:w="457" w:type="dxa"/>
                                  <w:vAlign w:val="center"/>
                                </w:tcPr>
                                <w:p w14:paraId="1ADEC266" w14:textId="77777777" w:rsidR="00C6444C" w:rsidRPr="00020D20" w:rsidRDefault="00C6444C" w:rsidP="00020D20">
                                  <w:pPr>
                                    <w:pStyle w:val="Calloutboxes"/>
                                  </w:pPr>
                                  <w:r w:rsidRPr="00957CC4">
                                    <w:rPr>
                                      <w:noProof/>
                                    </w:rPr>
                                    <w:drawing>
                                      <wp:inline distT="0" distB="0" distL="0" distR="0" wp14:anchorId="0195C3AE" wp14:editId="69808B1A">
                                        <wp:extent cx="91440" cy="91440"/>
                                        <wp:effectExtent l="0" t="0" r="3810" b="3810"/>
                                        <wp:docPr id="1690911416" name="Picture 169091141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ED47D1F" w14:textId="502528F6" w:rsidR="00C6444C" w:rsidRPr="009B18C1" w:rsidRDefault="00C6444C">
                                  <w:pPr>
                                    <w:pStyle w:val="Calloutboxes"/>
                                    <w:jc w:val="left"/>
                                  </w:pPr>
                                  <w:r w:rsidRPr="009B18C1">
                                    <w:t>Progress reports</w:t>
                                  </w:r>
                                </w:p>
                              </w:tc>
                            </w:tr>
                            <w:tr w:rsidR="00C6444C" w:rsidRPr="009B18C1" w14:paraId="1050A7FC" w14:textId="77777777" w:rsidTr="00C941A7">
                              <w:trPr>
                                <w:trHeight w:val="290"/>
                              </w:trPr>
                              <w:tc>
                                <w:tcPr>
                                  <w:tcW w:w="457" w:type="dxa"/>
                                  <w:vAlign w:val="center"/>
                                </w:tcPr>
                                <w:p w14:paraId="35D46C2F" w14:textId="77777777" w:rsidR="00C6444C" w:rsidRPr="00020D20" w:rsidRDefault="00C6444C" w:rsidP="00020D20">
                                  <w:pPr>
                                    <w:pStyle w:val="Calloutboxes"/>
                                  </w:pPr>
                                  <w:r w:rsidRPr="00957CC4">
                                    <w:rPr>
                                      <w:noProof/>
                                    </w:rPr>
                                    <w:drawing>
                                      <wp:inline distT="0" distB="0" distL="0" distR="0" wp14:anchorId="03655AB0" wp14:editId="6254C2A4">
                                        <wp:extent cx="91440" cy="91440"/>
                                        <wp:effectExtent l="0" t="0" r="3810" b="3810"/>
                                        <wp:docPr id="1690911427" name="Picture 169091142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1471DD8" w14:textId="6A2F6373" w:rsidR="00C6444C" w:rsidRPr="009B18C1" w:rsidRDefault="00C6444C">
                                  <w:pPr>
                                    <w:pStyle w:val="Calloutboxes"/>
                                    <w:jc w:val="left"/>
                                  </w:pPr>
                                  <w:r w:rsidRPr="009B18C1">
                                    <w:t>The period of time covered by the invoice</w:t>
                                  </w:r>
                                </w:p>
                              </w:tc>
                            </w:tr>
                            <w:tr w:rsidR="00C6444C" w:rsidRPr="009B18C1" w14:paraId="6C21D59B" w14:textId="77777777" w:rsidTr="00C941A7">
                              <w:trPr>
                                <w:trHeight w:val="290"/>
                              </w:trPr>
                              <w:tc>
                                <w:tcPr>
                                  <w:tcW w:w="457" w:type="dxa"/>
                                  <w:vAlign w:val="center"/>
                                </w:tcPr>
                                <w:p w14:paraId="01493116" w14:textId="77777777" w:rsidR="00C6444C" w:rsidRPr="00020D20" w:rsidRDefault="00C6444C" w:rsidP="00020D20">
                                  <w:pPr>
                                    <w:pStyle w:val="Calloutboxes"/>
                                  </w:pPr>
                                  <w:r w:rsidRPr="00957CC4">
                                    <w:rPr>
                                      <w:noProof/>
                                    </w:rPr>
                                    <w:drawing>
                                      <wp:inline distT="0" distB="0" distL="0" distR="0" wp14:anchorId="68BBE9F6" wp14:editId="0C0B8126">
                                        <wp:extent cx="91440" cy="91440"/>
                                        <wp:effectExtent l="0" t="0" r="3810" b="3810"/>
                                        <wp:docPr id="1690911429" name="Picture 169091142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FECD7DB" w14:textId="1DDB6545" w:rsidR="00C6444C" w:rsidRPr="009B18C1" w:rsidRDefault="00C6444C">
                                  <w:pPr>
                                    <w:pStyle w:val="Calloutboxes"/>
                                    <w:jc w:val="left"/>
                                  </w:pPr>
                                  <w:r w:rsidRPr="009B18C1">
                                    <w:t>Federal-aid project number</w:t>
                                  </w:r>
                                </w:p>
                              </w:tc>
                            </w:tr>
                            <w:tr w:rsidR="00C6444C" w:rsidRPr="009B18C1" w14:paraId="17C9F7CA" w14:textId="77777777" w:rsidTr="00C941A7">
                              <w:trPr>
                                <w:trHeight w:val="290"/>
                              </w:trPr>
                              <w:tc>
                                <w:tcPr>
                                  <w:tcW w:w="457" w:type="dxa"/>
                                  <w:vAlign w:val="center"/>
                                </w:tcPr>
                                <w:p w14:paraId="690C9A03" w14:textId="77777777" w:rsidR="00C6444C" w:rsidRPr="00020D20" w:rsidRDefault="00C6444C" w:rsidP="00020D20">
                                  <w:pPr>
                                    <w:pStyle w:val="Calloutboxes"/>
                                  </w:pPr>
                                  <w:r w:rsidRPr="00957CC4">
                                    <w:rPr>
                                      <w:noProof/>
                                    </w:rPr>
                                    <w:drawing>
                                      <wp:inline distT="0" distB="0" distL="0" distR="0" wp14:anchorId="30664F2B" wp14:editId="5FF7FF95">
                                        <wp:extent cx="91440" cy="91440"/>
                                        <wp:effectExtent l="0" t="0" r="3810" b="3810"/>
                                        <wp:docPr id="1690911431" name="Picture 169091143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237D44ED" w14:textId="6412F31C" w:rsidR="00C6444C" w:rsidRPr="009B18C1" w:rsidRDefault="00C6444C">
                                  <w:pPr>
                                    <w:pStyle w:val="Calloutboxes"/>
                                    <w:jc w:val="left"/>
                                  </w:pPr>
                                  <w:r w:rsidRPr="009B18C1">
                                    <w:t>Receipts for eligible expenses</w:t>
                                  </w:r>
                                </w:p>
                              </w:tc>
                            </w:tr>
                            <w:tr w:rsidR="00C6444C" w:rsidRPr="009B18C1" w14:paraId="34E9BE86" w14:textId="77777777" w:rsidTr="00C941A7">
                              <w:trPr>
                                <w:trHeight w:val="290"/>
                              </w:trPr>
                              <w:tc>
                                <w:tcPr>
                                  <w:tcW w:w="457" w:type="dxa"/>
                                  <w:vAlign w:val="center"/>
                                </w:tcPr>
                                <w:p w14:paraId="3A33C2FF" w14:textId="77777777" w:rsidR="00C6444C" w:rsidRPr="00020D20" w:rsidRDefault="00C6444C" w:rsidP="00020D20">
                                  <w:pPr>
                                    <w:pStyle w:val="Calloutboxes"/>
                                  </w:pPr>
                                  <w:r w:rsidRPr="00957CC4">
                                    <w:rPr>
                                      <w:noProof/>
                                    </w:rPr>
                                    <w:drawing>
                                      <wp:inline distT="0" distB="0" distL="0" distR="0" wp14:anchorId="4814E499" wp14:editId="6492A9E1">
                                        <wp:extent cx="91440" cy="91440"/>
                                        <wp:effectExtent l="0" t="0" r="3810" b="3810"/>
                                        <wp:docPr id="1690911433" name="Picture 169091143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ECC7678" w14:textId="242FAFC0" w:rsidR="00C6444C" w:rsidRPr="009B18C1" w:rsidRDefault="00C6444C">
                                  <w:pPr>
                                    <w:pStyle w:val="Calloutboxes"/>
                                    <w:jc w:val="left"/>
                                  </w:pPr>
                                  <w:r w:rsidRPr="009B18C1">
                                    <w:t>In-kind worksheet</w:t>
                                  </w:r>
                                </w:p>
                              </w:tc>
                            </w:tr>
                            <w:tr w:rsidR="00C6444C" w:rsidRPr="009B18C1" w14:paraId="61CE3CAB" w14:textId="77777777" w:rsidTr="00C941A7">
                              <w:trPr>
                                <w:trHeight w:val="290"/>
                              </w:trPr>
                              <w:tc>
                                <w:tcPr>
                                  <w:tcW w:w="457" w:type="dxa"/>
                                  <w:vAlign w:val="center"/>
                                </w:tcPr>
                                <w:p w14:paraId="063EE7EF" w14:textId="77777777" w:rsidR="00C6444C" w:rsidRPr="00020D20" w:rsidRDefault="00C6444C" w:rsidP="00020D20">
                                  <w:pPr>
                                    <w:pStyle w:val="Calloutboxes"/>
                                  </w:pPr>
                                  <w:r w:rsidRPr="00957CC4">
                                    <w:rPr>
                                      <w:noProof/>
                                    </w:rPr>
                                    <w:drawing>
                                      <wp:inline distT="0" distB="0" distL="0" distR="0" wp14:anchorId="698C16F2" wp14:editId="3E592592">
                                        <wp:extent cx="91440" cy="91440"/>
                                        <wp:effectExtent l="0" t="0" r="3810" b="3810"/>
                                        <wp:docPr id="1690911434" name="Picture 169091143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65479B7" w14:textId="37600991" w:rsidR="00C6444C" w:rsidRPr="009B18C1" w:rsidRDefault="00C6444C">
                                  <w:pPr>
                                    <w:pStyle w:val="Calloutboxes"/>
                                    <w:jc w:val="left"/>
                                  </w:pPr>
                                  <w:r w:rsidRPr="009B18C1">
                                    <w:t>Detailed expense ledger</w:t>
                                  </w:r>
                                </w:p>
                              </w:tc>
                            </w:tr>
                          </w:tbl>
                          <w:p w14:paraId="3FFA4822" w14:textId="77777777" w:rsidR="00C6444C" w:rsidRPr="00C6412C"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500415" id="Text Box 1690911468" o:spid="_x0000_s1131" type="#_x0000_t202" style="position:absolute;left:0;text-align:left;margin-left:101.9pt;margin-top:74.65pt;width:134.35pt;height:306pt;z-index:-251697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" fillcolor="#f7f7f7" stroked="f" strokeweight=".5pt">
                <v:shadow on="t" type="perspective" color="black" opacity="26214f" offset="0,0" matrix="66847f,,,66847f"/>
                <v:textbox>
                  <w:txbxContent>
                    <w:p w14:paraId="39E937CC" w14:textId="77777777" w:rsidR="00C6444C" w:rsidRDefault="00C6444C" w:rsidP="00020D20">
                      <w:pPr>
                        <w:jc w:val="center"/>
                      </w:pPr>
                      <w:r>
                        <w:rPr>
                          <w:noProof/>
                        </w:rPr>
                        <w:drawing>
                          <wp:inline distT="0" distB="0" distL="0" distR="0" wp14:anchorId="7FAE1C49" wp14:editId="558017DA">
                            <wp:extent cx="457200" cy="457200"/>
                            <wp:effectExtent l="0" t="0" r="0" b="0"/>
                            <wp:docPr id="1690912954" name="Picture 16909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30E6BBE" w14:textId="2CFFAA39" w:rsidR="00C6444C" w:rsidRPr="00957CC4" w:rsidRDefault="00C6444C" w:rsidP="00020D20">
                      <w:pPr>
                        <w:pStyle w:val="Calloutboxes"/>
                      </w:pPr>
                      <w:r w:rsidRPr="00957CC4">
                        <w:t>At a minimum, invoices must include the following nine items:</w:t>
                      </w:r>
                    </w:p>
                    <w:tbl>
                      <w:tblPr>
                        <w:tblW w:w="0" w:type="auto"/>
                        <w:tblLook w:val="04A0" w:firstRow="1" w:lastRow="0" w:firstColumn="1" w:lastColumn="0" w:noHBand="0" w:noVBand="1"/>
                      </w:tblPr>
                      <w:tblGrid>
                        <w:gridCol w:w="442"/>
                        <w:gridCol w:w="1947"/>
                      </w:tblGrid>
                      <w:tr w:rsidR="00C6444C" w:rsidRPr="009B18C1" w14:paraId="77402352" w14:textId="77777777" w:rsidTr="00020D20">
                        <w:trPr>
                          <w:trHeight w:val="273"/>
                        </w:trPr>
                        <w:tc>
                          <w:tcPr>
                            <w:tcW w:w="457" w:type="dxa"/>
                            <w:vAlign w:val="center"/>
                          </w:tcPr>
                          <w:p w14:paraId="1B4841AD" w14:textId="77777777" w:rsidR="00C6444C" w:rsidRPr="009B18C1" w:rsidRDefault="00C6444C">
                            <w:pPr>
                              <w:pStyle w:val="Calloutboxes"/>
                            </w:pPr>
                            <w:r w:rsidRPr="00957CC4">
                              <w:rPr>
                                <w:noProof/>
                              </w:rPr>
                              <w:drawing>
                                <wp:inline distT="0" distB="0" distL="0" distR="0" wp14:anchorId="2E1FDF70" wp14:editId="17CB8BFB">
                                  <wp:extent cx="91440" cy="91440"/>
                                  <wp:effectExtent l="0" t="0" r="3810" b="3810"/>
                                  <wp:docPr id="1690912955" name="Picture 169091295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E0C41AB" w14:textId="4859FB40" w:rsidR="00C6444C" w:rsidRPr="009B18C1" w:rsidRDefault="00C6444C" w:rsidP="00020D20">
                            <w:pPr>
                              <w:pStyle w:val="Calloutboxes"/>
                              <w:jc w:val="left"/>
                            </w:pPr>
                            <w:r w:rsidRPr="009B18C1">
                              <w:t>Authorized amount by fund</w:t>
                            </w:r>
                          </w:p>
                        </w:tc>
                      </w:tr>
                      <w:tr w:rsidR="00C6444C" w:rsidRPr="009B18C1" w14:paraId="51526FCE" w14:textId="77777777" w:rsidTr="00020D20">
                        <w:trPr>
                          <w:trHeight w:val="290"/>
                        </w:trPr>
                        <w:tc>
                          <w:tcPr>
                            <w:tcW w:w="457" w:type="dxa"/>
                            <w:vAlign w:val="center"/>
                          </w:tcPr>
                          <w:p w14:paraId="7297F7B3" w14:textId="77777777" w:rsidR="00C6444C" w:rsidRPr="009B18C1" w:rsidRDefault="00C6444C">
                            <w:pPr>
                              <w:pStyle w:val="Calloutboxes"/>
                            </w:pPr>
                            <w:r w:rsidRPr="00957CC4">
                              <w:rPr>
                                <w:noProof/>
                              </w:rPr>
                              <w:drawing>
                                <wp:inline distT="0" distB="0" distL="0" distR="0" wp14:anchorId="76C5C9D0" wp14:editId="1CDC2228">
                                  <wp:extent cx="91440" cy="91440"/>
                                  <wp:effectExtent l="0" t="0" r="3810" b="3810"/>
                                  <wp:docPr id="1690912956" name="Picture 169091295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4B06720E" w14:textId="4AEE6F6B" w:rsidR="00C6444C" w:rsidRPr="009B18C1" w:rsidRDefault="00C6444C" w:rsidP="00020D20">
                            <w:pPr>
                              <w:pStyle w:val="Calloutboxes"/>
                              <w:jc w:val="left"/>
                            </w:pPr>
                            <w:r w:rsidRPr="009B18C1">
                              <w:t>Total expenditures</w:t>
                            </w:r>
                          </w:p>
                        </w:tc>
                      </w:tr>
                      <w:tr w:rsidR="00C6444C" w:rsidRPr="009B18C1" w14:paraId="37D82754" w14:textId="77777777" w:rsidTr="00020D20">
                        <w:trPr>
                          <w:trHeight w:val="290"/>
                        </w:trPr>
                        <w:tc>
                          <w:tcPr>
                            <w:tcW w:w="457" w:type="dxa"/>
                            <w:vAlign w:val="center"/>
                          </w:tcPr>
                          <w:p w14:paraId="6298212D" w14:textId="77777777" w:rsidR="00C6444C" w:rsidRPr="009B18C1" w:rsidRDefault="00C6444C">
                            <w:pPr>
                              <w:pStyle w:val="Calloutboxes"/>
                            </w:pPr>
                            <w:r w:rsidRPr="00957CC4">
                              <w:rPr>
                                <w:noProof/>
                              </w:rPr>
                              <w:drawing>
                                <wp:inline distT="0" distB="0" distL="0" distR="0" wp14:anchorId="44171A18" wp14:editId="4550E216">
                                  <wp:extent cx="91440" cy="91440"/>
                                  <wp:effectExtent l="0" t="0" r="3810" b="3810"/>
                                  <wp:docPr id="1690912957" name="Picture 169091295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013DB868" w14:textId="2BFE9D72" w:rsidR="00C6444C" w:rsidRPr="009B18C1" w:rsidRDefault="00C6444C" w:rsidP="00020D20">
                            <w:pPr>
                              <w:pStyle w:val="Calloutboxes"/>
                              <w:jc w:val="left"/>
                            </w:pPr>
                            <w:r w:rsidRPr="009B18C1">
                              <w:t>Total reimbursement for the current invoice</w:t>
                            </w:r>
                          </w:p>
                        </w:tc>
                      </w:tr>
                      <w:tr w:rsidR="00C6444C" w:rsidRPr="009B18C1" w14:paraId="55A49E9A" w14:textId="77777777" w:rsidTr="00020D20">
                        <w:trPr>
                          <w:trHeight w:val="273"/>
                        </w:trPr>
                        <w:tc>
                          <w:tcPr>
                            <w:tcW w:w="457" w:type="dxa"/>
                            <w:vAlign w:val="center"/>
                          </w:tcPr>
                          <w:p w14:paraId="7A69882C" w14:textId="77777777" w:rsidR="00C6444C" w:rsidRPr="009B18C1" w:rsidRDefault="00C6444C">
                            <w:pPr>
                              <w:pStyle w:val="Calloutboxes"/>
                            </w:pPr>
                            <w:r w:rsidRPr="00957CC4">
                              <w:rPr>
                                <w:noProof/>
                              </w:rPr>
                              <w:drawing>
                                <wp:inline distT="0" distB="0" distL="0" distR="0" wp14:anchorId="4AFE37E3" wp14:editId="15B2EDC3">
                                  <wp:extent cx="91440" cy="91440"/>
                                  <wp:effectExtent l="0" t="0" r="3810" b="3810"/>
                                  <wp:docPr id="1690912958" name="Picture 169091295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D99F04D" w14:textId="2BFE94E3" w:rsidR="00C6444C" w:rsidRPr="009B18C1" w:rsidRDefault="00C6444C" w:rsidP="00020D20">
                            <w:pPr>
                              <w:pStyle w:val="Calloutboxes"/>
                              <w:jc w:val="left"/>
                            </w:pPr>
                            <w:r w:rsidRPr="009B18C1">
                              <w:t>Percentage of project complete</w:t>
                            </w:r>
                          </w:p>
                        </w:tc>
                      </w:tr>
                      <w:tr w:rsidR="00C6444C" w:rsidRPr="009B18C1" w14:paraId="053BBBDD" w14:textId="77777777" w:rsidTr="00020D20">
                        <w:trPr>
                          <w:trHeight w:val="290"/>
                        </w:trPr>
                        <w:tc>
                          <w:tcPr>
                            <w:tcW w:w="457" w:type="dxa"/>
                            <w:vAlign w:val="center"/>
                          </w:tcPr>
                          <w:p w14:paraId="2765519D" w14:textId="77777777" w:rsidR="00C6444C" w:rsidRPr="009B18C1" w:rsidRDefault="00C6444C">
                            <w:pPr>
                              <w:pStyle w:val="Calloutboxes"/>
                            </w:pPr>
                            <w:r w:rsidRPr="00957CC4">
                              <w:rPr>
                                <w:noProof/>
                              </w:rPr>
                              <w:drawing>
                                <wp:inline distT="0" distB="0" distL="0" distR="0" wp14:anchorId="0C5813B5" wp14:editId="29F8AD45">
                                  <wp:extent cx="91440" cy="91440"/>
                                  <wp:effectExtent l="0" t="0" r="3810" b="3810"/>
                                  <wp:docPr id="1690912959" name="Picture 169091295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74F8BB70" w14:textId="6EFE14AE" w:rsidR="00C6444C" w:rsidRPr="009B18C1" w:rsidRDefault="00C6444C" w:rsidP="00020D20">
                            <w:pPr>
                              <w:pStyle w:val="Calloutboxes"/>
                              <w:jc w:val="left"/>
                            </w:pPr>
                            <w:r w:rsidRPr="009B18C1">
                              <w:t>Funds remaining in project</w:t>
                            </w:r>
                          </w:p>
                        </w:tc>
                      </w:tr>
                      <w:tr w:rsidR="00C6444C" w:rsidRPr="009B18C1" w14:paraId="07BA8DCE" w14:textId="77777777" w:rsidTr="00C941A7">
                        <w:trPr>
                          <w:trHeight w:val="290"/>
                        </w:trPr>
                        <w:tc>
                          <w:tcPr>
                            <w:tcW w:w="457" w:type="dxa"/>
                            <w:vAlign w:val="center"/>
                          </w:tcPr>
                          <w:p w14:paraId="5FA2D0A5" w14:textId="77777777" w:rsidR="00C6444C" w:rsidRPr="00020D20" w:rsidRDefault="00C6444C" w:rsidP="00020D20">
                            <w:pPr>
                              <w:pStyle w:val="Calloutboxes"/>
                            </w:pPr>
                            <w:r w:rsidRPr="00957CC4">
                              <w:rPr>
                                <w:noProof/>
                              </w:rPr>
                              <w:drawing>
                                <wp:inline distT="0" distB="0" distL="0" distR="0" wp14:anchorId="441BF17B" wp14:editId="7F0BC51C">
                                  <wp:extent cx="91440" cy="91440"/>
                                  <wp:effectExtent l="0" t="0" r="3810" b="3810"/>
                                  <wp:docPr id="1690911407" name="Picture 169091140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042B2F19" w14:textId="361DD24F" w:rsidR="00C6444C" w:rsidRPr="009B18C1" w:rsidRDefault="00C6444C">
                            <w:pPr>
                              <w:pStyle w:val="Calloutboxes"/>
                              <w:jc w:val="left"/>
                            </w:pPr>
                            <w:r w:rsidRPr="009B18C1">
                              <w:t>Breakdown of expenditures by UPWP task</w:t>
                            </w:r>
                          </w:p>
                        </w:tc>
                      </w:tr>
                      <w:tr w:rsidR="00C6444C" w:rsidRPr="009B18C1" w14:paraId="68D105B2" w14:textId="77777777" w:rsidTr="00C941A7">
                        <w:trPr>
                          <w:trHeight w:val="290"/>
                        </w:trPr>
                        <w:tc>
                          <w:tcPr>
                            <w:tcW w:w="457" w:type="dxa"/>
                            <w:vAlign w:val="center"/>
                          </w:tcPr>
                          <w:p w14:paraId="1ADEC266" w14:textId="77777777" w:rsidR="00C6444C" w:rsidRPr="00020D20" w:rsidRDefault="00C6444C" w:rsidP="00020D20">
                            <w:pPr>
                              <w:pStyle w:val="Calloutboxes"/>
                            </w:pPr>
                            <w:r w:rsidRPr="00957CC4">
                              <w:rPr>
                                <w:noProof/>
                              </w:rPr>
                              <w:drawing>
                                <wp:inline distT="0" distB="0" distL="0" distR="0" wp14:anchorId="0195C3AE" wp14:editId="69808B1A">
                                  <wp:extent cx="91440" cy="91440"/>
                                  <wp:effectExtent l="0" t="0" r="3810" b="3810"/>
                                  <wp:docPr id="1690911416" name="Picture 1690911416"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ED47D1F" w14:textId="502528F6" w:rsidR="00C6444C" w:rsidRPr="009B18C1" w:rsidRDefault="00C6444C">
                            <w:pPr>
                              <w:pStyle w:val="Calloutboxes"/>
                              <w:jc w:val="left"/>
                            </w:pPr>
                            <w:r w:rsidRPr="009B18C1">
                              <w:t>Progress reports</w:t>
                            </w:r>
                          </w:p>
                        </w:tc>
                      </w:tr>
                      <w:tr w:rsidR="00C6444C" w:rsidRPr="009B18C1" w14:paraId="1050A7FC" w14:textId="77777777" w:rsidTr="00C941A7">
                        <w:trPr>
                          <w:trHeight w:val="290"/>
                        </w:trPr>
                        <w:tc>
                          <w:tcPr>
                            <w:tcW w:w="457" w:type="dxa"/>
                            <w:vAlign w:val="center"/>
                          </w:tcPr>
                          <w:p w14:paraId="35D46C2F" w14:textId="77777777" w:rsidR="00C6444C" w:rsidRPr="00020D20" w:rsidRDefault="00C6444C" w:rsidP="00020D20">
                            <w:pPr>
                              <w:pStyle w:val="Calloutboxes"/>
                            </w:pPr>
                            <w:r w:rsidRPr="00957CC4">
                              <w:rPr>
                                <w:noProof/>
                              </w:rPr>
                              <w:drawing>
                                <wp:inline distT="0" distB="0" distL="0" distR="0" wp14:anchorId="03655AB0" wp14:editId="6254C2A4">
                                  <wp:extent cx="91440" cy="91440"/>
                                  <wp:effectExtent l="0" t="0" r="3810" b="3810"/>
                                  <wp:docPr id="1690911427" name="Picture 169091142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1471DD8" w14:textId="6A2F6373" w:rsidR="00C6444C" w:rsidRPr="009B18C1" w:rsidRDefault="00C6444C">
                            <w:pPr>
                              <w:pStyle w:val="Calloutboxes"/>
                              <w:jc w:val="left"/>
                            </w:pPr>
                            <w:r w:rsidRPr="009B18C1">
                              <w:t>The period of time covered by the invoice</w:t>
                            </w:r>
                          </w:p>
                        </w:tc>
                      </w:tr>
                      <w:tr w:rsidR="00C6444C" w:rsidRPr="009B18C1" w14:paraId="6C21D59B" w14:textId="77777777" w:rsidTr="00C941A7">
                        <w:trPr>
                          <w:trHeight w:val="290"/>
                        </w:trPr>
                        <w:tc>
                          <w:tcPr>
                            <w:tcW w:w="457" w:type="dxa"/>
                            <w:vAlign w:val="center"/>
                          </w:tcPr>
                          <w:p w14:paraId="01493116" w14:textId="77777777" w:rsidR="00C6444C" w:rsidRPr="00020D20" w:rsidRDefault="00C6444C" w:rsidP="00020D20">
                            <w:pPr>
                              <w:pStyle w:val="Calloutboxes"/>
                            </w:pPr>
                            <w:r w:rsidRPr="00957CC4">
                              <w:rPr>
                                <w:noProof/>
                              </w:rPr>
                              <w:drawing>
                                <wp:inline distT="0" distB="0" distL="0" distR="0" wp14:anchorId="68BBE9F6" wp14:editId="0C0B8126">
                                  <wp:extent cx="91440" cy="91440"/>
                                  <wp:effectExtent l="0" t="0" r="3810" b="3810"/>
                                  <wp:docPr id="1690911429" name="Picture 169091142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FECD7DB" w14:textId="1DDB6545" w:rsidR="00C6444C" w:rsidRPr="009B18C1" w:rsidRDefault="00C6444C">
                            <w:pPr>
                              <w:pStyle w:val="Calloutboxes"/>
                              <w:jc w:val="left"/>
                            </w:pPr>
                            <w:r w:rsidRPr="009B18C1">
                              <w:t>Federal-aid project number</w:t>
                            </w:r>
                          </w:p>
                        </w:tc>
                      </w:tr>
                      <w:tr w:rsidR="00C6444C" w:rsidRPr="009B18C1" w14:paraId="17C9F7CA" w14:textId="77777777" w:rsidTr="00C941A7">
                        <w:trPr>
                          <w:trHeight w:val="290"/>
                        </w:trPr>
                        <w:tc>
                          <w:tcPr>
                            <w:tcW w:w="457" w:type="dxa"/>
                            <w:vAlign w:val="center"/>
                          </w:tcPr>
                          <w:p w14:paraId="690C9A03" w14:textId="77777777" w:rsidR="00C6444C" w:rsidRPr="00020D20" w:rsidRDefault="00C6444C" w:rsidP="00020D20">
                            <w:pPr>
                              <w:pStyle w:val="Calloutboxes"/>
                            </w:pPr>
                            <w:r w:rsidRPr="00957CC4">
                              <w:rPr>
                                <w:noProof/>
                              </w:rPr>
                              <w:drawing>
                                <wp:inline distT="0" distB="0" distL="0" distR="0" wp14:anchorId="30664F2B" wp14:editId="5FF7FF95">
                                  <wp:extent cx="91440" cy="91440"/>
                                  <wp:effectExtent l="0" t="0" r="3810" b="3810"/>
                                  <wp:docPr id="1690911431" name="Picture 169091143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237D44ED" w14:textId="6412F31C" w:rsidR="00C6444C" w:rsidRPr="009B18C1" w:rsidRDefault="00C6444C">
                            <w:pPr>
                              <w:pStyle w:val="Calloutboxes"/>
                              <w:jc w:val="left"/>
                            </w:pPr>
                            <w:r w:rsidRPr="009B18C1">
                              <w:t>Receipts for eligible expenses</w:t>
                            </w:r>
                          </w:p>
                        </w:tc>
                      </w:tr>
                      <w:tr w:rsidR="00C6444C" w:rsidRPr="009B18C1" w14:paraId="34E9BE86" w14:textId="77777777" w:rsidTr="00C941A7">
                        <w:trPr>
                          <w:trHeight w:val="290"/>
                        </w:trPr>
                        <w:tc>
                          <w:tcPr>
                            <w:tcW w:w="457" w:type="dxa"/>
                            <w:vAlign w:val="center"/>
                          </w:tcPr>
                          <w:p w14:paraId="3A33C2FF" w14:textId="77777777" w:rsidR="00C6444C" w:rsidRPr="00020D20" w:rsidRDefault="00C6444C" w:rsidP="00020D20">
                            <w:pPr>
                              <w:pStyle w:val="Calloutboxes"/>
                            </w:pPr>
                            <w:r w:rsidRPr="00957CC4">
                              <w:rPr>
                                <w:noProof/>
                              </w:rPr>
                              <w:drawing>
                                <wp:inline distT="0" distB="0" distL="0" distR="0" wp14:anchorId="4814E499" wp14:editId="6492A9E1">
                                  <wp:extent cx="91440" cy="91440"/>
                                  <wp:effectExtent l="0" t="0" r="3810" b="3810"/>
                                  <wp:docPr id="1690911433" name="Picture 169091143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6ECC7678" w14:textId="242FAFC0" w:rsidR="00C6444C" w:rsidRPr="009B18C1" w:rsidRDefault="00C6444C">
                            <w:pPr>
                              <w:pStyle w:val="Calloutboxes"/>
                              <w:jc w:val="left"/>
                            </w:pPr>
                            <w:r w:rsidRPr="009B18C1">
                              <w:t>In-kind worksheet</w:t>
                            </w:r>
                          </w:p>
                        </w:tc>
                      </w:tr>
                      <w:tr w:rsidR="00C6444C" w:rsidRPr="009B18C1" w14:paraId="61CE3CAB" w14:textId="77777777" w:rsidTr="00C941A7">
                        <w:trPr>
                          <w:trHeight w:val="290"/>
                        </w:trPr>
                        <w:tc>
                          <w:tcPr>
                            <w:tcW w:w="457" w:type="dxa"/>
                            <w:vAlign w:val="center"/>
                          </w:tcPr>
                          <w:p w14:paraId="063EE7EF" w14:textId="77777777" w:rsidR="00C6444C" w:rsidRPr="00020D20" w:rsidRDefault="00C6444C" w:rsidP="00020D20">
                            <w:pPr>
                              <w:pStyle w:val="Calloutboxes"/>
                            </w:pPr>
                            <w:r w:rsidRPr="00957CC4">
                              <w:rPr>
                                <w:noProof/>
                              </w:rPr>
                              <w:drawing>
                                <wp:inline distT="0" distB="0" distL="0" distR="0" wp14:anchorId="698C16F2" wp14:editId="3E592592">
                                  <wp:extent cx="91440" cy="91440"/>
                                  <wp:effectExtent l="0" t="0" r="3810" b="3810"/>
                                  <wp:docPr id="1690911434" name="Picture 169091143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2091" w:type="dxa"/>
                          </w:tcPr>
                          <w:p w14:paraId="365479B7" w14:textId="37600991" w:rsidR="00C6444C" w:rsidRPr="009B18C1" w:rsidRDefault="00C6444C">
                            <w:pPr>
                              <w:pStyle w:val="Calloutboxes"/>
                              <w:jc w:val="left"/>
                            </w:pPr>
                            <w:r w:rsidRPr="009B18C1">
                              <w:t>Detailed expense ledger</w:t>
                            </w:r>
                          </w:p>
                        </w:tc>
                      </w:tr>
                    </w:tbl>
                    <w:p w14:paraId="3FFA4822" w14:textId="77777777" w:rsidR="00C6444C" w:rsidRPr="00C6412C" w:rsidRDefault="00C6444C" w:rsidP="00020D20"/>
                  </w:txbxContent>
                </v:textbox>
                <w10:wrap type="tight"/>
              </v:shape>
            </w:pict>
          </mc:Fallback>
        </mc:AlternateContent>
      </w:r>
      <w:r w:rsidR="004A08C2" w:rsidRPr="004A08C2">
        <w:t xml:space="preserve">COGs </w:t>
      </w:r>
      <w:r w:rsidR="004E438A">
        <w:t>must</w:t>
      </w:r>
      <w:r w:rsidR="004E438A" w:rsidRPr="004A08C2">
        <w:t xml:space="preserve"> </w:t>
      </w:r>
      <w:r w:rsidR="004A08C2" w:rsidRPr="004A08C2">
        <w:t>use ADOT</w:t>
      </w:r>
      <w:r w:rsidR="00C3308E">
        <w:t>’s</w:t>
      </w:r>
      <w:r w:rsidR="00C3308E" w:rsidRPr="00305187">
        <w:rPr>
          <w:bCs/>
        </w:rPr>
        <w:t xml:space="preserve"> </w:t>
      </w:r>
      <w:hyperlink r:id="rId393" w:history="1">
        <w:r w:rsidR="00C3308E" w:rsidRPr="00020D20">
          <w:rPr>
            <w:rStyle w:val="TitleChar"/>
          </w:rPr>
          <w:t>E-GRANTS</w:t>
        </w:r>
      </w:hyperlink>
      <w:r w:rsidR="009755F5" w:rsidRPr="007B6EEE">
        <w:rPr>
          <w:rStyle w:val="TitleChar"/>
        </w:rPr>
        <w:t xml:space="preserve"> </w:t>
      </w:r>
      <w:r w:rsidR="004E438A">
        <w:t xml:space="preserve">platform to </w:t>
      </w:r>
      <w:r w:rsidR="004A08C2" w:rsidRPr="004A08C2">
        <w:t xml:space="preserve">submit invoices no more frequently than monthly, but </w:t>
      </w:r>
      <w:r w:rsidR="00F87671">
        <w:t>no less than</w:t>
      </w:r>
      <w:r w:rsidR="004A08C2" w:rsidRPr="004A08C2">
        <w:t xml:space="preserve"> quarterly. The various COG accounting offices in consultation with ADOT determine invoice detail requirements. The invoice must provide enough detail to accurately document all charges. It’s assumed that supply or material expenses may require a receipt to confirm eligibility of expenses. ADOT has the right to request these records or receipts. Supporting documents for invoices should include </w:t>
      </w:r>
      <w:r>
        <w:rPr>
          <w:noProof/>
        </w:rPr>
        <mc:AlternateContent>
          <mc:Choice Requires="wpg">
            <w:drawing>
              <wp:anchor distT="0" distB="0" distL="114300" distR="114300" simplePos="0" relativeHeight="251618642" behindDoc="0" locked="0" layoutInCell="1" allowOverlap="1" wp14:anchorId="7BD157E3" wp14:editId="7831E7E1">
                <wp:simplePos x="0" y="0"/>
                <wp:positionH relativeFrom="column">
                  <wp:posOffset>3171825</wp:posOffset>
                </wp:positionH>
                <wp:positionV relativeFrom="paragraph">
                  <wp:posOffset>-80010</wp:posOffset>
                </wp:positionV>
                <wp:extent cx="2738755" cy="1143000"/>
                <wp:effectExtent l="95250" t="19050" r="99695" b="76200"/>
                <wp:wrapNone/>
                <wp:docPr id="1690912738" name="Group 1690912738"/>
                <wp:cNvGraphicFramePr/>
                <a:graphic xmlns:a="http://schemas.openxmlformats.org/drawingml/2006/main">
                  <a:graphicData uri="http://schemas.microsoft.com/office/word/2010/wordprocessingGroup">
                    <wpg:wgp>
                      <wpg:cNvGrpSpPr/>
                      <wpg:grpSpPr>
                        <a:xfrm>
                          <a:off x="0" y="0"/>
                          <a:ext cx="2738755" cy="1143000"/>
                          <a:chOff x="0" y="0"/>
                          <a:chExt cx="2738755" cy="1225329"/>
                        </a:xfrm>
                      </wpg:grpSpPr>
                      <wps:wsp>
                        <wps:cNvPr id="1690912739" name="Text Box 1690912739"/>
                        <wps:cNvSpPr txBox="1"/>
                        <wps:spPr>
                          <a:xfrm>
                            <a:off x="0" y="55659"/>
                            <a:ext cx="2738755" cy="116967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1260"/>
                                <w:gridCol w:w="3240"/>
                              </w:tblGrid>
                              <w:tr w:rsidR="00C6444C" w14:paraId="6B16CE21" w14:textId="77777777" w:rsidTr="00020D20">
                                <w:trPr>
                                  <w:trHeight w:val="543"/>
                                </w:trPr>
                                <w:tc>
                                  <w:tcPr>
                                    <w:tcW w:w="1260" w:type="dxa"/>
                                    <w:shd w:val="clear" w:color="auto" w:fill="auto"/>
                                  </w:tcPr>
                                  <w:p w14:paraId="38671E23" w14:textId="77777777" w:rsidR="00C6444C" w:rsidRPr="00020D20" w:rsidRDefault="00C6444C">
                                    <w:pPr>
                                      <w:pStyle w:val="Calloutboxes"/>
                                      <w:rPr>
                                        <w:color w:val="012768"/>
                                      </w:rPr>
                                    </w:pPr>
                                  </w:p>
                                </w:tc>
                                <w:tc>
                                  <w:tcPr>
                                    <w:tcW w:w="3240" w:type="dxa"/>
                                    <w:shd w:val="clear" w:color="auto" w:fill="auto"/>
                                  </w:tcPr>
                                  <w:p w14:paraId="66FBF5EF" w14:textId="77777777" w:rsidR="00C6444C" w:rsidRPr="00020D20" w:rsidRDefault="00C6444C" w:rsidP="00D30138">
                                    <w:pPr>
                                      <w:pStyle w:val="Calloutboxes"/>
                                      <w:jc w:val="left"/>
                                      <w:rPr>
                                        <w:color w:val="FFFFFF" w:themeColor="background1"/>
                                        <w:sz w:val="24"/>
                                        <w:szCs w:val="24"/>
                                      </w:rPr>
                                    </w:pPr>
                                  </w:p>
                                </w:tc>
                              </w:tr>
                              <w:tr w:rsidR="00C6444C" w14:paraId="05FF42F0" w14:textId="77777777" w:rsidTr="00020D20">
                                <w:trPr>
                                  <w:trHeight w:val="1081"/>
                                </w:trPr>
                                <w:tc>
                                  <w:tcPr>
                                    <w:tcW w:w="1260" w:type="dxa"/>
                                    <w:vAlign w:val="center"/>
                                  </w:tcPr>
                                  <w:p w14:paraId="64EEAEF0" w14:textId="77777777" w:rsidR="00C6444C" w:rsidRPr="00347D6E" w:rsidDel="0082411B" w:rsidRDefault="00C6444C" w:rsidP="00D554CF">
                                    <w:pPr>
                                      <w:pStyle w:val="Calloutboxes"/>
                                    </w:pPr>
                                    <w:r>
                                      <w:rPr>
                                        <w:noProof/>
                                      </w:rPr>
                                      <w:drawing>
                                        <wp:inline distT="0" distB="0" distL="0" distR="0" wp14:anchorId="6A60E1A2" wp14:editId="21BCF6CB">
                                          <wp:extent cx="457200" cy="457200"/>
                                          <wp:effectExtent l="0" t="0" r="0" b="0"/>
                                          <wp:docPr id="1690911437" name="Picture 169091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3240" w:type="dxa"/>
                                    <w:vAlign w:val="center"/>
                                  </w:tcPr>
                                  <w:p w14:paraId="33BA1D35" w14:textId="77777777" w:rsidR="00C6444C" w:rsidRPr="00347D6E" w:rsidRDefault="00C6444C" w:rsidP="00D554CF">
                                    <w:pPr>
                                      <w:pStyle w:val="Calloutboxes"/>
                                      <w:jc w:val="left"/>
                                    </w:pPr>
                                    <w:r>
                                      <w:t>All invoices are paid as reimbursements for expenses. All work performed by a third party must be paid before a reimbursement is made.</w:t>
                                    </w:r>
                                  </w:p>
                                </w:tc>
                              </w:tr>
                            </w:tbl>
                            <w:p w14:paraId="2CB7AC02"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2740" name="Group 1690912740"/>
                        <wpg:cNvGrpSpPr/>
                        <wpg:grpSpPr>
                          <a:xfrm>
                            <a:off x="0" y="0"/>
                            <a:ext cx="2738755" cy="424815"/>
                            <a:chOff x="11875" y="-30164"/>
                            <a:chExt cx="2772410" cy="629868"/>
                          </a:xfrm>
                        </wpg:grpSpPr>
                        <wps:wsp>
                          <wps:cNvPr id="1690912741" name="Rectangle 1690912741"/>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2742" name="Text Box 1690912742"/>
                          <wps:cNvSpPr txBox="1"/>
                          <wps:spPr>
                            <a:xfrm>
                              <a:off x="65324" y="-30164"/>
                              <a:ext cx="2714510" cy="629868"/>
                            </a:xfrm>
                            <a:prstGeom prst="rect">
                              <a:avLst/>
                            </a:prstGeom>
                            <a:noFill/>
                            <a:ln w="6350">
                              <a:noFill/>
                            </a:ln>
                            <a:effectLst/>
                          </wps:spPr>
                          <wps:txbx>
                            <w:txbxContent>
                              <w:p w14:paraId="695495A5" w14:textId="77777777" w:rsidR="00C6444C" w:rsidRPr="00020D20" w:rsidRDefault="00C6444C" w:rsidP="00020D20">
                                <w:pPr>
                                  <w:jc w:val="center"/>
                                  <w:rPr>
                                    <w:color w:val="FFFFFF" w:themeColor="background1"/>
                                  </w:rPr>
                                </w:pPr>
                                <w:r>
                                  <w:rPr>
                                    <w:color w:val="FFFFFF" w:themeColor="background1"/>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D157E3" id="Group 1690912738" o:spid="_x0000_s1132" style="position:absolute;left:0;text-align:left;margin-left:249.75pt;margin-top:-6.3pt;width:215.65pt;height:90pt;z-index:251618642;mso-width-relative:margin;mso-height-relative:margin" coordsize="27387,12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">
                <v:shape id="Text Box 1690912739" o:spid="_x0000_s1133" type="#_x0000_t202" style="position:absolute;top:556;width:27387;height:1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1260"/>
                          <w:gridCol w:w="3240"/>
                        </w:tblGrid>
                        <w:tr w:rsidR="00C6444C" w14:paraId="6B16CE21" w14:textId="77777777" w:rsidTr="00020D20">
                          <w:trPr>
                            <w:trHeight w:val="543"/>
                          </w:trPr>
                          <w:tc>
                            <w:tcPr>
                              <w:tcW w:w="1260" w:type="dxa"/>
                              <w:shd w:val="clear" w:color="auto" w:fill="auto"/>
                            </w:tcPr>
                            <w:p w14:paraId="38671E23" w14:textId="77777777" w:rsidR="00C6444C" w:rsidRPr="00020D20" w:rsidRDefault="00C6444C">
                              <w:pPr>
                                <w:pStyle w:val="Calloutboxes"/>
                                <w:rPr>
                                  <w:color w:val="012768"/>
                                </w:rPr>
                              </w:pPr>
                            </w:p>
                          </w:tc>
                          <w:tc>
                            <w:tcPr>
                              <w:tcW w:w="3240" w:type="dxa"/>
                              <w:shd w:val="clear" w:color="auto" w:fill="auto"/>
                            </w:tcPr>
                            <w:p w14:paraId="66FBF5EF" w14:textId="77777777" w:rsidR="00C6444C" w:rsidRPr="00020D20" w:rsidRDefault="00C6444C" w:rsidP="00D30138">
                              <w:pPr>
                                <w:pStyle w:val="Calloutboxes"/>
                                <w:jc w:val="left"/>
                                <w:rPr>
                                  <w:color w:val="FFFFFF" w:themeColor="background1"/>
                                  <w:sz w:val="24"/>
                                  <w:szCs w:val="24"/>
                                </w:rPr>
                              </w:pPr>
                            </w:p>
                          </w:tc>
                        </w:tr>
                        <w:tr w:rsidR="00C6444C" w14:paraId="05FF42F0" w14:textId="77777777" w:rsidTr="00020D20">
                          <w:trPr>
                            <w:trHeight w:val="1081"/>
                          </w:trPr>
                          <w:tc>
                            <w:tcPr>
                              <w:tcW w:w="1260" w:type="dxa"/>
                              <w:vAlign w:val="center"/>
                            </w:tcPr>
                            <w:p w14:paraId="64EEAEF0" w14:textId="77777777" w:rsidR="00C6444C" w:rsidRPr="00347D6E" w:rsidDel="0082411B" w:rsidRDefault="00C6444C" w:rsidP="00D554CF">
                              <w:pPr>
                                <w:pStyle w:val="Calloutboxes"/>
                              </w:pPr>
                              <w:r>
                                <w:rPr>
                                  <w:noProof/>
                                </w:rPr>
                                <w:drawing>
                                  <wp:inline distT="0" distB="0" distL="0" distR="0" wp14:anchorId="6A60E1A2" wp14:editId="21BCF6CB">
                                    <wp:extent cx="457200" cy="457200"/>
                                    <wp:effectExtent l="0" t="0" r="0" b="0"/>
                                    <wp:docPr id="1690911437" name="Picture 169091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3240" w:type="dxa"/>
                              <w:vAlign w:val="center"/>
                            </w:tcPr>
                            <w:p w14:paraId="33BA1D35" w14:textId="77777777" w:rsidR="00C6444C" w:rsidRPr="00347D6E" w:rsidRDefault="00C6444C" w:rsidP="00D554CF">
                              <w:pPr>
                                <w:pStyle w:val="Calloutboxes"/>
                                <w:jc w:val="left"/>
                              </w:pPr>
                              <w:r>
                                <w:t>All invoices are paid as reimbursements for expenses. All work performed by a third party must be paid before a reimbursement is made.</w:t>
                              </w:r>
                            </w:p>
                          </w:tc>
                        </w:tr>
                      </w:tbl>
                      <w:p w14:paraId="2CB7AC02" w14:textId="77777777" w:rsidR="00C6444C" w:rsidRPr="00347D6E" w:rsidRDefault="00C6444C" w:rsidP="00020D20"/>
                    </w:txbxContent>
                  </v:textbox>
                </v:shape>
                <v:group id="Group 1690912740" o:spid="_x0000_s1134" style="position:absolute;width:27387;height:4248" coordorigin="118,-301" coordsize="27724,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">
                  <v:rect id="Rectangle 1690912741" o:spid="_x0000_s1135"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" fillcolor="#012768" strokecolor="#1f4d78 [1604]" strokeweight="1pt"/>
                  <v:shape id="Text Box 1690912742" o:spid="_x0000_s1136" type="#_x0000_t202" style="position:absolute;left:653;top:-301;width:27145;height:6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" filled="f" stroked="f" strokeweight=".5pt">
                    <v:textbox>
                      <w:txbxContent>
                        <w:p w14:paraId="695495A5" w14:textId="77777777" w:rsidR="00C6444C" w:rsidRPr="00020D20" w:rsidRDefault="00C6444C" w:rsidP="00020D20">
                          <w:pPr>
                            <w:jc w:val="center"/>
                            <w:rPr>
                              <w:color w:val="FFFFFF" w:themeColor="background1"/>
                            </w:rPr>
                          </w:pPr>
                          <w:r>
                            <w:rPr>
                              <w:color w:val="FFFFFF" w:themeColor="background1"/>
                            </w:rPr>
                            <w:t>DID YOU KNOW</w:t>
                          </w:r>
                        </w:p>
                      </w:txbxContent>
                    </v:textbox>
                  </v:shape>
                </v:group>
              </v:group>
            </w:pict>
          </mc:Fallback>
        </mc:AlternateContent>
      </w:r>
      <w:r w:rsidR="004A08C2" w:rsidRPr="004A08C2">
        <w:t>receipts for eligible expenses</w:t>
      </w:r>
      <w:r w:rsidR="00A3547D">
        <w:t>, p</w:t>
      </w:r>
      <w:r w:rsidR="004A08C2" w:rsidRPr="004A08C2">
        <w:t xml:space="preserve">rogress </w:t>
      </w:r>
      <w:r w:rsidR="003416CC">
        <w:rPr>
          <w:noProof/>
        </w:rPr>
        <mc:AlternateContent>
          <mc:Choice Requires="wps">
            <w:drawing>
              <wp:anchor distT="0" distB="0" distL="114300" distR="114300" simplePos="0" relativeHeight="251618527" behindDoc="0" locked="0" layoutInCell="1" allowOverlap="1" wp14:anchorId="224A5FB7" wp14:editId="2D99A6C3">
                <wp:simplePos x="0" y="0"/>
                <wp:positionH relativeFrom="column">
                  <wp:posOffset>3173730</wp:posOffset>
                </wp:positionH>
                <wp:positionV relativeFrom="paragraph">
                  <wp:posOffset>1198245</wp:posOffset>
                </wp:positionV>
                <wp:extent cx="2738755" cy="1552575"/>
                <wp:effectExtent l="95250" t="95250" r="99695" b="104775"/>
                <wp:wrapSquare wrapText="bothSides"/>
                <wp:docPr id="1690911512" name="Text Box 1690911512"/>
                <wp:cNvGraphicFramePr/>
                <a:graphic xmlns:a="http://schemas.openxmlformats.org/drawingml/2006/main">
                  <a:graphicData uri="http://schemas.microsoft.com/office/word/2010/wordprocessingShape">
                    <wps:wsp>
                      <wps:cNvSpPr txBox="1"/>
                      <wps:spPr>
                        <a:xfrm>
                          <a:off x="0" y="0"/>
                          <a:ext cx="2738755" cy="1552575"/>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4500"/>
                            </w:tblGrid>
                            <w:tr w:rsidR="00C6444C" w14:paraId="3A7467E4" w14:textId="77777777" w:rsidTr="00C07167">
                              <w:trPr>
                                <w:trHeight w:val="543"/>
                              </w:trPr>
                              <w:tc>
                                <w:tcPr>
                                  <w:tcW w:w="4500" w:type="dxa"/>
                                  <w:shd w:val="clear" w:color="auto" w:fill="auto"/>
                                </w:tcPr>
                                <w:p w14:paraId="24570C02" w14:textId="478D36A1" w:rsidR="00C6444C" w:rsidRPr="00020D20" w:rsidRDefault="00C6444C" w:rsidP="00020D20">
                                  <w:pPr>
                                    <w:pStyle w:val="Calloutboxes"/>
                                    <w:rPr>
                                      <w:color w:val="FFFFFF" w:themeColor="background1"/>
                                      <w:sz w:val="24"/>
                                      <w:szCs w:val="24"/>
                                    </w:rPr>
                                  </w:pPr>
                                  <w:r>
                                    <w:rPr>
                                      <w:noProof/>
                                    </w:rPr>
                                    <w:drawing>
                                      <wp:inline distT="0" distB="0" distL="0" distR="0" wp14:anchorId="0F758992" wp14:editId="13E5409F">
                                        <wp:extent cx="457200" cy="457200"/>
                                        <wp:effectExtent l="0" t="0" r="0" b="0"/>
                                        <wp:docPr id="1690911440" name="Picture 16909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r>
                            <w:tr w:rsidR="00C6444C" w14:paraId="53D8883F" w14:textId="77777777" w:rsidTr="00020D20">
                              <w:trPr>
                                <w:trHeight w:val="1803"/>
                              </w:trPr>
                              <w:tc>
                                <w:tcPr>
                                  <w:tcW w:w="4500" w:type="dxa"/>
                                </w:tcPr>
                                <w:p w14:paraId="4D8F3037" w14:textId="77777777" w:rsidR="00C6444C" w:rsidRDefault="00C6444C" w:rsidP="00020D20">
                                  <w:pPr>
                                    <w:pStyle w:val="Calloutboxes"/>
                                  </w:pPr>
                                  <w:r>
                                    <w:t xml:space="preserve">Travel receipts should be submitted with invoices. Receipts for travel typically can include food, lodging and commercial transportation. The ADOA provides Travel Policy and Guidance at: </w:t>
                                  </w:r>
                                  <w:hyperlink r:id="rId394" w:history="1">
                                    <w:r w:rsidRPr="00020D20">
                                      <w:rPr>
                                        <w:rStyle w:val="TitleChar"/>
                                        <w:sz w:val="16"/>
                                        <w:szCs w:val="16"/>
                                      </w:rPr>
                                      <w:t>https://gao.az.gov/travel/welcome-gao-travel</w:t>
                                    </w:r>
                                  </w:hyperlink>
                                </w:p>
                                <w:p w14:paraId="648A7E1D" w14:textId="77777777" w:rsidR="00C6444C" w:rsidRDefault="00C6444C" w:rsidP="00020D20">
                                  <w:pPr>
                                    <w:pStyle w:val="Calloutboxes"/>
                                  </w:pPr>
                                  <w:r>
                                    <w:t>Information related to receipts for eligible expenses (e.g. meeting supplies) can be found in</w:t>
                                  </w:r>
                                </w:p>
                                <w:p w14:paraId="24F7DCA6" w14:textId="5791E55D" w:rsidR="00C6444C" w:rsidRPr="00394A74" w:rsidRDefault="00202C92" w:rsidP="00020D20">
                                  <w:pPr>
                                    <w:pStyle w:val="Title"/>
                                  </w:pPr>
                                  <w:hyperlink r:id="rId395" w:history="1">
                                    <w:r w:rsidR="00C6444C" w:rsidRPr="00020D20">
                                      <w:rPr>
                                        <w:rStyle w:val="Hyperlink"/>
                                        <w:rFonts w:ascii="Calibri" w:hAnsi="Calibri" w:cstheme="majorBidi"/>
                                        <w:i/>
                                        <w:color w:val="CE5B18"/>
                                        <w:u w:val="none"/>
                                      </w:rPr>
                                      <w:t>https://www.govinfo.gov/app/details/CFR-2014-title2-vol1/CFR-2014-title2-vol1-part200</w:t>
                                    </w:r>
                                  </w:hyperlink>
                                </w:p>
                              </w:tc>
                            </w:tr>
                          </w:tbl>
                          <w:p w14:paraId="34EFBEB7"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4A5FB7" id="Text Box 1690911512" o:spid="_x0000_s1137" type="#_x0000_t202" style="position:absolute;left:0;text-align:left;margin-left:249.9pt;margin-top:94.35pt;width:215.65pt;height:122.25pt;z-index:2516185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4500"/>
                      </w:tblGrid>
                      <w:tr w:rsidR="00C6444C" w14:paraId="3A7467E4" w14:textId="77777777" w:rsidTr="00C07167">
                        <w:trPr>
                          <w:trHeight w:val="543"/>
                        </w:trPr>
                        <w:tc>
                          <w:tcPr>
                            <w:tcW w:w="4500" w:type="dxa"/>
                            <w:shd w:val="clear" w:color="auto" w:fill="auto"/>
                          </w:tcPr>
                          <w:p w14:paraId="24570C02" w14:textId="478D36A1" w:rsidR="00C6444C" w:rsidRPr="00020D20" w:rsidRDefault="00C6444C" w:rsidP="00020D20">
                            <w:pPr>
                              <w:pStyle w:val="Calloutboxes"/>
                              <w:rPr>
                                <w:color w:val="FFFFFF" w:themeColor="background1"/>
                                <w:sz w:val="24"/>
                                <w:szCs w:val="24"/>
                              </w:rPr>
                            </w:pPr>
                            <w:r>
                              <w:rPr>
                                <w:noProof/>
                              </w:rPr>
                              <w:drawing>
                                <wp:inline distT="0" distB="0" distL="0" distR="0" wp14:anchorId="0F758992" wp14:editId="13E5409F">
                                  <wp:extent cx="457200" cy="457200"/>
                                  <wp:effectExtent l="0" t="0" r="0" b="0"/>
                                  <wp:docPr id="1690911440" name="Picture 16909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r>
                      <w:tr w:rsidR="00C6444C" w14:paraId="53D8883F" w14:textId="77777777" w:rsidTr="00020D20">
                        <w:trPr>
                          <w:trHeight w:val="1803"/>
                        </w:trPr>
                        <w:tc>
                          <w:tcPr>
                            <w:tcW w:w="4500" w:type="dxa"/>
                          </w:tcPr>
                          <w:p w14:paraId="4D8F3037" w14:textId="77777777" w:rsidR="00C6444C" w:rsidRDefault="00C6444C" w:rsidP="00020D20">
                            <w:pPr>
                              <w:pStyle w:val="Calloutboxes"/>
                            </w:pPr>
                            <w:r>
                              <w:t xml:space="preserve">Travel receipts should be submitted with invoices. Receipts for travel typically can include food, lodging and commercial transportation. The ADOA provides Travel Policy and Guidance at: </w:t>
                            </w:r>
                            <w:hyperlink r:id="rId396" w:history="1">
                              <w:r w:rsidRPr="00020D20">
                                <w:rPr>
                                  <w:rStyle w:val="TitleChar"/>
                                  <w:sz w:val="16"/>
                                  <w:szCs w:val="16"/>
                                </w:rPr>
                                <w:t>https://gao.az.gov/travel/welcome-gao-travel</w:t>
                              </w:r>
                            </w:hyperlink>
                          </w:p>
                          <w:p w14:paraId="648A7E1D" w14:textId="77777777" w:rsidR="00C6444C" w:rsidRDefault="00C6444C" w:rsidP="00020D20">
                            <w:pPr>
                              <w:pStyle w:val="Calloutboxes"/>
                            </w:pPr>
                            <w:r>
                              <w:t>Information related to receipts for eligible expenses (e.g. meeting supplies) can be found in</w:t>
                            </w:r>
                          </w:p>
                          <w:p w14:paraId="24F7DCA6" w14:textId="5791E55D" w:rsidR="00C6444C" w:rsidRPr="00394A74" w:rsidRDefault="00202C92" w:rsidP="00020D20">
                            <w:pPr>
                              <w:pStyle w:val="Title"/>
                            </w:pPr>
                            <w:hyperlink r:id="rId397" w:history="1">
                              <w:r w:rsidR="00C6444C" w:rsidRPr="00020D20">
                                <w:rPr>
                                  <w:rStyle w:val="Hyperlink"/>
                                  <w:rFonts w:ascii="Calibri" w:hAnsi="Calibri" w:cstheme="majorBidi"/>
                                  <w:i/>
                                  <w:color w:val="CE5B18"/>
                                  <w:u w:val="none"/>
                                </w:rPr>
                                <w:t>https://www.govinfo.gov/app/details/CFR-2014-title2-vol1/CFR-2014-title2-vol1-part200</w:t>
                              </w:r>
                            </w:hyperlink>
                          </w:p>
                        </w:tc>
                      </w:tr>
                    </w:tbl>
                    <w:p w14:paraId="34EFBEB7" w14:textId="77777777" w:rsidR="00C6444C" w:rsidRPr="00347D6E" w:rsidRDefault="00C6444C" w:rsidP="00020D20"/>
                  </w:txbxContent>
                </v:textbox>
                <w10:wrap type="square"/>
              </v:shape>
            </w:pict>
          </mc:Fallback>
        </mc:AlternateContent>
      </w:r>
      <w:r w:rsidR="00A3547D">
        <w:t>r</w:t>
      </w:r>
      <w:r w:rsidR="004A08C2" w:rsidRPr="004A08C2">
        <w:t xml:space="preserve">eports, </w:t>
      </w:r>
      <w:r w:rsidR="00A3547D">
        <w:t>i</w:t>
      </w:r>
      <w:r w:rsidR="004A08C2" w:rsidRPr="004A08C2">
        <w:t xml:space="preserve">n-kind </w:t>
      </w:r>
      <w:r w:rsidR="00A3547D">
        <w:t>w</w:t>
      </w:r>
      <w:r w:rsidR="004A08C2" w:rsidRPr="004A08C2">
        <w:t xml:space="preserve">orksheets, and a </w:t>
      </w:r>
      <w:r w:rsidR="00A3547D">
        <w:t>d</w:t>
      </w:r>
      <w:r w:rsidR="004A08C2" w:rsidRPr="004A08C2">
        <w:t xml:space="preserve">etailed </w:t>
      </w:r>
      <w:r w:rsidR="00A3547D">
        <w:t>e</w:t>
      </w:r>
      <w:r w:rsidR="004A08C2" w:rsidRPr="004A08C2">
        <w:t xml:space="preserve">xpense </w:t>
      </w:r>
      <w:r w:rsidR="00A3547D">
        <w:t>l</w:t>
      </w:r>
      <w:r w:rsidR="004A08C2" w:rsidRPr="004A08C2">
        <w:t>edger.</w:t>
      </w:r>
    </w:p>
    <w:p w14:paraId="5EF5CAF4" w14:textId="77777777" w:rsidR="005A291A" w:rsidRPr="005A291A" w:rsidRDefault="005A291A" w:rsidP="00020D20">
      <w:pPr>
        <w:pStyle w:val="Heading3"/>
        <w:jc w:val="both"/>
      </w:pPr>
      <w:bookmarkStart w:id="221" w:name="_Ref50029714"/>
      <w:r w:rsidRPr="005A291A">
        <w:t>5.9.2 | Processing Payment</w:t>
      </w:r>
      <w:bookmarkEnd w:id="221"/>
    </w:p>
    <w:p w14:paraId="1677CFAB" w14:textId="77DCE098" w:rsidR="005A291A" w:rsidRPr="005A291A" w:rsidRDefault="003416CC" w:rsidP="00020D20">
      <w:pPr>
        <w:jc w:val="both"/>
      </w:pPr>
      <w:r>
        <w:rPr>
          <w:rFonts w:cstheme="minorHAnsi"/>
          <w:noProof/>
        </w:rPr>
        <mc:AlternateContent>
          <mc:Choice Requires="wps">
            <w:drawing>
              <wp:anchor distT="0" distB="0" distL="114300" distR="114300" simplePos="0" relativeHeight="251618528" behindDoc="1" locked="0" layoutInCell="1" allowOverlap="1" wp14:anchorId="6F7A2A67" wp14:editId="7A9F62C6">
                <wp:simplePos x="0" y="0"/>
                <wp:positionH relativeFrom="margin">
                  <wp:posOffset>3164253</wp:posOffset>
                </wp:positionH>
                <wp:positionV relativeFrom="paragraph">
                  <wp:posOffset>1322070</wp:posOffset>
                </wp:positionV>
                <wp:extent cx="2738755" cy="1504950"/>
                <wp:effectExtent l="95250" t="95250" r="99695" b="95250"/>
                <wp:wrapTight wrapText="bothSides">
                  <wp:wrapPolygon edited="0">
                    <wp:start x="-601" y="-1367"/>
                    <wp:lineTo x="-751" y="-820"/>
                    <wp:lineTo x="-751" y="22694"/>
                    <wp:lineTo x="22236" y="22694"/>
                    <wp:lineTo x="22236" y="3554"/>
                    <wp:lineTo x="22086" y="-547"/>
                    <wp:lineTo x="22086" y="-1367"/>
                    <wp:lineTo x="-601" y="-1367"/>
                  </wp:wrapPolygon>
                </wp:wrapTight>
                <wp:docPr id="1690911523" name="Text Box 1690911523"/>
                <wp:cNvGraphicFramePr/>
                <a:graphic xmlns:a="http://schemas.openxmlformats.org/drawingml/2006/main">
                  <a:graphicData uri="http://schemas.microsoft.com/office/word/2010/wordprocessingShape">
                    <wps:wsp>
                      <wps:cNvSpPr txBox="1"/>
                      <wps:spPr>
                        <a:xfrm>
                          <a:off x="0" y="0"/>
                          <a:ext cx="2738755" cy="15049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70EF7D5" w14:textId="77777777" w:rsidR="00C6444C" w:rsidRPr="0051438A" w:rsidRDefault="00C6444C" w:rsidP="00020D20">
                            <w:pPr>
                              <w:jc w:val="center"/>
                            </w:pPr>
                            <w:r w:rsidRPr="001241F0">
                              <w:rPr>
                                <w:noProof/>
                              </w:rPr>
                              <w:drawing>
                                <wp:inline distT="0" distB="0" distL="0" distR="0" wp14:anchorId="4ACF6429" wp14:editId="6B9472B8">
                                  <wp:extent cx="457200" cy="457200"/>
                                  <wp:effectExtent l="0" t="0" r="0" b="0"/>
                                  <wp:docPr id="1690911442" name="Picture 1690911442">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DF7EBE3" w14:textId="7C1121B2" w:rsidR="00C6444C" w:rsidRPr="005A6734" w:rsidRDefault="00C6444C" w:rsidP="00020D20">
                            <w:pPr>
                              <w:pStyle w:val="Calloutboxes"/>
                            </w:pPr>
                            <w:r w:rsidRPr="00394A74">
                              <w:t>ADOT uses a centralized financial information system. VendorPay allows for vendors and customers to effectively monitor status of payment. For vendor payment or to sign up for automated payment, instructions</w:t>
                            </w:r>
                            <w:r w:rsidRPr="00954116">
                              <w:t xml:space="preserve"> and forms are located under “</w:t>
                            </w:r>
                            <w:r w:rsidRPr="0052715B">
                              <w:t xml:space="preserve"> Payment Options” at</w:t>
                            </w:r>
                          </w:p>
                          <w:p w14:paraId="72C751FF" w14:textId="2C2862F2" w:rsidR="00C6444C" w:rsidRPr="00020D20" w:rsidRDefault="00202C92">
                            <w:pPr>
                              <w:pStyle w:val="Title"/>
                              <w:rPr>
                                <w:sz w:val="16"/>
                                <w:szCs w:val="16"/>
                              </w:rPr>
                            </w:pPr>
                            <w:hyperlink r:id="rId398" w:history="1">
                              <w:r w:rsidR="00C6444C" w:rsidRPr="00020D20">
                                <w:rPr>
                                  <w:rStyle w:val="Hyperlink"/>
                                  <w:rFonts w:ascii="Calibri" w:hAnsi="Calibri" w:cstheme="majorBidi"/>
                                  <w:i/>
                                  <w:color w:val="CE5B18"/>
                                  <w:szCs w:val="56"/>
                                  <w:u w:val="none"/>
                                </w:rPr>
                                <w:t>https://gao.az.gov/afis/vendor-information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7A2A67" id="Text Box 1690911523" o:spid="_x0000_s1138" type="#_x0000_t202" style="position:absolute;left:0;text-align:left;margin-left:249.15pt;margin-top:104.1pt;width:215.65pt;height:118.5pt;z-index:-2516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" fillcolor="#f7f7f7" stroked="f" strokeweight=".5pt">
                <v:shadow on="t" type="perspective" color="black" opacity="26214f" offset="0,0" matrix="66847f,,,66847f"/>
                <v:textbox>
                  <w:txbxContent>
                    <w:p w14:paraId="670EF7D5" w14:textId="77777777" w:rsidR="00C6444C" w:rsidRPr="0051438A" w:rsidRDefault="00C6444C" w:rsidP="00020D20">
                      <w:pPr>
                        <w:jc w:val="center"/>
                      </w:pPr>
                      <w:r w:rsidRPr="001241F0">
                        <w:rPr>
                          <w:noProof/>
                        </w:rPr>
                        <w:drawing>
                          <wp:inline distT="0" distB="0" distL="0" distR="0" wp14:anchorId="4ACF6429" wp14:editId="6B9472B8">
                            <wp:extent cx="457200" cy="457200"/>
                            <wp:effectExtent l="0" t="0" r="0" b="0"/>
                            <wp:docPr id="1690911442" name="Picture 1690911442">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DF7EBE3" w14:textId="7C1121B2" w:rsidR="00C6444C" w:rsidRPr="005A6734" w:rsidRDefault="00C6444C" w:rsidP="00020D20">
                      <w:pPr>
                        <w:pStyle w:val="Calloutboxes"/>
                      </w:pPr>
                      <w:r w:rsidRPr="00394A74">
                        <w:t>ADOT uses a centralized financial information system. VendorPay allows for vendors and customers to effectively monitor status of payment. For vendor payment or to sign up for automated payment, instructions</w:t>
                      </w:r>
                      <w:r w:rsidRPr="00954116">
                        <w:t xml:space="preserve"> and forms are located under “</w:t>
                      </w:r>
                      <w:r w:rsidRPr="0052715B">
                        <w:t xml:space="preserve"> Payment Options” at</w:t>
                      </w:r>
                    </w:p>
                    <w:p w14:paraId="72C751FF" w14:textId="2C2862F2" w:rsidR="00C6444C" w:rsidRPr="00020D20" w:rsidRDefault="00C6444C">
                      <w:pPr>
                        <w:pStyle w:val="Title"/>
                        <w:rPr>
                          <w:sz w:val="16"/>
                          <w:szCs w:val="16"/>
                        </w:rPr>
                      </w:pPr>
                      <w:hyperlink r:id="rId399" w:history="1">
                        <w:r w:rsidRPr="00020D20">
                          <w:rPr>
                            <w:rStyle w:val="Hyperlink"/>
                            <w:rFonts w:ascii="Calibri" w:hAnsi="Calibri" w:cstheme="majorBidi"/>
                            <w:i/>
                            <w:color w:val="CE5B18"/>
                            <w:szCs w:val="56"/>
                            <w:u w:val="none"/>
                          </w:rPr>
                          <w:t>https://gao.az.gov/afis/vendor-information</w:t>
                        </w:r>
                      </w:hyperlink>
                    </w:p>
                  </w:txbxContent>
                </v:textbox>
                <w10:wrap type="tight" anchorx="margin"/>
              </v:shape>
            </w:pict>
          </mc:Fallback>
        </mc:AlternateContent>
      </w:r>
      <w:r w:rsidR="005A291A" w:rsidRPr="005A291A">
        <w:t>Upon approval by Project Manager and COG Finance section at ADOT, Arizona reimburses expenses within 30 days of receipt of the request for reimbursement from the COG relating to Section 134 (</w:t>
      </w:r>
      <w:hyperlink r:id="rId400" w:history="1">
        <w:r w:rsidR="004418C8" w:rsidRPr="00020D20">
          <w:rPr>
            <w:rStyle w:val="TitleChar"/>
          </w:rPr>
          <w:t xml:space="preserve">23 </w:t>
        </w:r>
        <w:r w:rsidR="009628C0">
          <w:rPr>
            <w:rStyle w:val="TitleChar"/>
          </w:rPr>
          <w:t>U.S.C.</w:t>
        </w:r>
        <w:r w:rsidR="004418C8" w:rsidRPr="00020D20">
          <w:rPr>
            <w:rStyle w:val="TitleChar"/>
          </w:rPr>
          <w:t xml:space="preserve"> § 104</w:t>
        </w:r>
      </w:hyperlink>
      <w:r w:rsidR="005A291A" w:rsidRPr="00020D20">
        <w:rPr>
          <w:rStyle w:val="TitleChar"/>
        </w:rPr>
        <w:t>)</w:t>
      </w:r>
      <w:r w:rsidR="005A291A" w:rsidRPr="005A291A">
        <w:t xml:space="preserve">. Should ADOT later determine those charges were unallowable, ADOT deducts those charges from any future claim for reimbursement. ADOT may request additional information before approving and processing the invoice. </w:t>
      </w:r>
    </w:p>
    <w:p w14:paraId="1315BFE3" w14:textId="055DD5B3" w:rsidR="00C3308E" w:rsidRDefault="005A291A" w:rsidP="00020D20">
      <w:pPr>
        <w:jc w:val="both"/>
        <w:rPr>
          <w:i/>
        </w:rPr>
        <w:sectPr w:rsidR="00C3308E" w:rsidSect="00020D20">
          <w:type w:val="continuous"/>
          <w:pgSz w:w="12240" w:h="15840"/>
          <w:pgMar w:top="1440" w:right="1440" w:bottom="1440" w:left="1440" w:header="720" w:footer="720" w:gutter="0"/>
          <w:pgNumType w:chapStyle="1"/>
          <w:cols w:num="2" w:space="720"/>
          <w:docGrid w:linePitch="360"/>
        </w:sectPr>
      </w:pPr>
      <w:r w:rsidRPr="009755F5">
        <w:t xml:space="preserve">The State of Arizona has tools for vendors and customers to check if an invoice or reimbursement has been paid. Additionally, vendors and customers have the opportunity to sign up for automated payment; this option will allow the State to send payment electronically through a bank institution. This automatic payment is processed as a direct deposit and reduces the amount of time it takes for the vendor or customer to receive payment from the State. </w:t>
      </w:r>
    </w:p>
    <w:p w14:paraId="25FD0320" w14:textId="69FC6E50" w:rsidR="00904690" w:rsidRDefault="00E2144B" w:rsidP="00020D20">
      <w:pPr>
        <w:pStyle w:val="BodyTextTitle"/>
        <w:spacing w:before="0" w:after="0" w:line="240" w:lineRule="auto"/>
        <w:jc w:val="both"/>
      </w:pPr>
      <w:r>
        <w:t>6</w:t>
      </w:r>
      <w:r w:rsidR="00904690">
        <w:t xml:space="preserve"> </w:t>
      </w:r>
      <w:r>
        <w:t xml:space="preserve">| </w:t>
      </w:r>
      <w:r w:rsidR="00904690">
        <w:t>PERFORMANCE MEASURES</w:t>
      </w:r>
    </w:p>
    <w:p w14:paraId="46A91D44" w14:textId="1F76A74D" w:rsidR="0072437B" w:rsidRPr="00020D20" w:rsidRDefault="00E2144B" w:rsidP="00020D20">
      <w:pPr>
        <w:pStyle w:val="BodyTextTitle"/>
        <w:spacing w:before="0" w:line="240" w:lineRule="auto"/>
        <w:jc w:val="both"/>
        <w:rPr>
          <w:sz w:val="36"/>
        </w:rPr>
      </w:pPr>
      <w:r w:rsidRPr="00020D20">
        <w:rPr>
          <w:sz w:val="36"/>
        </w:rPr>
        <w:t>TABLE OF CONTENTS</w:t>
      </w:r>
    </w:p>
    <w:p w14:paraId="197B80FB" w14:textId="1266EEB7" w:rsidR="0072437B" w:rsidRDefault="0025125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b/>
        </w:rPr>
      </w:pPr>
      <w:r>
        <w:rPr>
          <w:b/>
        </w:rPr>
        <w:fldChar w:fldCharType="begin"/>
      </w:r>
      <w:r>
        <w:rPr>
          <w:b/>
        </w:rPr>
        <w:instrText xml:space="preserve"> REF _Ref50029903 \h </w:instrText>
      </w:r>
      <w:r w:rsidR="002D38FC">
        <w:rPr>
          <w:b/>
        </w:rPr>
        <w:instrText xml:space="preserve"> \* MERGEFORMAT </w:instrText>
      </w:r>
      <w:r>
        <w:rPr>
          <w:b/>
        </w:rPr>
      </w:r>
      <w:r>
        <w:rPr>
          <w:b/>
        </w:rPr>
        <w:fldChar w:fldCharType="separate"/>
      </w:r>
      <w:r w:rsidRPr="004F143B">
        <w:t>6.1 | PURPOSE</w:t>
      </w:r>
      <w:r>
        <w:rPr>
          <w:b/>
        </w:rPr>
        <w:fldChar w:fldCharType="end"/>
      </w:r>
    </w:p>
    <w:p w14:paraId="07161DA8" w14:textId="11E0AA6A" w:rsidR="00251254" w:rsidRDefault="0025125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b/>
        </w:rPr>
      </w:pPr>
      <w:r>
        <w:rPr>
          <w:b/>
        </w:rPr>
        <w:fldChar w:fldCharType="begin"/>
      </w:r>
      <w:r>
        <w:rPr>
          <w:b/>
        </w:rPr>
        <w:instrText xml:space="preserve"> REF _Ref50029908 \h </w:instrText>
      </w:r>
      <w:r w:rsidR="002D38FC">
        <w:rPr>
          <w:b/>
        </w:rPr>
        <w:instrText xml:space="preserve"> \* MERGEFORMAT </w:instrText>
      </w:r>
      <w:r>
        <w:rPr>
          <w:b/>
        </w:rPr>
      </w:r>
      <w:r>
        <w:rPr>
          <w:b/>
        </w:rPr>
        <w:fldChar w:fldCharType="separate"/>
      </w:r>
      <w:r w:rsidRPr="004F143B">
        <w:t>6.2 | AUTHORITY</w:t>
      </w:r>
      <w:r>
        <w:rPr>
          <w:b/>
        </w:rPr>
        <w:fldChar w:fldCharType="end"/>
      </w:r>
    </w:p>
    <w:p w14:paraId="25E90E52" w14:textId="72F6665E" w:rsidR="00251254" w:rsidRDefault="0025125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b/>
        </w:rPr>
      </w:pPr>
      <w:r>
        <w:rPr>
          <w:b/>
        </w:rPr>
        <w:fldChar w:fldCharType="begin"/>
      </w:r>
      <w:r>
        <w:rPr>
          <w:b/>
        </w:rPr>
        <w:instrText xml:space="preserve"> REF _Ref50029913 \h </w:instrText>
      </w:r>
      <w:r w:rsidR="002D38FC">
        <w:rPr>
          <w:b/>
        </w:rPr>
        <w:instrText xml:space="preserve"> \* MERGEFORMAT </w:instrText>
      </w:r>
      <w:r>
        <w:rPr>
          <w:b/>
        </w:rPr>
      </w:r>
      <w:r>
        <w:rPr>
          <w:b/>
        </w:rPr>
        <w:fldChar w:fldCharType="separate"/>
      </w:r>
      <w:r w:rsidRPr="004F143B">
        <w:t>6.3 | NATIONAL PERFORMANCE GOALS</w:t>
      </w:r>
      <w:r>
        <w:rPr>
          <w:b/>
        </w:rPr>
        <w:fldChar w:fldCharType="end"/>
      </w:r>
    </w:p>
    <w:p w14:paraId="74144CB3" w14:textId="71C21763" w:rsidR="00251254" w:rsidRDefault="0025125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b/>
        </w:rPr>
      </w:pPr>
      <w:r>
        <w:rPr>
          <w:b/>
        </w:rPr>
        <w:fldChar w:fldCharType="begin"/>
      </w:r>
      <w:r>
        <w:rPr>
          <w:b/>
        </w:rPr>
        <w:instrText xml:space="preserve"> REF _Ref50029917 \h </w:instrText>
      </w:r>
      <w:r w:rsidR="002D38FC">
        <w:rPr>
          <w:b/>
        </w:rPr>
        <w:instrText xml:space="preserve"> \* MERGEFORMAT </w:instrText>
      </w:r>
      <w:r>
        <w:rPr>
          <w:b/>
        </w:rPr>
      </w:r>
      <w:r>
        <w:rPr>
          <w:b/>
        </w:rPr>
        <w:fldChar w:fldCharType="separate"/>
      </w:r>
      <w:r w:rsidRPr="004A31B3">
        <w:t>6.4 | P2P LINK</w:t>
      </w:r>
      <w:r>
        <w:rPr>
          <w:b/>
        </w:rPr>
        <w:fldChar w:fldCharType="end"/>
      </w:r>
    </w:p>
    <w:p w14:paraId="305B9547" w14:textId="3E0818E4" w:rsidR="00251254" w:rsidRDefault="0025125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b/>
        </w:rPr>
      </w:pPr>
      <w:r>
        <w:rPr>
          <w:b/>
        </w:rPr>
        <w:fldChar w:fldCharType="begin"/>
      </w:r>
      <w:r>
        <w:rPr>
          <w:b/>
        </w:rPr>
        <w:instrText xml:space="preserve"> REF _Ref50029921 \h </w:instrText>
      </w:r>
      <w:r w:rsidR="002D38FC">
        <w:rPr>
          <w:b/>
        </w:rPr>
        <w:instrText xml:space="preserve"> \* MERGEFORMAT </w:instrText>
      </w:r>
      <w:r>
        <w:rPr>
          <w:b/>
        </w:rPr>
      </w:r>
      <w:r>
        <w:rPr>
          <w:b/>
        </w:rPr>
        <w:fldChar w:fldCharType="separate"/>
      </w:r>
      <w:r w:rsidRPr="004A31B3">
        <w:t>6.4.1 | Initial P2P Performance Measures</w:t>
      </w:r>
      <w:r>
        <w:rPr>
          <w:b/>
        </w:rPr>
        <w:fldChar w:fldCharType="end"/>
      </w:r>
    </w:p>
    <w:p w14:paraId="3D4B88DF" w14:textId="77777777" w:rsidR="00492D0B" w:rsidRDefault="0072437B"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b/>
        </w:rPr>
        <w:sectPr w:rsidR="00492D0B" w:rsidSect="00A429CC">
          <w:footerReference w:type="default" r:id="rId401"/>
          <w:pgSz w:w="12240" w:h="15840"/>
          <w:pgMar w:top="1440" w:right="1440" w:bottom="1440" w:left="1440" w:header="720" w:footer="720" w:gutter="0"/>
          <w:pgNumType w:start="1" w:chapStyle="1"/>
          <w:cols w:space="720"/>
          <w:docGrid w:linePitch="360"/>
        </w:sectPr>
      </w:pPr>
      <w:r>
        <w:rPr>
          <w:b/>
        </w:rPr>
        <w:br w:type="page"/>
      </w:r>
    </w:p>
    <w:p w14:paraId="2C56EE48" w14:textId="728EB539" w:rsidR="00897360" w:rsidRDefault="004F143B" w:rsidP="00020D20">
      <w:pPr>
        <w:pStyle w:val="Heading1"/>
        <w:tabs>
          <w:tab w:val="left" w:pos="360"/>
        </w:tabs>
        <w:jc w:val="both"/>
        <w:rPr>
          <w:b w:val="0"/>
        </w:rPr>
        <w:sectPr w:rsidR="00897360" w:rsidSect="00020D20">
          <w:footerReference w:type="default" r:id="rId402"/>
          <w:type w:val="continuous"/>
          <w:pgSz w:w="12240" w:h="15840"/>
          <w:pgMar w:top="1440" w:right="1440" w:bottom="1440" w:left="1440" w:header="720" w:footer="720" w:gutter="0"/>
          <w:pgNumType w:start="1" w:chapStyle="1"/>
          <w:cols w:space="720"/>
          <w:docGrid w:linePitch="360"/>
        </w:sectPr>
      </w:pPr>
      <w:bookmarkStart w:id="222" w:name="_|_Performance_Measures"/>
      <w:bookmarkStart w:id="223" w:name="_Toc49862233"/>
      <w:bookmarkStart w:id="224" w:name="_Toc49870626"/>
      <w:bookmarkStart w:id="225" w:name="_Toc50540222"/>
      <w:bookmarkEnd w:id="222"/>
      <w:r>
        <w:t>|</w:t>
      </w:r>
      <w:r w:rsidR="000E518A">
        <w:t xml:space="preserve"> </w:t>
      </w:r>
      <w:r>
        <w:t>Performance Measures</w:t>
      </w:r>
      <w:bookmarkEnd w:id="223"/>
      <w:bookmarkEnd w:id="224"/>
      <w:bookmarkEnd w:id="225"/>
    </w:p>
    <w:p w14:paraId="0F1D8C92" w14:textId="18811D8A" w:rsidR="004F143B" w:rsidRPr="004F143B" w:rsidRDefault="004F143B" w:rsidP="00020D20">
      <w:pPr>
        <w:pStyle w:val="Heading2"/>
      </w:pPr>
      <w:bookmarkStart w:id="226" w:name="_Ref50029903"/>
      <w:r w:rsidRPr="004F143B">
        <w:t>6.1 | PURPOSE</w:t>
      </w:r>
      <w:bookmarkEnd w:id="226"/>
    </w:p>
    <w:p w14:paraId="7BA67B73" w14:textId="77777777" w:rsidR="004F143B" w:rsidRPr="004F143B" w:rsidRDefault="004F143B" w:rsidP="00020D20">
      <w:pPr>
        <w:jc w:val="both"/>
      </w:pPr>
      <w:r w:rsidRPr="004F143B">
        <w:t>Establishing a meaningful strategic direction to drive system investment decisions is a critical part of the statewide transportation planning process. Plan goals and objectives define investment priorities and describe how ADOT plans to work with its transportation planning partners to achieve a shared transportation vision. Plan-level performance measures establish a means of determining how different investment strategies contribute to achieving the plan’s goals and objectives and provide a basis to establish program-level and project-level measures to guide plan implementation.</w:t>
      </w:r>
    </w:p>
    <w:p w14:paraId="3CDAF6BE" w14:textId="77777777" w:rsidR="004F143B" w:rsidRPr="004F143B" w:rsidRDefault="004F143B" w:rsidP="00020D20">
      <w:pPr>
        <w:pStyle w:val="Heading2"/>
      </w:pPr>
      <w:bookmarkStart w:id="227" w:name="_Ref50029908"/>
      <w:r w:rsidRPr="004F143B">
        <w:t>6.2 | AUTHORITY</w:t>
      </w:r>
      <w:bookmarkEnd w:id="227"/>
    </w:p>
    <w:p w14:paraId="416E3892" w14:textId="5024ED38" w:rsidR="00031BB8" w:rsidRDefault="004F143B" w:rsidP="00020D20">
      <w:pPr>
        <w:jc w:val="both"/>
      </w:pPr>
      <w:r w:rsidRPr="004F143B">
        <w:t>The USDOT establishes performance measures for: pavement conditions and performance for the Interstate and National Highway System (NHS); bridge performance and conditions; highway injuries and fatalities; traffic congestion and on</w:t>
      </w:r>
      <w:r w:rsidR="00F4276A">
        <w:t xml:space="preserve"> </w:t>
      </w:r>
      <w:r w:rsidRPr="004F143B">
        <w:t>road mobile source emissions, as these relate to CMAQ; freight movement on the Interstate system; and safety and state of good repair</w:t>
      </w:r>
      <w:r w:rsidR="001D354F">
        <w:t xml:space="preserve"> (SGR)</w:t>
      </w:r>
      <w:r w:rsidRPr="004F143B">
        <w:t xml:space="preserve"> relating to transit services. Once established, ADOT adopts specific performance measures, including rural transit-related measures, within one year. MPOs, in coordination with the State and transit operators, where applicable, have 180 days to set regional targets once statewide or transit performance targets are set. State and metropolitan transportation plans must describe how program and project selection help achieve the targets (</w:t>
      </w:r>
      <w:hyperlink r:id="rId403" w:history="1">
        <w:r w:rsidR="008307F4" w:rsidRPr="00020D20">
          <w:rPr>
            <w:rStyle w:val="TitleChar"/>
          </w:rPr>
          <w:t>23 U.S.C. § 134</w:t>
        </w:r>
      </w:hyperlink>
      <w:r w:rsidRPr="004F143B">
        <w:t xml:space="preserve">). </w:t>
      </w:r>
    </w:p>
    <w:p w14:paraId="3523068F" w14:textId="77777777" w:rsidR="00897360" w:rsidRDefault="00031BB8" w:rsidP="00020D20">
      <w:pPr>
        <w:jc w:val="both"/>
      </w:pPr>
      <w:r w:rsidRPr="004F143B">
        <w:t>The LRTP must describe the performance measures and targets used to assess system performance and demonstrate progress in achieving the performance targets—progress expected to be achieved by planned decisions and investments. LRTPs must</w:t>
      </w:r>
    </w:p>
    <w:p w14:paraId="16A64BC9" w14:textId="33AD4CD8" w:rsidR="004F143B" w:rsidRDefault="004F143B" w:rsidP="00020D20">
      <w:pPr>
        <w:jc w:val="both"/>
      </w:pPr>
      <w:r w:rsidRPr="004F143B">
        <w:t>include system performance reports that evaluate conditions and performance with respect to the targets. The TIP also must be developed to make progress toward established performance targets and include a description of the anticipated achievements (</w:t>
      </w:r>
      <w:hyperlink r:id="rId404" w:history="1">
        <w:r w:rsidR="007A54BA">
          <w:rPr>
            <w:rStyle w:val="TitleChar"/>
          </w:rPr>
          <w:t>23 U.S.C. §</w:t>
        </w:r>
        <w:r w:rsidR="008307F4" w:rsidRPr="00020D20">
          <w:rPr>
            <w:rStyle w:val="TitleChar"/>
          </w:rPr>
          <w:t xml:space="preserve"> 134</w:t>
        </w:r>
      </w:hyperlink>
      <w:r w:rsidRPr="004F143B">
        <w:t xml:space="preserve"> and </w:t>
      </w:r>
      <w:hyperlink r:id="rId405" w:history="1">
        <w:r w:rsidRPr="00020D20">
          <w:rPr>
            <w:rStyle w:val="TitleChar"/>
          </w:rPr>
          <w:t>135</w:t>
        </w:r>
      </w:hyperlink>
      <w:r w:rsidR="00A030BF">
        <w:t xml:space="preserve">; </w:t>
      </w:r>
      <w:hyperlink r:id="rId406" w:history="1">
        <w:r w:rsidR="00A030BF" w:rsidRPr="0000364D">
          <w:rPr>
            <w:rStyle w:val="TitleChar"/>
          </w:rPr>
          <w:t>23 C.F.R. § 450.326(d)</w:t>
        </w:r>
      </w:hyperlink>
      <w:r w:rsidR="00A030BF" w:rsidRPr="00020D20">
        <w:t>)</w:t>
      </w:r>
      <w:r w:rsidR="00A030BF">
        <w:t xml:space="preserve">. </w:t>
      </w:r>
      <w:r w:rsidRPr="004F143B">
        <w:t xml:space="preserve">Performance targets are established in coordination with the state and public transportation providers. Thus, the planning process integrates public transportation and relevant public transportation performance measures. </w:t>
      </w:r>
    </w:p>
    <w:p w14:paraId="421B07DA" w14:textId="550EFE6C" w:rsidR="00897360" w:rsidRPr="00897360" w:rsidRDefault="00897360" w:rsidP="00020D20">
      <w:pPr>
        <w:pStyle w:val="Heading4"/>
        <w:jc w:val="both"/>
      </w:pPr>
      <w:r w:rsidRPr="00031BB8">
        <w:rPr>
          <w:rStyle w:val="Heading4Char"/>
        </w:rPr>
        <w:t>Table 6-1 | Authority</w:t>
      </w:r>
    </w:p>
    <w:tbl>
      <w:tblPr>
        <w:tblW w:w="4320" w:type="dxa"/>
        <w:tblInd w:w="-10" w:type="dxa"/>
        <w:tblLayout w:type="fixed"/>
        <w:tblCellMar>
          <w:left w:w="0" w:type="dxa"/>
          <w:right w:w="0" w:type="dxa"/>
        </w:tblCellMar>
        <w:tblLook w:val="0000" w:firstRow="0" w:lastRow="0" w:firstColumn="0" w:lastColumn="0" w:noHBand="0" w:noVBand="0"/>
      </w:tblPr>
      <w:tblGrid>
        <w:gridCol w:w="473"/>
        <w:gridCol w:w="1687"/>
        <w:gridCol w:w="2160"/>
      </w:tblGrid>
      <w:tr w:rsidR="00897360" w:rsidRPr="004A31B3" w14:paraId="3C1D6330" w14:textId="77777777" w:rsidTr="00020D20">
        <w:trPr>
          <w:trHeight w:val="242"/>
        </w:trPr>
        <w:tc>
          <w:tcPr>
            <w:tcW w:w="2160"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tcPr>
          <w:p w14:paraId="1EAC8FBD" w14:textId="77777777" w:rsidR="00897360" w:rsidRPr="00020D20" w:rsidRDefault="00897360" w:rsidP="00020D20">
            <w:pPr>
              <w:spacing w:before="0" w:after="0" w:line="240" w:lineRule="auto"/>
              <w:jc w:val="center"/>
              <w:rPr>
                <w:sz w:val="22"/>
              </w:rPr>
            </w:pPr>
            <w:r w:rsidRPr="00020D20">
              <w:rPr>
                <w:sz w:val="22"/>
              </w:rPr>
              <w:t>Code</w:t>
            </w:r>
          </w:p>
        </w:tc>
        <w:tc>
          <w:tcPr>
            <w:tcW w:w="2160"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5D12FA69" w14:textId="77777777" w:rsidR="00897360" w:rsidRPr="00020D20" w:rsidRDefault="00897360" w:rsidP="00020D20">
            <w:pPr>
              <w:spacing w:before="0" w:after="0" w:line="240" w:lineRule="auto"/>
              <w:jc w:val="center"/>
              <w:rPr>
                <w:sz w:val="22"/>
              </w:rPr>
            </w:pPr>
            <w:r w:rsidRPr="00020D20">
              <w:rPr>
                <w:sz w:val="22"/>
              </w:rPr>
              <w:t>Description</w:t>
            </w:r>
          </w:p>
        </w:tc>
      </w:tr>
      <w:tr w:rsidR="00897360" w:rsidRPr="004A31B3" w14:paraId="7E76BFD0" w14:textId="77777777" w:rsidTr="00020D20">
        <w:trPr>
          <w:trHeight w:val="60"/>
        </w:trPr>
        <w:tc>
          <w:tcPr>
            <w:tcW w:w="473"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4E73087F" w14:textId="77777777" w:rsidR="00897360" w:rsidRPr="00020D20" w:rsidRDefault="00897360" w:rsidP="00020D20">
            <w:pPr>
              <w:spacing w:before="0" w:after="0" w:line="240" w:lineRule="auto"/>
              <w:jc w:val="center"/>
              <w:rPr>
                <w:sz w:val="22"/>
              </w:rPr>
            </w:pPr>
            <w:r w:rsidRPr="00020D20">
              <w:rPr>
                <w:sz w:val="22"/>
              </w:rPr>
              <w:t>Federal</w:t>
            </w:r>
          </w:p>
        </w:tc>
        <w:tc>
          <w:tcPr>
            <w:tcW w:w="1687"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E19C4BB" w14:textId="1A69C998" w:rsidR="00897360" w:rsidRPr="00020D20" w:rsidRDefault="00202C92">
            <w:pPr>
              <w:pStyle w:val="Title"/>
              <w:rPr>
                <w:sz w:val="17"/>
                <w:szCs w:val="17"/>
              </w:rPr>
            </w:pPr>
            <w:hyperlink r:id="rId407" w:history="1">
              <w:r w:rsidR="0089736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897360" w:rsidRPr="00020D20">
                <w:rPr>
                  <w:rStyle w:val="Hyperlink"/>
                  <w:rFonts w:asciiTheme="minorHAnsi" w:hAnsiTheme="minorHAnsi" w:cstheme="majorBidi"/>
                  <w:i/>
                  <w:color w:val="CE5B18"/>
                  <w:sz w:val="17"/>
                  <w:szCs w:val="17"/>
                  <w:u w:val="none"/>
                </w:rPr>
                <w:t>§ 450.334: Self-certifications and federal certifications</w:t>
              </w:r>
            </w:hyperlink>
          </w:p>
        </w:tc>
        <w:tc>
          <w:tcPr>
            <w:tcW w:w="21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D9D168C" w14:textId="77777777" w:rsidR="00897360" w:rsidRPr="00020D20" w:rsidRDefault="00897360" w:rsidP="00020D20">
            <w:pPr>
              <w:spacing w:before="0" w:after="0" w:line="240" w:lineRule="auto"/>
              <w:jc w:val="both"/>
              <w:rPr>
                <w:sz w:val="17"/>
                <w:szCs w:val="17"/>
              </w:rPr>
            </w:pPr>
            <w:r w:rsidRPr="00020D20">
              <w:rPr>
                <w:w w:val="96"/>
                <w:sz w:val="17"/>
                <w:szCs w:val="17"/>
              </w:rPr>
              <w:t>The FHWA and FTA jointly review and evaluate the metropolitan transportation planning process.</w:t>
            </w:r>
          </w:p>
        </w:tc>
      </w:tr>
      <w:tr w:rsidR="00897360" w:rsidRPr="004A31B3" w14:paraId="7C352AC7" w14:textId="77777777" w:rsidTr="00020D20">
        <w:trPr>
          <w:trHeight w:val="732"/>
        </w:trPr>
        <w:tc>
          <w:tcPr>
            <w:tcW w:w="473" w:type="dxa"/>
            <w:vMerge/>
            <w:tcBorders>
              <w:top w:val="single" w:sz="4" w:space="0" w:color="auto"/>
              <w:left w:val="single" w:sz="4" w:space="0" w:color="auto"/>
              <w:bottom w:val="single" w:sz="4" w:space="0" w:color="FFFFFF" w:themeColor="background1"/>
              <w:right w:val="single" w:sz="4" w:space="0" w:color="auto"/>
            </w:tcBorders>
            <w:shd w:val="clear" w:color="auto" w:fill="012768"/>
          </w:tcPr>
          <w:p w14:paraId="2CA98F4A" w14:textId="77777777" w:rsidR="00897360" w:rsidRPr="00020D20" w:rsidRDefault="00897360" w:rsidP="00020D20">
            <w:pPr>
              <w:spacing w:before="0" w:after="0" w:line="240" w:lineRule="auto"/>
              <w:jc w:val="center"/>
              <w:rPr>
                <w:sz w:val="22"/>
              </w:rPr>
            </w:pPr>
          </w:p>
        </w:tc>
        <w:tc>
          <w:tcPr>
            <w:tcW w:w="1687"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7FEAE61E" w14:textId="2307A442" w:rsidR="00897360" w:rsidRPr="00020D20" w:rsidRDefault="00202C92">
            <w:pPr>
              <w:pStyle w:val="Title"/>
              <w:rPr>
                <w:sz w:val="17"/>
                <w:szCs w:val="17"/>
              </w:rPr>
            </w:pPr>
            <w:hyperlink r:id="rId408" w:history="1">
              <w:r w:rsidR="00897360" w:rsidRPr="00020D20">
                <w:rPr>
                  <w:rStyle w:val="Hyperlink"/>
                  <w:rFonts w:asciiTheme="minorHAnsi" w:hAnsiTheme="minorHAnsi" w:cstheme="majorBidi"/>
                  <w:i/>
                  <w:color w:val="CE5B18"/>
                  <w:sz w:val="17"/>
                  <w:szCs w:val="17"/>
                  <w:u w:val="none"/>
                </w:rPr>
                <w:t>23 U</w:t>
              </w:r>
              <w:r w:rsidR="008307F4">
                <w:rPr>
                  <w:rStyle w:val="Hyperlink"/>
                  <w:rFonts w:asciiTheme="minorHAnsi" w:hAnsiTheme="minorHAnsi" w:cstheme="majorBidi"/>
                  <w:i/>
                  <w:color w:val="CE5B18"/>
                  <w:sz w:val="17"/>
                  <w:szCs w:val="17"/>
                  <w:u w:val="none"/>
                </w:rPr>
                <w:t>.</w:t>
              </w:r>
              <w:r w:rsidR="00897360" w:rsidRPr="00020D20">
                <w:rPr>
                  <w:rStyle w:val="Hyperlink"/>
                  <w:rFonts w:asciiTheme="minorHAnsi" w:hAnsiTheme="minorHAnsi" w:cstheme="majorBidi"/>
                  <w:i/>
                  <w:color w:val="CE5B18"/>
                  <w:sz w:val="17"/>
                  <w:szCs w:val="17"/>
                  <w:u w:val="none"/>
                </w:rPr>
                <w:t>S</w:t>
              </w:r>
              <w:r w:rsidR="008307F4">
                <w:rPr>
                  <w:rStyle w:val="Hyperlink"/>
                  <w:rFonts w:asciiTheme="minorHAnsi" w:hAnsiTheme="minorHAnsi" w:cstheme="majorBidi"/>
                  <w:i/>
                  <w:color w:val="CE5B18"/>
                  <w:sz w:val="17"/>
                  <w:szCs w:val="17"/>
                  <w:u w:val="none"/>
                </w:rPr>
                <w:t>.</w:t>
              </w:r>
              <w:r w:rsidR="00897360" w:rsidRPr="00020D20">
                <w:rPr>
                  <w:rStyle w:val="Hyperlink"/>
                  <w:rFonts w:asciiTheme="minorHAnsi" w:hAnsiTheme="minorHAnsi" w:cstheme="majorBidi"/>
                  <w:i/>
                  <w:color w:val="CE5B18"/>
                  <w:sz w:val="17"/>
                  <w:szCs w:val="17"/>
                  <w:u w:val="none"/>
                </w:rPr>
                <w:t>C</w:t>
              </w:r>
              <w:r w:rsidR="008307F4">
                <w:rPr>
                  <w:rStyle w:val="Hyperlink"/>
                  <w:rFonts w:asciiTheme="minorHAnsi" w:hAnsiTheme="minorHAnsi" w:cstheme="majorBidi"/>
                  <w:i/>
                  <w:color w:val="CE5B18"/>
                  <w:sz w:val="17"/>
                  <w:szCs w:val="17"/>
                  <w:u w:val="none"/>
                </w:rPr>
                <w:t>.</w:t>
              </w:r>
              <w:r w:rsidR="00897360" w:rsidRPr="00020D20">
                <w:rPr>
                  <w:rStyle w:val="Hyperlink"/>
                  <w:rFonts w:asciiTheme="minorHAnsi" w:hAnsiTheme="minorHAnsi" w:cstheme="majorBidi"/>
                  <w:i/>
                  <w:color w:val="CE5B18"/>
                  <w:sz w:val="17"/>
                  <w:szCs w:val="17"/>
                  <w:u w:val="none"/>
                </w:rPr>
                <w:t xml:space="preserve"> § 134</w:t>
              </w:r>
            </w:hyperlink>
          </w:p>
        </w:tc>
        <w:tc>
          <w:tcPr>
            <w:tcW w:w="21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718AFDBD" w14:textId="77777777" w:rsidR="00897360" w:rsidRPr="00020D20" w:rsidRDefault="00897360" w:rsidP="00020D20">
            <w:pPr>
              <w:spacing w:before="0" w:after="0" w:line="240" w:lineRule="auto"/>
              <w:jc w:val="both"/>
              <w:rPr>
                <w:sz w:val="17"/>
                <w:szCs w:val="17"/>
              </w:rPr>
            </w:pPr>
            <w:r w:rsidRPr="00020D20">
              <w:rPr>
                <w:w w:val="96"/>
                <w:sz w:val="17"/>
                <w:szCs w:val="17"/>
              </w:rPr>
              <w:t>The TIP must be developed to make progress toward established performance targets and include a description of the anticipated achievements.</w:t>
            </w:r>
          </w:p>
        </w:tc>
      </w:tr>
      <w:tr w:rsidR="00897360" w:rsidRPr="004A31B3" w14:paraId="1F53033D" w14:textId="77777777" w:rsidTr="00020D20">
        <w:trPr>
          <w:trHeight w:val="60"/>
        </w:trPr>
        <w:tc>
          <w:tcPr>
            <w:tcW w:w="473" w:type="dxa"/>
            <w:vMerge/>
            <w:tcBorders>
              <w:top w:val="single" w:sz="4" w:space="0" w:color="auto"/>
              <w:left w:val="single" w:sz="4" w:space="0" w:color="auto"/>
              <w:bottom w:val="single" w:sz="4" w:space="0" w:color="FFFFFF" w:themeColor="background1"/>
              <w:right w:val="single" w:sz="4" w:space="0" w:color="auto"/>
            </w:tcBorders>
            <w:shd w:val="clear" w:color="auto" w:fill="012768"/>
          </w:tcPr>
          <w:p w14:paraId="1EB6FC85" w14:textId="77777777" w:rsidR="00897360" w:rsidRPr="00020D20" w:rsidRDefault="00897360" w:rsidP="00020D20">
            <w:pPr>
              <w:spacing w:before="0" w:after="0" w:line="240" w:lineRule="auto"/>
              <w:jc w:val="center"/>
              <w:rPr>
                <w:sz w:val="22"/>
              </w:rPr>
            </w:pPr>
          </w:p>
        </w:tc>
        <w:tc>
          <w:tcPr>
            <w:tcW w:w="1687"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D024744" w14:textId="67679EDD" w:rsidR="00897360" w:rsidRPr="00020D20" w:rsidRDefault="00202C92">
            <w:pPr>
              <w:pStyle w:val="Title"/>
              <w:rPr>
                <w:sz w:val="17"/>
                <w:szCs w:val="17"/>
              </w:rPr>
            </w:pPr>
            <w:hyperlink r:id="rId409" w:history="1">
              <w:r w:rsidR="00897360" w:rsidRPr="00020D20">
                <w:rPr>
                  <w:rStyle w:val="Hyperlink"/>
                  <w:rFonts w:asciiTheme="minorHAnsi" w:hAnsiTheme="minorHAnsi" w:cstheme="majorBidi"/>
                  <w:i/>
                  <w:color w:val="CE5B18"/>
                  <w:sz w:val="17"/>
                  <w:szCs w:val="17"/>
                  <w:u w:val="none"/>
                </w:rPr>
                <w:t>23 U</w:t>
              </w:r>
              <w:r w:rsidR="008307F4">
                <w:rPr>
                  <w:rStyle w:val="Hyperlink"/>
                  <w:rFonts w:asciiTheme="minorHAnsi" w:hAnsiTheme="minorHAnsi" w:cstheme="majorBidi"/>
                  <w:i/>
                  <w:color w:val="CE5B18"/>
                  <w:sz w:val="17"/>
                  <w:szCs w:val="17"/>
                  <w:u w:val="none"/>
                </w:rPr>
                <w:t>.</w:t>
              </w:r>
              <w:r w:rsidR="00897360" w:rsidRPr="00020D20">
                <w:rPr>
                  <w:rStyle w:val="Hyperlink"/>
                  <w:rFonts w:asciiTheme="minorHAnsi" w:hAnsiTheme="minorHAnsi" w:cstheme="majorBidi"/>
                  <w:i/>
                  <w:color w:val="CE5B18"/>
                  <w:sz w:val="17"/>
                  <w:szCs w:val="17"/>
                  <w:u w:val="none"/>
                </w:rPr>
                <w:t>S</w:t>
              </w:r>
              <w:r w:rsidR="008307F4">
                <w:rPr>
                  <w:rStyle w:val="Hyperlink"/>
                  <w:rFonts w:asciiTheme="minorHAnsi" w:hAnsiTheme="minorHAnsi" w:cstheme="majorBidi"/>
                  <w:i/>
                  <w:color w:val="CE5B18"/>
                  <w:sz w:val="17"/>
                  <w:szCs w:val="17"/>
                  <w:u w:val="none"/>
                </w:rPr>
                <w:t>.</w:t>
              </w:r>
              <w:r w:rsidR="00897360" w:rsidRPr="00020D20">
                <w:rPr>
                  <w:rStyle w:val="Hyperlink"/>
                  <w:rFonts w:asciiTheme="minorHAnsi" w:hAnsiTheme="minorHAnsi" w:cstheme="majorBidi"/>
                  <w:i/>
                  <w:color w:val="CE5B18"/>
                  <w:sz w:val="17"/>
                  <w:szCs w:val="17"/>
                  <w:u w:val="none"/>
                </w:rPr>
                <w:t>C</w:t>
              </w:r>
              <w:r w:rsidR="008307F4">
                <w:rPr>
                  <w:rStyle w:val="Hyperlink"/>
                  <w:rFonts w:asciiTheme="minorHAnsi" w:hAnsiTheme="minorHAnsi" w:cstheme="majorBidi"/>
                  <w:i/>
                  <w:color w:val="CE5B18"/>
                  <w:sz w:val="17"/>
                  <w:szCs w:val="17"/>
                  <w:u w:val="none"/>
                </w:rPr>
                <w:t xml:space="preserve">. </w:t>
              </w:r>
              <w:r w:rsidR="00897360" w:rsidRPr="00020D20">
                <w:rPr>
                  <w:rStyle w:val="Hyperlink"/>
                  <w:rFonts w:asciiTheme="minorHAnsi" w:hAnsiTheme="minorHAnsi" w:cstheme="majorBidi"/>
                  <w:i/>
                  <w:color w:val="CE5B18"/>
                  <w:sz w:val="17"/>
                  <w:szCs w:val="17"/>
                  <w:u w:val="none"/>
                </w:rPr>
                <w:t>§ 135</w:t>
              </w:r>
            </w:hyperlink>
          </w:p>
        </w:tc>
        <w:tc>
          <w:tcPr>
            <w:tcW w:w="21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B74EA73" w14:textId="77777777" w:rsidR="00897360" w:rsidRPr="00020D20" w:rsidRDefault="00897360" w:rsidP="00020D20">
            <w:pPr>
              <w:spacing w:before="0" w:after="0" w:line="240" w:lineRule="auto"/>
              <w:jc w:val="both"/>
              <w:rPr>
                <w:sz w:val="17"/>
                <w:szCs w:val="17"/>
              </w:rPr>
            </w:pPr>
            <w:r w:rsidRPr="00020D20">
              <w:rPr>
                <w:w w:val="96"/>
                <w:sz w:val="17"/>
                <w:szCs w:val="17"/>
              </w:rPr>
              <w:t>Statewide and nonmetropolitan transportation plans must describe how program and project selection help achieve the targets.</w:t>
            </w:r>
          </w:p>
        </w:tc>
      </w:tr>
      <w:tr w:rsidR="00897360" w:rsidRPr="004A31B3" w14:paraId="29865453" w14:textId="77777777" w:rsidTr="00020D20">
        <w:trPr>
          <w:trHeight w:val="60"/>
        </w:trPr>
        <w:tc>
          <w:tcPr>
            <w:tcW w:w="473"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4EAFFD3F" w14:textId="77777777" w:rsidR="00897360" w:rsidRPr="00020D20" w:rsidRDefault="00897360" w:rsidP="00020D20">
            <w:pPr>
              <w:spacing w:before="0" w:after="0" w:line="240" w:lineRule="auto"/>
              <w:jc w:val="center"/>
              <w:rPr>
                <w:sz w:val="22"/>
              </w:rPr>
            </w:pPr>
            <w:r w:rsidRPr="00020D20">
              <w:rPr>
                <w:sz w:val="22"/>
              </w:rPr>
              <w:t>State</w:t>
            </w:r>
          </w:p>
        </w:tc>
        <w:tc>
          <w:tcPr>
            <w:tcW w:w="1687"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50933BAB" w14:textId="038E34BB" w:rsidR="00897360" w:rsidRPr="00020D20" w:rsidRDefault="00202C92">
            <w:pPr>
              <w:pStyle w:val="Title"/>
              <w:rPr>
                <w:sz w:val="17"/>
                <w:szCs w:val="17"/>
              </w:rPr>
            </w:pPr>
            <w:hyperlink r:id="rId410" w:history="1">
              <w:r w:rsidR="00897360" w:rsidRPr="00020D20">
                <w:rPr>
                  <w:sz w:val="17"/>
                  <w:szCs w:val="17"/>
                </w:rPr>
                <w:t>A.R.S. § 28-503</w:t>
              </w:r>
            </w:hyperlink>
          </w:p>
        </w:tc>
        <w:tc>
          <w:tcPr>
            <w:tcW w:w="21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3B64EA89" w14:textId="77777777" w:rsidR="00897360" w:rsidRPr="00020D20" w:rsidRDefault="00897360" w:rsidP="00020D20">
            <w:pPr>
              <w:spacing w:before="0" w:after="0" w:line="240" w:lineRule="auto"/>
              <w:jc w:val="both"/>
              <w:rPr>
                <w:sz w:val="17"/>
                <w:szCs w:val="17"/>
              </w:rPr>
            </w:pPr>
            <w:r w:rsidRPr="00020D20">
              <w:rPr>
                <w:w w:val="96"/>
                <w:sz w:val="17"/>
                <w:szCs w:val="17"/>
              </w:rPr>
              <w:t>The state statute covers performance-based planning and programming.</w:t>
            </w:r>
          </w:p>
        </w:tc>
      </w:tr>
      <w:tr w:rsidR="00897360" w:rsidRPr="004A31B3" w14:paraId="3273C5C9" w14:textId="77777777" w:rsidTr="00020D20">
        <w:trPr>
          <w:trHeight w:val="60"/>
        </w:trPr>
        <w:tc>
          <w:tcPr>
            <w:tcW w:w="473"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215DC3BA" w14:textId="77777777" w:rsidR="00897360" w:rsidRPr="00031BB8" w:rsidRDefault="00897360" w:rsidP="00020D20">
            <w:pPr>
              <w:spacing w:before="0" w:after="0" w:line="240" w:lineRule="auto"/>
              <w:jc w:val="center"/>
            </w:pPr>
          </w:p>
        </w:tc>
        <w:tc>
          <w:tcPr>
            <w:tcW w:w="1687"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52A8CAA" w14:textId="272806DD" w:rsidR="00897360" w:rsidRPr="00020D20" w:rsidRDefault="00202C92">
            <w:pPr>
              <w:pStyle w:val="Title"/>
              <w:rPr>
                <w:sz w:val="17"/>
                <w:szCs w:val="17"/>
              </w:rPr>
            </w:pPr>
            <w:hyperlink r:id="rId411" w:history="1">
              <w:r w:rsidR="00897360" w:rsidRPr="00020D20">
                <w:rPr>
                  <w:sz w:val="17"/>
                  <w:szCs w:val="17"/>
                </w:rPr>
                <w:t>A.R.S. § 28-504</w:t>
              </w:r>
            </w:hyperlink>
          </w:p>
        </w:tc>
        <w:tc>
          <w:tcPr>
            <w:tcW w:w="21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6C632448" w14:textId="77777777" w:rsidR="00897360" w:rsidRPr="00020D20" w:rsidRDefault="00897360" w:rsidP="00020D20">
            <w:pPr>
              <w:spacing w:before="0" w:after="0" w:line="240" w:lineRule="auto"/>
              <w:jc w:val="both"/>
              <w:rPr>
                <w:sz w:val="17"/>
                <w:szCs w:val="17"/>
              </w:rPr>
            </w:pPr>
            <w:r w:rsidRPr="00020D20">
              <w:rPr>
                <w:w w:val="96"/>
                <w:sz w:val="17"/>
                <w:szCs w:val="17"/>
              </w:rPr>
              <w:t>This state statute covers transportation system performance measures, data collection and reporting, and methodologies.</w:t>
            </w:r>
          </w:p>
        </w:tc>
      </w:tr>
      <w:tr w:rsidR="00897360" w:rsidRPr="004A31B3" w14:paraId="0E1C3AFC" w14:textId="77777777" w:rsidTr="00020D20">
        <w:trPr>
          <w:trHeight w:val="824"/>
        </w:trPr>
        <w:tc>
          <w:tcPr>
            <w:tcW w:w="473"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1E776B97" w14:textId="77777777" w:rsidR="00897360" w:rsidRPr="00031BB8" w:rsidRDefault="00897360" w:rsidP="00020D20">
            <w:pPr>
              <w:spacing w:before="0" w:after="0" w:line="240" w:lineRule="auto"/>
              <w:jc w:val="center"/>
            </w:pPr>
          </w:p>
        </w:tc>
        <w:tc>
          <w:tcPr>
            <w:tcW w:w="1687"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666742D7" w14:textId="38AA441E" w:rsidR="00897360" w:rsidRPr="00020D20" w:rsidRDefault="00202C92">
            <w:pPr>
              <w:pStyle w:val="Title"/>
              <w:rPr>
                <w:sz w:val="17"/>
                <w:szCs w:val="17"/>
              </w:rPr>
            </w:pPr>
            <w:hyperlink r:id="rId412" w:history="1">
              <w:r w:rsidR="00897360" w:rsidRPr="00020D20">
                <w:rPr>
                  <w:rStyle w:val="Hyperlink"/>
                  <w:rFonts w:asciiTheme="minorHAnsi" w:hAnsiTheme="minorHAnsi" w:cstheme="majorBidi"/>
                  <w:i/>
                  <w:color w:val="CE5B18"/>
                  <w:sz w:val="17"/>
                  <w:szCs w:val="17"/>
                  <w:u w:val="none"/>
                </w:rPr>
                <w:t>A.R.S. § 28-505</w:t>
              </w:r>
            </w:hyperlink>
          </w:p>
        </w:tc>
        <w:tc>
          <w:tcPr>
            <w:tcW w:w="21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27C1AC8" w14:textId="77777777" w:rsidR="00897360" w:rsidRPr="00020D20" w:rsidRDefault="00897360" w:rsidP="00020D20">
            <w:pPr>
              <w:spacing w:before="0" w:after="0" w:line="240" w:lineRule="auto"/>
              <w:jc w:val="both"/>
              <w:rPr>
                <w:sz w:val="17"/>
                <w:szCs w:val="17"/>
              </w:rPr>
            </w:pPr>
            <w:r w:rsidRPr="00020D20">
              <w:rPr>
                <w:w w:val="96"/>
                <w:sz w:val="17"/>
                <w:szCs w:val="17"/>
              </w:rPr>
              <w:t>This state statute covers transportation system performance factors and weights.</w:t>
            </w:r>
          </w:p>
        </w:tc>
      </w:tr>
    </w:tbl>
    <w:p w14:paraId="550D8DC8" w14:textId="3BB96397" w:rsidR="00CD09F5" w:rsidRDefault="00CD09F5" w:rsidP="00020D20">
      <w:pPr>
        <w:jc w:val="both"/>
      </w:pPr>
      <w:r>
        <w:br w:type="page"/>
      </w:r>
    </w:p>
    <w:p w14:paraId="04B61A57" w14:textId="77777777" w:rsidR="004F143B" w:rsidRPr="004F143B" w:rsidRDefault="004F143B" w:rsidP="00020D20">
      <w:pPr>
        <w:pStyle w:val="Heading2"/>
      </w:pPr>
      <w:bookmarkStart w:id="228" w:name="_Ref50029913"/>
      <w:r w:rsidRPr="004F143B">
        <w:t>6.3 | NATIONAL PERFORMANCE GOALS</w:t>
      </w:r>
      <w:bookmarkEnd w:id="228"/>
    </w:p>
    <w:p w14:paraId="591D378C" w14:textId="74D22684" w:rsidR="004F143B" w:rsidRPr="004F143B" w:rsidRDefault="00BA7FD1" w:rsidP="00020D20">
      <w:pPr>
        <w:pStyle w:val="Body-Bullets"/>
        <w:jc w:val="both"/>
      </w:pPr>
      <w:r>
        <w:t>T</w:t>
      </w:r>
      <w:r w:rsidR="00F4276A">
        <w:t xml:space="preserve">he </w:t>
      </w:r>
      <w:r w:rsidR="0083459B">
        <w:t xml:space="preserve">FAST Act continues </w:t>
      </w:r>
      <w:r w:rsidR="004F69C1">
        <w:t>allowing states to set their own targets for reaching</w:t>
      </w:r>
      <w:r w:rsidR="004F143B" w:rsidRPr="004F143B">
        <w:t xml:space="preserve"> national performance goals for Federal highway programs</w:t>
      </w:r>
      <w:r w:rsidR="0058081E">
        <w:t>:</w:t>
      </w:r>
    </w:p>
    <w:p w14:paraId="584007F8" w14:textId="543CA382" w:rsidR="005A291A" w:rsidRDefault="004F143B" w:rsidP="00020D20">
      <w:pPr>
        <w:pStyle w:val="Body-Bullets"/>
        <w:jc w:val="both"/>
      </w:pPr>
      <w:r w:rsidRPr="004D5079">
        <w:t>Safety—</w:t>
      </w:r>
      <w:r w:rsidRPr="004F143B">
        <w:t>Achieve a significant reduction in traffic fatalities and serious injuries on all public roads.</w:t>
      </w:r>
    </w:p>
    <w:p w14:paraId="779BEC02" w14:textId="77777777" w:rsidR="004A31B3" w:rsidRPr="004A31B3" w:rsidRDefault="004A31B3" w:rsidP="00020D20">
      <w:pPr>
        <w:pStyle w:val="Body-Bullets"/>
        <w:jc w:val="both"/>
      </w:pPr>
      <w:r w:rsidRPr="004D5079">
        <w:t xml:space="preserve">Infrastructure </w:t>
      </w:r>
      <w:r w:rsidRPr="00EA29A7">
        <w:t>Condition</w:t>
      </w:r>
      <w:r w:rsidRPr="00020D20">
        <w:rPr>
          <w:b/>
        </w:rPr>
        <w:t>—</w:t>
      </w:r>
      <w:r w:rsidRPr="004A31B3">
        <w:t>Maintain the highway infrastructure asset system in a state of good repair.</w:t>
      </w:r>
    </w:p>
    <w:p w14:paraId="33BA0A0E" w14:textId="77777777" w:rsidR="004A31B3" w:rsidRPr="004A31B3" w:rsidRDefault="004A31B3" w:rsidP="00020D20">
      <w:pPr>
        <w:pStyle w:val="Body-Bullets"/>
        <w:jc w:val="both"/>
      </w:pPr>
      <w:r w:rsidRPr="004D5079">
        <w:t>Congestion Reduction—</w:t>
      </w:r>
      <w:r w:rsidRPr="004A31B3">
        <w:t>Achieve a significant reduction in congestion on the NHS.</w:t>
      </w:r>
    </w:p>
    <w:p w14:paraId="03208259" w14:textId="77777777" w:rsidR="004A31B3" w:rsidRPr="004A31B3" w:rsidRDefault="004A31B3" w:rsidP="00020D20">
      <w:pPr>
        <w:pStyle w:val="Body-Bullets"/>
        <w:jc w:val="both"/>
      </w:pPr>
      <w:r w:rsidRPr="004D5079">
        <w:t>System Reliability—</w:t>
      </w:r>
      <w:r w:rsidRPr="004A31B3">
        <w:t>Improve the efficiency of the surface transportation system.</w:t>
      </w:r>
    </w:p>
    <w:p w14:paraId="113539D8" w14:textId="77777777" w:rsidR="004A31B3" w:rsidRPr="004A31B3" w:rsidRDefault="004A31B3" w:rsidP="00020D20">
      <w:pPr>
        <w:pStyle w:val="Body-Bullets"/>
        <w:jc w:val="both"/>
      </w:pPr>
      <w:r w:rsidRPr="004D5079">
        <w:t>Freight Movement and Economic Vitality—</w:t>
      </w:r>
      <w:r w:rsidRPr="004A31B3">
        <w:t>Improve the national freight network, strengthen the ability of rural communities to access national and international trade markets, and support regional economic development.</w:t>
      </w:r>
    </w:p>
    <w:p w14:paraId="41F8DF13" w14:textId="76EED920" w:rsidR="004A31B3" w:rsidRPr="004A31B3" w:rsidRDefault="004A31B3" w:rsidP="00020D20">
      <w:pPr>
        <w:pStyle w:val="Body-Bullets"/>
        <w:jc w:val="both"/>
      </w:pPr>
      <w:r w:rsidRPr="004D5079">
        <w:t>Environmental Sustainability—</w:t>
      </w:r>
      <w:r w:rsidRPr="004A31B3">
        <w:t>Enhance the performance of the transportation system while protecting and enhancing the natural environment.</w:t>
      </w:r>
    </w:p>
    <w:p w14:paraId="0FDC5550" w14:textId="4864FF14" w:rsidR="004A31B3" w:rsidRDefault="004A31B3" w:rsidP="00020D20">
      <w:pPr>
        <w:pStyle w:val="Body-Bullets"/>
        <w:jc w:val="both"/>
      </w:pPr>
      <w:r w:rsidRPr="004D5079">
        <w:t>Reduced Project Delivery Delays—</w:t>
      </w:r>
      <w:r w:rsidRPr="004A31B3">
        <w:t>Reduce project costs, promote jobs and the economy, and expedite the movement of people and goods by accelerating project completion through the elimination of delays in the project development and delivery process, including reduction of regulatory burdens and improvement of agencies’ work practices.</w:t>
      </w:r>
    </w:p>
    <w:p w14:paraId="659A6E3E" w14:textId="48BF32C3" w:rsidR="004F69C1" w:rsidRPr="004F69C1" w:rsidRDefault="0068681A" w:rsidP="00020D20">
      <w:pPr>
        <w:jc w:val="both"/>
      </w:pPr>
      <w:r>
        <w:t>T</w:t>
      </w:r>
      <w:r w:rsidR="004F69C1">
        <w:t>he FAST Act</w:t>
      </w:r>
      <w:r>
        <w:t xml:space="preserve"> did</w:t>
      </w:r>
      <w:r w:rsidR="004F69C1">
        <w:t xml:space="preserve"> </w:t>
      </w:r>
      <w:r>
        <w:t>reduce the</w:t>
      </w:r>
      <w:r w:rsidRPr="0068681A">
        <w:t xml:space="preserve"> </w:t>
      </w:r>
      <w:r>
        <w:t>timeframe for states and MPOs to meet their self-determined performance targets for the national performance goal areas from two years</w:t>
      </w:r>
      <w:r w:rsidR="00CA0916">
        <w:t xml:space="preserve"> to</w:t>
      </w:r>
      <w:r>
        <w:t xml:space="preserve"> one year.</w:t>
      </w:r>
      <w:r w:rsidR="00CA0916">
        <w:t xml:space="preserve"> The</w:t>
      </w:r>
      <w:r>
        <w:t xml:space="preserve"> FAST Act also set new </w:t>
      </w:r>
      <w:r w:rsidR="004F69C1">
        <w:t xml:space="preserve">definite </w:t>
      </w:r>
      <w:r w:rsidR="0058081E">
        <w:t xml:space="preserve">timeframes </w:t>
      </w:r>
      <w:r w:rsidR="004F69C1">
        <w:t xml:space="preserve">for </w:t>
      </w:r>
      <w:r w:rsidR="0058081E">
        <w:t xml:space="preserve">states to </w:t>
      </w:r>
      <w:r w:rsidR="004F69C1">
        <w:t>meet</w:t>
      </w:r>
      <w:r w:rsidR="0058081E">
        <w:t xml:space="preserve"> their</w:t>
      </w:r>
      <w:r w:rsidR="004F69C1">
        <w:t xml:space="preserve"> </w:t>
      </w:r>
      <w:r w:rsidR="0058081E">
        <w:t xml:space="preserve">self-determined </w:t>
      </w:r>
      <w:r w:rsidR="004F69C1">
        <w:t>performance target</w:t>
      </w:r>
      <w:r w:rsidR="0058081E">
        <w:t>s for the specific national performance goal areas of freight movement and pavement condition. In the first instance, if a state fails to meet</w:t>
      </w:r>
      <w:r w:rsidR="00CA0916">
        <w:t xml:space="preserve"> or make significant progress</w:t>
      </w:r>
      <w:r w:rsidR="0058081E">
        <w:t xml:space="preserve"> toward its freight performance target goal within two years after setting the goals, that state </w:t>
      </w:r>
      <w:r w:rsidR="0058081E" w:rsidRPr="0058081E">
        <w:t xml:space="preserve">must describe in its next performance report to </w:t>
      </w:r>
      <w:r w:rsidR="0058081E">
        <w:t>US</w:t>
      </w:r>
      <w:r w:rsidR="0058081E" w:rsidRPr="0058081E">
        <w:t>DOT the actions it will take to achieve these targets.</w:t>
      </w:r>
      <w:r w:rsidR="0058081E">
        <w:t xml:space="preserve"> </w:t>
      </w:r>
      <w:r>
        <w:t>In the second case,</w:t>
      </w:r>
      <w:r w:rsidR="00CA0916">
        <w:t xml:space="preserve"> the</w:t>
      </w:r>
      <w:r w:rsidR="0058081E">
        <w:t xml:space="preserve"> </w:t>
      </w:r>
      <w:r>
        <w:t xml:space="preserve">FAST Act adjusts the federal review timeframe down from two years to one year for when a fiscal penalty can be triggered for failing to meet condition target on a state’s interstate pavement. The penalty requires the state to dedicate certain funds to interstate maintenance until pavement condition targets have been satisfied. </w:t>
      </w:r>
    </w:p>
    <w:p w14:paraId="14FFADC7" w14:textId="77777777" w:rsidR="004A31B3" w:rsidRPr="004A31B3" w:rsidRDefault="004A31B3" w:rsidP="00020D20">
      <w:pPr>
        <w:pStyle w:val="Heading2"/>
      </w:pPr>
      <w:bookmarkStart w:id="229" w:name="_Ref50029917"/>
      <w:r w:rsidRPr="004A31B3">
        <w:t>6.4 | P2P LINK</w:t>
      </w:r>
      <w:bookmarkEnd w:id="229"/>
    </w:p>
    <w:p w14:paraId="2FBA679D" w14:textId="2C027ADC" w:rsidR="004A31B3" w:rsidRDefault="004A31B3" w:rsidP="00020D20">
      <w:pPr>
        <w:jc w:val="both"/>
      </w:pPr>
      <w:r w:rsidRPr="004A31B3">
        <w:t xml:space="preserve">ADOT has developed a planning to programming linkage called </w:t>
      </w:r>
      <w:hyperlink r:id="rId413" w:history="1">
        <w:r w:rsidRPr="00020D20">
          <w:rPr>
            <w:rStyle w:val="TitleChar"/>
          </w:rPr>
          <w:t>P2P Link</w:t>
        </w:r>
      </w:hyperlink>
      <w:r w:rsidRPr="004A31B3">
        <w:t>. It establishes a well-documented, understandable, logical, and defensible means of selecting and prioritizing projects in the STIP that will allow the Arizona state transportation system to meet the objectives identified in the LRTP.</w:t>
      </w:r>
    </w:p>
    <w:p w14:paraId="0DA3F0E8" w14:textId="50E38F0E" w:rsidR="004A31B3" w:rsidRDefault="00FD369A" w:rsidP="00020D20">
      <w:pPr>
        <w:pStyle w:val="Heading4"/>
        <w:jc w:val="both"/>
      </w:pPr>
      <w:r>
        <w:br w:type="column"/>
      </w:r>
      <w:r w:rsidR="004A31B3" w:rsidRPr="004A31B3">
        <w:t>Table 6-2: National Programs, Goals &amp; Performance Measures</w:t>
      </w:r>
    </w:p>
    <w:tbl>
      <w:tblPr>
        <w:tblW w:w="4632" w:type="dxa"/>
        <w:tblInd w:w="-5" w:type="dxa"/>
        <w:tblLayout w:type="fixed"/>
        <w:tblCellMar>
          <w:left w:w="0" w:type="dxa"/>
          <w:right w:w="0" w:type="dxa"/>
        </w:tblCellMar>
        <w:tblLook w:val="0000" w:firstRow="0" w:lastRow="0" w:firstColumn="0" w:lastColumn="0" w:noHBand="0" w:noVBand="0"/>
      </w:tblPr>
      <w:tblGrid>
        <w:gridCol w:w="1440"/>
        <w:gridCol w:w="1260"/>
        <w:gridCol w:w="1932"/>
      </w:tblGrid>
      <w:tr w:rsidR="004A31B3" w:rsidRPr="004A31B3" w14:paraId="2DEBC717" w14:textId="77777777" w:rsidTr="00020D20">
        <w:trPr>
          <w:trHeight w:val="58"/>
        </w:trPr>
        <w:tc>
          <w:tcPr>
            <w:tcW w:w="1440" w:type="dxa"/>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655DB551" w14:textId="3D1C9DE0" w:rsidR="004A31B3" w:rsidRPr="00020D20" w:rsidRDefault="00DD565A" w:rsidP="00020D20">
            <w:pPr>
              <w:spacing w:before="0" w:after="0" w:line="240" w:lineRule="auto"/>
              <w:jc w:val="center"/>
              <w:rPr>
                <w:sz w:val="22"/>
              </w:rPr>
            </w:pPr>
            <w:r w:rsidRPr="00020D20">
              <w:rPr>
                <w:sz w:val="22"/>
              </w:rPr>
              <w:t xml:space="preserve">FAST Act </w:t>
            </w:r>
            <w:r w:rsidR="004A31B3" w:rsidRPr="00020D20">
              <w:rPr>
                <w:sz w:val="22"/>
              </w:rPr>
              <w:t>Program Area</w:t>
            </w:r>
          </w:p>
        </w:tc>
        <w:tc>
          <w:tcPr>
            <w:tcW w:w="1260" w:type="dxa"/>
            <w:tcBorders>
              <w:top w:val="single" w:sz="4" w:space="0" w:color="auto"/>
              <w:left w:val="single" w:sz="4" w:space="0" w:color="FFFFFF" w:themeColor="background1"/>
              <w:bottom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5701D7BD" w14:textId="77777777" w:rsidR="004A31B3" w:rsidRPr="00020D20" w:rsidRDefault="004A31B3" w:rsidP="00020D20">
            <w:pPr>
              <w:spacing w:before="0" w:after="0" w:line="240" w:lineRule="auto"/>
              <w:jc w:val="center"/>
              <w:rPr>
                <w:sz w:val="22"/>
              </w:rPr>
            </w:pPr>
            <w:r w:rsidRPr="00020D20">
              <w:rPr>
                <w:sz w:val="22"/>
              </w:rPr>
              <w:t>National Goal Area</w:t>
            </w:r>
          </w:p>
        </w:tc>
        <w:tc>
          <w:tcPr>
            <w:tcW w:w="1932" w:type="dxa"/>
            <w:tcBorders>
              <w:top w:val="single" w:sz="4" w:space="0" w:color="auto"/>
              <w:left w:val="single" w:sz="8"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7CBE5C67" w14:textId="77777777" w:rsidR="004A31B3" w:rsidRPr="00020D20" w:rsidRDefault="004A31B3" w:rsidP="00020D20">
            <w:pPr>
              <w:spacing w:before="0" w:after="0" w:line="240" w:lineRule="auto"/>
              <w:jc w:val="center"/>
              <w:rPr>
                <w:sz w:val="22"/>
              </w:rPr>
            </w:pPr>
            <w:r w:rsidRPr="00020D20">
              <w:rPr>
                <w:sz w:val="22"/>
              </w:rPr>
              <w:t>National Performance Measure Area</w:t>
            </w:r>
          </w:p>
        </w:tc>
      </w:tr>
      <w:tr w:rsidR="0097357F" w:rsidRPr="004A31B3" w14:paraId="4730EFC1" w14:textId="77777777" w:rsidTr="00020D20">
        <w:trPr>
          <w:trHeight w:val="58"/>
        </w:trPr>
        <w:tc>
          <w:tcPr>
            <w:tcW w:w="1440" w:type="dxa"/>
            <w:vMerge w:val="restart"/>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10EE6F8C" w14:textId="2ABE0BB4" w:rsidR="0097357F" w:rsidRPr="00020D20" w:rsidRDefault="0097357F" w:rsidP="00020D20">
            <w:pPr>
              <w:spacing w:before="0" w:after="0" w:line="240" w:lineRule="auto"/>
              <w:jc w:val="center"/>
              <w:rPr>
                <w:sz w:val="22"/>
              </w:rPr>
            </w:pPr>
            <w:r w:rsidRPr="00020D20">
              <w:rPr>
                <w:sz w:val="22"/>
              </w:rPr>
              <w:t>Highway Safety Improvement Program</w:t>
            </w:r>
          </w:p>
        </w:tc>
        <w:tc>
          <w:tcPr>
            <w:tcW w:w="1260" w:type="dxa"/>
            <w:vMerge w:val="restart"/>
            <w:tcBorders>
              <w:top w:val="single" w:sz="4" w:space="0" w:color="auto"/>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263A19C3" w14:textId="3FEA3977" w:rsidR="0097357F" w:rsidRPr="00020D20" w:rsidRDefault="0097357F" w:rsidP="00020D20">
            <w:pPr>
              <w:spacing w:before="0" w:after="0" w:line="240" w:lineRule="auto"/>
              <w:jc w:val="center"/>
              <w:rPr>
                <w:sz w:val="18"/>
                <w:szCs w:val="18"/>
              </w:rPr>
            </w:pPr>
            <w:r w:rsidRPr="00020D20">
              <w:rPr>
                <w:sz w:val="18"/>
                <w:szCs w:val="18"/>
              </w:rPr>
              <w:t>Safety</w:t>
            </w:r>
          </w:p>
        </w:tc>
        <w:tc>
          <w:tcPr>
            <w:tcW w:w="1932" w:type="dxa"/>
            <w:tcBorders>
              <w:top w:val="single" w:sz="4" w:space="0" w:color="auto"/>
              <w:left w:val="single" w:sz="8" w:space="0" w:color="323232"/>
              <w:bottom w:val="single" w:sz="8" w:space="0" w:color="323232"/>
              <w:right w:val="single" w:sz="8" w:space="0" w:color="323232"/>
            </w:tcBorders>
            <w:tcMar>
              <w:top w:w="80" w:type="dxa"/>
              <w:left w:w="80" w:type="dxa"/>
              <w:bottom w:w="80" w:type="dxa"/>
              <w:right w:w="80" w:type="dxa"/>
            </w:tcMar>
            <w:vAlign w:val="center"/>
          </w:tcPr>
          <w:p w14:paraId="1DFB27C2" w14:textId="71A15ACF" w:rsidR="0097357F" w:rsidRPr="00020D20" w:rsidRDefault="0097357F" w:rsidP="00020D20">
            <w:pPr>
              <w:spacing w:before="0" w:after="0" w:line="240" w:lineRule="auto"/>
              <w:rPr>
                <w:sz w:val="18"/>
                <w:szCs w:val="18"/>
              </w:rPr>
            </w:pPr>
            <w:r w:rsidRPr="00020D20">
              <w:rPr>
                <w:sz w:val="18"/>
                <w:szCs w:val="18"/>
              </w:rPr>
              <w:t>Number of Fatalities</w:t>
            </w:r>
          </w:p>
        </w:tc>
      </w:tr>
      <w:tr w:rsidR="0097357F" w:rsidRPr="004A31B3" w14:paraId="19C561AF"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494197F2" w14:textId="15273260" w:rsidR="0097357F" w:rsidRPr="00020D20" w:rsidRDefault="0097357F" w:rsidP="00020D20">
            <w:pPr>
              <w:spacing w:before="0" w:after="0" w:line="240" w:lineRule="auto"/>
              <w:jc w:val="center"/>
              <w:rPr>
                <w:sz w:val="22"/>
              </w:rPr>
            </w:pPr>
          </w:p>
        </w:tc>
        <w:tc>
          <w:tcPr>
            <w:tcW w:w="1260" w:type="dxa"/>
            <w:vMerge/>
            <w:tcBorders>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746EE98A" w14:textId="118FB2F8" w:rsidR="0097357F" w:rsidRPr="00020D20" w:rsidRDefault="0097357F" w:rsidP="00020D20">
            <w:pPr>
              <w:spacing w:before="0" w:after="0" w:line="240" w:lineRule="auto"/>
              <w:jc w:val="center"/>
              <w:rPr>
                <w:sz w:val="18"/>
                <w:szCs w:val="18"/>
              </w:rPr>
            </w:pPr>
          </w:p>
        </w:tc>
        <w:tc>
          <w:tcPr>
            <w:tcW w:w="1932" w:type="dxa"/>
            <w:tcBorders>
              <w:top w:val="single" w:sz="8" w:space="0" w:color="FFFFFF" w:themeColor="background1"/>
              <w:left w:val="single" w:sz="8" w:space="0" w:color="323232"/>
              <w:bottom w:val="single" w:sz="8" w:space="0" w:color="323232"/>
              <w:right w:val="single" w:sz="8" w:space="0" w:color="323232"/>
            </w:tcBorders>
            <w:tcMar>
              <w:top w:w="80" w:type="dxa"/>
              <w:left w:w="80" w:type="dxa"/>
              <w:bottom w:w="80" w:type="dxa"/>
              <w:right w:w="80" w:type="dxa"/>
            </w:tcMar>
            <w:vAlign w:val="center"/>
          </w:tcPr>
          <w:p w14:paraId="5E025009" w14:textId="0DE16109" w:rsidR="0097357F" w:rsidRPr="00020D20" w:rsidRDefault="0097357F" w:rsidP="00020D20">
            <w:pPr>
              <w:spacing w:before="0" w:after="0" w:line="240" w:lineRule="auto"/>
              <w:rPr>
                <w:sz w:val="18"/>
                <w:szCs w:val="18"/>
              </w:rPr>
            </w:pPr>
            <w:r w:rsidRPr="00020D20">
              <w:rPr>
                <w:sz w:val="18"/>
                <w:szCs w:val="18"/>
              </w:rPr>
              <w:t>Rate of Fatalities per 100 million Vehicle Miles Traveled (VMT)</w:t>
            </w:r>
          </w:p>
        </w:tc>
      </w:tr>
      <w:tr w:rsidR="0097357F" w:rsidRPr="004A31B3" w14:paraId="2A379B1C"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44412614" w14:textId="77777777" w:rsidR="0097357F" w:rsidRPr="00020D20" w:rsidRDefault="0097357F" w:rsidP="00020D20">
            <w:pPr>
              <w:spacing w:before="0" w:after="0" w:line="240" w:lineRule="auto"/>
              <w:jc w:val="center"/>
              <w:rPr>
                <w:sz w:val="22"/>
              </w:rPr>
            </w:pPr>
          </w:p>
        </w:tc>
        <w:tc>
          <w:tcPr>
            <w:tcW w:w="1260" w:type="dxa"/>
            <w:vMerge/>
            <w:tcBorders>
              <w:left w:val="single" w:sz="4" w:space="0" w:color="FFFFFF" w:themeColor="background1"/>
              <w:bottom w:val="single" w:sz="8" w:space="0" w:color="323232"/>
              <w:right w:val="single" w:sz="8" w:space="0" w:color="323232"/>
            </w:tcBorders>
          </w:tcPr>
          <w:p w14:paraId="125EAD40" w14:textId="77777777" w:rsidR="0097357F" w:rsidRPr="00020D20" w:rsidRDefault="0097357F" w:rsidP="00020D20">
            <w:pPr>
              <w:spacing w:before="0" w:after="0" w:line="240" w:lineRule="auto"/>
              <w:jc w:val="center"/>
              <w:rPr>
                <w:sz w:val="18"/>
                <w:szCs w:val="18"/>
              </w:rPr>
            </w:pP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5293DE0" w14:textId="1A5454C3" w:rsidR="0097357F" w:rsidRPr="00020D20" w:rsidRDefault="0097357F" w:rsidP="00020D20">
            <w:pPr>
              <w:spacing w:before="0" w:after="0" w:line="240" w:lineRule="auto"/>
              <w:rPr>
                <w:sz w:val="18"/>
                <w:szCs w:val="18"/>
              </w:rPr>
            </w:pPr>
            <w:r w:rsidRPr="00020D20">
              <w:rPr>
                <w:sz w:val="18"/>
                <w:szCs w:val="18"/>
              </w:rPr>
              <w:t>Number of Serious Injuries</w:t>
            </w:r>
          </w:p>
        </w:tc>
      </w:tr>
      <w:tr w:rsidR="0097357F" w:rsidRPr="004A31B3" w14:paraId="2083D68D"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324647C1" w14:textId="77777777" w:rsidR="0097357F" w:rsidRPr="00020D20" w:rsidRDefault="0097357F" w:rsidP="00020D20">
            <w:pPr>
              <w:spacing w:before="0" w:after="0" w:line="240" w:lineRule="auto"/>
              <w:jc w:val="center"/>
              <w:rPr>
                <w:sz w:val="22"/>
              </w:rPr>
            </w:pPr>
          </w:p>
        </w:tc>
        <w:tc>
          <w:tcPr>
            <w:tcW w:w="1260" w:type="dxa"/>
            <w:vMerge/>
            <w:tcBorders>
              <w:left w:val="single" w:sz="4" w:space="0" w:color="FFFFFF" w:themeColor="background1"/>
              <w:bottom w:val="single" w:sz="8" w:space="0" w:color="323232"/>
              <w:right w:val="single" w:sz="8" w:space="0" w:color="323232"/>
            </w:tcBorders>
          </w:tcPr>
          <w:p w14:paraId="4D3B94FF" w14:textId="77777777" w:rsidR="0097357F" w:rsidRPr="00020D20" w:rsidRDefault="0097357F" w:rsidP="00020D20">
            <w:pPr>
              <w:spacing w:before="0" w:after="0" w:line="240" w:lineRule="auto"/>
              <w:jc w:val="center"/>
              <w:rPr>
                <w:sz w:val="18"/>
                <w:szCs w:val="18"/>
              </w:rPr>
            </w:pP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1CFEB55" w14:textId="3044830D" w:rsidR="0097357F" w:rsidRPr="00020D20" w:rsidRDefault="0097357F" w:rsidP="00020D20">
            <w:pPr>
              <w:spacing w:before="0" w:after="0" w:line="240" w:lineRule="auto"/>
              <w:rPr>
                <w:sz w:val="18"/>
                <w:szCs w:val="18"/>
              </w:rPr>
            </w:pPr>
            <w:r w:rsidRPr="00020D20">
              <w:rPr>
                <w:sz w:val="18"/>
                <w:szCs w:val="18"/>
              </w:rPr>
              <w:t>Rate of Serious Injuries per 100 million VMT</w:t>
            </w:r>
          </w:p>
        </w:tc>
      </w:tr>
      <w:tr w:rsidR="0097357F" w:rsidRPr="004A31B3" w14:paraId="0FFFF4DA"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7CCA9B50" w14:textId="77777777" w:rsidR="0097357F" w:rsidRPr="00020D20" w:rsidRDefault="0097357F" w:rsidP="00020D20">
            <w:pPr>
              <w:spacing w:before="0" w:after="0" w:line="240" w:lineRule="auto"/>
              <w:jc w:val="center"/>
              <w:rPr>
                <w:sz w:val="22"/>
              </w:rPr>
            </w:pPr>
          </w:p>
        </w:tc>
        <w:tc>
          <w:tcPr>
            <w:tcW w:w="1260" w:type="dxa"/>
            <w:vMerge/>
            <w:tcBorders>
              <w:left w:val="single" w:sz="4" w:space="0" w:color="FFFFFF" w:themeColor="background1"/>
              <w:bottom w:val="single" w:sz="8" w:space="0" w:color="323232"/>
              <w:right w:val="single" w:sz="8" w:space="0" w:color="323232"/>
            </w:tcBorders>
          </w:tcPr>
          <w:p w14:paraId="03B556D5" w14:textId="77777777" w:rsidR="0097357F" w:rsidRPr="00020D20" w:rsidRDefault="0097357F" w:rsidP="00020D20">
            <w:pPr>
              <w:spacing w:before="0" w:after="0" w:line="240" w:lineRule="auto"/>
              <w:jc w:val="center"/>
              <w:rPr>
                <w:sz w:val="18"/>
                <w:szCs w:val="18"/>
              </w:rPr>
            </w:pP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ED0EC23" w14:textId="4F6444C4" w:rsidR="0097357F" w:rsidRPr="00020D20" w:rsidRDefault="0097357F" w:rsidP="00020D20">
            <w:pPr>
              <w:spacing w:before="0" w:after="0" w:line="240" w:lineRule="auto"/>
              <w:rPr>
                <w:sz w:val="18"/>
                <w:szCs w:val="18"/>
              </w:rPr>
            </w:pPr>
            <w:r w:rsidRPr="00020D20">
              <w:rPr>
                <w:sz w:val="18"/>
                <w:szCs w:val="18"/>
              </w:rPr>
              <w:t>Number of Non-motorized Fatalities and Non-motorized Serious Injuries</w:t>
            </w:r>
          </w:p>
        </w:tc>
      </w:tr>
      <w:tr w:rsidR="0097357F" w:rsidRPr="004A31B3" w14:paraId="704090A9" w14:textId="77777777" w:rsidTr="00020D20">
        <w:trPr>
          <w:trHeight w:val="58"/>
        </w:trPr>
        <w:tc>
          <w:tcPr>
            <w:tcW w:w="1440" w:type="dxa"/>
            <w:vMerge w:val="restart"/>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69610584" w14:textId="77777777" w:rsidR="0097357F" w:rsidRPr="00020D20" w:rsidRDefault="0097357F" w:rsidP="00020D20">
            <w:pPr>
              <w:spacing w:before="0" w:after="0" w:line="240" w:lineRule="auto"/>
              <w:jc w:val="center"/>
              <w:rPr>
                <w:sz w:val="22"/>
              </w:rPr>
            </w:pPr>
            <w:r w:rsidRPr="00020D20">
              <w:rPr>
                <w:sz w:val="22"/>
              </w:rPr>
              <w:t>National Highway Performance Program</w:t>
            </w:r>
          </w:p>
        </w:tc>
        <w:tc>
          <w:tcPr>
            <w:tcW w:w="1260" w:type="dxa"/>
            <w:vMerge w:val="restart"/>
            <w:tcBorders>
              <w:top w:val="single" w:sz="8" w:space="0" w:color="323232"/>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4A1D8D3E" w14:textId="77777777" w:rsidR="0097357F" w:rsidRPr="00020D20" w:rsidRDefault="0097357F" w:rsidP="00020D20">
            <w:pPr>
              <w:spacing w:before="0" w:after="0" w:line="240" w:lineRule="auto"/>
              <w:jc w:val="center"/>
              <w:rPr>
                <w:sz w:val="18"/>
                <w:szCs w:val="18"/>
              </w:rPr>
            </w:pPr>
            <w:r w:rsidRPr="00020D20">
              <w:rPr>
                <w:sz w:val="18"/>
                <w:szCs w:val="18"/>
              </w:rPr>
              <w:t>Infrastructure Condition</w:t>
            </w: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AC059C3" w14:textId="54AEF223" w:rsidR="0097357F" w:rsidRPr="00020D20" w:rsidRDefault="0097357F" w:rsidP="00020D20">
            <w:pPr>
              <w:spacing w:before="0" w:after="0" w:line="240" w:lineRule="auto"/>
              <w:rPr>
                <w:sz w:val="18"/>
                <w:szCs w:val="18"/>
              </w:rPr>
            </w:pPr>
            <w:r w:rsidRPr="00020D20">
              <w:rPr>
                <w:sz w:val="18"/>
                <w:szCs w:val="18"/>
              </w:rPr>
              <w:t xml:space="preserve">Bridge </w:t>
            </w:r>
            <w:r w:rsidR="00FA72D0" w:rsidRPr="00020D20">
              <w:rPr>
                <w:sz w:val="18"/>
                <w:szCs w:val="18"/>
              </w:rPr>
              <w:t>C</w:t>
            </w:r>
            <w:r w:rsidRPr="00020D20">
              <w:rPr>
                <w:sz w:val="18"/>
                <w:szCs w:val="18"/>
              </w:rPr>
              <w:t>ondition on the NHS</w:t>
            </w:r>
          </w:p>
        </w:tc>
      </w:tr>
      <w:tr w:rsidR="0097357F" w:rsidRPr="004A31B3" w14:paraId="63556E5A"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77FAA923" w14:textId="77777777" w:rsidR="0097357F" w:rsidRPr="00020D20" w:rsidRDefault="0097357F" w:rsidP="00020D20">
            <w:pPr>
              <w:spacing w:before="0" w:after="0" w:line="240" w:lineRule="auto"/>
              <w:jc w:val="center"/>
              <w:rPr>
                <w:sz w:val="22"/>
              </w:rPr>
            </w:pPr>
          </w:p>
        </w:tc>
        <w:tc>
          <w:tcPr>
            <w:tcW w:w="1260" w:type="dxa"/>
            <w:vMerge/>
            <w:tcBorders>
              <w:top w:val="single" w:sz="8" w:space="0" w:color="323232"/>
              <w:left w:val="single" w:sz="4" w:space="0" w:color="FFFFFF" w:themeColor="background1"/>
              <w:bottom w:val="single" w:sz="8" w:space="0" w:color="323232"/>
              <w:right w:val="single" w:sz="8" w:space="0" w:color="323232"/>
            </w:tcBorders>
          </w:tcPr>
          <w:p w14:paraId="6637ACC2" w14:textId="77777777" w:rsidR="0097357F" w:rsidRPr="00020D20" w:rsidRDefault="0097357F" w:rsidP="00020D20">
            <w:pPr>
              <w:spacing w:before="0" w:after="0" w:line="240" w:lineRule="auto"/>
              <w:jc w:val="center"/>
              <w:rPr>
                <w:sz w:val="18"/>
                <w:szCs w:val="18"/>
              </w:rPr>
            </w:pP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00EB70DD" w14:textId="568C07DF" w:rsidR="0097357F" w:rsidRPr="00020D20" w:rsidRDefault="0097357F" w:rsidP="00020D20">
            <w:pPr>
              <w:spacing w:before="0" w:after="0" w:line="240" w:lineRule="auto"/>
              <w:rPr>
                <w:sz w:val="18"/>
                <w:szCs w:val="18"/>
              </w:rPr>
            </w:pPr>
            <w:r w:rsidRPr="00020D20">
              <w:rPr>
                <w:sz w:val="18"/>
                <w:szCs w:val="18"/>
              </w:rPr>
              <w:t xml:space="preserve">Pavement </w:t>
            </w:r>
            <w:r w:rsidR="00FA72D0" w:rsidRPr="00020D20">
              <w:rPr>
                <w:sz w:val="18"/>
                <w:szCs w:val="18"/>
              </w:rPr>
              <w:t>C</w:t>
            </w:r>
            <w:r w:rsidRPr="00020D20">
              <w:rPr>
                <w:sz w:val="18"/>
                <w:szCs w:val="18"/>
              </w:rPr>
              <w:t>ondition of the Interstate System</w:t>
            </w:r>
          </w:p>
        </w:tc>
      </w:tr>
      <w:tr w:rsidR="0097357F" w:rsidRPr="004A31B3" w14:paraId="3594189A"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5F776902" w14:textId="77777777" w:rsidR="0097357F" w:rsidRPr="00020D20" w:rsidRDefault="0097357F" w:rsidP="00020D20">
            <w:pPr>
              <w:spacing w:before="0" w:after="0" w:line="240" w:lineRule="auto"/>
              <w:jc w:val="center"/>
              <w:rPr>
                <w:sz w:val="22"/>
              </w:rPr>
            </w:pPr>
          </w:p>
        </w:tc>
        <w:tc>
          <w:tcPr>
            <w:tcW w:w="1260" w:type="dxa"/>
            <w:vMerge/>
            <w:tcBorders>
              <w:top w:val="single" w:sz="8" w:space="0" w:color="323232"/>
              <w:left w:val="single" w:sz="4" w:space="0" w:color="FFFFFF" w:themeColor="background1"/>
              <w:bottom w:val="single" w:sz="8" w:space="0" w:color="323232"/>
              <w:right w:val="single" w:sz="8" w:space="0" w:color="323232"/>
            </w:tcBorders>
          </w:tcPr>
          <w:p w14:paraId="03044FC4" w14:textId="77777777" w:rsidR="0097357F" w:rsidRPr="00020D20" w:rsidRDefault="0097357F" w:rsidP="00020D20">
            <w:pPr>
              <w:spacing w:before="0" w:after="0" w:line="240" w:lineRule="auto"/>
              <w:jc w:val="center"/>
              <w:rPr>
                <w:sz w:val="18"/>
                <w:szCs w:val="18"/>
              </w:rPr>
            </w:pP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774C41B" w14:textId="5516EA13" w:rsidR="0097357F" w:rsidRPr="00020D20" w:rsidRDefault="0097357F" w:rsidP="00020D20">
            <w:pPr>
              <w:spacing w:before="0" w:after="0" w:line="240" w:lineRule="auto"/>
              <w:rPr>
                <w:sz w:val="18"/>
                <w:szCs w:val="18"/>
              </w:rPr>
            </w:pPr>
            <w:r w:rsidRPr="00020D20">
              <w:rPr>
                <w:sz w:val="18"/>
                <w:szCs w:val="18"/>
              </w:rPr>
              <w:t xml:space="preserve">Pavement </w:t>
            </w:r>
            <w:r w:rsidR="00FA72D0" w:rsidRPr="00020D20">
              <w:rPr>
                <w:sz w:val="18"/>
                <w:szCs w:val="18"/>
              </w:rPr>
              <w:t>C</w:t>
            </w:r>
            <w:r w:rsidRPr="00020D20">
              <w:rPr>
                <w:sz w:val="18"/>
                <w:szCs w:val="18"/>
              </w:rPr>
              <w:t>ondition of the NHS</w:t>
            </w:r>
          </w:p>
        </w:tc>
      </w:tr>
      <w:tr w:rsidR="0097357F" w:rsidRPr="004A31B3" w14:paraId="2407704E"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0D809FCB" w14:textId="77777777" w:rsidR="0097357F" w:rsidRPr="00020D20" w:rsidRDefault="0097357F" w:rsidP="00020D20">
            <w:pPr>
              <w:spacing w:before="0" w:after="0" w:line="240" w:lineRule="auto"/>
              <w:jc w:val="center"/>
              <w:rPr>
                <w:sz w:val="22"/>
              </w:rPr>
            </w:pPr>
          </w:p>
        </w:tc>
        <w:tc>
          <w:tcPr>
            <w:tcW w:w="1260" w:type="dxa"/>
            <w:vMerge w:val="restart"/>
            <w:tcBorders>
              <w:top w:val="single" w:sz="8" w:space="0" w:color="323232"/>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1A7EEC0A" w14:textId="77777777" w:rsidR="0097357F" w:rsidRPr="00020D20" w:rsidRDefault="0097357F" w:rsidP="00020D20">
            <w:pPr>
              <w:spacing w:before="0" w:after="0" w:line="240" w:lineRule="auto"/>
              <w:jc w:val="center"/>
              <w:rPr>
                <w:sz w:val="18"/>
                <w:szCs w:val="18"/>
              </w:rPr>
            </w:pPr>
            <w:r w:rsidRPr="00020D20">
              <w:rPr>
                <w:sz w:val="18"/>
                <w:szCs w:val="18"/>
              </w:rPr>
              <w:t>System Reliability</w:t>
            </w: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2320571" w14:textId="77777777" w:rsidR="0097357F" w:rsidRPr="00020D20" w:rsidRDefault="0097357F" w:rsidP="00020D20">
            <w:pPr>
              <w:spacing w:before="0" w:after="0" w:line="240" w:lineRule="auto"/>
              <w:rPr>
                <w:sz w:val="18"/>
                <w:szCs w:val="18"/>
              </w:rPr>
            </w:pPr>
            <w:r w:rsidRPr="00020D20">
              <w:rPr>
                <w:sz w:val="18"/>
                <w:szCs w:val="18"/>
              </w:rPr>
              <w:t>Performance of the Interstate System</w:t>
            </w:r>
          </w:p>
        </w:tc>
      </w:tr>
      <w:tr w:rsidR="0097357F" w:rsidRPr="004A31B3" w14:paraId="4940C41F"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4C6C3946" w14:textId="77777777" w:rsidR="0097357F" w:rsidRPr="00020D20" w:rsidRDefault="0097357F" w:rsidP="00020D20">
            <w:pPr>
              <w:spacing w:before="0" w:after="0" w:line="240" w:lineRule="auto"/>
              <w:jc w:val="center"/>
              <w:rPr>
                <w:sz w:val="22"/>
              </w:rPr>
            </w:pPr>
          </w:p>
        </w:tc>
        <w:tc>
          <w:tcPr>
            <w:tcW w:w="1260" w:type="dxa"/>
            <w:vMerge/>
            <w:tcBorders>
              <w:top w:val="single" w:sz="8" w:space="0" w:color="323232"/>
              <w:left w:val="single" w:sz="4" w:space="0" w:color="FFFFFF" w:themeColor="background1"/>
              <w:bottom w:val="single" w:sz="8" w:space="0" w:color="323232"/>
              <w:right w:val="single" w:sz="8" w:space="0" w:color="323232"/>
            </w:tcBorders>
          </w:tcPr>
          <w:p w14:paraId="6EDE2392" w14:textId="77777777" w:rsidR="0097357F" w:rsidRPr="00020D20" w:rsidRDefault="0097357F" w:rsidP="00020D20">
            <w:pPr>
              <w:spacing w:before="0" w:after="0" w:line="240" w:lineRule="auto"/>
              <w:jc w:val="center"/>
              <w:rPr>
                <w:sz w:val="18"/>
                <w:szCs w:val="18"/>
              </w:rPr>
            </w:pP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5B077C84" w14:textId="6B1EC29A" w:rsidR="0097357F" w:rsidRPr="00020D20" w:rsidRDefault="0097357F" w:rsidP="00020D20">
            <w:pPr>
              <w:spacing w:before="0" w:after="0" w:line="240" w:lineRule="auto"/>
              <w:rPr>
                <w:sz w:val="18"/>
                <w:szCs w:val="18"/>
              </w:rPr>
            </w:pPr>
            <w:r w:rsidRPr="00020D20">
              <w:rPr>
                <w:sz w:val="18"/>
                <w:szCs w:val="18"/>
              </w:rPr>
              <w:t xml:space="preserve">Performance of the NHS </w:t>
            </w:r>
            <w:r w:rsidR="00FA72D0" w:rsidRPr="00020D20">
              <w:rPr>
                <w:sz w:val="18"/>
                <w:szCs w:val="18"/>
              </w:rPr>
              <w:t>E</w:t>
            </w:r>
            <w:r w:rsidRPr="00020D20">
              <w:rPr>
                <w:sz w:val="18"/>
                <w:szCs w:val="18"/>
              </w:rPr>
              <w:t>xcluding the Interstate System</w:t>
            </w:r>
          </w:p>
        </w:tc>
      </w:tr>
      <w:tr w:rsidR="0097357F" w:rsidRPr="004A31B3" w14:paraId="52299263" w14:textId="77777777" w:rsidTr="00020D20">
        <w:trPr>
          <w:trHeight w:val="58"/>
        </w:trPr>
        <w:tc>
          <w:tcPr>
            <w:tcW w:w="1440" w:type="dxa"/>
            <w:vMerge w:val="restart"/>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54B0AFE1" w14:textId="170B33D1" w:rsidR="0097357F" w:rsidRPr="00020D20" w:rsidRDefault="0097357F" w:rsidP="00020D20">
            <w:pPr>
              <w:spacing w:before="0" w:after="0" w:line="240" w:lineRule="auto"/>
              <w:jc w:val="center"/>
              <w:rPr>
                <w:sz w:val="22"/>
              </w:rPr>
            </w:pPr>
            <w:r w:rsidRPr="00020D20">
              <w:rPr>
                <w:sz w:val="22"/>
              </w:rPr>
              <w:t>Congestion, Mitigation</w:t>
            </w:r>
            <w:r w:rsidR="00DB4F5D">
              <w:rPr>
                <w:sz w:val="22"/>
              </w:rPr>
              <w:t>,</w:t>
            </w:r>
            <w:r w:rsidRPr="00020D20">
              <w:rPr>
                <w:sz w:val="22"/>
              </w:rPr>
              <w:t xml:space="preserve"> and Air Quality</w:t>
            </w:r>
          </w:p>
        </w:tc>
        <w:tc>
          <w:tcPr>
            <w:tcW w:w="1260" w:type="dxa"/>
            <w:tcBorders>
              <w:top w:val="single" w:sz="8" w:space="0" w:color="323232"/>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195823AE" w14:textId="2DC75A9E" w:rsidR="0097357F" w:rsidRPr="00020D20" w:rsidRDefault="0097357F" w:rsidP="00020D20">
            <w:pPr>
              <w:spacing w:before="0" w:after="0" w:line="240" w:lineRule="auto"/>
              <w:jc w:val="center"/>
              <w:rPr>
                <w:sz w:val="18"/>
                <w:szCs w:val="18"/>
              </w:rPr>
            </w:pPr>
            <w:r w:rsidRPr="00020D20">
              <w:rPr>
                <w:sz w:val="18"/>
                <w:szCs w:val="18"/>
              </w:rPr>
              <w:t>Congestion Reduction</w:t>
            </w: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655D94FD" w14:textId="161C76C6" w:rsidR="0097357F" w:rsidRPr="00020D20" w:rsidRDefault="0097357F" w:rsidP="00020D20">
            <w:pPr>
              <w:spacing w:before="0" w:after="0" w:line="240" w:lineRule="auto"/>
              <w:rPr>
                <w:sz w:val="18"/>
                <w:szCs w:val="18"/>
              </w:rPr>
            </w:pPr>
            <w:r w:rsidRPr="00020D20">
              <w:rPr>
                <w:sz w:val="18"/>
                <w:szCs w:val="18"/>
              </w:rPr>
              <w:t xml:space="preserve">Traffic </w:t>
            </w:r>
            <w:r w:rsidR="00FA72D0" w:rsidRPr="00020D20">
              <w:rPr>
                <w:sz w:val="18"/>
                <w:szCs w:val="18"/>
              </w:rPr>
              <w:t>C</w:t>
            </w:r>
            <w:r w:rsidRPr="00020D20">
              <w:rPr>
                <w:sz w:val="18"/>
                <w:szCs w:val="18"/>
              </w:rPr>
              <w:t>ongestion</w:t>
            </w:r>
          </w:p>
        </w:tc>
      </w:tr>
      <w:tr w:rsidR="0097357F" w:rsidRPr="004A31B3" w14:paraId="6F11D8D8" w14:textId="77777777" w:rsidTr="00020D20">
        <w:trPr>
          <w:trHeight w:val="58"/>
        </w:trPr>
        <w:tc>
          <w:tcPr>
            <w:tcW w:w="1440" w:type="dxa"/>
            <w:vMerge/>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Pr>
          <w:p w14:paraId="1FE1D00F" w14:textId="77777777" w:rsidR="0097357F" w:rsidRPr="00020D20" w:rsidRDefault="0097357F" w:rsidP="00020D20">
            <w:pPr>
              <w:spacing w:before="0" w:after="0" w:line="240" w:lineRule="auto"/>
              <w:jc w:val="center"/>
              <w:rPr>
                <w:sz w:val="22"/>
              </w:rPr>
            </w:pPr>
          </w:p>
        </w:tc>
        <w:tc>
          <w:tcPr>
            <w:tcW w:w="1260" w:type="dxa"/>
            <w:tcBorders>
              <w:top w:val="single" w:sz="8" w:space="0" w:color="323232"/>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34F79F19" w14:textId="77777777" w:rsidR="0097357F" w:rsidRPr="00020D20" w:rsidRDefault="0097357F" w:rsidP="00020D20">
            <w:pPr>
              <w:spacing w:before="0" w:after="0" w:line="240" w:lineRule="auto"/>
              <w:jc w:val="center"/>
              <w:rPr>
                <w:sz w:val="18"/>
                <w:szCs w:val="18"/>
              </w:rPr>
            </w:pPr>
            <w:r w:rsidRPr="00020D20">
              <w:rPr>
                <w:sz w:val="18"/>
                <w:szCs w:val="18"/>
              </w:rPr>
              <w:t>Environmental Sustainability</w:t>
            </w: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1A9F5F25" w14:textId="01DB7ACD" w:rsidR="0097357F" w:rsidRPr="00020D20" w:rsidRDefault="0097357F" w:rsidP="00020D20">
            <w:pPr>
              <w:spacing w:before="0" w:after="0" w:line="240" w:lineRule="auto"/>
              <w:rPr>
                <w:sz w:val="18"/>
                <w:szCs w:val="18"/>
              </w:rPr>
            </w:pPr>
            <w:r w:rsidRPr="00020D20">
              <w:rPr>
                <w:sz w:val="18"/>
                <w:szCs w:val="18"/>
              </w:rPr>
              <w:t xml:space="preserve">On-road </w:t>
            </w:r>
            <w:r w:rsidR="00FA72D0" w:rsidRPr="00020D20">
              <w:rPr>
                <w:sz w:val="18"/>
                <w:szCs w:val="18"/>
              </w:rPr>
              <w:t>M</w:t>
            </w:r>
            <w:r w:rsidRPr="00020D20">
              <w:rPr>
                <w:sz w:val="18"/>
                <w:szCs w:val="18"/>
              </w:rPr>
              <w:t>obile</w:t>
            </w:r>
            <w:r w:rsidR="00D0205D">
              <w:rPr>
                <w:sz w:val="18"/>
                <w:szCs w:val="18"/>
              </w:rPr>
              <w:t xml:space="preserve"> </w:t>
            </w:r>
            <w:r w:rsidR="00FA72D0" w:rsidRPr="00020D20">
              <w:rPr>
                <w:sz w:val="18"/>
                <w:szCs w:val="18"/>
              </w:rPr>
              <w:t>S</w:t>
            </w:r>
            <w:r w:rsidRPr="00020D20">
              <w:rPr>
                <w:sz w:val="18"/>
                <w:szCs w:val="18"/>
              </w:rPr>
              <w:t xml:space="preserve">ource </w:t>
            </w:r>
            <w:r w:rsidR="00FA72D0" w:rsidRPr="00020D20">
              <w:rPr>
                <w:sz w:val="18"/>
                <w:szCs w:val="18"/>
              </w:rPr>
              <w:t>E</w:t>
            </w:r>
            <w:r w:rsidRPr="00020D20">
              <w:rPr>
                <w:sz w:val="18"/>
                <w:szCs w:val="18"/>
              </w:rPr>
              <w:t>missions</w:t>
            </w:r>
          </w:p>
        </w:tc>
      </w:tr>
      <w:tr w:rsidR="0097357F" w:rsidRPr="004A31B3" w14:paraId="19FA9B78" w14:textId="77777777" w:rsidTr="00020D20">
        <w:trPr>
          <w:trHeight w:val="1520"/>
        </w:trPr>
        <w:tc>
          <w:tcPr>
            <w:tcW w:w="1440" w:type="dxa"/>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1AB8BE79" w14:textId="4D6068A4" w:rsidR="0097357F" w:rsidRPr="00020D20" w:rsidRDefault="0097357F" w:rsidP="00020D20">
            <w:pPr>
              <w:spacing w:before="0" w:after="0" w:line="240" w:lineRule="auto"/>
              <w:jc w:val="center"/>
              <w:rPr>
                <w:sz w:val="22"/>
              </w:rPr>
            </w:pPr>
            <w:r w:rsidRPr="00020D20">
              <w:rPr>
                <w:sz w:val="22"/>
              </w:rPr>
              <w:t>National High</w:t>
            </w:r>
            <w:r w:rsidR="00FA72D0" w:rsidRPr="00020D20">
              <w:rPr>
                <w:sz w:val="22"/>
              </w:rPr>
              <w:t xml:space="preserve">way </w:t>
            </w:r>
            <w:r w:rsidRPr="00020D20">
              <w:rPr>
                <w:sz w:val="22"/>
              </w:rPr>
              <w:t>Freight</w:t>
            </w:r>
            <w:r w:rsidR="00FA72D0" w:rsidRPr="00020D20">
              <w:rPr>
                <w:sz w:val="22"/>
              </w:rPr>
              <w:t xml:space="preserve"> Program</w:t>
            </w:r>
          </w:p>
        </w:tc>
        <w:tc>
          <w:tcPr>
            <w:tcW w:w="1260" w:type="dxa"/>
            <w:tcBorders>
              <w:top w:val="single" w:sz="8" w:space="0" w:color="323232"/>
              <w:left w:val="single" w:sz="4" w:space="0" w:color="FFFFFF" w:themeColor="background1"/>
              <w:bottom w:val="single" w:sz="8" w:space="0" w:color="323232"/>
              <w:right w:val="single" w:sz="8" w:space="0" w:color="323232"/>
            </w:tcBorders>
            <w:tcMar>
              <w:top w:w="80" w:type="dxa"/>
              <w:left w:w="80" w:type="dxa"/>
              <w:bottom w:w="80" w:type="dxa"/>
              <w:right w:w="80" w:type="dxa"/>
            </w:tcMar>
            <w:vAlign w:val="center"/>
          </w:tcPr>
          <w:p w14:paraId="3C6FDFEE" w14:textId="77777777" w:rsidR="0097357F" w:rsidRPr="00020D20" w:rsidRDefault="0097357F" w:rsidP="00020D20">
            <w:pPr>
              <w:spacing w:before="0" w:after="0" w:line="240" w:lineRule="auto"/>
              <w:jc w:val="center"/>
              <w:rPr>
                <w:sz w:val="18"/>
                <w:szCs w:val="18"/>
              </w:rPr>
            </w:pPr>
            <w:r w:rsidRPr="00020D20">
              <w:rPr>
                <w:sz w:val="18"/>
                <w:szCs w:val="18"/>
              </w:rPr>
              <w:t>Freight Movement &amp; Economic Vitality</w:t>
            </w:r>
          </w:p>
        </w:tc>
        <w:tc>
          <w:tcPr>
            <w:tcW w:w="1932" w:type="dxa"/>
            <w:tcBorders>
              <w:top w:val="single" w:sz="8" w:space="0" w:color="323232"/>
              <w:left w:val="single" w:sz="8" w:space="0" w:color="323232"/>
              <w:bottom w:val="single" w:sz="8" w:space="0" w:color="323232"/>
              <w:right w:val="single" w:sz="8" w:space="0" w:color="323232"/>
            </w:tcBorders>
            <w:tcMar>
              <w:top w:w="80" w:type="dxa"/>
              <w:left w:w="80" w:type="dxa"/>
              <w:bottom w:w="80" w:type="dxa"/>
              <w:right w:w="80" w:type="dxa"/>
            </w:tcMar>
            <w:vAlign w:val="center"/>
          </w:tcPr>
          <w:p w14:paraId="2AEE7B3D" w14:textId="5C02C2BE" w:rsidR="0097357F" w:rsidRPr="00020D20" w:rsidRDefault="00FA72D0" w:rsidP="00020D20">
            <w:pPr>
              <w:spacing w:before="0" w:after="0" w:line="240" w:lineRule="auto"/>
              <w:rPr>
                <w:sz w:val="18"/>
                <w:szCs w:val="18"/>
              </w:rPr>
            </w:pPr>
            <w:r w:rsidRPr="00020D20">
              <w:rPr>
                <w:sz w:val="18"/>
                <w:szCs w:val="18"/>
              </w:rPr>
              <w:t xml:space="preserve">Efficient </w:t>
            </w:r>
            <w:r w:rsidR="0097357F" w:rsidRPr="00020D20">
              <w:rPr>
                <w:sz w:val="18"/>
                <w:szCs w:val="18"/>
              </w:rPr>
              <w:t xml:space="preserve">Freight </w:t>
            </w:r>
            <w:r w:rsidRPr="00020D20">
              <w:rPr>
                <w:sz w:val="18"/>
                <w:szCs w:val="18"/>
              </w:rPr>
              <w:t>M</w:t>
            </w:r>
            <w:r w:rsidR="0097357F" w:rsidRPr="00020D20">
              <w:rPr>
                <w:sz w:val="18"/>
                <w:szCs w:val="18"/>
              </w:rPr>
              <w:t>ovement on the Interstate System</w:t>
            </w:r>
          </w:p>
        </w:tc>
      </w:tr>
    </w:tbl>
    <w:p w14:paraId="7BC8A445" w14:textId="231FA7AD" w:rsidR="004A31B3" w:rsidRDefault="00CD09F5" w:rsidP="00020D20">
      <w:pPr>
        <w:jc w:val="both"/>
      </w:pPr>
      <w:r>
        <w:br w:type="column"/>
      </w:r>
      <w:r w:rsidR="004A31B3" w:rsidRPr="004A31B3">
        <w:t xml:space="preserve">The approach preferred by the leadership of ADOT, and required by </w:t>
      </w:r>
      <w:r w:rsidR="00DD565A">
        <w:t>FAST Act</w:t>
      </w:r>
      <w:r w:rsidR="004A31B3" w:rsidRPr="004A31B3">
        <w:t xml:space="preserve"> legislation, demands that the system be evaluated from a variety of critical perspectives and that decisions be made on the basis of system performance. ADOT is in the process of developing clear objectives for how the system elements will be expected to perform so they can help identify system priorities and strategically select projects for a capital program that meets ADOT’s policy objectives. P2P Link is designed to implement a “best-in-class” performance-based planning process, which will include recommendations about what ADOT should consider under performance categories to comply with </w:t>
      </w:r>
      <w:r w:rsidR="00CA0916">
        <w:t xml:space="preserve">the </w:t>
      </w:r>
      <w:r w:rsidR="00FA72D0">
        <w:t>FAST Act</w:t>
      </w:r>
      <w:r w:rsidR="004A31B3" w:rsidRPr="004A31B3">
        <w:t>. Implementation of a revised process will require a more strategic allocation of resources based on priorities set in accordance with performance. These changes will allow the resulting program to address Arizona transportation policy, and transportation needs as a whole.</w:t>
      </w:r>
    </w:p>
    <w:p w14:paraId="15F71C35" w14:textId="77777777" w:rsidR="004A31B3" w:rsidRPr="004A31B3" w:rsidRDefault="004A31B3" w:rsidP="00020D20">
      <w:pPr>
        <w:pStyle w:val="Heading3"/>
        <w:jc w:val="both"/>
      </w:pPr>
      <w:bookmarkStart w:id="230" w:name="_Ref50029921"/>
      <w:r w:rsidRPr="004A31B3">
        <w:t>6.4.1 | Initial P2P Performance Measures</w:t>
      </w:r>
      <w:bookmarkEnd w:id="230"/>
      <w:r w:rsidRPr="004A31B3">
        <w:t xml:space="preserve"> </w:t>
      </w:r>
    </w:p>
    <w:p w14:paraId="4401D813" w14:textId="6BA32B3B" w:rsidR="004A31B3" w:rsidRDefault="004A31B3" w:rsidP="00020D20">
      <w:pPr>
        <w:jc w:val="both"/>
      </w:pPr>
      <w:r w:rsidRPr="004A31B3">
        <w:t>The</w:t>
      </w:r>
      <w:r w:rsidR="0075025B">
        <w:t xml:space="preserve"> P2P Link </w:t>
      </w:r>
      <w:r w:rsidRPr="004A31B3">
        <w:t xml:space="preserve">team developed metrics for system performance that address </w:t>
      </w:r>
      <w:r w:rsidR="00FA72D0">
        <w:t>the FAST Act</w:t>
      </w:r>
      <w:r w:rsidRPr="004A31B3">
        <w:t xml:space="preserve"> and can be used as a starting point for ADOT, including:</w:t>
      </w:r>
    </w:p>
    <w:p w14:paraId="15CB1AEF" w14:textId="77777777" w:rsidR="004A31B3" w:rsidRPr="004A31B3" w:rsidRDefault="004A31B3" w:rsidP="00020D20">
      <w:pPr>
        <w:pStyle w:val="Body-Bullets"/>
        <w:jc w:val="both"/>
      </w:pPr>
      <w:r w:rsidRPr="004A31B3">
        <w:t>System Preservation - Roadway;</w:t>
      </w:r>
    </w:p>
    <w:p w14:paraId="2BD507FC" w14:textId="77777777" w:rsidR="004A31B3" w:rsidRPr="004A31B3" w:rsidRDefault="004A31B3" w:rsidP="00020D20">
      <w:pPr>
        <w:pStyle w:val="Body-Bullets"/>
        <w:jc w:val="both"/>
      </w:pPr>
      <w:r w:rsidRPr="004A31B3">
        <w:t>System Preservation - Bridge;</w:t>
      </w:r>
    </w:p>
    <w:p w14:paraId="26A01B20" w14:textId="77777777" w:rsidR="004A31B3" w:rsidRPr="004A31B3" w:rsidRDefault="004A31B3" w:rsidP="00020D20">
      <w:pPr>
        <w:pStyle w:val="Body-Bullets"/>
        <w:jc w:val="both"/>
      </w:pPr>
      <w:r w:rsidRPr="004A31B3">
        <w:t>Modernization; and</w:t>
      </w:r>
    </w:p>
    <w:p w14:paraId="673D6686" w14:textId="77777777" w:rsidR="004A31B3" w:rsidRPr="004A31B3" w:rsidRDefault="004A31B3" w:rsidP="00020D20">
      <w:pPr>
        <w:pStyle w:val="Body-Bullets"/>
        <w:jc w:val="both"/>
      </w:pPr>
      <w:r w:rsidRPr="004A31B3">
        <w:t>Expansion.</w:t>
      </w:r>
    </w:p>
    <w:p w14:paraId="55E4243A" w14:textId="71B0BA04" w:rsidR="00F8437E" w:rsidRDefault="00F8437E" w:rsidP="00020D20">
      <w:pPr>
        <w:jc w:val="both"/>
        <w:sectPr w:rsidR="00F8437E" w:rsidSect="00020D20">
          <w:type w:val="continuous"/>
          <w:pgSz w:w="12240" w:h="15840"/>
          <w:pgMar w:top="1440" w:right="1440" w:bottom="1440" w:left="1440" w:header="720" w:footer="720" w:gutter="0"/>
          <w:pgNumType w:chapStyle="1"/>
          <w:cols w:num="2" w:space="720"/>
          <w:docGrid w:linePitch="360"/>
        </w:sectPr>
      </w:pPr>
    </w:p>
    <w:p w14:paraId="500647BD" w14:textId="28DD97E2" w:rsidR="00904690" w:rsidRDefault="003C5CDC" w:rsidP="00020D20">
      <w:pPr>
        <w:pStyle w:val="BodyTextTitle"/>
        <w:spacing w:before="0" w:after="0" w:line="240" w:lineRule="auto"/>
        <w:jc w:val="both"/>
        <w:rPr>
          <w:w w:val="96"/>
        </w:rPr>
      </w:pPr>
      <w:r>
        <w:rPr>
          <w:w w:val="96"/>
        </w:rPr>
        <w:t>7</w:t>
      </w:r>
      <w:r w:rsidR="00904690">
        <w:rPr>
          <w:w w:val="96"/>
        </w:rPr>
        <w:t xml:space="preserve"> </w:t>
      </w:r>
      <w:r>
        <w:rPr>
          <w:w w:val="96"/>
        </w:rPr>
        <w:t xml:space="preserve">| </w:t>
      </w:r>
      <w:r w:rsidR="00904690">
        <w:rPr>
          <w:w w:val="96"/>
        </w:rPr>
        <w:t>REGIONAL TRANSPORTATION PLAN</w:t>
      </w:r>
    </w:p>
    <w:p w14:paraId="0AF9AAE0" w14:textId="41FE3363" w:rsidR="00F10318" w:rsidRPr="00020D20" w:rsidRDefault="003C5CDC" w:rsidP="00020D20">
      <w:pPr>
        <w:pStyle w:val="BodyTextTitle"/>
        <w:spacing w:before="0" w:line="240" w:lineRule="auto"/>
        <w:jc w:val="both"/>
        <w:rPr>
          <w:w w:val="96"/>
          <w:sz w:val="36"/>
        </w:rPr>
      </w:pPr>
      <w:r w:rsidRPr="00020D20">
        <w:rPr>
          <w:w w:val="96"/>
          <w:sz w:val="36"/>
        </w:rPr>
        <w:t>TABLE OF CONTENTS</w:t>
      </w:r>
    </w:p>
    <w:p w14:paraId="138444D6" w14:textId="57AFBA45" w:rsidR="003C5CDC"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_Ref50030067 \h </w:instrText>
      </w:r>
      <w:r w:rsidR="002D38FC">
        <w:rPr>
          <w:w w:val="96"/>
        </w:rPr>
        <w:instrText xml:space="preserve"> \* MERGEFORMAT </w:instrText>
      </w:r>
      <w:r>
        <w:rPr>
          <w:w w:val="96"/>
        </w:rPr>
      </w:r>
      <w:r>
        <w:rPr>
          <w:w w:val="96"/>
        </w:rPr>
        <w:fldChar w:fldCharType="separate"/>
      </w:r>
      <w:r w:rsidRPr="009F3D00">
        <w:t>7.1 | PURPOSE</w:t>
      </w:r>
      <w:r>
        <w:rPr>
          <w:w w:val="96"/>
        </w:rPr>
        <w:fldChar w:fldCharType="end"/>
      </w:r>
    </w:p>
    <w:p w14:paraId="04956D33" w14:textId="0B89C1EF"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_Ref50030071 \h </w:instrText>
      </w:r>
      <w:r w:rsidR="002D38FC">
        <w:rPr>
          <w:w w:val="96"/>
        </w:rPr>
        <w:instrText xml:space="preserve"> \* MERGEFORMAT </w:instrText>
      </w:r>
      <w:r>
        <w:rPr>
          <w:w w:val="96"/>
        </w:rPr>
      </w:r>
      <w:r>
        <w:rPr>
          <w:w w:val="96"/>
        </w:rPr>
        <w:fldChar w:fldCharType="separate"/>
      </w:r>
      <w:r w:rsidRPr="009F3D00">
        <w:t>7.2 | AUTHORITY</w:t>
      </w:r>
      <w:r>
        <w:rPr>
          <w:w w:val="96"/>
        </w:rPr>
        <w:fldChar w:fldCharType="end"/>
      </w:r>
    </w:p>
    <w:p w14:paraId="55E3A05B" w14:textId="3EE1B1A2"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_Ref50030076 \h </w:instrText>
      </w:r>
      <w:r w:rsidR="002D38FC">
        <w:rPr>
          <w:w w:val="96"/>
        </w:rPr>
        <w:instrText xml:space="preserve"> \* MERGEFORMAT </w:instrText>
      </w:r>
      <w:r>
        <w:rPr>
          <w:w w:val="96"/>
        </w:rPr>
      </w:r>
      <w:r>
        <w:rPr>
          <w:w w:val="96"/>
        </w:rPr>
        <w:fldChar w:fldCharType="separate"/>
      </w:r>
      <w:r w:rsidRPr="00C00260">
        <w:t>7.3 | SCOPE</w:t>
      </w:r>
      <w:r>
        <w:rPr>
          <w:w w:val="96"/>
        </w:rPr>
        <w:fldChar w:fldCharType="end"/>
      </w:r>
    </w:p>
    <w:p w14:paraId="62F86854" w14:textId="73687C73"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_Ref50030080 \h </w:instrText>
      </w:r>
      <w:r w:rsidR="002D38FC">
        <w:rPr>
          <w:w w:val="96"/>
        </w:rPr>
        <w:instrText xml:space="preserve"> \* MERGEFORMAT </w:instrText>
      </w:r>
      <w:r>
        <w:rPr>
          <w:w w:val="96"/>
        </w:rPr>
      </w:r>
      <w:r>
        <w:rPr>
          <w:w w:val="96"/>
        </w:rPr>
        <w:fldChar w:fldCharType="separate"/>
      </w:r>
      <w:r w:rsidRPr="00D276C5">
        <w:t>7.4 | PUBLIC INVOLVEMENT</w:t>
      </w:r>
      <w:r>
        <w:rPr>
          <w:w w:val="96"/>
        </w:rPr>
        <w:fldChar w:fldCharType="end"/>
      </w:r>
    </w:p>
    <w:p w14:paraId="0719E01E" w14:textId="0A7B3780"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_Ref50030083 \h </w:instrText>
      </w:r>
      <w:r w:rsidR="002D38FC">
        <w:rPr>
          <w:w w:val="96"/>
        </w:rPr>
        <w:instrText xml:space="preserve"> \* MERGEFORMAT </w:instrText>
      </w:r>
      <w:r>
        <w:rPr>
          <w:w w:val="96"/>
        </w:rPr>
      </w:r>
      <w:r>
        <w:rPr>
          <w:w w:val="96"/>
        </w:rPr>
        <w:fldChar w:fldCharType="separate"/>
      </w:r>
      <w:r w:rsidRPr="00D276C5">
        <w:t>7.5 | PLAN DEVELOPMENT METHODS</w:t>
      </w:r>
      <w:r>
        <w:rPr>
          <w:w w:val="96"/>
        </w:rPr>
        <w:fldChar w:fldCharType="end"/>
      </w:r>
    </w:p>
    <w:p w14:paraId="10E6F2F2" w14:textId="340CD662"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w w:val="96"/>
        </w:rPr>
      </w:pPr>
      <w:r>
        <w:rPr>
          <w:w w:val="96"/>
        </w:rPr>
        <w:fldChar w:fldCharType="begin"/>
      </w:r>
      <w:r>
        <w:rPr>
          <w:w w:val="96"/>
        </w:rPr>
        <w:instrText xml:space="preserve"> REF _Ref50030088 \h </w:instrText>
      </w:r>
      <w:r w:rsidR="002D38FC">
        <w:rPr>
          <w:w w:val="96"/>
        </w:rPr>
        <w:instrText xml:space="preserve"> \* MERGEFORMAT </w:instrText>
      </w:r>
      <w:r>
        <w:rPr>
          <w:w w:val="96"/>
        </w:rPr>
      </w:r>
      <w:r>
        <w:rPr>
          <w:w w:val="96"/>
        </w:rPr>
        <w:fldChar w:fldCharType="separate"/>
      </w:r>
      <w:r w:rsidRPr="00D276C5">
        <w:t>7.5.1 | RTP Standard Periodic Updates</w:t>
      </w:r>
      <w:r>
        <w:rPr>
          <w:w w:val="96"/>
        </w:rPr>
        <w:fldChar w:fldCharType="end"/>
      </w:r>
    </w:p>
    <w:p w14:paraId="01D44674" w14:textId="6B893FDF"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w w:val="96"/>
        </w:rPr>
      </w:pPr>
      <w:r>
        <w:rPr>
          <w:w w:val="96"/>
        </w:rPr>
        <w:fldChar w:fldCharType="begin"/>
      </w:r>
      <w:r>
        <w:rPr>
          <w:w w:val="96"/>
        </w:rPr>
        <w:instrText xml:space="preserve"> REF _Ref50030091 \h </w:instrText>
      </w:r>
      <w:r w:rsidR="002D38FC">
        <w:rPr>
          <w:w w:val="96"/>
        </w:rPr>
        <w:instrText xml:space="preserve"> \* MERGEFORMAT </w:instrText>
      </w:r>
      <w:r>
        <w:rPr>
          <w:w w:val="96"/>
        </w:rPr>
      </w:r>
      <w:r>
        <w:rPr>
          <w:w w:val="96"/>
        </w:rPr>
        <w:fldChar w:fldCharType="separate"/>
      </w:r>
      <w:r w:rsidRPr="00D276C5">
        <w:t>7.5.2 | RTP Updates due to Major Projects</w:t>
      </w:r>
      <w:r>
        <w:rPr>
          <w:w w:val="96"/>
        </w:rPr>
        <w:fldChar w:fldCharType="end"/>
      </w:r>
    </w:p>
    <w:p w14:paraId="596A33C5" w14:textId="0B6438CA"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_Ref50030095 \h </w:instrText>
      </w:r>
      <w:r w:rsidR="002D38FC">
        <w:rPr>
          <w:w w:val="96"/>
        </w:rPr>
        <w:instrText xml:space="preserve"> \* MERGEFORMAT </w:instrText>
      </w:r>
      <w:r>
        <w:rPr>
          <w:w w:val="96"/>
        </w:rPr>
      </w:r>
      <w:r>
        <w:rPr>
          <w:w w:val="96"/>
        </w:rPr>
        <w:fldChar w:fldCharType="separate"/>
      </w:r>
      <w:r w:rsidRPr="00D276C5">
        <w:t>7.6 | FISCALLY CONSTRAINED RTP</w:t>
      </w:r>
      <w:r>
        <w:rPr>
          <w:w w:val="96"/>
        </w:rPr>
        <w:fldChar w:fldCharType="end"/>
      </w:r>
    </w:p>
    <w:p w14:paraId="6A345D7C" w14:textId="1EE34AB7"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_Ref50030098 \h </w:instrText>
      </w:r>
      <w:r w:rsidR="002D38FC">
        <w:rPr>
          <w:w w:val="96"/>
        </w:rPr>
        <w:instrText xml:space="preserve"> \* MERGEFORMAT </w:instrText>
      </w:r>
      <w:r>
        <w:rPr>
          <w:w w:val="96"/>
        </w:rPr>
      </w:r>
      <w:r>
        <w:rPr>
          <w:w w:val="96"/>
        </w:rPr>
        <w:fldChar w:fldCharType="separate"/>
      </w:r>
      <w:r w:rsidRPr="009923C3">
        <w:t>7.7 | RELATIONSHIP TO THE TIP/STIP</w:t>
      </w:r>
      <w:r>
        <w:rPr>
          <w:w w:val="96"/>
        </w:rPr>
        <w:fldChar w:fldCharType="end"/>
      </w:r>
    </w:p>
    <w:p w14:paraId="79ED0A9A" w14:textId="10B62434"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_Ref50030103 \h </w:instrText>
      </w:r>
      <w:r w:rsidR="002D38FC">
        <w:rPr>
          <w:w w:val="96"/>
        </w:rPr>
        <w:instrText xml:space="preserve"> \* MERGEFORMAT </w:instrText>
      </w:r>
      <w:r>
        <w:rPr>
          <w:w w:val="96"/>
        </w:rPr>
      </w:r>
      <w:r>
        <w:rPr>
          <w:w w:val="96"/>
        </w:rPr>
        <w:fldChar w:fldCharType="separate"/>
      </w:r>
      <w:r w:rsidRPr="009923C3">
        <w:t>7.8 | AREAS TO BE ADDRESSED IN THE RTP</w:t>
      </w:r>
      <w:r>
        <w:rPr>
          <w:w w:val="96"/>
        </w:rPr>
        <w:fldChar w:fldCharType="end"/>
      </w:r>
    </w:p>
    <w:p w14:paraId="4A256DF8" w14:textId="36978A93"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w w:val="96"/>
        </w:rPr>
      </w:pPr>
      <w:r>
        <w:rPr>
          <w:w w:val="96"/>
        </w:rPr>
        <w:fldChar w:fldCharType="begin"/>
      </w:r>
      <w:r>
        <w:rPr>
          <w:w w:val="96"/>
        </w:rPr>
        <w:instrText xml:space="preserve"> REF _Ref50030108 \h </w:instrText>
      </w:r>
      <w:r w:rsidR="002D38FC">
        <w:rPr>
          <w:w w:val="96"/>
        </w:rPr>
        <w:instrText xml:space="preserve"> \* MERGEFORMAT </w:instrText>
      </w:r>
      <w:r>
        <w:rPr>
          <w:w w:val="96"/>
        </w:rPr>
      </w:r>
      <w:r>
        <w:rPr>
          <w:w w:val="96"/>
        </w:rPr>
        <w:fldChar w:fldCharType="separate"/>
      </w:r>
      <w:r w:rsidRPr="00AE6294">
        <w:t>7.8.1 | Additional Topics to be Covered in the RTP</w:t>
      </w:r>
      <w:r>
        <w:rPr>
          <w:w w:val="96"/>
        </w:rPr>
        <w:fldChar w:fldCharType="end"/>
      </w:r>
    </w:p>
    <w:p w14:paraId="15CF8EAB" w14:textId="6EABFF45"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rPr>
          <w:w w:val="96"/>
        </w:rPr>
      </w:pPr>
      <w:r>
        <w:rPr>
          <w:w w:val="96"/>
        </w:rPr>
        <w:fldChar w:fldCharType="begin"/>
      </w:r>
      <w:r>
        <w:rPr>
          <w:w w:val="96"/>
        </w:rPr>
        <w:instrText xml:space="preserve"> REF _Ref50030111 \h </w:instrText>
      </w:r>
      <w:r w:rsidR="002D38FC">
        <w:rPr>
          <w:w w:val="96"/>
        </w:rPr>
        <w:instrText xml:space="preserve"> \* MERGEFORMAT </w:instrText>
      </w:r>
      <w:r>
        <w:rPr>
          <w:w w:val="96"/>
        </w:rPr>
      </w:r>
      <w:r>
        <w:rPr>
          <w:w w:val="96"/>
        </w:rPr>
        <w:fldChar w:fldCharType="separate"/>
      </w:r>
      <w:r w:rsidRPr="00AE6294">
        <w:t>7.8.2 | Environmental Mitigation</w:t>
      </w:r>
      <w:r>
        <w:rPr>
          <w:w w:val="96"/>
        </w:rPr>
        <w:fldChar w:fldCharType="end"/>
      </w:r>
    </w:p>
    <w:p w14:paraId="2C5F51B3" w14:textId="576CDA0C"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_Ref50030116 \h </w:instrText>
      </w:r>
      <w:r w:rsidR="002D38FC">
        <w:rPr>
          <w:w w:val="96"/>
        </w:rPr>
        <w:instrText xml:space="preserve"> \* MERGEFORMAT </w:instrText>
      </w:r>
      <w:r>
        <w:rPr>
          <w:w w:val="96"/>
        </w:rPr>
      </w:r>
      <w:r>
        <w:rPr>
          <w:w w:val="96"/>
        </w:rPr>
        <w:fldChar w:fldCharType="separate"/>
      </w:r>
      <w:r w:rsidRPr="00AE6294">
        <w:t>7.9 | RTP REVISIONS</w:t>
      </w:r>
      <w:r>
        <w:rPr>
          <w:w w:val="96"/>
        </w:rPr>
        <w:fldChar w:fldCharType="end"/>
      </w:r>
    </w:p>
    <w:p w14:paraId="0B5A8A6C" w14:textId="05F5F26D" w:rsidR="002A35EB" w:rsidRDefault="002A35E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rPr>
          <w:w w:val="96"/>
        </w:rPr>
      </w:pPr>
      <w:r>
        <w:rPr>
          <w:w w:val="96"/>
        </w:rPr>
        <w:fldChar w:fldCharType="begin"/>
      </w:r>
      <w:r>
        <w:rPr>
          <w:w w:val="96"/>
        </w:rPr>
        <w:instrText xml:space="preserve"> REF _Ref50030121 \h </w:instrText>
      </w:r>
      <w:r w:rsidR="002D38FC">
        <w:rPr>
          <w:w w:val="96"/>
        </w:rPr>
        <w:instrText xml:space="preserve"> \* MERGEFORMAT </w:instrText>
      </w:r>
      <w:r>
        <w:rPr>
          <w:w w:val="96"/>
        </w:rPr>
      </w:r>
      <w:r>
        <w:rPr>
          <w:w w:val="96"/>
        </w:rPr>
        <w:fldChar w:fldCharType="separate"/>
      </w:r>
      <w:r w:rsidR="00505428">
        <w:t xml:space="preserve">7.10 | </w:t>
      </w:r>
      <w:r w:rsidRPr="00AE6294">
        <w:t>PUBLICATION &amp; DISTRIBUTION</w:t>
      </w:r>
      <w:r>
        <w:rPr>
          <w:w w:val="96"/>
        </w:rPr>
        <w:fldChar w:fldCharType="end"/>
      </w:r>
    </w:p>
    <w:p w14:paraId="1A76BBF3" w14:textId="77777777" w:rsidR="00492D0B" w:rsidRDefault="00F10318"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w w:val="96"/>
        </w:rPr>
        <w:sectPr w:rsidR="00492D0B" w:rsidSect="00A429CC">
          <w:footerReference w:type="default" r:id="rId414"/>
          <w:pgSz w:w="12240" w:h="15840"/>
          <w:pgMar w:top="1440" w:right="1440" w:bottom="1440" w:left="1440" w:header="720" w:footer="720" w:gutter="0"/>
          <w:pgNumType w:start="1" w:chapStyle="1"/>
          <w:cols w:space="720"/>
          <w:docGrid w:linePitch="360"/>
        </w:sectPr>
      </w:pPr>
      <w:r>
        <w:rPr>
          <w:w w:val="96"/>
        </w:rPr>
        <w:br w:type="page"/>
      </w:r>
    </w:p>
    <w:p w14:paraId="5ACCC6C4" w14:textId="57688DFA" w:rsidR="00B65C1E" w:rsidRDefault="00B65C1E" w:rsidP="00020D20">
      <w:pPr>
        <w:pStyle w:val="Heading1"/>
        <w:tabs>
          <w:tab w:val="left" w:pos="360"/>
        </w:tabs>
        <w:jc w:val="both"/>
      </w:pPr>
      <w:bookmarkStart w:id="231" w:name="_|_Regional_Transportation"/>
      <w:bookmarkStart w:id="232" w:name="_Toc49862234"/>
      <w:bookmarkStart w:id="233" w:name="_Toc49870627"/>
      <w:bookmarkStart w:id="234" w:name="_Toc50540223"/>
      <w:bookmarkEnd w:id="231"/>
      <w:r>
        <w:rPr>
          <w:w w:val="96"/>
        </w:rPr>
        <w:t>|</w:t>
      </w:r>
      <w:r w:rsidR="000E518A">
        <w:rPr>
          <w:w w:val="96"/>
        </w:rPr>
        <w:t xml:space="preserve"> </w:t>
      </w:r>
      <w:r>
        <w:rPr>
          <w:w w:val="96"/>
        </w:rPr>
        <w:t>Regional Transportation Plan</w:t>
      </w:r>
      <w:bookmarkEnd w:id="232"/>
      <w:bookmarkEnd w:id="233"/>
      <w:bookmarkEnd w:id="234"/>
    </w:p>
    <w:p w14:paraId="24007947" w14:textId="77777777" w:rsidR="00354355" w:rsidRDefault="00354355" w:rsidP="00020D20">
      <w:pPr>
        <w:pStyle w:val="Heading1"/>
        <w:jc w:val="both"/>
        <w:sectPr w:rsidR="00354355" w:rsidSect="00020D20">
          <w:footerReference w:type="default" r:id="rId415"/>
          <w:type w:val="continuous"/>
          <w:pgSz w:w="12240" w:h="15840"/>
          <w:pgMar w:top="1440" w:right="1440" w:bottom="1440" w:left="1440" w:header="720" w:footer="720" w:gutter="0"/>
          <w:pgNumType w:start="1" w:chapStyle="1"/>
          <w:cols w:space="720"/>
          <w:docGrid w:linePitch="360"/>
        </w:sectPr>
      </w:pPr>
    </w:p>
    <w:p w14:paraId="10E5E7BE" w14:textId="4299DEAD" w:rsidR="009F3D00" w:rsidRPr="009F3D00" w:rsidRDefault="009F3D00" w:rsidP="00020D20">
      <w:pPr>
        <w:pStyle w:val="Heading2"/>
      </w:pPr>
      <w:bookmarkStart w:id="235" w:name="_Ref50030067"/>
      <w:r w:rsidRPr="009F3D00">
        <w:t>7.1 | PURPOSE</w:t>
      </w:r>
      <w:bookmarkEnd w:id="235"/>
    </w:p>
    <w:p w14:paraId="5EF82177" w14:textId="335196C7" w:rsidR="009F3D00" w:rsidRDefault="009F3D00" w:rsidP="00020D20">
      <w:pPr>
        <w:jc w:val="both"/>
      </w:pPr>
      <w:r w:rsidRPr="009F3D00">
        <w:t xml:space="preserve">This chapter provides guidance to ADOT and MPOs in creating, implementing, and managing the MPO RTP required by federal laws and regulations. Arizona’s COGs are not required to develop RTPs, but they are encouraged to work with ADOT if an RTP is desired and warranted. An RTP is also commonly referred to as a Metropolitan Transportation Plan (MTP) in federal </w:t>
      </w:r>
      <w:r w:rsidR="00F656CB">
        <w:t>publications</w:t>
      </w:r>
      <w:r w:rsidRPr="009F3D00">
        <w:t xml:space="preserve">. </w:t>
      </w:r>
    </w:p>
    <w:p w14:paraId="7028A9F8" w14:textId="77777777" w:rsidR="009F3D00" w:rsidRPr="009F3D00" w:rsidRDefault="009F3D00" w:rsidP="00020D20">
      <w:pPr>
        <w:pStyle w:val="Heading2"/>
      </w:pPr>
      <w:bookmarkStart w:id="236" w:name="_Ref50030071"/>
      <w:r w:rsidRPr="009F3D00">
        <w:t>7.2 | AUTHORITY</w:t>
      </w:r>
      <w:bookmarkEnd w:id="236"/>
      <w:r w:rsidRPr="009F3D00">
        <w:t xml:space="preserve"> </w:t>
      </w:r>
    </w:p>
    <w:p w14:paraId="4751FA2E" w14:textId="77777777" w:rsidR="009339A2" w:rsidRDefault="009F3D00" w:rsidP="00020D20">
      <w:pPr>
        <w:jc w:val="both"/>
        <w:sectPr w:rsidR="009339A2" w:rsidSect="00031BB8">
          <w:type w:val="continuous"/>
          <w:pgSz w:w="12240" w:h="15840"/>
          <w:pgMar w:top="1440" w:right="1440" w:bottom="1440" w:left="1440" w:header="720" w:footer="720" w:gutter="0"/>
          <w:cols w:num="2" w:space="720"/>
          <w:docGrid w:linePitch="360"/>
        </w:sectPr>
      </w:pPr>
      <w:r w:rsidRPr="009F3D00">
        <w:t>Table 7-1 describes the Federal and State statutes, codes, and regulations regarding MPO RTPs.</w:t>
      </w:r>
    </w:p>
    <w:p w14:paraId="30C56015" w14:textId="3257FE18" w:rsidR="009339A2" w:rsidRDefault="009339A2" w:rsidP="00020D20">
      <w:pPr>
        <w:pStyle w:val="Heading4"/>
        <w:jc w:val="both"/>
        <w:sectPr w:rsidR="009339A2" w:rsidSect="00031BB8">
          <w:type w:val="continuous"/>
          <w:pgSz w:w="12240" w:h="15840"/>
          <w:pgMar w:top="1440" w:right="1440" w:bottom="1440" w:left="1440" w:header="720" w:footer="720" w:gutter="0"/>
          <w:cols w:num="2" w:space="720"/>
          <w:docGrid w:linePitch="360"/>
        </w:sectPr>
      </w:pPr>
    </w:p>
    <w:p w14:paraId="151089DE" w14:textId="0F7FD7D2" w:rsidR="009F3D00" w:rsidRDefault="009339A2" w:rsidP="00020D20">
      <w:pPr>
        <w:pStyle w:val="Heading4"/>
        <w:jc w:val="both"/>
      </w:pPr>
      <w:r>
        <w:t>T</w:t>
      </w:r>
      <w:r w:rsidR="009F3D00" w:rsidRPr="009F3D00">
        <w:t>able 7-1 |</w:t>
      </w:r>
      <w:r w:rsidR="00342660">
        <w:t xml:space="preserve"> </w:t>
      </w:r>
      <w:r w:rsidR="009F3D00" w:rsidRPr="009F3D00">
        <w:t>Authority</w:t>
      </w:r>
    </w:p>
    <w:tbl>
      <w:tblPr>
        <w:tblW w:w="9360" w:type="dxa"/>
        <w:tblInd w:w="-10" w:type="dxa"/>
        <w:tblLayout w:type="fixed"/>
        <w:tblCellMar>
          <w:left w:w="0" w:type="dxa"/>
          <w:right w:w="0" w:type="dxa"/>
        </w:tblCellMar>
        <w:tblLook w:val="0000" w:firstRow="0" w:lastRow="0" w:firstColumn="0" w:lastColumn="0" w:noHBand="0" w:noVBand="0"/>
      </w:tblPr>
      <w:tblGrid>
        <w:gridCol w:w="466"/>
        <w:gridCol w:w="2090"/>
        <w:gridCol w:w="6804"/>
      </w:tblGrid>
      <w:tr w:rsidR="009F3D00" w:rsidRPr="009F3D00" w14:paraId="00FE6727" w14:textId="77777777" w:rsidTr="00020D20">
        <w:trPr>
          <w:trHeight w:val="179"/>
        </w:trPr>
        <w:tc>
          <w:tcPr>
            <w:tcW w:w="2556"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1D392C78" w14:textId="77777777" w:rsidR="009F3D00" w:rsidRPr="00020D20" w:rsidRDefault="009F3D00" w:rsidP="00020D20">
            <w:pPr>
              <w:spacing w:before="0" w:after="0" w:line="240" w:lineRule="auto"/>
              <w:jc w:val="center"/>
              <w:rPr>
                <w:sz w:val="22"/>
              </w:rPr>
            </w:pPr>
            <w:r w:rsidRPr="00020D20">
              <w:rPr>
                <w:sz w:val="22"/>
              </w:rPr>
              <w:t>Code</w:t>
            </w:r>
          </w:p>
        </w:tc>
        <w:tc>
          <w:tcPr>
            <w:tcW w:w="6804" w:type="dxa"/>
            <w:tcBorders>
              <w:left w:val="single" w:sz="4" w:space="0" w:color="FFFFFF" w:themeColor="background1"/>
            </w:tcBorders>
            <w:shd w:val="clear" w:color="auto" w:fill="012768"/>
            <w:tcMar>
              <w:top w:w="80" w:type="dxa"/>
              <w:left w:w="80" w:type="dxa"/>
              <w:bottom w:w="80" w:type="dxa"/>
              <w:right w:w="80" w:type="dxa"/>
            </w:tcMar>
            <w:vAlign w:val="center"/>
          </w:tcPr>
          <w:p w14:paraId="356BBB54" w14:textId="77777777" w:rsidR="009F3D00" w:rsidRPr="00020D20" w:rsidRDefault="009F3D00" w:rsidP="00020D20">
            <w:pPr>
              <w:spacing w:before="0" w:after="0" w:line="240" w:lineRule="auto"/>
              <w:jc w:val="center"/>
              <w:rPr>
                <w:sz w:val="22"/>
              </w:rPr>
            </w:pPr>
            <w:r w:rsidRPr="00020D20">
              <w:rPr>
                <w:sz w:val="22"/>
              </w:rPr>
              <w:t>Description</w:t>
            </w:r>
          </w:p>
        </w:tc>
      </w:tr>
      <w:tr w:rsidR="009F3D00" w:rsidRPr="009F3D00" w14:paraId="1C4D0F95" w14:textId="77777777" w:rsidTr="00020D20">
        <w:trPr>
          <w:trHeight w:hRule="exact" w:val="289"/>
        </w:trPr>
        <w:tc>
          <w:tcPr>
            <w:tcW w:w="466"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3AC7EA48" w14:textId="77777777" w:rsidR="009F3D00" w:rsidRPr="00020D20" w:rsidRDefault="009F3D00" w:rsidP="00020D20">
            <w:pPr>
              <w:spacing w:before="0" w:after="0" w:line="240" w:lineRule="auto"/>
              <w:jc w:val="center"/>
              <w:rPr>
                <w:sz w:val="22"/>
              </w:rPr>
            </w:pPr>
            <w:r w:rsidRPr="00020D20">
              <w:rPr>
                <w:sz w:val="22"/>
              </w:rPr>
              <w:t>Federal</w:t>
            </w: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2739EF5" w14:textId="3DBF8AA1" w:rsidR="009F3D00" w:rsidRPr="00020D20" w:rsidRDefault="00202C92">
            <w:pPr>
              <w:pStyle w:val="Title"/>
              <w:rPr>
                <w:sz w:val="17"/>
                <w:szCs w:val="17"/>
              </w:rPr>
            </w:pPr>
            <w:hyperlink r:id="rId416" w:history="1">
              <w:r w:rsidR="009F3D00" w:rsidRPr="00020D20">
                <w:rPr>
                  <w:rStyle w:val="Hyperlink"/>
                  <w:rFonts w:asciiTheme="minorHAnsi" w:hAnsiTheme="minorHAnsi" w:cstheme="majorBidi"/>
                  <w:i/>
                  <w:color w:val="CE5B18"/>
                  <w:sz w:val="17"/>
                  <w:szCs w:val="17"/>
                  <w:u w:val="none"/>
                </w:rPr>
                <w:t>23 U.S.C. § 134(h)</w:t>
              </w:r>
              <w:r w:rsidR="003B47ED" w:rsidRPr="00020D20">
                <w:rPr>
                  <w:rStyle w:val="Hyperlink"/>
                  <w:rFonts w:asciiTheme="minorHAnsi" w:hAnsiTheme="minorHAnsi" w:cstheme="majorBidi"/>
                  <w:i/>
                  <w:color w:val="CE5B18"/>
                  <w:sz w:val="17"/>
                  <w:szCs w:val="17"/>
                  <w:u w:val="none"/>
                </w:rPr>
                <w:t xml:space="preserve"> </w:t>
              </w:r>
              <w:r w:rsidR="009F3D00" w:rsidRPr="00020D20">
                <w:rPr>
                  <w:rStyle w:val="Hyperlink"/>
                  <w:rFonts w:asciiTheme="minorHAnsi" w:hAnsiTheme="minorHAnsi" w:cstheme="majorBidi"/>
                  <w:i/>
                  <w:color w:val="CE5B18"/>
                  <w:sz w:val="17"/>
                  <w:szCs w:val="17"/>
                  <w:u w:val="none"/>
                </w:rPr>
                <w:t>(i)</w:t>
              </w:r>
            </w:hyperlink>
          </w:p>
        </w:tc>
        <w:tc>
          <w:tcPr>
            <w:tcW w:w="6804"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8A5D0EE" w14:textId="77777777" w:rsidR="009F3D00" w:rsidRPr="00020D20" w:rsidRDefault="009F3D00" w:rsidP="00020D20">
            <w:pPr>
              <w:spacing w:before="0" w:after="0" w:line="240" w:lineRule="auto"/>
              <w:jc w:val="both"/>
              <w:rPr>
                <w:sz w:val="17"/>
                <w:szCs w:val="17"/>
              </w:rPr>
            </w:pPr>
            <w:r w:rsidRPr="00020D20">
              <w:rPr>
                <w:w w:val="96"/>
                <w:sz w:val="17"/>
                <w:szCs w:val="17"/>
              </w:rPr>
              <w:t>These laws describe the structure and requirements of MPOs as well as the scope of the metropolitan planning process.</w:t>
            </w:r>
          </w:p>
        </w:tc>
      </w:tr>
      <w:tr w:rsidR="009F3D00" w:rsidRPr="009F3D00" w14:paraId="04F7DC65" w14:textId="77777777" w:rsidTr="00020D20">
        <w:trPr>
          <w:trHeight w:hRule="exact" w:val="280"/>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535B87CB"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9754737" w14:textId="74D720D5" w:rsidR="009F3D00" w:rsidRPr="00020D20" w:rsidRDefault="00202C92">
            <w:pPr>
              <w:pStyle w:val="Title"/>
              <w:rPr>
                <w:sz w:val="17"/>
                <w:szCs w:val="17"/>
              </w:rPr>
            </w:pPr>
            <w:hyperlink r:id="rId417" w:history="1">
              <w:r w:rsidR="009F3D00" w:rsidRPr="00020D20">
                <w:rPr>
                  <w:rStyle w:val="Hyperlink"/>
                  <w:rFonts w:asciiTheme="minorHAnsi" w:hAnsiTheme="minorHAnsi" w:cstheme="majorBidi"/>
                  <w:i/>
                  <w:color w:val="CE5B18"/>
                  <w:sz w:val="17"/>
                  <w:szCs w:val="17"/>
                  <w:u w:val="none"/>
                </w:rPr>
                <w:t>49 U.S.C. § 5303</w:t>
              </w:r>
            </w:hyperlink>
          </w:p>
        </w:tc>
        <w:tc>
          <w:tcPr>
            <w:tcW w:w="6804" w:type="dxa"/>
            <w:vMerge/>
            <w:tcBorders>
              <w:top w:val="single" w:sz="4" w:space="0" w:color="auto"/>
              <w:left w:val="single" w:sz="4" w:space="0" w:color="auto"/>
              <w:bottom w:val="single" w:sz="4" w:space="0" w:color="auto"/>
              <w:right w:val="single" w:sz="4" w:space="0" w:color="auto"/>
            </w:tcBorders>
          </w:tcPr>
          <w:p w14:paraId="233A0C55" w14:textId="77777777" w:rsidR="009F3D00" w:rsidRPr="00020D20" w:rsidRDefault="009F3D00" w:rsidP="00020D20">
            <w:pPr>
              <w:spacing w:before="0" w:after="0" w:line="240" w:lineRule="auto"/>
              <w:jc w:val="both"/>
              <w:rPr>
                <w:sz w:val="17"/>
                <w:szCs w:val="17"/>
              </w:rPr>
            </w:pPr>
          </w:p>
        </w:tc>
      </w:tr>
      <w:tr w:rsidR="009F3D00" w:rsidRPr="009F3D00" w14:paraId="2D2ECAF5" w14:textId="77777777" w:rsidTr="00020D20">
        <w:trPr>
          <w:trHeight w:hRule="exact" w:val="289"/>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33CEB50E"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C04B3ED" w14:textId="2E095164" w:rsidR="009F3D00" w:rsidRPr="00020D20" w:rsidRDefault="00202C92">
            <w:pPr>
              <w:pStyle w:val="Title"/>
              <w:rPr>
                <w:sz w:val="17"/>
                <w:szCs w:val="17"/>
              </w:rPr>
            </w:pPr>
            <w:hyperlink r:id="rId418" w:history="1">
              <w:r w:rsidR="009F3D0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9F3D00" w:rsidRPr="00020D20">
                <w:rPr>
                  <w:rStyle w:val="Hyperlink"/>
                  <w:rFonts w:asciiTheme="minorHAnsi" w:hAnsiTheme="minorHAnsi" w:cstheme="majorBidi"/>
                  <w:i/>
                  <w:color w:val="CE5B18"/>
                  <w:sz w:val="17"/>
                  <w:szCs w:val="17"/>
                  <w:u w:val="none"/>
                </w:rPr>
                <w:t>§ 450.316</w:t>
              </w:r>
            </w:hyperlink>
          </w:p>
        </w:tc>
        <w:tc>
          <w:tcPr>
            <w:tcW w:w="6804" w:type="dxa"/>
            <w:vMerge w:val="restart"/>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B775CC4" w14:textId="3684402C" w:rsidR="009F3D00" w:rsidRPr="00020D20" w:rsidRDefault="009F3D00" w:rsidP="00020D20">
            <w:pPr>
              <w:spacing w:before="0" w:after="0" w:line="240" w:lineRule="auto"/>
              <w:jc w:val="both"/>
              <w:rPr>
                <w:sz w:val="17"/>
                <w:szCs w:val="17"/>
              </w:rPr>
            </w:pPr>
            <w:r w:rsidRPr="00020D20">
              <w:rPr>
                <w:w w:val="96"/>
                <w:sz w:val="17"/>
                <w:szCs w:val="17"/>
              </w:rPr>
              <w:t xml:space="preserve">These laws discuss planning assistance standards for metropolitan planning agreements, congestion management, and the development and content of the metropolitan transportation plan. </w:t>
            </w:r>
          </w:p>
        </w:tc>
      </w:tr>
      <w:tr w:rsidR="009F3D00" w:rsidRPr="009F3D00" w14:paraId="13E67A99" w14:textId="77777777" w:rsidTr="00020D20">
        <w:trPr>
          <w:trHeight w:hRule="exact" w:val="280"/>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772CE74D"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0B26E0F" w14:textId="0A9E9F78" w:rsidR="009F3D00" w:rsidRPr="00020D20" w:rsidRDefault="00202C92">
            <w:pPr>
              <w:pStyle w:val="Title"/>
              <w:rPr>
                <w:sz w:val="17"/>
                <w:szCs w:val="17"/>
              </w:rPr>
            </w:pPr>
            <w:hyperlink r:id="rId419" w:history="1">
              <w:r w:rsidR="009F3D0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9F3D00" w:rsidRPr="00020D20">
                <w:rPr>
                  <w:rStyle w:val="Hyperlink"/>
                  <w:rFonts w:asciiTheme="minorHAnsi" w:hAnsiTheme="minorHAnsi" w:cstheme="majorBidi"/>
                  <w:i/>
                  <w:color w:val="CE5B18"/>
                  <w:sz w:val="17"/>
                  <w:szCs w:val="17"/>
                  <w:u w:val="none"/>
                </w:rPr>
                <w:t>§ 450.320</w:t>
              </w:r>
            </w:hyperlink>
          </w:p>
        </w:tc>
        <w:tc>
          <w:tcPr>
            <w:tcW w:w="6804" w:type="dxa"/>
            <w:vMerge/>
            <w:tcBorders>
              <w:top w:val="single" w:sz="4" w:space="0" w:color="auto"/>
              <w:left w:val="single" w:sz="4" w:space="0" w:color="auto"/>
              <w:bottom w:val="single" w:sz="4" w:space="0" w:color="auto"/>
              <w:right w:val="single" w:sz="4" w:space="0" w:color="auto"/>
            </w:tcBorders>
          </w:tcPr>
          <w:p w14:paraId="2834FD4F" w14:textId="77777777" w:rsidR="009F3D00" w:rsidRPr="00020D20" w:rsidRDefault="009F3D00" w:rsidP="00020D20">
            <w:pPr>
              <w:spacing w:before="0" w:after="0" w:line="240" w:lineRule="auto"/>
              <w:jc w:val="both"/>
              <w:rPr>
                <w:sz w:val="17"/>
                <w:szCs w:val="17"/>
              </w:rPr>
            </w:pPr>
          </w:p>
        </w:tc>
      </w:tr>
      <w:tr w:rsidR="009F3D00" w:rsidRPr="009F3D00" w14:paraId="5C22BAF7" w14:textId="77777777" w:rsidTr="00020D20">
        <w:trPr>
          <w:trHeight w:hRule="exact" w:val="271"/>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0BF9EA38"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D9B2763" w14:textId="02587D03" w:rsidR="009F3D00" w:rsidRPr="00020D20" w:rsidRDefault="00202C92">
            <w:pPr>
              <w:pStyle w:val="Title"/>
              <w:rPr>
                <w:sz w:val="17"/>
                <w:szCs w:val="17"/>
              </w:rPr>
            </w:pPr>
            <w:hyperlink r:id="rId420" w:history="1">
              <w:r w:rsidR="009F3D0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9F3D00" w:rsidRPr="00020D20">
                <w:rPr>
                  <w:rStyle w:val="Hyperlink"/>
                  <w:rFonts w:asciiTheme="minorHAnsi" w:hAnsiTheme="minorHAnsi" w:cstheme="majorBidi"/>
                  <w:i/>
                  <w:color w:val="CE5B18"/>
                  <w:sz w:val="17"/>
                  <w:szCs w:val="17"/>
                  <w:u w:val="none"/>
                </w:rPr>
                <w:t>§ 450.322</w:t>
              </w:r>
            </w:hyperlink>
          </w:p>
        </w:tc>
        <w:tc>
          <w:tcPr>
            <w:tcW w:w="6804" w:type="dxa"/>
            <w:vMerge/>
            <w:tcBorders>
              <w:top w:val="single" w:sz="4" w:space="0" w:color="auto"/>
              <w:left w:val="single" w:sz="4" w:space="0" w:color="auto"/>
              <w:bottom w:val="single" w:sz="4" w:space="0" w:color="auto"/>
              <w:right w:val="single" w:sz="4" w:space="0" w:color="auto"/>
            </w:tcBorders>
          </w:tcPr>
          <w:p w14:paraId="1442A78E" w14:textId="77777777" w:rsidR="009F3D00" w:rsidRPr="00020D20" w:rsidRDefault="009F3D00" w:rsidP="00020D20">
            <w:pPr>
              <w:spacing w:before="0" w:after="0" w:line="240" w:lineRule="auto"/>
              <w:jc w:val="both"/>
              <w:rPr>
                <w:sz w:val="17"/>
                <w:szCs w:val="17"/>
              </w:rPr>
            </w:pPr>
          </w:p>
        </w:tc>
      </w:tr>
      <w:tr w:rsidR="009F3D00" w:rsidRPr="009F3D00" w14:paraId="4CB909B6" w14:textId="77777777" w:rsidTr="00020D20">
        <w:trPr>
          <w:trHeight w:hRule="exact" w:val="280"/>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3B6B8167"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65026EF" w14:textId="17C09B55" w:rsidR="009F3D00" w:rsidRPr="00020D20" w:rsidRDefault="00202C92">
            <w:pPr>
              <w:pStyle w:val="Title"/>
              <w:rPr>
                <w:sz w:val="17"/>
                <w:szCs w:val="17"/>
              </w:rPr>
            </w:pPr>
            <w:hyperlink r:id="rId421" w:history="1">
              <w:r w:rsidR="009F3D0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9F3D00" w:rsidRPr="00020D20">
                <w:rPr>
                  <w:rStyle w:val="Hyperlink"/>
                  <w:rFonts w:asciiTheme="minorHAnsi" w:hAnsiTheme="minorHAnsi" w:cstheme="majorBidi"/>
                  <w:i/>
                  <w:color w:val="CE5B18"/>
                  <w:sz w:val="17"/>
                  <w:szCs w:val="17"/>
                  <w:u w:val="none"/>
                </w:rPr>
                <w:t>§ 500.109</w:t>
              </w:r>
            </w:hyperlink>
          </w:p>
        </w:tc>
        <w:tc>
          <w:tcPr>
            <w:tcW w:w="6804"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BF2627B" w14:textId="77777777" w:rsidR="009F3D00" w:rsidRPr="00020D20" w:rsidRDefault="009F3D00" w:rsidP="00020D20">
            <w:pPr>
              <w:spacing w:before="0" w:after="0" w:line="240" w:lineRule="auto"/>
              <w:jc w:val="both"/>
              <w:rPr>
                <w:sz w:val="17"/>
                <w:szCs w:val="17"/>
              </w:rPr>
            </w:pPr>
            <w:r w:rsidRPr="00020D20">
              <w:rPr>
                <w:w w:val="96"/>
                <w:sz w:val="17"/>
                <w:szCs w:val="17"/>
              </w:rPr>
              <w:t>Defines the requirements, strategies, and performance measures that must be integrated into a Congestion Management System (CMS), Public Transportation Management System (PTMS), and Intermodal Management System (IMS.)</w:t>
            </w:r>
          </w:p>
        </w:tc>
      </w:tr>
      <w:tr w:rsidR="009F3D00" w:rsidRPr="009F3D00" w14:paraId="5B5F864D" w14:textId="77777777" w:rsidTr="00020D20">
        <w:trPr>
          <w:trHeight w:hRule="exact" w:val="289"/>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71B65CDC"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C156AA4" w14:textId="5313CB0C" w:rsidR="009F3D00" w:rsidRPr="00020D20" w:rsidRDefault="00202C92">
            <w:pPr>
              <w:pStyle w:val="Title"/>
              <w:rPr>
                <w:sz w:val="17"/>
                <w:szCs w:val="17"/>
              </w:rPr>
            </w:pPr>
            <w:hyperlink r:id="rId422" w:history="1">
              <w:r w:rsidR="009F3D0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9F3D00" w:rsidRPr="00020D20">
                <w:rPr>
                  <w:rStyle w:val="Hyperlink"/>
                  <w:rFonts w:asciiTheme="minorHAnsi" w:hAnsiTheme="minorHAnsi" w:cstheme="majorBidi"/>
                  <w:i/>
                  <w:color w:val="CE5B18"/>
                  <w:sz w:val="17"/>
                  <w:szCs w:val="17"/>
                  <w:u w:val="none"/>
                </w:rPr>
                <w:t>§ 500.110</w:t>
              </w:r>
            </w:hyperlink>
          </w:p>
        </w:tc>
        <w:tc>
          <w:tcPr>
            <w:tcW w:w="6804" w:type="dxa"/>
            <w:vMerge/>
            <w:tcBorders>
              <w:top w:val="single" w:sz="4" w:space="0" w:color="auto"/>
              <w:left w:val="single" w:sz="4" w:space="0" w:color="auto"/>
              <w:bottom w:val="single" w:sz="4" w:space="0" w:color="auto"/>
              <w:right w:val="single" w:sz="4" w:space="0" w:color="auto"/>
            </w:tcBorders>
          </w:tcPr>
          <w:p w14:paraId="5CA90632" w14:textId="77777777" w:rsidR="009F3D00" w:rsidRPr="00020D20" w:rsidRDefault="009F3D00" w:rsidP="00020D20">
            <w:pPr>
              <w:spacing w:before="0" w:after="0" w:line="240" w:lineRule="auto"/>
              <w:jc w:val="both"/>
              <w:rPr>
                <w:sz w:val="17"/>
                <w:szCs w:val="17"/>
              </w:rPr>
            </w:pPr>
          </w:p>
        </w:tc>
      </w:tr>
      <w:tr w:rsidR="009F3D00" w:rsidRPr="009F3D00" w14:paraId="1B6159DD" w14:textId="77777777" w:rsidTr="00020D20">
        <w:trPr>
          <w:trHeight w:hRule="exact" w:val="280"/>
        </w:trPr>
        <w:tc>
          <w:tcPr>
            <w:tcW w:w="466"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7AB02584" w14:textId="77777777" w:rsidR="009F3D00" w:rsidRPr="00020D20" w:rsidRDefault="009F3D00" w:rsidP="00020D20">
            <w:pPr>
              <w:spacing w:before="0" w:after="0" w:line="240" w:lineRule="auto"/>
              <w:jc w:val="center"/>
              <w:rPr>
                <w:sz w:val="22"/>
              </w:rP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29C2839" w14:textId="39615A8F" w:rsidR="009F3D00" w:rsidRPr="00020D20" w:rsidRDefault="00202C92">
            <w:pPr>
              <w:pStyle w:val="Title"/>
              <w:rPr>
                <w:sz w:val="17"/>
                <w:szCs w:val="17"/>
              </w:rPr>
            </w:pPr>
            <w:hyperlink r:id="rId423" w:history="1">
              <w:r w:rsidR="009F3D00" w:rsidRPr="00020D20">
                <w:rPr>
                  <w:rStyle w:val="Hyperlink"/>
                  <w:rFonts w:asciiTheme="minorHAnsi" w:hAnsiTheme="minorHAnsi" w:cstheme="majorBidi"/>
                  <w:i/>
                  <w:color w:val="CE5B18"/>
                  <w:sz w:val="17"/>
                  <w:szCs w:val="17"/>
                  <w:u w:val="none"/>
                </w:rPr>
                <w:t xml:space="preserve">23 </w:t>
              </w:r>
              <w:r w:rsidR="009628C0">
                <w:rPr>
                  <w:rStyle w:val="Hyperlink"/>
                  <w:rFonts w:asciiTheme="minorHAnsi" w:hAnsiTheme="minorHAnsi" w:cstheme="majorBidi"/>
                  <w:i/>
                  <w:color w:val="CE5B18"/>
                  <w:sz w:val="17"/>
                  <w:szCs w:val="17"/>
                  <w:u w:val="none"/>
                </w:rPr>
                <w:t xml:space="preserve">C.F.R. </w:t>
              </w:r>
              <w:r w:rsidR="009F3D00" w:rsidRPr="00020D20">
                <w:rPr>
                  <w:rStyle w:val="Hyperlink"/>
                  <w:rFonts w:asciiTheme="minorHAnsi" w:hAnsiTheme="minorHAnsi" w:cstheme="majorBidi"/>
                  <w:i/>
                  <w:color w:val="CE5B18"/>
                  <w:sz w:val="17"/>
                  <w:szCs w:val="17"/>
                  <w:u w:val="none"/>
                </w:rPr>
                <w:t>§ 500.111</w:t>
              </w:r>
            </w:hyperlink>
          </w:p>
        </w:tc>
        <w:tc>
          <w:tcPr>
            <w:tcW w:w="6804" w:type="dxa"/>
            <w:vMerge/>
            <w:tcBorders>
              <w:top w:val="single" w:sz="4" w:space="0" w:color="auto"/>
              <w:left w:val="single" w:sz="4" w:space="0" w:color="auto"/>
              <w:bottom w:val="single" w:sz="4" w:space="0" w:color="auto"/>
              <w:right w:val="single" w:sz="4" w:space="0" w:color="auto"/>
            </w:tcBorders>
          </w:tcPr>
          <w:p w14:paraId="4BBFE281" w14:textId="77777777" w:rsidR="009F3D00" w:rsidRPr="00020D20" w:rsidRDefault="009F3D00" w:rsidP="00020D20">
            <w:pPr>
              <w:spacing w:before="0" w:after="0" w:line="240" w:lineRule="auto"/>
              <w:jc w:val="both"/>
              <w:rPr>
                <w:sz w:val="17"/>
                <w:szCs w:val="17"/>
              </w:rPr>
            </w:pPr>
          </w:p>
        </w:tc>
      </w:tr>
      <w:tr w:rsidR="009F3D00" w:rsidRPr="009F3D00" w14:paraId="5D61C8A7" w14:textId="77777777" w:rsidTr="00020D20">
        <w:trPr>
          <w:trHeight w:hRule="exact" w:val="271"/>
        </w:trPr>
        <w:tc>
          <w:tcPr>
            <w:tcW w:w="466"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00C13573" w14:textId="77777777" w:rsidR="009F3D00" w:rsidRPr="00020D20" w:rsidRDefault="009F3D00" w:rsidP="00020D20">
            <w:pPr>
              <w:spacing w:before="0" w:after="0" w:line="240" w:lineRule="auto"/>
              <w:jc w:val="center"/>
              <w:rPr>
                <w:sz w:val="22"/>
              </w:rPr>
            </w:pPr>
            <w:r w:rsidRPr="00020D20">
              <w:rPr>
                <w:sz w:val="22"/>
              </w:rPr>
              <w:t>State</w:t>
            </w: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F2C3F2B" w14:textId="7B7ED6C9" w:rsidR="009F3D00" w:rsidRPr="00020D20" w:rsidRDefault="00202C92">
            <w:pPr>
              <w:pStyle w:val="Title"/>
              <w:rPr>
                <w:sz w:val="17"/>
                <w:szCs w:val="17"/>
              </w:rPr>
            </w:pPr>
            <w:hyperlink r:id="rId424" w:history="1">
              <w:r w:rsidR="009F3D00" w:rsidRPr="00020D20">
                <w:rPr>
                  <w:rStyle w:val="Hyperlink"/>
                  <w:rFonts w:asciiTheme="minorHAnsi" w:hAnsiTheme="minorHAnsi" w:cstheme="majorBidi"/>
                  <w:i/>
                  <w:color w:val="CE5B18"/>
                  <w:sz w:val="17"/>
                  <w:szCs w:val="17"/>
                  <w:u w:val="none"/>
                </w:rPr>
                <w:t>A.R.S. 28-501</w:t>
              </w:r>
            </w:hyperlink>
          </w:p>
        </w:tc>
        <w:tc>
          <w:tcPr>
            <w:tcW w:w="6804" w:type="dxa"/>
            <w:vMerge w:val="restart"/>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F80058D" w14:textId="77777777" w:rsidR="009F3D00" w:rsidRPr="00020D20" w:rsidRDefault="009F3D00" w:rsidP="00020D20">
            <w:pPr>
              <w:spacing w:before="0" w:after="0" w:line="240" w:lineRule="auto"/>
              <w:jc w:val="both"/>
              <w:rPr>
                <w:sz w:val="17"/>
                <w:szCs w:val="17"/>
              </w:rPr>
            </w:pPr>
            <w:r w:rsidRPr="00020D20">
              <w:rPr>
                <w:w w:val="96"/>
                <w:sz w:val="17"/>
                <w:szCs w:val="17"/>
              </w:rPr>
              <w:t>These laws, under article 7 of chapter 2, define many different aspects of transportation planning. The practices and requirements are defined as well as the standard performance measures, methodologies, and data collection/reporting. The later sections then describe the transportation system database, divisions, and long-range plan that the division must develop in cooperation with local, regional, and tribal agencies.</w:t>
            </w:r>
          </w:p>
        </w:tc>
      </w:tr>
      <w:tr w:rsidR="009F3D00" w:rsidRPr="009F3D00" w14:paraId="49D3456B" w14:textId="77777777" w:rsidTr="00020D20">
        <w:trPr>
          <w:trHeight w:hRule="exact" w:val="280"/>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0B5B895F"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1B1C373" w14:textId="30BFE9D4" w:rsidR="009F3D00" w:rsidRPr="00020D20" w:rsidRDefault="00202C92">
            <w:pPr>
              <w:pStyle w:val="Title"/>
              <w:rPr>
                <w:sz w:val="17"/>
                <w:szCs w:val="17"/>
              </w:rPr>
            </w:pPr>
            <w:hyperlink r:id="rId425" w:history="1">
              <w:r w:rsidR="009F3D00" w:rsidRPr="00020D20">
                <w:rPr>
                  <w:rStyle w:val="Hyperlink"/>
                  <w:rFonts w:asciiTheme="minorHAnsi" w:hAnsiTheme="minorHAnsi" w:cstheme="majorBidi"/>
                  <w:i/>
                  <w:color w:val="CE5B18"/>
                  <w:sz w:val="17"/>
                  <w:szCs w:val="17"/>
                  <w:u w:val="none"/>
                </w:rPr>
                <w:t>A.R.S. 28-502</w:t>
              </w:r>
            </w:hyperlink>
          </w:p>
        </w:tc>
        <w:tc>
          <w:tcPr>
            <w:tcW w:w="6804" w:type="dxa"/>
            <w:vMerge/>
            <w:tcBorders>
              <w:top w:val="single" w:sz="4" w:space="0" w:color="auto"/>
              <w:left w:val="single" w:sz="4" w:space="0" w:color="auto"/>
              <w:bottom w:val="single" w:sz="4" w:space="0" w:color="auto"/>
              <w:right w:val="single" w:sz="4" w:space="0" w:color="auto"/>
            </w:tcBorders>
          </w:tcPr>
          <w:p w14:paraId="2BA3E6A0" w14:textId="77777777" w:rsidR="009F3D00" w:rsidRPr="00020D20" w:rsidRDefault="009F3D00" w:rsidP="00020D20">
            <w:pPr>
              <w:spacing w:before="0" w:after="0" w:line="240" w:lineRule="auto"/>
              <w:jc w:val="both"/>
              <w:rPr>
                <w:sz w:val="17"/>
                <w:szCs w:val="17"/>
              </w:rPr>
            </w:pPr>
          </w:p>
        </w:tc>
      </w:tr>
      <w:tr w:rsidR="009F3D00" w:rsidRPr="009F3D00" w14:paraId="775122C2" w14:textId="77777777" w:rsidTr="00020D20">
        <w:trPr>
          <w:trHeight w:hRule="exact" w:val="289"/>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491AE3AD"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79D3A77" w14:textId="376C593F" w:rsidR="009F3D00" w:rsidRPr="00020D20" w:rsidRDefault="00202C92">
            <w:pPr>
              <w:pStyle w:val="Title"/>
              <w:rPr>
                <w:sz w:val="17"/>
                <w:szCs w:val="17"/>
              </w:rPr>
            </w:pPr>
            <w:hyperlink r:id="rId426" w:history="1">
              <w:r w:rsidR="009F3D00" w:rsidRPr="00020D20">
                <w:rPr>
                  <w:sz w:val="17"/>
                  <w:szCs w:val="17"/>
                </w:rPr>
                <w:t>A.R.S. 28-503</w:t>
              </w:r>
            </w:hyperlink>
          </w:p>
        </w:tc>
        <w:tc>
          <w:tcPr>
            <w:tcW w:w="6804" w:type="dxa"/>
            <w:vMerge/>
            <w:tcBorders>
              <w:top w:val="single" w:sz="4" w:space="0" w:color="auto"/>
              <w:left w:val="single" w:sz="4" w:space="0" w:color="auto"/>
              <w:bottom w:val="single" w:sz="4" w:space="0" w:color="auto"/>
              <w:right w:val="single" w:sz="4" w:space="0" w:color="auto"/>
            </w:tcBorders>
          </w:tcPr>
          <w:p w14:paraId="55D8C02B" w14:textId="77777777" w:rsidR="009F3D00" w:rsidRPr="00020D20" w:rsidRDefault="009F3D00" w:rsidP="00020D20">
            <w:pPr>
              <w:spacing w:before="0" w:after="0" w:line="240" w:lineRule="auto"/>
              <w:jc w:val="both"/>
              <w:rPr>
                <w:sz w:val="17"/>
                <w:szCs w:val="17"/>
              </w:rPr>
            </w:pPr>
          </w:p>
        </w:tc>
      </w:tr>
      <w:tr w:rsidR="009F3D00" w:rsidRPr="009F3D00" w14:paraId="5A8A118D" w14:textId="77777777" w:rsidTr="00020D20">
        <w:trPr>
          <w:trHeight w:hRule="exact" w:val="280"/>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7EAF7751"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C814E98" w14:textId="441D7A75" w:rsidR="009F3D00" w:rsidRPr="00020D20" w:rsidRDefault="00202C92">
            <w:pPr>
              <w:pStyle w:val="Title"/>
              <w:rPr>
                <w:sz w:val="17"/>
                <w:szCs w:val="17"/>
              </w:rPr>
            </w:pPr>
            <w:hyperlink r:id="rId427" w:history="1">
              <w:r w:rsidR="009F3D00" w:rsidRPr="00020D20">
                <w:rPr>
                  <w:sz w:val="17"/>
                  <w:szCs w:val="17"/>
                </w:rPr>
                <w:t>A.R.S. 28-504</w:t>
              </w:r>
            </w:hyperlink>
          </w:p>
        </w:tc>
        <w:tc>
          <w:tcPr>
            <w:tcW w:w="6804" w:type="dxa"/>
            <w:vMerge/>
            <w:tcBorders>
              <w:top w:val="single" w:sz="4" w:space="0" w:color="auto"/>
              <w:left w:val="single" w:sz="4" w:space="0" w:color="auto"/>
              <w:bottom w:val="single" w:sz="4" w:space="0" w:color="auto"/>
              <w:right w:val="single" w:sz="4" w:space="0" w:color="auto"/>
            </w:tcBorders>
          </w:tcPr>
          <w:p w14:paraId="77B0F3E8" w14:textId="77777777" w:rsidR="009F3D00" w:rsidRPr="00020D20" w:rsidRDefault="009F3D00" w:rsidP="00020D20">
            <w:pPr>
              <w:spacing w:before="0" w:after="0" w:line="240" w:lineRule="auto"/>
              <w:jc w:val="both"/>
              <w:rPr>
                <w:sz w:val="17"/>
                <w:szCs w:val="17"/>
              </w:rPr>
            </w:pPr>
          </w:p>
        </w:tc>
      </w:tr>
      <w:tr w:rsidR="009F3D00" w:rsidRPr="009F3D00" w14:paraId="7C10778F" w14:textId="77777777" w:rsidTr="00020D20">
        <w:trPr>
          <w:trHeight w:hRule="exact" w:val="271"/>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7DD03B3D"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87D9E61" w14:textId="59108929" w:rsidR="009F3D00" w:rsidRPr="00020D20" w:rsidRDefault="00202C92">
            <w:pPr>
              <w:pStyle w:val="Title"/>
              <w:rPr>
                <w:sz w:val="17"/>
                <w:szCs w:val="17"/>
              </w:rPr>
            </w:pPr>
            <w:hyperlink r:id="rId428" w:history="1">
              <w:r w:rsidR="009F3D00" w:rsidRPr="00020D20">
                <w:rPr>
                  <w:rStyle w:val="Hyperlink"/>
                  <w:rFonts w:asciiTheme="minorHAnsi" w:hAnsiTheme="minorHAnsi" w:cstheme="majorBidi"/>
                  <w:i/>
                  <w:color w:val="CE5B18"/>
                  <w:sz w:val="17"/>
                  <w:szCs w:val="17"/>
                  <w:u w:val="none"/>
                </w:rPr>
                <w:t>A.R.S. 28-505</w:t>
              </w:r>
            </w:hyperlink>
          </w:p>
        </w:tc>
        <w:tc>
          <w:tcPr>
            <w:tcW w:w="6804" w:type="dxa"/>
            <w:vMerge/>
            <w:tcBorders>
              <w:top w:val="single" w:sz="4" w:space="0" w:color="auto"/>
              <w:left w:val="single" w:sz="4" w:space="0" w:color="auto"/>
              <w:bottom w:val="single" w:sz="4" w:space="0" w:color="auto"/>
              <w:right w:val="single" w:sz="4" w:space="0" w:color="auto"/>
            </w:tcBorders>
          </w:tcPr>
          <w:p w14:paraId="4631B599" w14:textId="77777777" w:rsidR="009F3D00" w:rsidRPr="00020D20" w:rsidRDefault="009F3D00" w:rsidP="00020D20">
            <w:pPr>
              <w:spacing w:before="0" w:after="0" w:line="240" w:lineRule="auto"/>
              <w:jc w:val="both"/>
              <w:rPr>
                <w:sz w:val="17"/>
                <w:szCs w:val="17"/>
              </w:rPr>
            </w:pPr>
          </w:p>
        </w:tc>
      </w:tr>
      <w:tr w:rsidR="009F3D00" w:rsidRPr="009F3D00" w14:paraId="0F2042BD" w14:textId="77777777" w:rsidTr="00020D20">
        <w:trPr>
          <w:trHeight w:hRule="exact" w:val="280"/>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1EC7A602"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C385458" w14:textId="370EB368" w:rsidR="009F3D00" w:rsidRPr="00020D20" w:rsidRDefault="00202C92">
            <w:pPr>
              <w:pStyle w:val="Title"/>
              <w:rPr>
                <w:sz w:val="17"/>
                <w:szCs w:val="17"/>
              </w:rPr>
            </w:pPr>
            <w:hyperlink r:id="rId429" w:history="1">
              <w:r w:rsidR="009F3D00" w:rsidRPr="00020D20">
                <w:rPr>
                  <w:rStyle w:val="Hyperlink"/>
                  <w:rFonts w:asciiTheme="minorHAnsi" w:hAnsiTheme="minorHAnsi" w:cstheme="majorBidi"/>
                  <w:i/>
                  <w:color w:val="CE5B18"/>
                  <w:sz w:val="17"/>
                  <w:szCs w:val="17"/>
                  <w:u w:val="none"/>
                </w:rPr>
                <w:t>A.R.S. 28-506</w:t>
              </w:r>
            </w:hyperlink>
          </w:p>
        </w:tc>
        <w:tc>
          <w:tcPr>
            <w:tcW w:w="6804" w:type="dxa"/>
            <w:vMerge/>
            <w:tcBorders>
              <w:top w:val="single" w:sz="4" w:space="0" w:color="auto"/>
              <w:left w:val="single" w:sz="4" w:space="0" w:color="auto"/>
              <w:bottom w:val="single" w:sz="4" w:space="0" w:color="auto"/>
              <w:right w:val="single" w:sz="4" w:space="0" w:color="auto"/>
            </w:tcBorders>
          </w:tcPr>
          <w:p w14:paraId="4808A7F5" w14:textId="77777777" w:rsidR="009F3D00" w:rsidRPr="00020D20" w:rsidRDefault="009F3D00" w:rsidP="00020D20">
            <w:pPr>
              <w:spacing w:before="0" w:after="0" w:line="240" w:lineRule="auto"/>
              <w:jc w:val="both"/>
              <w:rPr>
                <w:sz w:val="17"/>
                <w:szCs w:val="17"/>
              </w:rPr>
            </w:pPr>
          </w:p>
        </w:tc>
      </w:tr>
      <w:tr w:rsidR="009F3D00" w:rsidRPr="009F3D00" w14:paraId="7A8677FD" w14:textId="77777777" w:rsidTr="00020D20">
        <w:trPr>
          <w:trHeight w:hRule="exact" w:val="289"/>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63AD133E"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1C80F6A" w14:textId="7E3F61CB" w:rsidR="009F3D00" w:rsidRPr="00020D20" w:rsidRDefault="00202C92">
            <w:pPr>
              <w:pStyle w:val="Title"/>
              <w:rPr>
                <w:sz w:val="17"/>
                <w:szCs w:val="17"/>
              </w:rPr>
            </w:pPr>
            <w:hyperlink r:id="rId430" w:history="1">
              <w:r w:rsidR="009F3D00" w:rsidRPr="00020D20">
                <w:rPr>
                  <w:rStyle w:val="Hyperlink"/>
                  <w:rFonts w:asciiTheme="minorHAnsi" w:hAnsiTheme="minorHAnsi" w:cstheme="majorBidi"/>
                  <w:i/>
                  <w:color w:val="CE5B18"/>
                  <w:sz w:val="17"/>
                  <w:szCs w:val="17"/>
                  <w:u w:val="none"/>
                </w:rPr>
                <w:t>A.R.S. 28-507</w:t>
              </w:r>
            </w:hyperlink>
          </w:p>
        </w:tc>
        <w:tc>
          <w:tcPr>
            <w:tcW w:w="6804" w:type="dxa"/>
            <w:vMerge/>
            <w:tcBorders>
              <w:top w:val="single" w:sz="4" w:space="0" w:color="auto"/>
              <w:left w:val="single" w:sz="4" w:space="0" w:color="auto"/>
              <w:bottom w:val="single" w:sz="4" w:space="0" w:color="auto"/>
              <w:right w:val="single" w:sz="4" w:space="0" w:color="auto"/>
            </w:tcBorders>
          </w:tcPr>
          <w:p w14:paraId="7303F978" w14:textId="77777777" w:rsidR="009F3D00" w:rsidRPr="00020D20" w:rsidRDefault="009F3D00" w:rsidP="00020D20">
            <w:pPr>
              <w:spacing w:before="0" w:after="0" w:line="240" w:lineRule="auto"/>
              <w:jc w:val="both"/>
              <w:rPr>
                <w:sz w:val="17"/>
                <w:szCs w:val="17"/>
              </w:rPr>
            </w:pPr>
          </w:p>
        </w:tc>
      </w:tr>
      <w:tr w:rsidR="009F3D00" w:rsidRPr="009F3D00" w14:paraId="3E13D4CF" w14:textId="77777777" w:rsidTr="00020D20">
        <w:trPr>
          <w:trHeight w:hRule="exact" w:val="280"/>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13B61E5F"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CB7E6EC" w14:textId="458440D2" w:rsidR="009F3D00" w:rsidRPr="00020D20" w:rsidRDefault="00202C92">
            <w:pPr>
              <w:pStyle w:val="Title"/>
              <w:rPr>
                <w:sz w:val="17"/>
                <w:szCs w:val="17"/>
              </w:rPr>
            </w:pPr>
            <w:hyperlink r:id="rId431" w:history="1">
              <w:r w:rsidR="009F3D00" w:rsidRPr="00020D20">
                <w:rPr>
                  <w:sz w:val="17"/>
                  <w:szCs w:val="17"/>
                </w:rPr>
                <w:t>A.R.S. 28-6951</w:t>
              </w:r>
            </w:hyperlink>
          </w:p>
        </w:tc>
        <w:tc>
          <w:tcPr>
            <w:tcW w:w="6804"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622BF5B" w14:textId="66DBF990" w:rsidR="009F3D00" w:rsidRPr="00020D20" w:rsidRDefault="009F3D00" w:rsidP="00020D20">
            <w:pPr>
              <w:spacing w:before="0" w:after="0" w:line="240" w:lineRule="auto"/>
              <w:jc w:val="both"/>
              <w:rPr>
                <w:sz w:val="17"/>
                <w:szCs w:val="17"/>
              </w:rPr>
            </w:pPr>
            <w:r w:rsidRPr="00020D20">
              <w:rPr>
                <w:w w:val="96"/>
                <w:sz w:val="17"/>
                <w:szCs w:val="17"/>
              </w:rPr>
              <w:t>These laws, listed under article 3 of chapter 20, discuss the description and requirements of the Five</w:t>
            </w:r>
            <w:r w:rsidR="005070BF">
              <w:rPr>
                <w:w w:val="96"/>
                <w:sz w:val="17"/>
                <w:szCs w:val="17"/>
              </w:rPr>
              <w:t>-</w:t>
            </w:r>
            <w:r w:rsidRPr="00020D20">
              <w:rPr>
                <w:w w:val="96"/>
                <w:sz w:val="17"/>
                <w:szCs w:val="17"/>
              </w:rPr>
              <w:t xml:space="preserve">Year Transportation Facilities Construction Program. </w:t>
            </w:r>
          </w:p>
        </w:tc>
      </w:tr>
      <w:tr w:rsidR="009F3D00" w:rsidRPr="009F3D00" w14:paraId="786720DB" w14:textId="77777777" w:rsidTr="00020D20">
        <w:trPr>
          <w:trHeight w:hRule="exact" w:val="271"/>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19D7DF5F"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9A0EEA5" w14:textId="72C078ED" w:rsidR="009F3D00" w:rsidRPr="00020D20" w:rsidRDefault="00202C92">
            <w:pPr>
              <w:pStyle w:val="Title"/>
              <w:rPr>
                <w:sz w:val="17"/>
                <w:szCs w:val="17"/>
              </w:rPr>
            </w:pPr>
            <w:hyperlink r:id="rId432" w:history="1">
              <w:r w:rsidR="009F3D00" w:rsidRPr="00020D20">
                <w:rPr>
                  <w:rStyle w:val="Hyperlink"/>
                  <w:rFonts w:asciiTheme="minorHAnsi" w:hAnsiTheme="minorHAnsi" w:cstheme="majorBidi"/>
                  <w:i/>
                  <w:color w:val="CE5B18"/>
                  <w:sz w:val="17"/>
                  <w:szCs w:val="17"/>
                  <w:u w:val="none"/>
                </w:rPr>
                <w:t>A.R.S. 28-6952</w:t>
              </w:r>
            </w:hyperlink>
          </w:p>
        </w:tc>
        <w:tc>
          <w:tcPr>
            <w:tcW w:w="6804" w:type="dxa"/>
            <w:vMerge/>
            <w:tcBorders>
              <w:top w:val="single" w:sz="4" w:space="0" w:color="auto"/>
              <w:left w:val="single" w:sz="4" w:space="0" w:color="auto"/>
              <w:bottom w:val="single" w:sz="4" w:space="0" w:color="auto"/>
              <w:right w:val="single" w:sz="4" w:space="0" w:color="auto"/>
            </w:tcBorders>
          </w:tcPr>
          <w:p w14:paraId="7DEFED14" w14:textId="77777777" w:rsidR="009F3D00" w:rsidRPr="00020D20" w:rsidRDefault="009F3D00" w:rsidP="00020D20">
            <w:pPr>
              <w:spacing w:before="0" w:after="0" w:line="240" w:lineRule="auto"/>
              <w:jc w:val="both"/>
              <w:rPr>
                <w:sz w:val="17"/>
                <w:szCs w:val="17"/>
              </w:rPr>
            </w:pPr>
          </w:p>
        </w:tc>
      </w:tr>
      <w:tr w:rsidR="009F3D00" w:rsidRPr="009F3D00" w14:paraId="4A488416" w14:textId="77777777" w:rsidTr="00020D20">
        <w:trPr>
          <w:trHeight w:hRule="exact" w:val="280"/>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276476DC"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4308ECB" w14:textId="38CCFD8B" w:rsidR="009F3D00" w:rsidRPr="00020D20" w:rsidRDefault="00202C92">
            <w:pPr>
              <w:pStyle w:val="Title"/>
              <w:rPr>
                <w:sz w:val="17"/>
                <w:szCs w:val="17"/>
              </w:rPr>
            </w:pPr>
            <w:hyperlink r:id="rId433" w:history="1">
              <w:r w:rsidR="009F3D00" w:rsidRPr="00020D20">
                <w:rPr>
                  <w:rStyle w:val="Hyperlink"/>
                  <w:rFonts w:asciiTheme="minorHAnsi" w:hAnsiTheme="minorHAnsi" w:cstheme="majorBidi"/>
                  <w:i/>
                  <w:color w:val="CE5B18"/>
                  <w:sz w:val="17"/>
                  <w:szCs w:val="17"/>
                  <w:u w:val="none"/>
                </w:rPr>
                <w:t>A.R.S. 28-6953</w:t>
              </w:r>
            </w:hyperlink>
          </w:p>
        </w:tc>
        <w:tc>
          <w:tcPr>
            <w:tcW w:w="6804" w:type="dxa"/>
            <w:vMerge/>
            <w:tcBorders>
              <w:top w:val="single" w:sz="4" w:space="0" w:color="auto"/>
              <w:left w:val="single" w:sz="4" w:space="0" w:color="auto"/>
              <w:bottom w:val="single" w:sz="4" w:space="0" w:color="auto"/>
              <w:right w:val="single" w:sz="4" w:space="0" w:color="auto"/>
            </w:tcBorders>
          </w:tcPr>
          <w:p w14:paraId="65E2D66A" w14:textId="77777777" w:rsidR="009F3D00" w:rsidRPr="00020D20" w:rsidRDefault="009F3D00" w:rsidP="00020D20">
            <w:pPr>
              <w:spacing w:before="0" w:after="0" w:line="240" w:lineRule="auto"/>
              <w:jc w:val="both"/>
              <w:rPr>
                <w:sz w:val="17"/>
                <w:szCs w:val="17"/>
              </w:rPr>
            </w:pPr>
          </w:p>
        </w:tc>
      </w:tr>
      <w:tr w:rsidR="009F3D00" w:rsidRPr="009F3D00" w14:paraId="1C075E54" w14:textId="77777777" w:rsidTr="00020D20">
        <w:trPr>
          <w:trHeight w:hRule="exact" w:val="289"/>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5B002931"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039178A" w14:textId="18263584" w:rsidR="009F3D00" w:rsidRPr="00020D20" w:rsidRDefault="00202C92">
            <w:pPr>
              <w:pStyle w:val="Title"/>
              <w:rPr>
                <w:sz w:val="17"/>
                <w:szCs w:val="17"/>
              </w:rPr>
            </w:pPr>
            <w:hyperlink r:id="rId434" w:history="1">
              <w:r w:rsidR="009F3D00" w:rsidRPr="00020D20">
                <w:rPr>
                  <w:rStyle w:val="Hyperlink"/>
                  <w:rFonts w:asciiTheme="minorHAnsi" w:hAnsiTheme="minorHAnsi" w:cstheme="majorBidi"/>
                  <w:i/>
                  <w:color w:val="CE5B18"/>
                  <w:sz w:val="17"/>
                  <w:szCs w:val="17"/>
                  <w:u w:val="none"/>
                </w:rPr>
                <w:t>A.R.S. 28-6954</w:t>
              </w:r>
            </w:hyperlink>
          </w:p>
        </w:tc>
        <w:tc>
          <w:tcPr>
            <w:tcW w:w="6804" w:type="dxa"/>
            <w:vMerge/>
            <w:tcBorders>
              <w:top w:val="single" w:sz="4" w:space="0" w:color="auto"/>
              <w:left w:val="single" w:sz="4" w:space="0" w:color="auto"/>
              <w:bottom w:val="single" w:sz="4" w:space="0" w:color="auto"/>
              <w:right w:val="single" w:sz="4" w:space="0" w:color="auto"/>
            </w:tcBorders>
          </w:tcPr>
          <w:p w14:paraId="1948E1B3" w14:textId="77777777" w:rsidR="009F3D00" w:rsidRPr="00020D20" w:rsidRDefault="009F3D00" w:rsidP="00020D20">
            <w:pPr>
              <w:spacing w:before="0" w:after="0" w:line="240" w:lineRule="auto"/>
              <w:jc w:val="both"/>
              <w:rPr>
                <w:sz w:val="17"/>
                <w:szCs w:val="17"/>
              </w:rPr>
            </w:pPr>
          </w:p>
        </w:tc>
      </w:tr>
      <w:tr w:rsidR="009F3D00" w:rsidRPr="009F3D00" w14:paraId="7BF8801D" w14:textId="77777777" w:rsidTr="00020D20">
        <w:trPr>
          <w:trHeight w:hRule="exact" w:val="352"/>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61BA8F3C"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D15DF04" w14:textId="6B65FFAA" w:rsidR="009F3D00" w:rsidRPr="00020D20" w:rsidRDefault="00202C92">
            <w:pPr>
              <w:pStyle w:val="Title"/>
              <w:rPr>
                <w:sz w:val="17"/>
                <w:szCs w:val="17"/>
              </w:rPr>
            </w:pPr>
            <w:hyperlink r:id="rId435" w:history="1">
              <w:r w:rsidR="009F3D00" w:rsidRPr="00020D20">
                <w:rPr>
                  <w:rStyle w:val="Hyperlink"/>
                  <w:rFonts w:asciiTheme="minorHAnsi" w:hAnsiTheme="minorHAnsi" w:cstheme="majorBidi"/>
                  <w:i/>
                  <w:color w:val="CE5B18"/>
                  <w:sz w:val="17"/>
                  <w:szCs w:val="17"/>
                  <w:u w:val="none"/>
                </w:rPr>
                <w:t>A.R.S. 28-6955</w:t>
              </w:r>
            </w:hyperlink>
          </w:p>
        </w:tc>
        <w:tc>
          <w:tcPr>
            <w:tcW w:w="6804" w:type="dxa"/>
            <w:vMerge/>
            <w:tcBorders>
              <w:top w:val="single" w:sz="4" w:space="0" w:color="auto"/>
              <w:left w:val="single" w:sz="4" w:space="0" w:color="auto"/>
              <w:bottom w:val="single" w:sz="4" w:space="0" w:color="auto"/>
              <w:right w:val="single" w:sz="4" w:space="0" w:color="auto"/>
            </w:tcBorders>
          </w:tcPr>
          <w:p w14:paraId="5B197DB5" w14:textId="77777777" w:rsidR="009F3D00" w:rsidRPr="00020D20" w:rsidRDefault="009F3D00" w:rsidP="00020D20">
            <w:pPr>
              <w:spacing w:before="0" w:after="0" w:line="240" w:lineRule="auto"/>
              <w:jc w:val="both"/>
              <w:rPr>
                <w:sz w:val="17"/>
                <w:szCs w:val="17"/>
              </w:rPr>
            </w:pPr>
          </w:p>
        </w:tc>
      </w:tr>
      <w:tr w:rsidR="009F3D00" w:rsidRPr="009F3D00" w14:paraId="58536C2D" w14:textId="77777777" w:rsidTr="00020D20">
        <w:trPr>
          <w:trHeight w:hRule="exact" w:val="541"/>
        </w:trPr>
        <w:tc>
          <w:tcPr>
            <w:tcW w:w="466" w:type="dxa"/>
            <w:vMerge/>
            <w:tcBorders>
              <w:top w:val="single" w:sz="4" w:space="0" w:color="auto"/>
              <w:left w:val="single" w:sz="4" w:space="0" w:color="auto"/>
              <w:bottom w:val="single" w:sz="4" w:space="0" w:color="auto"/>
              <w:right w:val="single" w:sz="4" w:space="0" w:color="auto"/>
            </w:tcBorders>
            <w:shd w:val="clear" w:color="auto" w:fill="012768"/>
          </w:tcPr>
          <w:p w14:paraId="0757BFF1" w14:textId="77777777" w:rsidR="009F3D00" w:rsidRPr="009339A2" w:rsidRDefault="009F3D00" w:rsidP="00020D20">
            <w:pPr>
              <w:spacing w:before="0" w:after="0" w:line="240" w:lineRule="auto"/>
              <w:jc w:val="center"/>
            </w:pPr>
          </w:p>
        </w:tc>
        <w:tc>
          <w:tcPr>
            <w:tcW w:w="209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C6B2723" w14:textId="0554B2EE" w:rsidR="009F3D00" w:rsidRPr="00020D20" w:rsidRDefault="00202C92">
            <w:pPr>
              <w:pStyle w:val="Title"/>
              <w:rPr>
                <w:sz w:val="17"/>
                <w:szCs w:val="17"/>
              </w:rPr>
            </w:pPr>
            <w:hyperlink r:id="rId436" w:history="1">
              <w:r w:rsidR="009F3D00" w:rsidRPr="00020D20">
                <w:rPr>
                  <w:rStyle w:val="Hyperlink"/>
                  <w:rFonts w:asciiTheme="minorHAnsi" w:hAnsiTheme="minorHAnsi" w:cstheme="majorBidi"/>
                  <w:i/>
                  <w:color w:val="CE5B18"/>
                  <w:sz w:val="17"/>
                  <w:szCs w:val="17"/>
                  <w:u w:val="none"/>
                </w:rPr>
                <w:t>A.R.S. 28-6308</w:t>
              </w:r>
            </w:hyperlink>
          </w:p>
        </w:tc>
        <w:tc>
          <w:tcPr>
            <w:tcW w:w="6804"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5C95875" w14:textId="77777777" w:rsidR="009F3D00" w:rsidRPr="00020D20" w:rsidRDefault="009F3D00" w:rsidP="00020D20">
            <w:pPr>
              <w:spacing w:before="0" w:after="0" w:line="240" w:lineRule="auto"/>
              <w:jc w:val="both"/>
              <w:rPr>
                <w:sz w:val="17"/>
                <w:szCs w:val="17"/>
              </w:rPr>
            </w:pPr>
            <w:r w:rsidRPr="00020D20">
              <w:rPr>
                <w:w w:val="96"/>
                <w:sz w:val="17"/>
                <w:szCs w:val="17"/>
              </w:rPr>
              <w:t>Describes the requirements of the regional planning agency transportation policy committee, regional transportation plan, and plan review process.</w:t>
            </w:r>
          </w:p>
        </w:tc>
      </w:tr>
    </w:tbl>
    <w:p w14:paraId="707BC8F7" w14:textId="77777777" w:rsidR="009339A2" w:rsidRDefault="009339A2" w:rsidP="00020D20">
      <w:pPr>
        <w:pStyle w:val="Heading2"/>
        <w:rPr>
          <w:b w:val="0"/>
        </w:rPr>
        <w:sectPr w:rsidR="009339A2" w:rsidSect="009339A2">
          <w:type w:val="continuous"/>
          <w:pgSz w:w="12240" w:h="15840"/>
          <w:pgMar w:top="1440" w:right="1440" w:bottom="1440" w:left="1440" w:header="720" w:footer="720" w:gutter="0"/>
          <w:cols w:space="720"/>
          <w:docGrid w:linePitch="360"/>
        </w:sectPr>
      </w:pPr>
    </w:p>
    <w:p w14:paraId="52D1D096" w14:textId="43057F2A" w:rsidR="00C00260" w:rsidRPr="00C00260" w:rsidRDefault="00C00260">
      <w:pPr>
        <w:pStyle w:val="Heading2"/>
      </w:pPr>
      <w:bookmarkStart w:id="237" w:name="_Ref50030076"/>
      <w:r w:rsidRPr="00C00260">
        <w:t>7.3 | SCOPE</w:t>
      </w:r>
      <w:bookmarkEnd w:id="237"/>
    </w:p>
    <w:p w14:paraId="563BE767" w14:textId="4798C56A" w:rsidR="00C00260" w:rsidRPr="00C00260" w:rsidRDefault="00C00260" w:rsidP="00020D20">
      <w:pPr>
        <w:jc w:val="both"/>
      </w:pPr>
      <w:r w:rsidRPr="00C00260">
        <w:t>MPOs are responsible for developing an RTP that addresses at least a 20-year planning horizon from the date of the plan adoption (in air quality attainment areas) or the date of its federal agency approval of conformity (for air quality nonattainment areas (23 CFR. § 450.322(a)).</w:t>
      </w:r>
    </w:p>
    <w:p w14:paraId="53293D3F" w14:textId="77777777" w:rsidR="00C00260" w:rsidRPr="00C00260" w:rsidRDefault="00737F7B" w:rsidP="00020D20">
      <w:pPr>
        <w:jc w:val="both"/>
      </w:pPr>
      <w:r>
        <w:rPr>
          <w:rFonts w:cstheme="minorHAnsi"/>
          <w:noProof/>
        </w:rPr>
        <mc:AlternateContent>
          <mc:Choice Requires="wps">
            <w:drawing>
              <wp:anchor distT="0" distB="0" distL="114300" distR="114300" simplePos="0" relativeHeight="251618529" behindDoc="1" locked="0" layoutInCell="1" allowOverlap="1" wp14:anchorId="3D2644FF" wp14:editId="4F9D4143">
                <wp:simplePos x="0" y="0"/>
                <wp:positionH relativeFrom="column">
                  <wp:posOffset>0</wp:posOffset>
                </wp:positionH>
                <wp:positionV relativeFrom="paragraph">
                  <wp:posOffset>1158240</wp:posOffset>
                </wp:positionV>
                <wp:extent cx="1706245" cy="2828925"/>
                <wp:effectExtent l="95250" t="95250" r="103505" b="104775"/>
                <wp:wrapTight wrapText="bothSides">
                  <wp:wrapPolygon edited="0">
                    <wp:start x="-723" y="-727"/>
                    <wp:lineTo x="-1206" y="-582"/>
                    <wp:lineTo x="-1206" y="21527"/>
                    <wp:lineTo x="-723" y="22255"/>
                    <wp:lineTo x="22428" y="22255"/>
                    <wp:lineTo x="22669" y="1745"/>
                    <wp:lineTo x="22187" y="-436"/>
                    <wp:lineTo x="22187" y="-727"/>
                    <wp:lineTo x="-723" y="-727"/>
                  </wp:wrapPolygon>
                </wp:wrapTight>
                <wp:docPr id="1690911532" name="Text Box 1690911532"/>
                <wp:cNvGraphicFramePr/>
                <a:graphic xmlns:a="http://schemas.openxmlformats.org/drawingml/2006/main">
                  <a:graphicData uri="http://schemas.microsoft.com/office/word/2010/wordprocessingShape">
                    <wps:wsp>
                      <wps:cNvSpPr txBox="1"/>
                      <wps:spPr>
                        <a:xfrm>
                          <a:off x="0" y="0"/>
                          <a:ext cx="1706245" cy="28289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332D108" w14:textId="77777777" w:rsidR="00C6444C" w:rsidRDefault="00C6444C" w:rsidP="00020D20">
                            <w:pPr>
                              <w:jc w:val="center"/>
                            </w:pPr>
                            <w:r>
                              <w:rPr>
                                <w:noProof/>
                              </w:rPr>
                              <w:drawing>
                                <wp:inline distT="0" distB="0" distL="0" distR="0" wp14:anchorId="2088913C" wp14:editId="3238623F">
                                  <wp:extent cx="457200" cy="457200"/>
                                  <wp:effectExtent l="0" t="0" r="0" b="0"/>
                                  <wp:docPr id="1690911446" name="Picture 169091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F89D0FC" w14:textId="245B5462" w:rsidR="00C6444C" w:rsidRPr="00954116" w:rsidRDefault="00C6444C" w:rsidP="00020D20">
                            <w:pPr>
                              <w:pStyle w:val="Calloutboxes"/>
                            </w:pPr>
                            <w:r w:rsidRPr="00394A74">
                              <w:t>At a minimum, an RTP should include:</w:t>
                            </w:r>
                          </w:p>
                          <w:tbl>
                            <w:tblPr>
                              <w:tblW w:w="0" w:type="auto"/>
                              <w:tblLook w:val="04A0" w:firstRow="1" w:lastRow="0" w:firstColumn="1" w:lastColumn="0" w:noHBand="0" w:noVBand="1"/>
                            </w:tblPr>
                            <w:tblGrid>
                              <w:gridCol w:w="450"/>
                              <w:gridCol w:w="1939"/>
                            </w:tblGrid>
                            <w:tr w:rsidR="00C6444C" w14:paraId="7CB15E52" w14:textId="77777777" w:rsidTr="00020D20">
                              <w:trPr>
                                <w:trHeight w:val="273"/>
                              </w:trPr>
                              <w:tc>
                                <w:tcPr>
                                  <w:tcW w:w="450" w:type="dxa"/>
                                  <w:vAlign w:val="center"/>
                                </w:tcPr>
                                <w:p w14:paraId="75232C69" w14:textId="77777777" w:rsidR="00C6444C" w:rsidRDefault="00C6444C" w:rsidP="00020D20">
                                  <w:pPr>
                                    <w:pStyle w:val="Calloutboxes"/>
                                    <w:jc w:val="left"/>
                                  </w:pPr>
                                  <w:r>
                                    <w:rPr>
                                      <w:noProof/>
                                    </w:rPr>
                                    <w:drawing>
                                      <wp:inline distT="0" distB="0" distL="0" distR="0" wp14:anchorId="381DCE40" wp14:editId="6A7E2C0A">
                                        <wp:extent cx="91440" cy="91440"/>
                                        <wp:effectExtent l="0" t="0" r="3810" b="3810"/>
                                        <wp:docPr id="1690911448" name="Picture 169091144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616BB952" w14:textId="0C32F34A" w:rsidR="00C6444C" w:rsidRDefault="00C6444C" w:rsidP="00020D20">
                                  <w:pPr>
                                    <w:pStyle w:val="Calloutboxes"/>
                                    <w:jc w:val="left"/>
                                  </w:pPr>
                                  <w:r>
                                    <w:t>the identification of transportation facilities</w:t>
                                  </w:r>
                                </w:p>
                              </w:tc>
                            </w:tr>
                            <w:tr w:rsidR="00C6444C" w14:paraId="66424DE5" w14:textId="77777777" w:rsidTr="00020D20">
                              <w:trPr>
                                <w:trHeight w:val="290"/>
                              </w:trPr>
                              <w:tc>
                                <w:tcPr>
                                  <w:tcW w:w="450" w:type="dxa"/>
                                  <w:vAlign w:val="center"/>
                                </w:tcPr>
                                <w:p w14:paraId="3B7C6055" w14:textId="77777777" w:rsidR="00C6444C" w:rsidRDefault="00C6444C" w:rsidP="00020D20">
                                  <w:pPr>
                                    <w:pStyle w:val="Calloutboxes"/>
                                    <w:jc w:val="left"/>
                                  </w:pPr>
                                  <w:r>
                                    <w:rPr>
                                      <w:noProof/>
                                    </w:rPr>
                                    <w:drawing>
                                      <wp:inline distT="0" distB="0" distL="0" distR="0" wp14:anchorId="056C5DB8" wp14:editId="29540668">
                                        <wp:extent cx="91440" cy="91440"/>
                                        <wp:effectExtent l="0" t="0" r="3810" b="3810"/>
                                        <wp:docPr id="1690911449" name="Picture 169091144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2D887020" w14:textId="0D9D6EF0" w:rsidR="00C6444C" w:rsidRDefault="00C6444C" w:rsidP="00020D20">
                                  <w:pPr>
                                    <w:pStyle w:val="Calloutboxes"/>
                                    <w:jc w:val="left"/>
                                  </w:pPr>
                                  <w:r>
                                    <w:t>performance measures and targets</w:t>
                                  </w:r>
                                </w:p>
                              </w:tc>
                            </w:tr>
                            <w:tr w:rsidR="00C6444C" w14:paraId="60373A71" w14:textId="77777777" w:rsidTr="00020D20">
                              <w:trPr>
                                <w:trHeight w:val="290"/>
                              </w:trPr>
                              <w:tc>
                                <w:tcPr>
                                  <w:tcW w:w="450" w:type="dxa"/>
                                  <w:vAlign w:val="center"/>
                                </w:tcPr>
                                <w:p w14:paraId="18B334F8" w14:textId="77777777" w:rsidR="00C6444C" w:rsidRDefault="00C6444C" w:rsidP="00020D20">
                                  <w:pPr>
                                    <w:pStyle w:val="Calloutboxes"/>
                                    <w:jc w:val="left"/>
                                  </w:pPr>
                                  <w:r>
                                    <w:rPr>
                                      <w:noProof/>
                                    </w:rPr>
                                    <w:drawing>
                                      <wp:inline distT="0" distB="0" distL="0" distR="0" wp14:anchorId="17867DDA" wp14:editId="1D96E545">
                                        <wp:extent cx="91440" cy="91440"/>
                                        <wp:effectExtent l="0" t="0" r="3810" b="3810"/>
                                        <wp:docPr id="1690911450" name="Picture 169091145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2E03BB5A" w14:textId="738C9803" w:rsidR="00C6444C" w:rsidRDefault="00C6444C" w:rsidP="00020D20">
                                  <w:pPr>
                                    <w:pStyle w:val="Calloutboxes"/>
                                    <w:jc w:val="left"/>
                                  </w:pPr>
                                  <w:r>
                                    <w:t>a system performance report</w:t>
                                  </w:r>
                                </w:p>
                              </w:tc>
                            </w:tr>
                            <w:tr w:rsidR="00C6444C" w14:paraId="39614144" w14:textId="77777777" w:rsidTr="00020D20">
                              <w:trPr>
                                <w:trHeight w:val="273"/>
                              </w:trPr>
                              <w:tc>
                                <w:tcPr>
                                  <w:tcW w:w="450" w:type="dxa"/>
                                  <w:vAlign w:val="center"/>
                                </w:tcPr>
                                <w:p w14:paraId="41C9FD95" w14:textId="77777777" w:rsidR="00C6444C" w:rsidRDefault="00C6444C" w:rsidP="00020D20">
                                  <w:pPr>
                                    <w:pStyle w:val="Calloutboxes"/>
                                    <w:jc w:val="left"/>
                                  </w:pPr>
                                  <w:r>
                                    <w:rPr>
                                      <w:noProof/>
                                    </w:rPr>
                                    <w:drawing>
                                      <wp:inline distT="0" distB="0" distL="0" distR="0" wp14:anchorId="40E65013" wp14:editId="5E9AB1BB">
                                        <wp:extent cx="91440" cy="91440"/>
                                        <wp:effectExtent l="0" t="0" r="3810" b="3810"/>
                                        <wp:docPr id="1690911451" name="Picture 169091145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7D12129E" w14:textId="41181728" w:rsidR="00C6444C" w:rsidRDefault="00C6444C" w:rsidP="00020D20">
                                  <w:pPr>
                                    <w:pStyle w:val="Calloutboxes"/>
                                    <w:jc w:val="left"/>
                                  </w:pPr>
                                  <w:r>
                                    <w:t>mitigation activities</w:t>
                                  </w:r>
                                </w:p>
                              </w:tc>
                            </w:tr>
                            <w:tr w:rsidR="00C6444C" w14:paraId="1DE60BC4" w14:textId="77777777" w:rsidTr="00020D20">
                              <w:trPr>
                                <w:trHeight w:val="290"/>
                              </w:trPr>
                              <w:tc>
                                <w:tcPr>
                                  <w:tcW w:w="450" w:type="dxa"/>
                                  <w:vAlign w:val="center"/>
                                </w:tcPr>
                                <w:p w14:paraId="6311AFEF" w14:textId="77777777" w:rsidR="00C6444C" w:rsidRDefault="00C6444C" w:rsidP="00020D20">
                                  <w:pPr>
                                    <w:pStyle w:val="Calloutboxes"/>
                                    <w:jc w:val="left"/>
                                  </w:pPr>
                                  <w:r>
                                    <w:rPr>
                                      <w:noProof/>
                                    </w:rPr>
                                    <w:drawing>
                                      <wp:inline distT="0" distB="0" distL="0" distR="0" wp14:anchorId="6FA1420D" wp14:editId="186FD4E0">
                                        <wp:extent cx="91440" cy="91440"/>
                                        <wp:effectExtent l="0" t="0" r="3810" b="3810"/>
                                        <wp:docPr id="1690911452" name="Picture 169091145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389742AF" w14:textId="1F9BEDCE" w:rsidR="00C6444C" w:rsidRDefault="00C6444C" w:rsidP="00020D20">
                                  <w:pPr>
                                    <w:pStyle w:val="Calloutboxes"/>
                                    <w:jc w:val="left"/>
                                  </w:pPr>
                                  <w:r>
                                    <w:t>a financial plan</w:t>
                                  </w:r>
                                </w:p>
                              </w:tc>
                            </w:tr>
                            <w:tr w:rsidR="00C6444C" w14:paraId="63F56A35" w14:textId="77777777" w:rsidTr="00020D20">
                              <w:trPr>
                                <w:trHeight w:val="290"/>
                              </w:trPr>
                              <w:tc>
                                <w:tcPr>
                                  <w:tcW w:w="450" w:type="dxa"/>
                                  <w:vAlign w:val="center"/>
                                </w:tcPr>
                                <w:p w14:paraId="1D5E3007" w14:textId="77777777" w:rsidR="00C6444C" w:rsidRDefault="00C6444C" w:rsidP="00200A9D">
                                  <w:pPr>
                                    <w:pStyle w:val="Calloutboxes"/>
                                    <w:jc w:val="left"/>
                                    <w:rPr>
                                      <w:noProof/>
                                    </w:rPr>
                                  </w:pPr>
                                  <w:r>
                                    <w:rPr>
                                      <w:noProof/>
                                    </w:rPr>
                                    <w:drawing>
                                      <wp:inline distT="0" distB="0" distL="0" distR="0" wp14:anchorId="15465B70" wp14:editId="472E84CB">
                                        <wp:extent cx="91440" cy="91440"/>
                                        <wp:effectExtent l="0" t="0" r="3810" b="3810"/>
                                        <wp:docPr id="1690911453" name="Picture 169091145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41653D82" w14:textId="5A2918CC" w:rsidR="00C6444C" w:rsidRDefault="00C6444C" w:rsidP="00200A9D">
                                  <w:pPr>
                                    <w:pStyle w:val="Calloutboxes"/>
                                    <w:jc w:val="left"/>
                                  </w:pPr>
                                  <w:r>
                                    <w:t>operational and management strategies</w:t>
                                  </w:r>
                                </w:p>
                              </w:tc>
                            </w:tr>
                            <w:tr w:rsidR="00C6444C" w14:paraId="5E79F433" w14:textId="77777777" w:rsidTr="00020D20">
                              <w:trPr>
                                <w:trHeight w:val="290"/>
                              </w:trPr>
                              <w:tc>
                                <w:tcPr>
                                  <w:tcW w:w="450" w:type="dxa"/>
                                  <w:vAlign w:val="center"/>
                                </w:tcPr>
                                <w:p w14:paraId="58F8661E" w14:textId="77777777" w:rsidR="00C6444C" w:rsidRDefault="00C6444C" w:rsidP="00200A9D">
                                  <w:pPr>
                                    <w:pStyle w:val="Calloutboxes"/>
                                    <w:jc w:val="left"/>
                                    <w:rPr>
                                      <w:noProof/>
                                    </w:rPr>
                                  </w:pPr>
                                  <w:r>
                                    <w:rPr>
                                      <w:noProof/>
                                    </w:rPr>
                                    <w:drawing>
                                      <wp:inline distT="0" distB="0" distL="0" distR="0" wp14:anchorId="5EA946EC" wp14:editId="1F12AA25">
                                        <wp:extent cx="91440" cy="91440"/>
                                        <wp:effectExtent l="0" t="0" r="3810" b="3810"/>
                                        <wp:docPr id="1690911454" name="Picture 169091145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4C727832" w14:textId="72E49BD6" w:rsidR="00C6444C" w:rsidRDefault="00C6444C" w:rsidP="00200A9D">
                                  <w:pPr>
                                    <w:pStyle w:val="Calloutboxes"/>
                                    <w:jc w:val="left"/>
                                  </w:pPr>
                                  <w:r>
                                    <w:t>capital investment and other strategies</w:t>
                                  </w:r>
                                </w:p>
                              </w:tc>
                            </w:tr>
                            <w:tr w:rsidR="00C6444C" w14:paraId="07943EFA" w14:textId="77777777" w:rsidTr="00020D20">
                              <w:trPr>
                                <w:trHeight w:val="290"/>
                              </w:trPr>
                              <w:tc>
                                <w:tcPr>
                                  <w:tcW w:w="450" w:type="dxa"/>
                                  <w:vAlign w:val="center"/>
                                </w:tcPr>
                                <w:p w14:paraId="079A20CC" w14:textId="77777777" w:rsidR="00C6444C" w:rsidRDefault="00C6444C" w:rsidP="00200A9D">
                                  <w:pPr>
                                    <w:pStyle w:val="Calloutboxes"/>
                                    <w:jc w:val="left"/>
                                    <w:rPr>
                                      <w:noProof/>
                                    </w:rPr>
                                  </w:pPr>
                                  <w:r>
                                    <w:rPr>
                                      <w:noProof/>
                                    </w:rPr>
                                    <w:drawing>
                                      <wp:inline distT="0" distB="0" distL="0" distR="0" wp14:anchorId="2A162230" wp14:editId="2E2A4FA0">
                                        <wp:extent cx="91440" cy="91440"/>
                                        <wp:effectExtent l="0" t="0" r="3810" b="3810"/>
                                        <wp:docPr id="816286023" name="Picture 81628602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3EE8E489" w14:textId="05A3F8F9" w:rsidR="00C6444C" w:rsidRDefault="00C6444C" w:rsidP="00200A9D">
                                  <w:pPr>
                                    <w:pStyle w:val="Calloutboxes"/>
                                    <w:jc w:val="left"/>
                                  </w:pPr>
                                  <w:r>
                                    <w:t>transportation and transit enhancement activities</w:t>
                                  </w:r>
                                </w:p>
                              </w:tc>
                            </w:tr>
                          </w:tbl>
                          <w:p w14:paraId="3CDA5F58" w14:textId="77777777" w:rsidR="00C6444C" w:rsidRPr="00C6412C"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2644FF" id="Text Box 1690911532" o:spid="_x0000_s1139" type="#_x0000_t202" style="position:absolute;left:0;text-align:left;margin-left:0;margin-top:91.2pt;width:134.35pt;height:222.75pt;z-index:-251697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" fillcolor="#f7f7f7" stroked="f" strokeweight=".5pt">
                <v:shadow on="t" type="perspective" color="black" opacity="26214f" offset="0,0" matrix="66847f,,,66847f"/>
                <v:textbox>
                  <w:txbxContent>
                    <w:p w14:paraId="0332D108" w14:textId="77777777" w:rsidR="00C6444C" w:rsidRDefault="00C6444C" w:rsidP="00020D20">
                      <w:pPr>
                        <w:jc w:val="center"/>
                      </w:pPr>
                      <w:r>
                        <w:rPr>
                          <w:noProof/>
                        </w:rPr>
                        <w:drawing>
                          <wp:inline distT="0" distB="0" distL="0" distR="0" wp14:anchorId="2088913C" wp14:editId="3238623F">
                            <wp:extent cx="457200" cy="457200"/>
                            <wp:effectExtent l="0" t="0" r="0" b="0"/>
                            <wp:docPr id="1690911446" name="Picture 169091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F89D0FC" w14:textId="245B5462" w:rsidR="00C6444C" w:rsidRPr="00954116" w:rsidRDefault="00C6444C" w:rsidP="00020D20">
                      <w:pPr>
                        <w:pStyle w:val="Calloutboxes"/>
                      </w:pPr>
                      <w:r w:rsidRPr="00394A74">
                        <w:t>At a minimum, an RTP should include:</w:t>
                      </w:r>
                    </w:p>
                    <w:tbl>
                      <w:tblPr>
                        <w:tblW w:w="0" w:type="auto"/>
                        <w:tblLook w:val="04A0" w:firstRow="1" w:lastRow="0" w:firstColumn="1" w:lastColumn="0" w:noHBand="0" w:noVBand="1"/>
                      </w:tblPr>
                      <w:tblGrid>
                        <w:gridCol w:w="450"/>
                        <w:gridCol w:w="1939"/>
                      </w:tblGrid>
                      <w:tr w:rsidR="00C6444C" w14:paraId="7CB15E52" w14:textId="77777777" w:rsidTr="00020D20">
                        <w:trPr>
                          <w:trHeight w:val="273"/>
                        </w:trPr>
                        <w:tc>
                          <w:tcPr>
                            <w:tcW w:w="450" w:type="dxa"/>
                            <w:vAlign w:val="center"/>
                          </w:tcPr>
                          <w:p w14:paraId="75232C69" w14:textId="77777777" w:rsidR="00C6444C" w:rsidRDefault="00C6444C" w:rsidP="00020D20">
                            <w:pPr>
                              <w:pStyle w:val="Calloutboxes"/>
                              <w:jc w:val="left"/>
                            </w:pPr>
                            <w:r>
                              <w:rPr>
                                <w:noProof/>
                              </w:rPr>
                              <w:drawing>
                                <wp:inline distT="0" distB="0" distL="0" distR="0" wp14:anchorId="381DCE40" wp14:editId="6A7E2C0A">
                                  <wp:extent cx="91440" cy="91440"/>
                                  <wp:effectExtent l="0" t="0" r="3810" b="3810"/>
                                  <wp:docPr id="1690911448" name="Picture 169091144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6"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616BB952" w14:textId="0C32F34A" w:rsidR="00C6444C" w:rsidRDefault="00C6444C" w:rsidP="00020D20">
                            <w:pPr>
                              <w:pStyle w:val="Calloutboxes"/>
                              <w:jc w:val="left"/>
                            </w:pPr>
                            <w:r>
                              <w:t>the identification of transportation facilities</w:t>
                            </w:r>
                          </w:p>
                        </w:tc>
                      </w:tr>
                      <w:tr w:rsidR="00C6444C" w14:paraId="66424DE5" w14:textId="77777777" w:rsidTr="00020D20">
                        <w:trPr>
                          <w:trHeight w:val="290"/>
                        </w:trPr>
                        <w:tc>
                          <w:tcPr>
                            <w:tcW w:w="450" w:type="dxa"/>
                            <w:vAlign w:val="center"/>
                          </w:tcPr>
                          <w:p w14:paraId="3B7C6055" w14:textId="77777777" w:rsidR="00C6444C" w:rsidRDefault="00C6444C" w:rsidP="00020D20">
                            <w:pPr>
                              <w:pStyle w:val="Calloutboxes"/>
                              <w:jc w:val="left"/>
                            </w:pPr>
                            <w:r>
                              <w:rPr>
                                <w:noProof/>
                              </w:rPr>
                              <w:drawing>
                                <wp:inline distT="0" distB="0" distL="0" distR="0" wp14:anchorId="056C5DB8" wp14:editId="29540668">
                                  <wp:extent cx="91440" cy="91440"/>
                                  <wp:effectExtent l="0" t="0" r="3810" b="3810"/>
                                  <wp:docPr id="1690911449" name="Picture 169091144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7"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2D887020" w14:textId="0D9D6EF0" w:rsidR="00C6444C" w:rsidRDefault="00C6444C" w:rsidP="00020D20">
                            <w:pPr>
                              <w:pStyle w:val="Calloutboxes"/>
                              <w:jc w:val="left"/>
                            </w:pPr>
                            <w:r>
                              <w:t>performance measures and targets</w:t>
                            </w:r>
                          </w:p>
                        </w:tc>
                      </w:tr>
                      <w:tr w:rsidR="00C6444C" w14:paraId="60373A71" w14:textId="77777777" w:rsidTr="00020D20">
                        <w:trPr>
                          <w:trHeight w:val="290"/>
                        </w:trPr>
                        <w:tc>
                          <w:tcPr>
                            <w:tcW w:w="450" w:type="dxa"/>
                            <w:vAlign w:val="center"/>
                          </w:tcPr>
                          <w:p w14:paraId="18B334F8" w14:textId="77777777" w:rsidR="00C6444C" w:rsidRDefault="00C6444C" w:rsidP="00020D20">
                            <w:pPr>
                              <w:pStyle w:val="Calloutboxes"/>
                              <w:jc w:val="left"/>
                            </w:pPr>
                            <w:r>
                              <w:rPr>
                                <w:noProof/>
                              </w:rPr>
                              <w:drawing>
                                <wp:inline distT="0" distB="0" distL="0" distR="0" wp14:anchorId="17867DDA" wp14:editId="1D96E545">
                                  <wp:extent cx="91440" cy="91440"/>
                                  <wp:effectExtent l="0" t="0" r="3810" b="3810"/>
                                  <wp:docPr id="1690911450" name="Picture 169091145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8"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2E03BB5A" w14:textId="738C9803" w:rsidR="00C6444C" w:rsidRDefault="00C6444C" w:rsidP="00020D20">
                            <w:pPr>
                              <w:pStyle w:val="Calloutboxes"/>
                              <w:jc w:val="left"/>
                            </w:pPr>
                            <w:r>
                              <w:t>a system performance report</w:t>
                            </w:r>
                          </w:p>
                        </w:tc>
                      </w:tr>
                      <w:tr w:rsidR="00C6444C" w14:paraId="39614144" w14:textId="77777777" w:rsidTr="00020D20">
                        <w:trPr>
                          <w:trHeight w:val="273"/>
                        </w:trPr>
                        <w:tc>
                          <w:tcPr>
                            <w:tcW w:w="450" w:type="dxa"/>
                            <w:vAlign w:val="center"/>
                          </w:tcPr>
                          <w:p w14:paraId="41C9FD95" w14:textId="77777777" w:rsidR="00C6444C" w:rsidRDefault="00C6444C" w:rsidP="00020D20">
                            <w:pPr>
                              <w:pStyle w:val="Calloutboxes"/>
                              <w:jc w:val="left"/>
                            </w:pPr>
                            <w:r>
                              <w:rPr>
                                <w:noProof/>
                              </w:rPr>
                              <w:drawing>
                                <wp:inline distT="0" distB="0" distL="0" distR="0" wp14:anchorId="40E65013" wp14:editId="5E9AB1BB">
                                  <wp:extent cx="91440" cy="91440"/>
                                  <wp:effectExtent l="0" t="0" r="3810" b="3810"/>
                                  <wp:docPr id="1690911451" name="Picture 169091145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7D12129E" w14:textId="41181728" w:rsidR="00C6444C" w:rsidRDefault="00C6444C" w:rsidP="00020D20">
                            <w:pPr>
                              <w:pStyle w:val="Calloutboxes"/>
                              <w:jc w:val="left"/>
                            </w:pPr>
                            <w:r>
                              <w:t>mitigation activities</w:t>
                            </w:r>
                          </w:p>
                        </w:tc>
                      </w:tr>
                      <w:tr w:rsidR="00C6444C" w14:paraId="1DE60BC4" w14:textId="77777777" w:rsidTr="00020D20">
                        <w:trPr>
                          <w:trHeight w:val="290"/>
                        </w:trPr>
                        <w:tc>
                          <w:tcPr>
                            <w:tcW w:w="450" w:type="dxa"/>
                            <w:vAlign w:val="center"/>
                          </w:tcPr>
                          <w:p w14:paraId="6311AFEF" w14:textId="77777777" w:rsidR="00C6444C" w:rsidRDefault="00C6444C" w:rsidP="00020D20">
                            <w:pPr>
                              <w:pStyle w:val="Calloutboxes"/>
                              <w:jc w:val="left"/>
                            </w:pPr>
                            <w:r>
                              <w:rPr>
                                <w:noProof/>
                              </w:rPr>
                              <w:drawing>
                                <wp:inline distT="0" distB="0" distL="0" distR="0" wp14:anchorId="6FA1420D" wp14:editId="186FD4E0">
                                  <wp:extent cx="91440" cy="91440"/>
                                  <wp:effectExtent l="0" t="0" r="3810" b="3810"/>
                                  <wp:docPr id="1690911452" name="Picture 169091145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389742AF" w14:textId="1F9BEDCE" w:rsidR="00C6444C" w:rsidRDefault="00C6444C" w:rsidP="00020D20">
                            <w:pPr>
                              <w:pStyle w:val="Calloutboxes"/>
                              <w:jc w:val="left"/>
                            </w:pPr>
                            <w:r>
                              <w:t>a financial plan</w:t>
                            </w:r>
                          </w:p>
                        </w:tc>
                      </w:tr>
                      <w:tr w:rsidR="00C6444C" w14:paraId="63F56A35" w14:textId="77777777" w:rsidTr="00020D20">
                        <w:trPr>
                          <w:trHeight w:val="290"/>
                        </w:trPr>
                        <w:tc>
                          <w:tcPr>
                            <w:tcW w:w="450" w:type="dxa"/>
                            <w:vAlign w:val="center"/>
                          </w:tcPr>
                          <w:p w14:paraId="1D5E3007" w14:textId="77777777" w:rsidR="00C6444C" w:rsidRDefault="00C6444C" w:rsidP="00200A9D">
                            <w:pPr>
                              <w:pStyle w:val="Calloutboxes"/>
                              <w:jc w:val="left"/>
                              <w:rPr>
                                <w:noProof/>
                              </w:rPr>
                            </w:pPr>
                            <w:r>
                              <w:rPr>
                                <w:noProof/>
                              </w:rPr>
                              <w:drawing>
                                <wp:inline distT="0" distB="0" distL="0" distR="0" wp14:anchorId="15465B70" wp14:editId="472E84CB">
                                  <wp:extent cx="91440" cy="91440"/>
                                  <wp:effectExtent l="0" t="0" r="3810" b="3810"/>
                                  <wp:docPr id="1690911453" name="Picture 169091145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41653D82" w14:textId="5A2918CC" w:rsidR="00C6444C" w:rsidRDefault="00C6444C" w:rsidP="00200A9D">
                            <w:pPr>
                              <w:pStyle w:val="Calloutboxes"/>
                              <w:jc w:val="left"/>
                            </w:pPr>
                            <w:r>
                              <w:t>operational and management strategies</w:t>
                            </w:r>
                          </w:p>
                        </w:tc>
                      </w:tr>
                      <w:tr w:rsidR="00C6444C" w14:paraId="5E79F433" w14:textId="77777777" w:rsidTr="00020D20">
                        <w:trPr>
                          <w:trHeight w:val="290"/>
                        </w:trPr>
                        <w:tc>
                          <w:tcPr>
                            <w:tcW w:w="450" w:type="dxa"/>
                            <w:vAlign w:val="center"/>
                          </w:tcPr>
                          <w:p w14:paraId="58F8661E" w14:textId="77777777" w:rsidR="00C6444C" w:rsidRDefault="00C6444C" w:rsidP="00200A9D">
                            <w:pPr>
                              <w:pStyle w:val="Calloutboxes"/>
                              <w:jc w:val="left"/>
                              <w:rPr>
                                <w:noProof/>
                              </w:rPr>
                            </w:pPr>
                            <w:r>
                              <w:rPr>
                                <w:noProof/>
                              </w:rPr>
                              <w:drawing>
                                <wp:inline distT="0" distB="0" distL="0" distR="0" wp14:anchorId="5EA946EC" wp14:editId="1F12AA25">
                                  <wp:extent cx="91440" cy="91440"/>
                                  <wp:effectExtent l="0" t="0" r="3810" b="3810"/>
                                  <wp:docPr id="1690911454" name="Picture 169091145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4C727832" w14:textId="72E49BD6" w:rsidR="00C6444C" w:rsidRDefault="00C6444C" w:rsidP="00200A9D">
                            <w:pPr>
                              <w:pStyle w:val="Calloutboxes"/>
                              <w:jc w:val="left"/>
                            </w:pPr>
                            <w:r>
                              <w:t>capital investment and other strategies</w:t>
                            </w:r>
                          </w:p>
                        </w:tc>
                      </w:tr>
                      <w:tr w:rsidR="00C6444C" w14:paraId="07943EFA" w14:textId="77777777" w:rsidTr="00020D20">
                        <w:trPr>
                          <w:trHeight w:val="290"/>
                        </w:trPr>
                        <w:tc>
                          <w:tcPr>
                            <w:tcW w:w="450" w:type="dxa"/>
                            <w:vAlign w:val="center"/>
                          </w:tcPr>
                          <w:p w14:paraId="079A20CC" w14:textId="77777777" w:rsidR="00C6444C" w:rsidRDefault="00C6444C" w:rsidP="00200A9D">
                            <w:pPr>
                              <w:pStyle w:val="Calloutboxes"/>
                              <w:jc w:val="left"/>
                              <w:rPr>
                                <w:noProof/>
                              </w:rPr>
                            </w:pPr>
                            <w:r>
                              <w:rPr>
                                <w:noProof/>
                              </w:rPr>
                              <w:drawing>
                                <wp:inline distT="0" distB="0" distL="0" distR="0" wp14:anchorId="2A162230" wp14:editId="2E2A4FA0">
                                  <wp:extent cx="91440" cy="91440"/>
                                  <wp:effectExtent l="0" t="0" r="3810" b="3810"/>
                                  <wp:docPr id="816286023" name="Picture 81628602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479" name="Checkbox.png"/>
                                          <pic:cNvPicPr/>
                                        </pic:nvPicPr>
                                        <pic:blipFill>
                                          <a:blip r:embed="rId328">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inline>
                              </w:drawing>
                            </w:r>
                          </w:p>
                        </w:tc>
                        <w:tc>
                          <w:tcPr>
                            <w:tcW w:w="1939" w:type="dxa"/>
                          </w:tcPr>
                          <w:p w14:paraId="3EE8E489" w14:textId="05A3F8F9" w:rsidR="00C6444C" w:rsidRDefault="00C6444C" w:rsidP="00200A9D">
                            <w:pPr>
                              <w:pStyle w:val="Calloutboxes"/>
                              <w:jc w:val="left"/>
                            </w:pPr>
                            <w:r>
                              <w:t>transportation and transit enhancement activities</w:t>
                            </w:r>
                          </w:p>
                        </w:tc>
                      </w:tr>
                    </w:tbl>
                    <w:p w14:paraId="3CDA5F58" w14:textId="77777777" w:rsidR="00C6444C" w:rsidRPr="00C6412C" w:rsidRDefault="00C6444C" w:rsidP="00020D20"/>
                  </w:txbxContent>
                </v:textbox>
                <w10:wrap type="tight"/>
              </v:shape>
            </w:pict>
          </mc:Fallback>
        </mc:AlternateContent>
      </w:r>
      <w:r w:rsidR="00C00260" w:rsidRPr="00C00260">
        <w:t>An RTP is intended to promote a safe and efficient intermodal transportation system that serves the mobility needs of people and freight in a regional or metropolitan area. The RTP focuses on the management, operation, and development of this transportation system while minimizing fuel consumption and air pollution. The RTP must include short- and long-range strategies consistent with the goals and objectives of state and local governments.</w:t>
      </w:r>
    </w:p>
    <w:p w14:paraId="701F8A20" w14:textId="4551F0D2" w:rsidR="00C00260" w:rsidRPr="00C00260" w:rsidRDefault="00C00260" w:rsidP="00020D20">
      <w:pPr>
        <w:jc w:val="both"/>
      </w:pPr>
      <w:r w:rsidRPr="00C00260">
        <w:t>The RTP provides for the development and integrated management and operation of transportation systems and facilities (including accessible pedestrian walkways and bicycle transportation facilities) that function as a multimodal transportation system for the MPA (</w:t>
      </w:r>
      <w:hyperlink r:id="rId437" w:history="1">
        <w:r w:rsidRPr="00020D20">
          <w:rPr>
            <w:rStyle w:val="TitleChar"/>
          </w:rPr>
          <w:t>Pub. L. 112-141 § 1201</w:t>
        </w:r>
      </w:hyperlink>
      <w:r w:rsidRPr="00C00260">
        <w:t xml:space="preserve">; </w:t>
      </w:r>
      <w:hyperlink r:id="rId438" w:history="1">
        <w:r w:rsidR="007A54BA" w:rsidRPr="00020D20">
          <w:rPr>
            <w:rStyle w:val="TitleChar"/>
          </w:rPr>
          <w:t xml:space="preserve">23 </w:t>
        </w:r>
        <w:r w:rsidR="009628C0">
          <w:rPr>
            <w:rStyle w:val="TitleChar"/>
          </w:rPr>
          <w:t>U.S.C.</w:t>
        </w:r>
        <w:r w:rsidR="007A54BA" w:rsidRPr="00020D20">
          <w:rPr>
            <w:rStyle w:val="TitleChar"/>
          </w:rPr>
          <w:t xml:space="preserve"> § 134(c)(2)</w:t>
        </w:r>
      </w:hyperlink>
      <w:r w:rsidRPr="00C00260">
        <w:t>. The RTP is prepared and updated every four to five years unless the MPO elects to update more frequently for any area designated as nonattainment and any area that was nonattainment designated to be attainment and required to have a Maintenance Plan (</w:t>
      </w:r>
      <w:hyperlink r:id="rId439" w:history="1">
        <w:r w:rsidRPr="00020D20">
          <w:rPr>
            <w:rStyle w:val="TitleChar"/>
          </w:rPr>
          <w:t>Pub. L. 112-141 § 1201</w:t>
        </w:r>
      </w:hyperlink>
      <w:r w:rsidRPr="00C00260">
        <w:t xml:space="preserve">; </w:t>
      </w:r>
      <w:hyperlink r:id="rId440" w:history="1">
        <w:r w:rsidR="007A54BA" w:rsidRPr="00020D20">
          <w:rPr>
            <w:rStyle w:val="TitleChar"/>
          </w:rPr>
          <w:t xml:space="preserve">23 </w:t>
        </w:r>
        <w:r w:rsidR="009628C0">
          <w:rPr>
            <w:rStyle w:val="TitleChar"/>
          </w:rPr>
          <w:t>U.S.C.</w:t>
        </w:r>
        <w:r w:rsidR="007A54BA" w:rsidRPr="00020D20">
          <w:rPr>
            <w:rStyle w:val="TitleChar"/>
          </w:rPr>
          <w:t xml:space="preserve"> § 134(i)(1)</w:t>
        </w:r>
      </w:hyperlink>
      <w:r w:rsidRPr="00C00260">
        <w:t>). The RTP quantifies transportation facilities (including major roadways, transit, multimodal and intermodal facilities, nonmotorized transportation facilities, and intermodal connectors) that should function as an integrated metropolitan transportation system, giving emphasis to those facilities that serve important national and regional transportation functions (Pub. L. 112-141 § 1201; 23 U.S.C. § 134(i) (2)).</w:t>
      </w:r>
    </w:p>
    <w:p w14:paraId="0502F194" w14:textId="73909442" w:rsidR="00C00260" w:rsidRPr="00C00260" w:rsidRDefault="00C00260" w:rsidP="00020D20">
      <w:pPr>
        <w:jc w:val="both"/>
      </w:pPr>
      <w:r w:rsidRPr="00C00260">
        <w:t>The RTP considers system-level investments as they relate to a minimum 20</w:t>
      </w:r>
      <w:r w:rsidR="00F656CB">
        <w:t>-</w:t>
      </w:r>
      <w:r w:rsidRPr="00C00260">
        <w:t>year forecast period:</w:t>
      </w:r>
    </w:p>
    <w:p w14:paraId="5CFA694B" w14:textId="0C949E5E" w:rsidR="00C00260" w:rsidRPr="00C00260" w:rsidRDefault="00C00260" w:rsidP="00020D20">
      <w:pPr>
        <w:pStyle w:val="Body-Bullets"/>
        <w:jc w:val="both"/>
      </w:pPr>
      <w:r w:rsidRPr="00C00260">
        <w:t>Support the economic vitality of the</w:t>
      </w:r>
      <w:r w:rsidR="00DB7B30">
        <w:t xml:space="preserve"> </w:t>
      </w:r>
      <w:r w:rsidRPr="00C00260">
        <w:t>metropolitan area, especially by enabling global competitiveness, productivity, and efficiency;</w:t>
      </w:r>
    </w:p>
    <w:p w14:paraId="0DA65ABC" w14:textId="77777777" w:rsidR="00C00260" w:rsidRPr="00C00260" w:rsidRDefault="00C00260" w:rsidP="00020D20">
      <w:pPr>
        <w:pStyle w:val="Body-Bullets"/>
        <w:jc w:val="both"/>
      </w:pPr>
      <w:r w:rsidRPr="00C00260">
        <w:t>Increase the safety of the transportation system for motorized and nonmotorized users;</w:t>
      </w:r>
    </w:p>
    <w:p w14:paraId="41F394C5" w14:textId="77777777" w:rsidR="00C00260" w:rsidRPr="00C00260" w:rsidRDefault="00C00260" w:rsidP="00020D20">
      <w:pPr>
        <w:pStyle w:val="Body-Bullets"/>
        <w:jc w:val="both"/>
      </w:pPr>
      <w:r w:rsidRPr="00C00260">
        <w:t>Increase the security of the transportation system for motorized and nonmotorized users;</w:t>
      </w:r>
    </w:p>
    <w:p w14:paraId="389F256E" w14:textId="77777777" w:rsidR="00C00260" w:rsidRPr="00C00260" w:rsidRDefault="00C00260" w:rsidP="00020D20">
      <w:pPr>
        <w:pStyle w:val="Body-Bullets"/>
        <w:jc w:val="both"/>
      </w:pPr>
      <w:r w:rsidRPr="00C00260">
        <w:t>Increase the accessibility and mobility of people and for freight;</w:t>
      </w:r>
    </w:p>
    <w:p w14:paraId="4C6BBAF6" w14:textId="77777777" w:rsidR="00C00260" w:rsidRPr="00C00260" w:rsidRDefault="00C00260" w:rsidP="00020D20">
      <w:pPr>
        <w:pStyle w:val="Body-Bullets"/>
        <w:jc w:val="both"/>
      </w:pPr>
      <w:r w:rsidRPr="00C00260">
        <w:t>Protect and enhance the environment, promote energy conservation, improve the quality of life, and promote consistency between transportation improvements and state and local planned growth and economic development patterns;</w:t>
      </w:r>
    </w:p>
    <w:p w14:paraId="5BF04C94" w14:textId="77777777" w:rsidR="00C00260" w:rsidRPr="00C00260" w:rsidRDefault="00C00260" w:rsidP="00020D20">
      <w:pPr>
        <w:pStyle w:val="Body-Bullets"/>
        <w:jc w:val="both"/>
      </w:pPr>
      <w:r w:rsidRPr="00C00260">
        <w:t>Enhance the integration and connectivity of the transportation system, across and between modes, for people and freight;</w:t>
      </w:r>
    </w:p>
    <w:p w14:paraId="2CB6A21C" w14:textId="77777777" w:rsidR="00C00260" w:rsidRPr="00C00260" w:rsidRDefault="00C00260" w:rsidP="00020D20">
      <w:pPr>
        <w:pStyle w:val="Body-Bullets"/>
        <w:jc w:val="both"/>
      </w:pPr>
      <w:r w:rsidRPr="00C00260">
        <w:t>Promote efficient system management and operation; and</w:t>
      </w:r>
    </w:p>
    <w:p w14:paraId="05A679A8" w14:textId="1D89154B" w:rsidR="00C00260" w:rsidRDefault="00C00260" w:rsidP="00020D20">
      <w:pPr>
        <w:pStyle w:val="Body-Bullets"/>
        <w:jc w:val="both"/>
      </w:pPr>
      <w:r w:rsidRPr="00C00260">
        <w:t>Emphasize the preservation of the existing transportation system. (</w:t>
      </w:r>
      <w:hyperlink r:id="rId441" w:history="1">
        <w:r w:rsidRPr="00020D20">
          <w:rPr>
            <w:rStyle w:val="TitleChar"/>
          </w:rPr>
          <w:t>Pub. L. 112-141 § 1201</w:t>
        </w:r>
      </w:hyperlink>
      <w:r w:rsidRPr="00C00260">
        <w:t xml:space="preserve">; </w:t>
      </w:r>
      <w:hyperlink r:id="rId442" w:history="1">
        <w:r w:rsidR="007A54BA" w:rsidRPr="00020D20">
          <w:rPr>
            <w:rStyle w:val="TitleChar"/>
          </w:rPr>
          <w:t xml:space="preserve">23 </w:t>
        </w:r>
        <w:r w:rsidR="009628C0">
          <w:rPr>
            <w:rStyle w:val="TitleChar"/>
          </w:rPr>
          <w:t>U.S.C.</w:t>
        </w:r>
        <w:r w:rsidR="007A54BA" w:rsidRPr="00020D20">
          <w:rPr>
            <w:rStyle w:val="TitleChar"/>
          </w:rPr>
          <w:t xml:space="preserve"> § 134(i)(2)</w:t>
        </w:r>
      </w:hyperlink>
      <w:r w:rsidRPr="00C00260">
        <w:t xml:space="preserve"> and </w:t>
      </w:r>
      <w:hyperlink r:id="rId443" w:history="1">
        <w:r w:rsidR="007A54BA" w:rsidRPr="00020D20">
          <w:rPr>
            <w:rStyle w:val="TitleChar"/>
          </w:rPr>
          <w:t xml:space="preserve">23 </w:t>
        </w:r>
        <w:r w:rsidR="009628C0">
          <w:rPr>
            <w:rStyle w:val="TitleChar"/>
          </w:rPr>
          <w:t>U.S.C.</w:t>
        </w:r>
        <w:r w:rsidR="007A54BA" w:rsidRPr="00020D20">
          <w:rPr>
            <w:rStyle w:val="TitleChar"/>
          </w:rPr>
          <w:t xml:space="preserve"> § 134(h)(1)</w:t>
        </w:r>
      </w:hyperlink>
      <w:r w:rsidRPr="00C00260">
        <w:t>).</w:t>
      </w:r>
    </w:p>
    <w:bookmarkStart w:id="238" w:name="_Ref50030080"/>
    <w:p w14:paraId="3524DC44" w14:textId="013621A8" w:rsidR="00D276C5" w:rsidRPr="00D276C5" w:rsidRDefault="00F55017" w:rsidP="00020D20">
      <w:pPr>
        <w:pStyle w:val="Heading2"/>
      </w:pPr>
      <w:r>
        <w:rPr>
          <w:rFonts w:cstheme="minorHAnsi"/>
          <w:noProof/>
        </w:rPr>
        <mc:AlternateContent>
          <mc:Choice Requires="wps">
            <w:drawing>
              <wp:anchor distT="0" distB="0" distL="114300" distR="114300" simplePos="0" relativeHeight="251618530" behindDoc="1" locked="0" layoutInCell="1" allowOverlap="1" wp14:anchorId="0EC92E01" wp14:editId="5EDD8094">
                <wp:simplePos x="0" y="0"/>
                <wp:positionH relativeFrom="column">
                  <wp:posOffset>3194050</wp:posOffset>
                </wp:positionH>
                <wp:positionV relativeFrom="paragraph">
                  <wp:posOffset>114300</wp:posOffset>
                </wp:positionV>
                <wp:extent cx="2743200" cy="3543300"/>
                <wp:effectExtent l="95250" t="114300" r="95250" b="114300"/>
                <wp:wrapTight wrapText="bothSides">
                  <wp:wrapPolygon edited="0">
                    <wp:start x="-600" y="-697"/>
                    <wp:lineTo x="-750" y="-465"/>
                    <wp:lineTo x="-750" y="22181"/>
                    <wp:lineTo x="22200" y="22181"/>
                    <wp:lineTo x="22200" y="1394"/>
                    <wp:lineTo x="22050" y="-348"/>
                    <wp:lineTo x="22050" y="-697"/>
                    <wp:lineTo x="-600" y="-697"/>
                  </wp:wrapPolygon>
                </wp:wrapTight>
                <wp:docPr id="1690911546" name="Text Box 1690911546"/>
                <wp:cNvGraphicFramePr/>
                <a:graphic xmlns:a="http://schemas.openxmlformats.org/drawingml/2006/main">
                  <a:graphicData uri="http://schemas.microsoft.com/office/word/2010/wordprocessingShape">
                    <wps:wsp>
                      <wps:cNvSpPr txBox="1"/>
                      <wps:spPr>
                        <a:xfrm>
                          <a:off x="0" y="0"/>
                          <a:ext cx="2743200" cy="3543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1D84F41" w14:textId="77777777" w:rsidR="00C6444C" w:rsidRDefault="00C6444C" w:rsidP="00020D20">
                            <w:pPr>
                              <w:jc w:val="center"/>
                            </w:pPr>
                            <w:r>
                              <w:rPr>
                                <w:noProof/>
                              </w:rPr>
                              <w:drawing>
                                <wp:inline distT="0" distB="0" distL="0" distR="0" wp14:anchorId="5F2D8341" wp14:editId="70114AD9">
                                  <wp:extent cx="457200" cy="457200"/>
                                  <wp:effectExtent l="0" t="0" r="0" b="0"/>
                                  <wp:docPr id="816286025" name="Picture 81628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B135EE8" w14:textId="39D26C4A" w:rsidR="00C6444C" w:rsidRPr="005A6734" w:rsidRDefault="00202C92" w:rsidP="00020D20">
                            <w:pPr>
                              <w:pStyle w:val="Calloutboxes"/>
                              <w:rPr>
                                <w:rFonts w:cs="Calibri"/>
                              </w:rPr>
                            </w:pPr>
                            <w:hyperlink r:id="rId444" w:history="1">
                              <w:r w:rsidR="00C6444C" w:rsidRPr="00020D20">
                                <w:rPr>
                                  <w:rStyle w:val="TitleChar"/>
                                  <w:sz w:val="16"/>
                                </w:rPr>
                                <w:t>A.R.S. § 28-6308</w:t>
                              </w:r>
                            </w:hyperlink>
                            <w:r w:rsidR="00C6444C" w:rsidRPr="00394A74">
                              <w:t xml:space="preserve"> applies only in the case of counties with a population of 1.2 million residents or more. Based on the 2010 Census, this only </w:t>
                            </w:r>
                            <w:r w:rsidR="00C6444C" w:rsidRPr="00954116">
                              <w:t>applies</w:t>
                            </w:r>
                            <w:r w:rsidR="00C6444C" w:rsidRPr="0052715B">
                              <w:t xml:space="preserve"> to Maricopa County, which is served by MAG. For this region, paragraph C of the statute mandates that the RTP:</w:t>
                            </w:r>
                          </w:p>
                          <w:p w14:paraId="61FE5FDA" w14:textId="5753585D"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Shall include the following transportation mode classifications with a revenue allocation to each classification consistent with section 42-6105, subsection D:</w:t>
                            </w:r>
                          </w:p>
                          <w:p w14:paraId="34756FE5" w14:textId="3371DDF3" w:rsidR="00C6444C" w:rsidRPr="00020D20" w:rsidRDefault="00C6444C" w:rsidP="00020D20">
                            <w:pPr>
                              <w:numPr>
                                <w:ilvl w:val="0"/>
                                <w:numId w:val="254"/>
                              </w:numPr>
                              <w:spacing w:before="0" w:after="0" w:line="240" w:lineRule="auto"/>
                              <w:rPr>
                                <w:color w:val="58585B"/>
                                <w:sz w:val="16"/>
                                <w:szCs w:val="16"/>
                              </w:rPr>
                            </w:pPr>
                            <w:r w:rsidRPr="00020D20">
                              <w:rPr>
                                <w:color w:val="58585B"/>
                                <w:sz w:val="16"/>
                                <w:szCs w:val="16"/>
                              </w:rPr>
                              <w:t>Freeways and other routes in the state highway system.</w:t>
                            </w:r>
                          </w:p>
                          <w:p w14:paraId="11D2A5A3" w14:textId="325C77EA" w:rsidR="00C6444C" w:rsidRPr="00020D20" w:rsidRDefault="00C6444C" w:rsidP="00020D20">
                            <w:pPr>
                              <w:numPr>
                                <w:ilvl w:val="0"/>
                                <w:numId w:val="254"/>
                              </w:numPr>
                              <w:spacing w:before="0" w:after="0" w:line="240" w:lineRule="auto"/>
                              <w:rPr>
                                <w:color w:val="58585B"/>
                                <w:sz w:val="16"/>
                                <w:szCs w:val="16"/>
                              </w:rPr>
                            </w:pPr>
                            <w:r w:rsidRPr="00020D20">
                              <w:rPr>
                                <w:color w:val="58585B"/>
                                <w:sz w:val="16"/>
                                <w:szCs w:val="16"/>
                              </w:rPr>
                              <w:t>Major arterial streets and intersection improvements.</w:t>
                            </w:r>
                          </w:p>
                          <w:p w14:paraId="0CCB52FC" w14:textId="20710E2C" w:rsidR="00C6444C" w:rsidRPr="00020D20" w:rsidRDefault="00C6444C" w:rsidP="00020D20">
                            <w:pPr>
                              <w:numPr>
                                <w:ilvl w:val="0"/>
                                <w:numId w:val="254"/>
                              </w:numPr>
                              <w:spacing w:before="0" w:after="0" w:line="240" w:lineRule="auto"/>
                              <w:rPr>
                                <w:color w:val="58585B"/>
                                <w:sz w:val="16"/>
                                <w:szCs w:val="16"/>
                              </w:rPr>
                            </w:pPr>
                            <w:r w:rsidRPr="00020D20">
                              <w:rPr>
                                <w:color w:val="58585B"/>
                                <w:sz w:val="16"/>
                                <w:szCs w:val="16"/>
                              </w:rPr>
                              <w:t>Public transportation systems.</w:t>
                            </w:r>
                          </w:p>
                          <w:p w14:paraId="265B8358" w14:textId="2C39705F"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Shall provide a suggested construction schedule for the transportation projects contained in the plan.</w:t>
                            </w:r>
                          </w:p>
                          <w:p w14:paraId="7D9825CE" w14:textId="1A6EC3D5"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May be annually updated to introduce new controlled access highways, related grade separations and transportation projects or to modify the existing plan.</w:t>
                            </w:r>
                          </w:p>
                          <w:p w14:paraId="745D129C" w14:textId="386E6151"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Shall be developed to meet federal air quality requirements established for the region in which it is located.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C92E01" id="Text Box 1690911546" o:spid="_x0000_s1140" type="#_x0000_t202" style="position:absolute;left:0;text-align:left;margin-left:251.5pt;margin-top:9pt;width:3in;height:279pt;z-index:-25169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" fillcolor="#f7f7f7" stroked="f" strokeweight=".5pt">
                <v:shadow on="t" type="perspective" color="black" opacity="26214f" offset="0,0" matrix="66847f,,,66847f"/>
                <v:textbox>
                  <w:txbxContent>
                    <w:p w14:paraId="61D84F41" w14:textId="77777777" w:rsidR="00C6444C" w:rsidRDefault="00C6444C" w:rsidP="00020D20">
                      <w:pPr>
                        <w:jc w:val="center"/>
                      </w:pPr>
                      <w:r>
                        <w:rPr>
                          <w:noProof/>
                        </w:rPr>
                        <w:drawing>
                          <wp:inline distT="0" distB="0" distL="0" distR="0" wp14:anchorId="5F2D8341" wp14:editId="70114AD9">
                            <wp:extent cx="457200" cy="457200"/>
                            <wp:effectExtent l="0" t="0" r="0" b="0"/>
                            <wp:docPr id="816286025" name="Picture 81628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B135EE8" w14:textId="39D26C4A" w:rsidR="00C6444C" w:rsidRPr="005A6734" w:rsidRDefault="00C6444C" w:rsidP="00020D20">
                      <w:pPr>
                        <w:pStyle w:val="Calloutboxes"/>
                        <w:rPr>
                          <w:rFonts w:cs="Calibri"/>
                        </w:rPr>
                      </w:pPr>
                      <w:hyperlink r:id="rId445" w:history="1">
                        <w:r w:rsidRPr="00020D20">
                          <w:rPr>
                            <w:rStyle w:val="TitleChar"/>
                            <w:sz w:val="16"/>
                          </w:rPr>
                          <w:t>A.R.S. § 28-6308</w:t>
                        </w:r>
                      </w:hyperlink>
                      <w:r w:rsidRPr="00394A74">
                        <w:t xml:space="preserve"> applies only in the case of counties with a population of 1.2 million residents or more. Based on the 2010 Census, this only </w:t>
                      </w:r>
                      <w:r w:rsidRPr="00954116">
                        <w:t>applies</w:t>
                      </w:r>
                      <w:r w:rsidRPr="0052715B">
                        <w:t xml:space="preserve"> to Maricopa County, which is served by MAG. For this region, paragraph C of the statute mandates that the RTP:</w:t>
                      </w:r>
                    </w:p>
                    <w:p w14:paraId="61FE5FDA" w14:textId="5753585D"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Shall include the following transportation mode classifications with a revenue allocation to each classification consistent with section 42-6105, subsection D:</w:t>
                      </w:r>
                    </w:p>
                    <w:p w14:paraId="34756FE5" w14:textId="3371DDF3" w:rsidR="00C6444C" w:rsidRPr="00020D20" w:rsidRDefault="00C6444C" w:rsidP="00020D20">
                      <w:pPr>
                        <w:numPr>
                          <w:ilvl w:val="0"/>
                          <w:numId w:val="254"/>
                        </w:numPr>
                        <w:spacing w:before="0" w:after="0" w:line="240" w:lineRule="auto"/>
                        <w:rPr>
                          <w:color w:val="58585B"/>
                          <w:sz w:val="16"/>
                          <w:szCs w:val="16"/>
                        </w:rPr>
                      </w:pPr>
                      <w:r w:rsidRPr="00020D20">
                        <w:rPr>
                          <w:color w:val="58585B"/>
                          <w:sz w:val="16"/>
                          <w:szCs w:val="16"/>
                        </w:rPr>
                        <w:t>Freeways and other routes in the state highway system.</w:t>
                      </w:r>
                    </w:p>
                    <w:p w14:paraId="11D2A5A3" w14:textId="325C77EA" w:rsidR="00C6444C" w:rsidRPr="00020D20" w:rsidRDefault="00C6444C" w:rsidP="00020D20">
                      <w:pPr>
                        <w:numPr>
                          <w:ilvl w:val="0"/>
                          <w:numId w:val="254"/>
                        </w:numPr>
                        <w:spacing w:before="0" w:after="0" w:line="240" w:lineRule="auto"/>
                        <w:rPr>
                          <w:color w:val="58585B"/>
                          <w:sz w:val="16"/>
                          <w:szCs w:val="16"/>
                        </w:rPr>
                      </w:pPr>
                      <w:r w:rsidRPr="00020D20">
                        <w:rPr>
                          <w:color w:val="58585B"/>
                          <w:sz w:val="16"/>
                          <w:szCs w:val="16"/>
                        </w:rPr>
                        <w:t>Major arterial streets and intersection improvements.</w:t>
                      </w:r>
                    </w:p>
                    <w:p w14:paraId="0CCB52FC" w14:textId="20710E2C" w:rsidR="00C6444C" w:rsidRPr="00020D20" w:rsidRDefault="00C6444C" w:rsidP="00020D20">
                      <w:pPr>
                        <w:numPr>
                          <w:ilvl w:val="0"/>
                          <w:numId w:val="254"/>
                        </w:numPr>
                        <w:spacing w:before="0" w:after="0" w:line="240" w:lineRule="auto"/>
                        <w:rPr>
                          <w:color w:val="58585B"/>
                          <w:sz w:val="16"/>
                          <w:szCs w:val="16"/>
                        </w:rPr>
                      </w:pPr>
                      <w:r w:rsidRPr="00020D20">
                        <w:rPr>
                          <w:color w:val="58585B"/>
                          <w:sz w:val="16"/>
                          <w:szCs w:val="16"/>
                        </w:rPr>
                        <w:t>Public transportation systems.</w:t>
                      </w:r>
                    </w:p>
                    <w:p w14:paraId="265B8358" w14:textId="2C39705F"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Shall provide a suggested construction schedule for the transportation projects contained in the plan.</w:t>
                      </w:r>
                    </w:p>
                    <w:p w14:paraId="7D9825CE" w14:textId="1A6EC3D5"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May be annually updated to introduce new controlled access highways, related grade separations and transportation projects or to modify the existing plan.</w:t>
                      </w:r>
                    </w:p>
                    <w:p w14:paraId="745D129C" w14:textId="386E6151" w:rsidR="00C6444C" w:rsidRPr="00020D20" w:rsidRDefault="00C6444C" w:rsidP="00020D20">
                      <w:pPr>
                        <w:numPr>
                          <w:ilvl w:val="0"/>
                          <w:numId w:val="254"/>
                        </w:numPr>
                        <w:spacing w:before="0" w:after="0" w:line="240" w:lineRule="auto"/>
                        <w:ind w:left="360"/>
                        <w:rPr>
                          <w:color w:val="58585B"/>
                          <w:sz w:val="16"/>
                          <w:szCs w:val="16"/>
                        </w:rPr>
                      </w:pPr>
                      <w:r w:rsidRPr="00020D20">
                        <w:rPr>
                          <w:color w:val="58585B"/>
                          <w:sz w:val="16"/>
                          <w:szCs w:val="16"/>
                        </w:rPr>
                        <w:t>Shall be developed to meet federal air quality requirements established for the region in which it is located.</w:t>
                      </w:r>
                    </w:p>
                  </w:txbxContent>
                </v:textbox>
                <w10:wrap type="tight"/>
              </v:shape>
            </w:pict>
          </mc:Fallback>
        </mc:AlternateContent>
      </w:r>
      <w:r w:rsidR="00D276C5" w:rsidRPr="00D276C5">
        <w:t>7.4 | PUBLIC INVOLVEMENT</w:t>
      </w:r>
      <w:bookmarkEnd w:id="238"/>
    </w:p>
    <w:p w14:paraId="6222EAC7" w14:textId="69005F50" w:rsidR="00D276C5" w:rsidRPr="00D276C5" w:rsidRDefault="00D276C5" w:rsidP="00020D20">
      <w:pPr>
        <w:jc w:val="both"/>
      </w:pPr>
      <w:r w:rsidRPr="00D276C5">
        <w:t>Federal law requires that the MPO develop and use a documented Public Participation Plan (</w:t>
      </w:r>
      <w:hyperlink r:id="rId446" w:history="1">
        <w:r w:rsidR="007A54BA" w:rsidRPr="00020D20">
          <w:rPr>
            <w:rStyle w:val="TitleChar"/>
          </w:rPr>
          <w:t xml:space="preserve">23 </w:t>
        </w:r>
        <w:r w:rsidR="009628C0">
          <w:rPr>
            <w:rStyle w:val="TitleChar"/>
          </w:rPr>
          <w:t>U.S.C.</w:t>
        </w:r>
        <w:r w:rsidR="007A54BA" w:rsidRPr="00020D20">
          <w:rPr>
            <w:rStyle w:val="TitleChar"/>
          </w:rPr>
          <w:t xml:space="preserve"> § 134(i)(5)(B)</w:t>
        </w:r>
      </w:hyperlink>
      <w:r w:rsidR="007A54BA">
        <w:t>;</w:t>
      </w:r>
      <w:r w:rsidRPr="00D276C5">
        <w:t xml:space="preserve"> </w:t>
      </w:r>
      <w:hyperlink r:id="rId447" w:history="1">
        <w:r w:rsidR="007A54BA" w:rsidRPr="00020D20">
          <w:rPr>
            <w:rStyle w:val="TitleChar"/>
          </w:rPr>
          <w:t xml:space="preserve">23 </w:t>
        </w:r>
        <w:r w:rsidR="009628C0">
          <w:rPr>
            <w:rStyle w:val="TitleChar"/>
          </w:rPr>
          <w:t xml:space="preserve">C.F.R. </w:t>
        </w:r>
        <w:r w:rsidR="007A54BA" w:rsidRPr="00020D20">
          <w:rPr>
            <w:rStyle w:val="TitleChar"/>
          </w:rPr>
          <w:t>§ 450.316(a)</w:t>
        </w:r>
      </w:hyperlink>
      <w:r w:rsidRPr="00D276C5">
        <w:t>). The participation plan defines the process for public input to the RTP and the TIP. Detailed information on the public involvement process can be found in chapter 13, “Public Involvement.”</w:t>
      </w:r>
    </w:p>
    <w:p w14:paraId="7095B878" w14:textId="015AF012" w:rsidR="00D276C5" w:rsidRPr="00D276C5" w:rsidRDefault="00D276C5" w:rsidP="00020D20">
      <w:pPr>
        <w:jc w:val="both"/>
      </w:pPr>
      <w:r w:rsidRPr="00D276C5">
        <w:t>MPOs must provide a reasonable opportunity to comment on the transportation plan using the documented Public Participation Plan methodologies and processes outlined by the MPO. To accommodate public review and comment, the plan must be published or otherwise made readily available by the MPO, including (to the maximum extent practicable) in electronically accessible formats and means on the Internet (</w:t>
      </w:r>
      <w:hyperlink r:id="rId448" w:history="1">
        <w:r w:rsidR="007A54BA" w:rsidRPr="00020D20">
          <w:rPr>
            <w:rStyle w:val="TitleChar"/>
          </w:rPr>
          <w:t xml:space="preserve">23 </w:t>
        </w:r>
        <w:r w:rsidR="009628C0">
          <w:rPr>
            <w:rStyle w:val="TitleChar"/>
          </w:rPr>
          <w:t xml:space="preserve">C.F.R. </w:t>
        </w:r>
        <w:r w:rsidR="007A54BA" w:rsidRPr="00020D20">
          <w:rPr>
            <w:rStyle w:val="TitleChar"/>
          </w:rPr>
          <w:t>§ 450.322(j)</w:t>
        </w:r>
      </w:hyperlink>
      <w:r w:rsidRPr="00D276C5">
        <w:t>).</w:t>
      </w:r>
    </w:p>
    <w:p w14:paraId="3AD2CE2D" w14:textId="77777777" w:rsidR="00D276C5" w:rsidRPr="00D276C5" w:rsidRDefault="00D276C5" w:rsidP="00020D20">
      <w:pPr>
        <w:pStyle w:val="Heading2"/>
      </w:pPr>
      <w:bookmarkStart w:id="239" w:name="_Ref50030083"/>
      <w:r w:rsidRPr="00D276C5">
        <w:t>7.5 | PLAN DEVELOPMENT METHODS</w:t>
      </w:r>
      <w:bookmarkEnd w:id="239"/>
    </w:p>
    <w:p w14:paraId="691A5DFE" w14:textId="51C64D91" w:rsidR="00F215BC" w:rsidRPr="00D276C5" w:rsidRDefault="00D276C5" w:rsidP="00020D20">
      <w:pPr>
        <w:jc w:val="both"/>
      </w:pPr>
      <w:r w:rsidRPr="00D276C5">
        <w:t>The RTP addresses the unique goals and objectives of the region or metropolitan area</w:t>
      </w:r>
      <w:r w:rsidR="00F656CB">
        <w:t>.</w:t>
      </w:r>
      <w:r w:rsidRPr="00D276C5">
        <w:t xml:space="preserve"> For this reason, there is no single methodology used to develop an RTP. At the beginning of the RTP process, the local communities work through a public process to identify transportation needs that are important for their local citizens. The plan includes both long-range and short-range strategies and actions that lead to the development of an integrated multimodal transportation system that facilitates the efficient movement of people and goods and addresses current and future transportation demand (</w:t>
      </w:r>
      <w:hyperlink r:id="rId449" w:history="1">
        <w:r w:rsidR="007A54BA" w:rsidRPr="00020D20">
          <w:rPr>
            <w:rStyle w:val="TitleChar"/>
          </w:rPr>
          <w:t xml:space="preserve">23 </w:t>
        </w:r>
        <w:r w:rsidR="009628C0">
          <w:rPr>
            <w:rStyle w:val="TitleChar"/>
          </w:rPr>
          <w:t xml:space="preserve">C.F.R. </w:t>
        </w:r>
        <w:r w:rsidR="007A54BA" w:rsidRPr="00020D20">
          <w:rPr>
            <w:rStyle w:val="TitleChar"/>
          </w:rPr>
          <w:t>§ 450.322(b)</w:t>
        </w:r>
      </w:hyperlink>
      <w:r w:rsidRPr="00D276C5">
        <w:t>). All MPOs must include an estimate of needs, which shall be within the body of the RTP. In addition, revenue and cost estimates supporting the plans must use an inflation rate or rates to reflect the year of expenditure (YOE) amounts (</w:t>
      </w:r>
      <w:hyperlink r:id="rId450" w:history="1">
        <w:r w:rsidR="007A54BA" w:rsidRPr="00020D20">
          <w:rPr>
            <w:rStyle w:val="TitleChar"/>
          </w:rPr>
          <w:t xml:space="preserve">23 </w:t>
        </w:r>
        <w:r w:rsidR="009628C0">
          <w:rPr>
            <w:rStyle w:val="TitleChar"/>
          </w:rPr>
          <w:t xml:space="preserve">C.F.R. </w:t>
        </w:r>
        <w:r w:rsidR="007A54BA" w:rsidRPr="007A54BA">
          <w:rPr>
            <w:rStyle w:val="TitleChar"/>
          </w:rPr>
          <w:t>§</w:t>
        </w:r>
        <w:r w:rsidR="007A54BA" w:rsidRPr="00020D20">
          <w:rPr>
            <w:rStyle w:val="TitleChar"/>
          </w:rPr>
          <w:t xml:space="preserve"> 450.322(f)(10)(iv)</w:t>
        </w:r>
      </w:hyperlink>
      <w:r w:rsidRPr="00D276C5">
        <w:t>).</w:t>
      </w:r>
    </w:p>
    <w:p w14:paraId="5E4D6E3F" w14:textId="7E51426C" w:rsidR="00D276C5" w:rsidRPr="00D276C5" w:rsidRDefault="00D276C5" w:rsidP="00020D20">
      <w:pPr>
        <w:jc w:val="both"/>
      </w:pPr>
      <w:r w:rsidRPr="00D276C5">
        <w:t>Arizona’s statutory requirements focus largely on development of the statewide transportation plan, and the statewide Five-Year Transportation Facilities Construction Program. The statewide plan and five-year program are developed in coordination with the regional and metropolitan project priorities resulting from federally mandated transportation planning processes.</w:t>
      </w:r>
    </w:p>
    <w:p w14:paraId="5B8B3F60" w14:textId="77777777" w:rsidR="00D276C5" w:rsidRPr="00D276C5" w:rsidRDefault="00D276C5" w:rsidP="00020D20">
      <w:pPr>
        <w:jc w:val="both"/>
      </w:pPr>
      <w:r w:rsidRPr="00D276C5">
        <w:t>Table 7-2 includes a listing of the current MPO RTPs, and the links to access each plan.</w:t>
      </w:r>
    </w:p>
    <w:p w14:paraId="1DA328C9" w14:textId="3DCDE8EA" w:rsidR="00D276C5" w:rsidRDefault="00D276C5" w:rsidP="00020D20">
      <w:pPr>
        <w:pStyle w:val="Heading4"/>
        <w:jc w:val="both"/>
      </w:pPr>
      <w:r w:rsidRPr="00D276C5">
        <w:t>Table 7-2 | MPO Regional Transportation Plans</w:t>
      </w:r>
    </w:p>
    <w:tbl>
      <w:tblPr>
        <w:tblW w:w="4320" w:type="dxa"/>
        <w:tblInd w:w="-10" w:type="dxa"/>
        <w:tblLayout w:type="fixed"/>
        <w:tblCellMar>
          <w:left w:w="0" w:type="dxa"/>
          <w:right w:w="0" w:type="dxa"/>
        </w:tblCellMar>
        <w:tblLook w:val="0000" w:firstRow="0" w:lastRow="0" w:firstColumn="0" w:lastColumn="0" w:noHBand="0" w:noVBand="0"/>
      </w:tblPr>
      <w:tblGrid>
        <w:gridCol w:w="1080"/>
        <w:gridCol w:w="3240"/>
      </w:tblGrid>
      <w:tr w:rsidR="00D276C5" w:rsidRPr="00D276C5" w14:paraId="14A77F41" w14:textId="77777777" w:rsidTr="00020D20">
        <w:trPr>
          <w:trHeight w:val="288"/>
        </w:trPr>
        <w:tc>
          <w:tcPr>
            <w:tcW w:w="1080" w:type="dxa"/>
            <w:tcBorders>
              <w:top w:val="single" w:sz="4" w:space="0" w:color="auto"/>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5D1D0BC7" w14:textId="485B03FA" w:rsidR="00D276C5" w:rsidRPr="00957CC4" w:rsidRDefault="00D276C5" w:rsidP="00020D20">
            <w:pPr>
              <w:spacing w:before="0" w:after="0" w:line="240" w:lineRule="auto"/>
              <w:jc w:val="center"/>
            </w:pPr>
            <w:r w:rsidRPr="00957CC4">
              <w:t>MPO</w:t>
            </w:r>
          </w:p>
        </w:tc>
        <w:tc>
          <w:tcPr>
            <w:tcW w:w="3240"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3E59C356" w14:textId="66B4646F" w:rsidR="00D276C5" w:rsidRPr="00F55017" w:rsidRDefault="00D276C5" w:rsidP="00020D20">
            <w:pPr>
              <w:spacing w:before="0" w:after="0" w:line="240" w:lineRule="auto"/>
              <w:jc w:val="center"/>
            </w:pPr>
            <w:r w:rsidRPr="00F55017">
              <w:t>RTP Document</w:t>
            </w:r>
          </w:p>
        </w:tc>
      </w:tr>
      <w:tr w:rsidR="00D276C5" w:rsidRPr="00D276C5" w14:paraId="01668421" w14:textId="77777777" w:rsidTr="00020D20">
        <w:trPr>
          <w:trHeight w:val="1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61C17C18" w14:textId="77777777" w:rsidR="00D276C5" w:rsidRPr="00020D20" w:rsidRDefault="00D276C5" w:rsidP="00020D20">
            <w:pPr>
              <w:spacing w:before="0" w:after="0" w:line="240" w:lineRule="auto"/>
              <w:jc w:val="center"/>
              <w:rPr>
                <w:i/>
                <w:iCs/>
                <w:sz w:val="18"/>
              </w:rPr>
            </w:pPr>
            <w:r w:rsidRPr="00020D20">
              <w:rPr>
                <w:sz w:val="18"/>
              </w:rPr>
              <w:t>MAG</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56C291F7" w14:textId="068BCD82" w:rsidR="00D276C5" w:rsidRPr="00F55017" w:rsidRDefault="00202C92">
            <w:pPr>
              <w:pStyle w:val="Title"/>
              <w:rPr>
                <w:sz w:val="18"/>
              </w:rPr>
            </w:pPr>
            <w:hyperlink r:id="rId451" w:history="1">
              <w:r w:rsidR="00180FD1" w:rsidRPr="00F55017">
                <w:rPr>
                  <w:rStyle w:val="Hyperlink"/>
                  <w:rFonts w:asciiTheme="minorHAnsi" w:hAnsiTheme="minorHAnsi" w:cstheme="majorBidi"/>
                  <w:i/>
                  <w:iCs w:val="0"/>
                  <w:color w:val="CE5B18"/>
                  <w:sz w:val="18"/>
                  <w:szCs w:val="56"/>
                  <w:u w:val="none"/>
                </w:rPr>
                <w:t>2031 Regional Transportation Plan Update</w:t>
              </w:r>
            </w:hyperlink>
          </w:p>
        </w:tc>
      </w:tr>
      <w:tr w:rsidR="00D276C5" w:rsidRPr="00D276C5" w14:paraId="6C231A7A" w14:textId="77777777" w:rsidTr="00020D20">
        <w:trPr>
          <w:trHeight w:val="1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54E79FD5" w14:textId="77777777" w:rsidR="00D276C5" w:rsidRPr="00020D20" w:rsidRDefault="00D276C5" w:rsidP="00020D20">
            <w:pPr>
              <w:spacing w:before="0" w:after="0" w:line="240" w:lineRule="auto"/>
              <w:jc w:val="center"/>
              <w:rPr>
                <w:iCs/>
                <w:sz w:val="18"/>
              </w:rPr>
            </w:pPr>
            <w:r w:rsidRPr="00020D20">
              <w:rPr>
                <w:sz w:val="18"/>
              </w:rPr>
              <w:t>PAG</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54EB90E9" w14:textId="4E02AE41" w:rsidR="00D276C5" w:rsidRPr="00F55017" w:rsidRDefault="00202C92">
            <w:pPr>
              <w:pStyle w:val="Title"/>
              <w:rPr>
                <w:sz w:val="18"/>
              </w:rPr>
            </w:pPr>
            <w:hyperlink r:id="rId452" w:history="1">
              <w:r w:rsidR="00F656CB" w:rsidRPr="00F55017">
                <w:rPr>
                  <w:rStyle w:val="Hyperlink"/>
                  <w:rFonts w:asciiTheme="minorHAnsi" w:hAnsiTheme="minorHAnsi" w:cstheme="majorBidi"/>
                  <w:i/>
                  <w:iCs w:val="0"/>
                  <w:color w:val="CE5B18"/>
                  <w:sz w:val="18"/>
                  <w:szCs w:val="56"/>
                  <w:u w:val="none"/>
                </w:rPr>
                <w:t>2045 Regional Mobility and Accessibility Plan</w:t>
              </w:r>
            </w:hyperlink>
          </w:p>
        </w:tc>
      </w:tr>
      <w:tr w:rsidR="00D276C5" w:rsidRPr="00D276C5" w14:paraId="14F051FD" w14:textId="77777777" w:rsidTr="00020D20">
        <w:trPr>
          <w:trHeight w:val="5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19BBA060" w14:textId="024A1D8F" w:rsidR="00D276C5" w:rsidRPr="00020D20" w:rsidRDefault="00180FD1" w:rsidP="00020D20">
            <w:pPr>
              <w:spacing w:before="0" w:after="0" w:line="240" w:lineRule="auto"/>
              <w:jc w:val="center"/>
              <w:rPr>
                <w:iCs/>
                <w:sz w:val="18"/>
              </w:rPr>
            </w:pPr>
            <w:r w:rsidRPr="00020D20">
              <w:rPr>
                <w:sz w:val="18"/>
              </w:rPr>
              <w:t>SCMPO</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E0445A3" w14:textId="30D87DFB" w:rsidR="00D276C5" w:rsidRPr="00F55017" w:rsidRDefault="00202C92">
            <w:pPr>
              <w:pStyle w:val="Title"/>
              <w:rPr>
                <w:sz w:val="18"/>
              </w:rPr>
            </w:pPr>
            <w:hyperlink r:id="rId453" w:history="1">
              <w:r w:rsidR="00180FD1" w:rsidRPr="00F55017">
                <w:rPr>
                  <w:rStyle w:val="Hyperlink"/>
                  <w:rFonts w:asciiTheme="minorHAnsi" w:hAnsiTheme="minorHAnsi" w:cstheme="majorBidi"/>
                  <w:i/>
                  <w:iCs w:val="0"/>
                  <w:color w:val="CE5B18"/>
                  <w:sz w:val="18"/>
                  <w:szCs w:val="56"/>
                  <w:u w:val="none"/>
                </w:rPr>
                <w:t>2040 Regional Transportation Plan</w:t>
              </w:r>
            </w:hyperlink>
          </w:p>
        </w:tc>
      </w:tr>
      <w:tr w:rsidR="00D276C5" w:rsidRPr="00D276C5" w14:paraId="340E8373" w14:textId="77777777" w:rsidTr="00020D20">
        <w:trPr>
          <w:trHeight w:val="5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62860D3B" w14:textId="77777777" w:rsidR="00D276C5" w:rsidRPr="00020D20" w:rsidRDefault="00D276C5" w:rsidP="00020D20">
            <w:pPr>
              <w:spacing w:before="0" w:after="0" w:line="240" w:lineRule="auto"/>
              <w:jc w:val="center"/>
              <w:rPr>
                <w:iCs/>
                <w:sz w:val="18"/>
              </w:rPr>
            </w:pPr>
            <w:r w:rsidRPr="00020D20">
              <w:rPr>
                <w:sz w:val="18"/>
              </w:rPr>
              <w:t>CYMPO</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BB684B9" w14:textId="72F92BC5" w:rsidR="00D276C5" w:rsidRPr="00F55017" w:rsidRDefault="00202C92">
            <w:pPr>
              <w:pStyle w:val="Title"/>
              <w:rPr>
                <w:sz w:val="18"/>
              </w:rPr>
            </w:pPr>
            <w:hyperlink r:id="rId454" w:history="1">
              <w:r w:rsidR="00180FD1" w:rsidRPr="00F55017">
                <w:rPr>
                  <w:rStyle w:val="Hyperlink"/>
                  <w:rFonts w:asciiTheme="minorHAnsi" w:hAnsiTheme="minorHAnsi" w:cstheme="majorBidi"/>
                  <w:i/>
                  <w:iCs w:val="0"/>
                  <w:color w:val="CE5B18"/>
                  <w:sz w:val="18"/>
                  <w:szCs w:val="56"/>
                  <w:u w:val="none"/>
                </w:rPr>
                <w:t>2040 Regional Transportation Plan Update</w:t>
              </w:r>
            </w:hyperlink>
          </w:p>
        </w:tc>
      </w:tr>
      <w:tr w:rsidR="00D276C5" w:rsidRPr="00D276C5" w14:paraId="748C3519" w14:textId="77777777" w:rsidTr="00020D20">
        <w:trPr>
          <w:trHeight w:val="1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2BD5AF3E" w14:textId="57E3C1D6" w:rsidR="00D276C5" w:rsidRPr="00020D20" w:rsidRDefault="000441B5" w:rsidP="00020D20">
            <w:pPr>
              <w:spacing w:before="0" w:after="0" w:line="240" w:lineRule="auto"/>
              <w:jc w:val="center"/>
              <w:rPr>
                <w:iCs/>
                <w:sz w:val="18"/>
              </w:rPr>
            </w:pPr>
            <w:r w:rsidRPr="00020D20">
              <w:rPr>
                <w:sz w:val="18"/>
              </w:rPr>
              <w:t>FMPO</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3FB0968B" w14:textId="2019DEF4" w:rsidR="00D276C5" w:rsidRPr="00F55017" w:rsidRDefault="00202C92">
            <w:pPr>
              <w:pStyle w:val="Title"/>
              <w:rPr>
                <w:sz w:val="18"/>
              </w:rPr>
            </w:pPr>
            <w:hyperlink r:id="rId455" w:history="1">
              <w:r w:rsidR="00180FD1" w:rsidRPr="00F55017">
                <w:rPr>
                  <w:rStyle w:val="Hyperlink"/>
                  <w:rFonts w:asciiTheme="minorHAnsi" w:hAnsiTheme="minorHAnsi" w:cstheme="majorBidi"/>
                  <w:i/>
                  <w:iCs w:val="0"/>
                  <w:color w:val="CE5B18"/>
                  <w:sz w:val="18"/>
                  <w:szCs w:val="56"/>
                  <w:u w:val="none"/>
                </w:rPr>
                <w:t>2040 Regional Transportation Plan</w:t>
              </w:r>
            </w:hyperlink>
          </w:p>
        </w:tc>
      </w:tr>
      <w:tr w:rsidR="00D276C5" w:rsidRPr="00D276C5" w14:paraId="3452D0E0" w14:textId="77777777" w:rsidTr="00020D20">
        <w:trPr>
          <w:trHeight w:val="1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1DE01C8" w14:textId="6864AACB" w:rsidR="00D276C5" w:rsidRPr="00020D20" w:rsidRDefault="00180FD1" w:rsidP="00020D20">
            <w:pPr>
              <w:spacing w:before="0" w:after="0" w:line="240" w:lineRule="auto"/>
              <w:jc w:val="center"/>
              <w:rPr>
                <w:iCs/>
                <w:sz w:val="18"/>
              </w:rPr>
            </w:pPr>
            <w:r w:rsidRPr="00020D20">
              <w:rPr>
                <w:sz w:val="18"/>
              </w:rPr>
              <w:t>LHMPO</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7CF73FAD" w14:textId="7C7258AB" w:rsidR="00D276C5" w:rsidRPr="00F55017" w:rsidRDefault="00202C92">
            <w:pPr>
              <w:pStyle w:val="Title"/>
              <w:rPr>
                <w:sz w:val="18"/>
              </w:rPr>
            </w:pPr>
            <w:hyperlink r:id="rId456" w:history="1">
              <w:r w:rsidR="00180FD1" w:rsidRPr="00F55017">
                <w:rPr>
                  <w:rStyle w:val="Hyperlink"/>
                  <w:rFonts w:asciiTheme="minorHAnsi" w:hAnsiTheme="minorHAnsi" w:cstheme="majorBidi"/>
                  <w:i/>
                  <w:iCs w:val="0"/>
                  <w:color w:val="CE5B18"/>
                  <w:sz w:val="18"/>
                  <w:szCs w:val="56"/>
                  <w:u w:val="none"/>
                </w:rPr>
                <w:t>2040 Regional Transportation Plan</w:t>
              </w:r>
            </w:hyperlink>
          </w:p>
        </w:tc>
      </w:tr>
      <w:tr w:rsidR="00D276C5" w:rsidRPr="00D276C5" w14:paraId="25E0B9DE" w14:textId="77777777" w:rsidTr="00020D20">
        <w:trPr>
          <w:trHeight w:val="1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6823F31F" w14:textId="208BC189" w:rsidR="00D276C5" w:rsidRPr="00020D20" w:rsidRDefault="00180FD1" w:rsidP="00020D20">
            <w:pPr>
              <w:spacing w:before="0" w:after="0" w:line="240" w:lineRule="auto"/>
              <w:jc w:val="center"/>
              <w:rPr>
                <w:iCs/>
                <w:sz w:val="18"/>
              </w:rPr>
            </w:pPr>
            <w:r w:rsidRPr="00020D20">
              <w:rPr>
                <w:sz w:val="18"/>
              </w:rPr>
              <w:t>SVMPO</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632CC9F" w14:textId="6413A78B" w:rsidR="00D276C5" w:rsidRPr="00F55017" w:rsidRDefault="00202C92">
            <w:pPr>
              <w:pStyle w:val="Title"/>
              <w:rPr>
                <w:sz w:val="18"/>
              </w:rPr>
            </w:pPr>
            <w:hyperlink r:id="rId457" w:history="1">
              <w:r w:rsidR="00180FD1" w:rsidRPr="00F55017">
                <w:rPr>
                  <w:rStyle w:val="Hyperlink"/>
                  <w:rFonts w:asciiTheme="minorHAnsi" w:hAnsiTheme="minorHAnsi" w:cstheme="majorBidi"/>
                  <w:i/>
                  <w:iCs w:val="0"/>
                  <w:color w:val="CE5B18"/>
                  <w:sz w:val="18"/>
                  <w:szCs w:val="56"/>
                  <w:u w:val="none"/>
                </w:rPr>
                <w:t>2040 Regional Transportation Plan</w:t>
              </w:r>
            </w:hyperlink>
          </w:p>
        </w:tc>
      </w:tr>
      <w:tr w:rsidR="00D276C5" w:rsidRPr="00D276C5" w14:paraId="5E65B107" w14:textId="77777777" w:rsidTr="00020D20">
        <w:trPr>
          <w:trHeight w:val="15"/>
        </w:trPr>
        <w:tc>
          <w:tcPr>
            <w:tcW w:w="10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394745C7" w14:textId="77777777" w:rsidR="00D276C5" w:rsidRPr="00020D20" w:rsidRDefault="00D276C5" w:rsidP="00020D20">
            <w:pPr>
              <w:spacing w:before="0" w:after="0" w:line="240" w:lineRule="auto"/>
              <w:jc w:val="center"/>
              <w:rPr>
                <w:iCs/>
                <w:sz w:val="18"/>
              </w:rPr>
            </w:pPr>
            <w:r w:rsidRPr="00020D20">
              <w:rPr>
                <w:sz w:val="18"/>
              </w:rPr>
              <w:t>YMPO</w:t>
            </w:r>
          </w:p>
        </w:tc>
        <w:tc>
          <w:tcPr>
            <w:tcW w:w="32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7E4CABBF" w14:textId="714BC2AC" w:rsidR="00D276C5" w:rsidRPr="00F55017" w:rsidRDefault="00202C92">
            <w:pPr>
              <w:pStyle w:val="Title"/>
              <w:rPr>
                <w:sz w:val="18"/>
              </w:rPr>
            </w:pPr>
            <w:hyperlink r:id="rId458" w:history="1">
              <w:r w:rsidR="00180FD1" w:rsidRPr="00F55017">
                <w:rPr>
                  <w:rStyle w:val="Hyperlink"/>
                  <w:rFonts w:asciiTheme="minorHAnsi" w:hAnsiTheme="minorHAnsi" w:cstheme="majorBidi"/>
                  <w:i/>
                  <w:iCs w:val="0"/>
                  <w:color w:val="CE5B18"/>
                  <w:sz w:val="18"/>
                  <w:szCs w:val="56"/>
                  <w:u w:val="none"/>
                </w:rPr>
                <w:t>2018-2041 Regional Transportation Plan</w:t>
              </w:r>
            </w:hyperlink>
          </w:p>
        </w:tc>
      </w:tr>
    </w:tbl>
    <w:p w14:paraId="1838236C" w14:textId="77777777" w:rsidR="00D276C5" w:rsidRPr="00D276C5" w:rsidRDefault="00D276C5" w:rsidP="00020D20">
      <w:pPr>
        <w:pStyle w:val="Heading3"/>
        <w:jc w:val="both"/>
      </w:pPr>
      <w:bookmarkStart w:id="240" w:name="_Ref50030088"/>
      <w:r w:rsidRPr="00D276C5">
        <w:t>7.5.1 | RTP Standard Periodic Updates</w:t>
      </w:r>
      <w:bookmarkEnd w:id="240"/>
    </w:p>
    <w:p w14:paraId="3CB3B163" w14:textId="378920D7" w:rsidR="00D276C5" w:rsidRPr="00D276C5" w:rsidRDefault="00D276C5" w:rsidP="00020D20">
      <w:pPr>
        <w:jc w:val="both"/>
        <w:rPr>
          <w:rFonts w:cstheme="minorHAnsi"/>
        </w:rPr>
      </w:pPr>
      <w:r w:rsidRPr="00D276C5">
        <w:rPr>
          <w:rFonts w:cstheme="minorHAnsi"/>
        </w:rPr>
        <w:t xml:space="preserve">An RTP is not a one-time effort; instead it undergoes periodic updates to ensure that it reflects the ever-changing conditions and needs of the community. Accordingly, </w:t>
      </w:r>
      <w:r w:rsidR="00842DE5">
        <w:rPr>
          <w:rFonts w:cstheme="minorHAnsi"/>
        </w:rPr>
        <w:t xml:space="preserve">the </w:t>
      </w:r>
      <w:r w:rsidR="00FA72D0">
        <w:rPr>
          <w:rFonts w:cstheme="minorHAnsi"/>
        </w:rPr>
        <w:t>FAST Act</w:t>
      </w:r>
      <w:r w:rsidRPr="00D276C5">
        <w:rPr>
          <w:rFonts w:cstheme="minorHAnsi"/>
        </w:rPr>
        <w:t xml:space="preserve"> requires that MPOs review and update the RTP at least every five years in air quality attainment areas or every four years in a nonattainment or maintenance area</w:t>
      </w:r>
      <w:r w:rsidR="00842DE5">
        <w:rPr>
          <w:rFonts w:cstheme="minorHAnsi"/>
        </w:rPr>
        <w:t>s</w:t>
      </w:r>
      <w:r w:rsidRPr="00D276C5">
        <w:rPr>
          <w:rFonts w:cstheme="minorHAnsi"/>
        </w:rPr>
        <w:t xml:space="preserve"> (23 </w:t>
      </w:r>
      <w:r w:rsidR="009628C0">
        <w:rPr>
          <w:rFonts w:cstheme="minorHAnsi"/>
        </w:rPr>
        <w:t xml:space="preserve">C.F.R. </w:t>
      </w:r>
      <w:r w:rsidRPr="00D276C5">
        <w:rPr>
          <w:rFonts w:cstheme="minorHAnsi"/>
        </w:rPr>
        <w:t xml:space="preserve">450.322(b)). During these updates, MPOs confirm the plan’s validity and consistency with current and forecasted transportation and land use conditions and trends. The MPO also extends the planning horizon outward to at least 20 years (23 </w:t>
      </w:r>
      <w:r w:rsidR="009628C0">
        <w:rPr>
          <w:rFonts w:cstheme="minorHAnsi"/>
        </w:rPr>
        <w:t xml:space="preserve">C.F.R. </w:t>
      </w:r>
      <w:r w:rsidRPr="00D276C5">
        <w:rPr>
          <w:rFonts w:cstheme="minorHAnsi"/>
        </w:rPr>
        <w:t>450.322(c)). For example, if a plan adopted in 2010 has a planning horizon year of 2030, then its update five years later must address transportation needs at least through the year 2035.</w:t>
      </w:r>
    </w:p>
    <w:p w14:paraId="54A903EC" w14:textId="6340987F" w:rsidR="00D276C5" w:rsidRPr="00D276C5" w:rsidRDefault="00D276C5" w:rsidP="00020D20">
      <w:pPr>
        <w:jc w:val="both"/>
        <w:rPr>
          <w:rFonts w:cstheme="minorHAnsi"/>
        </w:rPr>
      </w:pPr>
      <w:r w:rsidRPr="00D276C5">
        <w:rPr>
          <w:rFonts w:cstheme="minorHAnsi"/>
        </w:rPr>
        <w:t xml:space="preserve">The schedule for the required periodic update of the RTP is determined cooperatively by the MPO, ADOT, FHWA, and FTA, but the RTP must be </w:t>
      </w:r>
      <w:r w:rsidR="00164ED7">
        <w:rPr>
          <w:rFonts w:cstheme="minorHAnsi"/>
        </w:rPr>
        <w:t>updated</w:t>
      </w:r>
      <w:r w:rsidR="00164ED7" w:rsidRPr="00D276C5">
        <w:rPr>
          <w:rFonts w:cstheme="minorHAnsi"/>
        </w:rPr>
        <w:t xml:space="preserve"> </w:t>
      </w:r>
      <w:r w:rsidRPr="00D276C5">
        <w:rPr>
          <w:rFonts w:cstheme="minorHAnsi"/>
        </w:rPr>
        <w:t>no later than five years to the day when the MPO last adopted it.</w:t>
      </w:r>
    </w:p>
    <w:p w14:paraId="73085038" w14:textId="6F275F0B" w:rsidR="00D276C5" w:rsidRPr="00D276C5" w:rsidRDefault="00D276C5" w:rsidP="00020D20">
      <w:pPr>
        <w:pStyle w:val="Heading3"/>
        <w:jc w:val="both"/>
      </w:pPr>
      <w:bookmarkStart w:id="241" w:name="_Ref50030091"/>
      <w:r w:rsidRPr="00D276C5">
        <w:t>7.5.2 | RTP Updates due to Major Projects</w:t>
      </w:r>
      <w:bookmarkEnd w:id="241"/>
    </w:p>
    <w:p w14:paraId="20FA6C3B" w14:textId="76EE7615" w:rsidR="00D276C5" w:rsidRPr="00D276C5" w:rsidRDefault="00D276C5" w:rsidP="00020D20">
      <w:pPr>
        <w:jc w:val="both"/>
        <w:rPr>
          <w:rFonts w:cstheme="minorHAnsi"/>
        </w:rPr>
      </w:pPr>
      <w:r w:rsidRPr="00D276C5">
        <w:rPr>
          <w:rFonts w:cstheme="minorHAnsi"/>
        </w:rPr>
        <w:t>For individual projects estimated to cost $500 million or more, ADOT is required to submit a Project Management Plan and an Annual Financial Plan to FHWA (</w:t>
      </w:r>
      <w:hyperlink r:id="rId459" w:history="1">
        <w:r w:rsidR="007A54BA" w:rsidRPr="00020D20">
          <w:rPr>
            <w:rStyle w:val="TitleChar"/>
          </w:rPr>
          <w:t xml:space="preserve">23 </w:t>
        </w:r>
        <w:r w:rsidR="009628C0">
          <w:rPr>
            <w:rStyle w:val="TitleChar"/>
          </w:rPr>
          <w:t>U.S.C.</w:t>
        </w:r>
        <w:r w:rsidR="007A54BA" w:rsidRPr="00020D20">
          <w:rPr>
            <w:rStyle w:val="TitleChar"/>
          </w:rPr>
          <w:t xml:space="preserve"> § 106(h)</w:t>
        </w:r>
      </w:hyperlink>
      <w:r w:rsidRPr="00D276C5">
        <w:rPr>
          <w:rFonts w:cstheme="minorHAnsi"/>
        </w:rPr>
        <w:t>). The FTA also has requirements for Major Capital Investment Projects (</w:t>
      </w:r>
      <w:hyperlink r:id="rId460" w:history="1">
        <w:r w:rsidR="007A54BA" w:rsidRPr="00020D20">
          <w:rPr>
            <w:rStyle w:val="TitleChar"/>
          </w:rPr>
          <w:t xml:space="preserve">49 </w:t>
        </w:r>
        <w:r w:rsidR="009628C0">
          <w:rPr>
            <w:rStyle w:val="TitleChar"/>
          </w:rPr>
          <w:t>U.S.C.</w:t>
        </w:r>
        <w:r w:rsidR="007A54BA" w:rsidRPr="00020D20">
          <w:rPr>
            <w:rStyle w:val="TitleChar"/>
          </w:rPr>
          <w:t xml:space="preserve"> Part 611</w:t>
        </w:r>
      </w:hyperlink>
      <w:r w:rsidRPr="00D276C5">
        <w:rPr>
          <w:rFonts w:cstheme="minorHAnsi"/>
        </w:rPr>
        <w:t xml:space="preserve">). The update of the Annual Financial Plan may necessitate an update to the RTP if revenue assumptions are not consistent with the Annual Financial Plan. </w:t>
      </w:r>
    </w:p>
    <w:p w14:paraId="4216DEE3" w14:textId="4027315B" w:rsidR="00D276C5" w:rsidRPr="00D276C5" w:rsidRDefault="00D276C5" w:rsidP="00020D20">
      <w:pPr>
        <w:jc w:val="both"/>
        <w:rPr>
          <w:rFonts w:cstheme="minorHAnsi"/>
        </w:rPr>
      </w:pPr>
      <w:r w:rsidRPr="00D276C5">
        <w:rPr>
          <w:rFonts w:cstheme="minorHAnsi"/>
        </w:rPr>
        <w:t xml:space="preserve">It is important for the MPO’s RTP to identify any Major Capital Investment Projects. FHWA guidance directs that the cost estimates reported for a Major Capital Investment Project in the first five years of the RTP are to be based on more precise cost estimate information than a project reflected in the latter years of the RTP. </w:t>
      </w:r>
      <w:r w:rsidR="00E46596" w:rsidRPr="00D276C5">
        <w:rPr>
          <w:rFonts w:cstheme="minorHAnsi"/>
        </w:rPr>
        <w:t>Typically,</w:t>
      </w:r>
      <w:r w:rsidRPr="00D276C5">
        <w:rPr>
          <w:rFonts w:cstheme="minorHAnsi"/>
        </w:rPr>
        <w:t xml:space="preserve"> preliminary engineering</w:t>
      </w:r>
      <w:r w:rsidR="00DD2091">
        <w:rPr>
          <w:rFonts w:cstheme="minorHAnsi"/>
        </w:rPr>
        <w:t xml:space="preserve"> (PE)</w:t>
      </w:r>
      <w:r w:rsidRPr="00D276C5">
        <w:rPr>
          <w:rFonts w:cstheme="minorHAnsi"/>
        </w:rPr>
        <w:t xml:space="preserve"> would occur five years prior to construction activities, unless an aggressive schedule is undertaken. In most cases, the more precise cost estimate can be developed for that first five-year period of the RTP. </w:t>
      </w:r>
    </w:p>
    <w:bookmarkStart w:id="242" w:name="_Ref50030095"/>
    <w:p w14:paraId="027180F0" w14:textId="58667346" w:rsidR="00D276C5" w:rsidRPr="00D276C5" w:rsidRDefault="0010587E" w:rsidP="00020D20">
      <w:pPr>
        <w:pStyle w:val="Heading2"/>
      </w:pPr>
      <w:r>
        <w:rPr>
          <w:rFonts w:cstheme="minorHAnsi"/>
          <w:noProof/>
        </w:rPr>
        <mc:AlternateContent>
          <mc:Choice Requires="wps">
            <w:drawing>
              <wp:anchor distT="0" distB="0" distL="114300" distR="114300" simplePos="0" relativeHeight="251618532" behindDoc="1" locked="0" layoutInCell="1" allowOverlap="1" wp14:anchorId="3DADC52D" wp14:editId="729A946A">
                <wp:simplePos x="0" y="0"/>
                <wp:positionH relativeFrom="margin">
                  <wp:posOffset>0</wp:posOffset>
                </wp:positionH>
                <wp:positionV relativeFrom="paragraph">
                  <wp:posOffset>298450</wp:posOffset>
                </wp:positionV>
                <wp:extent cx="1476375" cy="2171700"/>
                <wp:effectExtent l="95250" t="95250" r="104775" b="95250"/>
                <wp:wrapTight wrapText="bothSides">
                  <wp:wrapPolygon edited="0">
                    <wp:start x="-1115" y="-947"/>
                    <wp:lineTo x="-1394" y="21411"/>
                    <wp:lineTo x="-836" y="22358"/>
                    <wp:lineTo x="22297" y="22358"/>
                    <wp:lineTo x="22854" y="20653"/>
                    <wp:lineTo x="22575" y="-947"/>
                    <wp:lineTo x="-1115" y="-947"/>
                  </wp:wrapPolygon>
                </wp:wrapTight>
                <wp:docPr id="1690911393" name="Text Box 1690911393"/>
                <wp:cNvGraphicFramePr/>
                <a:graphic xmlns:a="http://schemas.openxmlformats.org/drawingml/2006/main">
                  <a:graphicData uri="http://schemas.microsoft.com/office/word/2010/wordprocessingShape">
                    <wps:wsp>
                      <wps:cNvSpPr txBox="1"/>
                      <wps:spPr>
                        <a:xfrm>
                          <a:off x="0" y="0"/>
                          <a:ext cx="1476375" cy="21717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C1384B5" w14:textId="77777777" w:rsidR="00C6444C" w:rsidRPr="0051438A" w:rsidRDefault="00C6444C" w:rsidP="00020D20">
                            <w:pPr>
                              <w:jc w:val="center"/>
                            </w:pPr>
                            <w:r w:rsidRPr="001241F0">
                              <w:rPr>
                                <w:noProof/>
                              </w:rPr>
                              <w:drawing>
                                <wp:inline distT="0" distB="0" distL="0" distR="0" wp14:anchorId="78E2FF8E" wp14:editId="3C872B49">
                                  <wp:extent cx="457200" cy="457200"/>
                                  <wp:effectExtent l="0" t="0" r="0" b="0"/>
                                  <wp:docPr id="816286027" name="Picture 816286027">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4FE0EE3" w14:textId="59131F33" w:rsidR="00C6444C" w:rsidRPr="0052715B" w:rsidRDefault="00C6444C" w:rsidP="00020D20">
                            <w:pPr>
                              <w:pStyle w:val="Calloutboxes"/>
                            </w:pPr>
                            <w:r w:rsidRPr="00394A74">
                              <w:t>FHWA, Lessons Learned in Fiscal</w:t>
                            </w:r>
                            <w:r w:rsidRPr="00954116">
                              <w:t xml:space="preserve"> Constraint:</w:t>
                            </w:r>
                          </w:p>
                          <w:p w14:paraId="5119EBEF" w14:textId="0AC2AF16" w:rsidR="00C6444C" w:rsidRPr="00020D20" w:rsidRDefault="00202C92">
                            <w:pPr>
                              <w:pStyle w:val="Title"/>
                              <w:rPr>
                                <w:sz w:val="16"/>
                                <w:szCs w:val="16"/>
                              </w:rPr>
                            </w:pPr>
                            <w:hyperlink r:id="rId461" w:history="1">
                              <w:r w:rsidR="00C6444C" w:rsidRPr="00020D20">
                                <w:rPr>
                                  <w:rStyle w:val="Hyperlink"/>
                                  <w:rFonts w:ascii="Calibri" w:hAnsi="Calibri" w:cstheme="majorBidi"/>
                                  <w:i/>
                                  <w:color w:val="CE5B18"/>
                                  <w:szCs w:val="56"/>
                                  <w:u w:val="none"/>
                                </w:rPr>
                                <w:t>https://www.fhwa.dot.gov/planning/lsnlrndatchmt.cfm</w:t>
                              </w:r>
                            </w:hyperlink>
                          </w:p>
                          <w:p w14:paraId="69C390D1" w14:textId="712D216A" w:rsidR="00C6444C" w:rsidRPr="00954116" w:rsidRDefault="00C6444C" w:rsidP="00020D20">
                            <w:pPr>
                              <w:pStyle w:val="Calloutboxes"/>
                            </w:pPr>
                            <w:r w:rsidRPr="00394A74">
                              <w:t>FHWA, Financial Planning and Fiscal Constraint for Transportation Plans and Programs, Questions &amp; Answers:</w:t>
                            </w:r>
                          </w:p>
                          <w:p w14:paraId="6B67CABA" w14:textId="07AB9EEB" w:rsidR="00C6444C" w:rsidRPr="00020D20" w:rsidRDefault="00202C92">
                            <w:pPr>
                              <w:pStyle w:val="Title"/>
                              <w:rPr>
                                <w:sz w:val="16"/>
                                <w:szCs w:val="16"/>
                              </w:rPr>
                            </w:pPr>
                            <w:hyperlink r:id="rId462" w:history="1">
                              <w:r w:rsidR="00C6444C" w:rsidRPr="00020D20">
                                <w:rPr>
                                  <w:rStyle w:val="Hyperlink"/>
                                  <w:rFonts w:ascii="Calibri" w:hAnsi="Calibri" w:cstheme="majorBidi"/>
                                  <w:i/>
                                  <w:color w:val="CE5B18"/>
                                  <w:szCs w:val="56"/>
                                  <w:u w:val="none"/>
                                </w:rPr>
                                <w:t>https://www.fhwa.dot.gov/planning/fsclcntrntques.cfm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ADC52D" id="Text Box 1690911393" o:spid="_x0000_s1141" type="#_x0000_t202" style="position:absolute;left:0;text-align:left;margin-left:0;margin-top:23.5pt;width:116.25pt;height:171pt;z-index:-2516979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" fillcolor="#f7f7f7" stroked="f" strokeweight=".5pt">
                <v:shadow on="t" type="perspective" color="black" opacity="26214f" offset="0,0" matrix="66847f,,,66847f"/>
                <v:textbox>
                  <w:txbxContent>
                    <w:p w14:paraId="5C1384B5" w14:textId="77777777" w:rsidR="00C6444C" w:rsidRPr="0051438A" w:rsidRDefault="00C6444C" w:rsidP="00020D20">
                      <w:pPr>
                        <w:jc w:val="center"/>
                      </w:pPr>
                      <w:r w:rsidRPr="001241F0">
                        <w:rPr>
                          <w:noProof/>
                        </w:rPr>
                        <w:drawing>
                          <wp:inline distT="0" distB="0" distL="0" distR="0" wp14:anchorId="78E2FF8E" wp14:editId="3C872B49">
                            <wp:extent cx="457200" cy="457200"/>
                            <wp:effectExtent l="0" t="0" r="0" b="0"/>
                            <wp:docPr id="816286027" name="Picture 816286027">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4FE0EE3" w14:textId="59131F33" w:rsidR="00C6444C" w:rsidRPr="0052715B" w:rsidRDefault="00C6444C" w:rsidP="00020D20">
                      <w:pPr>
                        <w:pStyle w:val="Calloutboxes"/>
                      </w:pPr>
                      <w:r w:rsidRPr="00394A74">
                        <w:t>FHWA, Lessons Learned in Fiscal</w:t>
                      </w:r>
                      <w:r w:rsidRPr="00954116">
                        <w:t xml:space="preserve"> Constraint:</w:t>
                      </w:r>
                    </w:p>
                    <w:p w14:paraId="5119EBEF" w14:textId="0AC2AF16" w:rsidR="00C6444C" w:rsidRPr="00020D20" w:rsidRDefault="00C6444C">
                      <w:pPr>
                        <w:pStyle w:val="Title"/>
                        <w:rPr>
                          <w:sz w:val="16"/>
                          <w:szCs w:val="16"/>
                        </w:rPr>
                      </w:pPr>
                      <w:hyperlink r:id="rId463" w:history="1">
                        <w:r w:rsidRPr="00020D20">
                          <w:rPr>
                            <w:rStyle w:val="Hyperlink"/>
                            <w:rFonts w:ascii="Calibri" w:hAnsi="Calibri" w:cstheme="majorBidi"/>
                            <w:i/>
                            <w:color w:val="CE5B18"/>
                            <w:szCs w:val="56"/>
                            <w:u w:val="none"/>
                          </w:rPr>
                          <w:t>https://www.fhwa.dot.gov/planning/lsnlrndatchmt.cfm</w:t>
                        </w:r>
                      </w:hyperlink>
                    </w:p>
                    <w:p w14:paraId="69C390D1" w14:textId="712D216A" w:rsidR="00C6444C" w:rsidRPr="00954116" w:rsidRDefault="00C6444C" w:rsidP="00020D20">
                      <w:pPr>
                        <w:pStyle w:val="Calloutboxes"/>
                      </w:pPr>
                      <w:r w:rsidRPr="00394A74">
                        <w:t>FHWA, Financial Planning and Fiscal Constraint for Transportation Plans and Programs, Questions &amp; Answers:</w:t>
                      </w:r>
                    </w:p>
                    <w:p w14:paraId="6B67CABA" w14:textId="07AB9EEB" w:rsidR="00C6444C" w:rsidRPr="00020D20" w:rsidRDefault="00C6444C">
                      <w:pPr>
                        <w:pStyle w:val="Title"/>
                        <w:rPr>
                          <w:sz w:val="16"/>
                          <w:szCs w:val="16"/>
                        </w:rPr>
                      </w:pPr>
                      <w:hyperlink r:id="rId464" w:history="1">
                        <w:r w:rsidRPr="00020D20">
                          <w:rPr>
                            <w:rStyle w:val="Hyperlink"/>
                            <w:rFonts w:ascii="Calibri" w:hAnsi="Calibri" w:cstheme="majorBidi"/>
                            <w:i/>
                            <w:color w:val="CE5B18"/>
                            <w:szCs w:val="56"/>
                            <w:u w:val="none"/>
                          </w:rPr>
                          <w:t>https://www.fhwa.dot.gov/planning/fsclcntrntques.cfm</w:t>
                        </w:r>
                      </w:hyperlink>
                    </w:p>
                  </w:txbxContent>
                </v:textbox>
                <w10:wrap type="tight" anchorx="margin"/>
              </v:shape>
            </w:pict>
          </mc:Fallback>
        </mc:AlternateContent>
      </w:r>
      <w:r w:rsidR="00D276C5" w:rsidRPr="00D276C5">
        <w:t>7.6 | FISCALLY CONSTRAINED RTP</w:t>
      </w:r>
      <w:bookmarkEnd w:id="242"/>
    </w:p>
    <w:p w14:paraId="576C1BD4" w14:textId="3C0C920D" w:rsidR="00D276C5" w:rsidRPr="00D276C5" w:rsidRDefault="00D276C5" w:rsidP="00020D20">
      <w:pPr>
        <w:jc w:val="both"/>
        <w:rPr>
          <w:rFonts w:cstheme="minorHAnsi"/>
          <w:b/>
        </w:rPr>
      </w:pPr>
      <w:r w:rsidRPr="00D276C5">
        <w:rPr>
          <w:rFonts w:cstheme="minorHAnsi"/>
        </w:rPr>
        <w:t>MPOs are required to include a fiscally constrained element in their RTP. Fiscal constraint is defined by the FHWA as “A demonstration of sufficient funds (Federal, State, local, and private) to implement proposed transportation system improvements, as well as to operate and maintain the entire system, through the comparison of revenues and costs.” (FHWA, Fiscal Constraint Definitions).</w:t>
      </w:r>
    </w:p>
    <w:p w14:paraId="69746709" w14:textId="49E835CA" w:rsidR="00D276C5" w:rsidRPr="00D276C5" w:rsidRDefault="00D276C5" w:rsidP="00020D20">
      <w:pPr>
        <w:jc w:val="both"/>
        <w:rPr>
          <w:rFonts w:cstheme="minorHAnsi"/>
        </w:rPr>
      </w:pPr>
      <w:r w:rsidRPr="00D276C5">
        <w:rPr>
          <w:rFonts w:cstheme="minorHAnsi"/>
        </w:rPr>
        <w:t xml:space="preserve">FHWA has published two informative reports including a “Lessons Learned” and a “Q&amp;A” report regarding Fiscal Constraint. Identified below is a set of questions to be posed as an initial test of financial plans/fiscal constraints for State and MPO plans: </w:t>
      </w:r>
    </w:p>
    <w:p w14:paraId="31A1BF01" w14:textId="385DAC7D" w:rsidR="00D276C5" w:rsidRPr="00D276C5" w:rsidRDefault="00D276C5" w:rsidP="00020D20">
      <w:pPr>
        <w:pStyle w:val="Body-Bullets"/>
        <w:jc w:val="both"/>
        <w:rPr>
          <w:rFonts w:cstheme="minorHAnsi"/>
        </w:rPr>
      </w:pPr>
      <w:r w:rsidRPr="00D276C5">
        <w:rPr>
          <w:rFonts w:cstheme="minorHAnsi"/>
        </w:rPr>
        <w:t>Are operations and maintenance costs accounted for in the financial plans?</w:t>
      </w:r>
    </w:p>
    <w:p w14:paraId="25295112" w14:textId="64707F1F" w:rsidR="00D276C5" w:rsidRPr="00D276C5" w:rsidRDefault="00D276C5" w:rsidP="00020D20">
      <w:pPr>
        <w:pStyle w:val="Body-Bullets"/>
        <w:jc w:val="both"/>
        <w:rPr>
          <w:rFonts w:cstheme="minorHAnsi"/>
        </w:rPr>
      </w:pPr>
      <w:r w:rsidRPr="00D276C5">
        <w:rPr>
          <w:rFonts w:cstheme="minorHAnsi"/>
        </w:rPr>
        <w:t>Are capital costs accounted for in the financial plan?</w:t>
      </w:r>
    </w:p>
    <w:p w14:paraId="3D17F2DC" w14:textId="10078F27" w:rsidR="00D276C5" w:rsidRPr="00D276C5" w:rsidRDefault="00D276C5" w:rsidP="00020D20">
      <w:pPr>
        <w:pStyle w:val="Body-Bullets"/>
        <w:jc w:val="both"/>
        <w:rPr>
          <w:rFonts w:cstheme="minorHAnsi"/>
        </w:rPr>
      </w:pPr>
      <w:r w:rsidRPr="00D276C5">
        <w:rPr>
          <w:rFonts w:cstheme="minorHAnsi"/>
        </w:rPr>
        <w:t>Are underlying assumptions for revenue forecasts reflected in the financial plan?</w:t>
      </w:r>
    </w:p>
    <w:p w14:paraId="5ACCBB29" w14:textId="40158362" w:rsidR="00D276C5" w:rsidRDefault="00D276C5" w:rsidP="00020D20">
      <w:pPr>
        <w:pStyle w:val="Body-Bullets"/>
        <w:jc w:val="both"/>
        <w:rPr>
          <w:rFonts w:cstheme="minorHAnsi"/>
        </w:rPr>
      </w:pPr>
      <w:r w:rsidRPr="00D276C5">
        <w:rPr>
          <w:rFonts w:cstheme="minorHAnsi"/>
        </w:rPr>
        <w:t>Are costs in RTPs, TIPs, and STIPs shown as “year of expenditure” dollars?</w:t>
      </w:r>
    </w:p>
    <w:p w14:paraId="145E1DAC" w14:textId="38751F23" w:rsidR="00D8227B" w:rsidRPr="00D276C5" w:rsidRDefault="00D8227B" w:rsidP="00020D20">
      <w:pPr>
        <w:pStyle w:val="Body-Bullets"/>
        <w:jc w:val="both"/>
        <w:rPr>
          <w:rFonts w:cstheme="minorHAnsi"/>
        </w:rPr>
      </w:pPr>
      <w:r>
        <w:rPr>
          <w:rFonts w:cstheme="minorHAnsi"/>
        </w:rPr>
        <w:t>Is the MPO designated as an air quality nonattainment or maintenance area?</w:t>
      </w:r>
    </w:p>
    <w:p w14:paraId="72206047" w14:textId="77777777" w:rsidR="00D8227B" w:rsidRDefault="00D8227B" w:rsidP="00D8227B">
      <w:pPr>
        <w:pStyle w:val="Body-Bullets"/>
        <w:numPr>
          <w:ilvl w:val="0"/>
          <w:numId w:val="0"/>
        </w:numPr>
        <w:ind w:left="720" w:hanging="360"/>
        <w:jc w:val="both"/>
        <w:rPr>
          <w:rFonts w:cstheme="minorHAnsi"/>
        </w:rPr>
      </w:pPr>
      <w:r>
        <w:rPr>
          <w:rFonts w:cstheme="minorHAnsi"/>
        </w:rPr>
        <w:br w:type="page"/>
      </w:r>
    </w:p>
    <w:p w14:paraId="12DC128C" w14:textId="79EDA31C" w:rsidR="009923C3" w:rsidRPr="009923C3" w:rsidRDefault="00D8227B" w:rsidP="00020D20">
      <w:pPr>
        <w:jc w:val="both"/>
      </w:pPr>
      <w:r>
        <w:rPr>
          <w:rFonts w:cstheme="minorHAnsi"/>
          <w:noProof/>
        </w:rPr>
        <mc:AlternateContent>
          <mc:Choice Requires="wps">
            <w:drawing>
              <wp:anchor distT="0" distB="0" distL="114300" distR="114300" simplePos="0" relativeHeight="251618533" behindDoc="1" locked="0" layoutInCell="1" allowOverlap="1" wp14:anchorId="33B8DF8F" wp14:editId="2F3CA0DE">
                <wp:simplePos x="0" y="0"/>
                <wp:positionH relativeFrom="margin">
                  <wp:posOffset>1371600</wp:posOffset>
                </wp:positionH>
                <wp:positionV relativeFrom="paragraph">
                  <wp:posOffset>1466850</wp:posOffset>
                </wp:positionV>
                <wp:extent cx="1257300" cy="1371600"/>
                <wp:effectExtent l="76200" t="95250" r="76200" b="95250"/>
                <wp:wrapTight wrapText="bothSides">
                  <wp:wrapPolygon edited="0">
                    <wp:start x="-982" y="-1500"/>
                    <wp:lineTo x="-1309" y="-900"/>
                    <wp:lineTo x="-1309" y="22800"/>
                    <wp:lineTo x="22582" y="22800"/>
                    <wp:lineTo x="22582" y="3900"/>
                    <wp:lineTo x="22255" y="-600"/>
                    <wp:lineTo x="22255" y="-1500"/>
                    <wp:lineTo x="-982" y="-1500"/>
                  </wp:wrapPolygon>
                </wp:wrapTight>
                <wp:docPr id="1690911406" name="Text Box 1690911406"/>
                <wp:cNvGraphicFramePr/>
                <a:graphic xmlns:a="http://schemas.openxmlformats.org/drawingml/2006/main">
                  <a:graphicData uri="http://schemas.microsoft.com/office/word/2010/wordprocessingShape">
                    <wps:wsp>
                      <wps:cNvSpPr txBox="1"/>
                      <wps:spPr>
                        <a:xfrm>
                          <a:off x="0" y="0"/>
                          <a:ext cx="125730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5A2DB41" w14:textId="77777777" w:rsidR="00C6444C" w:rsidRPr="0051438A" w:rsidRDefault="00C6444C" w:rsidP="00020D20">
                            <w:pPr>
                              <w:jc w:val="center"/>
                            </w:pPr>
                            <w:r w:rsidRPr="001241F0">
                              <w:rPr>
                                <w:noProof/>
                              </w:rPr>
                              <w:drawing>
                                <wp:inline distT="0" distB="0" distL="0" distR="0" wp14:anchorId="7833BBFD" wp14:editId="6D5F3557">
                                  <wp:extent cx="457200" cy="457200"/>
                                  <wp:effectExtent l="0" t="0" r="0" b="0"/>
                                  <wp:docPr id="816286028" name="Picture 816286028">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1CE9011" w14:textId="22E00B46" w:rsidR="00C6444C" w:rsidRPr="00954116" w:rsidRDefault="00C6444C" w:rsidP="00020D20">
                            <w:pPr>
                              <w:pStyle w:val="Calloutboxes"/>
                            </w:pPr>
                            <w:r w:rsidRPr="00394A74">
                              <w:t>Cross reference chapter 6, “Perfomance Measures” for additional detail on performance measures.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B8DF8F" id="Text Box 1690911406" o:spid="_x0000_s1142" type="#_x0000_t202" style="position:absolute;left:0;text-align:left;margin-left:108pt;margin-top:115.5pt;width:99pt;height:108pt;z-index:-2516979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" fillcolor="#f7f7f7" stroked="f" strokeweight=".5pt">
                <v:shadow on="t" type="perspective" color="black" opacity="26214f" offset="0,0" matrix="66847f,,,66847f"/>
                <v:textbox>
                  <w:txbxContent>
                    <w:p w14:paraId="25A2DB41" w14:textId="77777777" w:rsidR="00C6444C" w:rsidRPr="0051438A" w:rsidRDefault="00C6444C" w:rsidP="00020D20">
                      <w:pPr>
                        <w:jc w:val="center"/>
                      </w:pPr>
                      <w:r w:rsidRPr="001241F0">
                        <w:rPr>
                          <w:noProof/>
                        </w:rPr>
                        <w:drawing>
                          <wp:inline distT="0" distB="0" distL="0" distR="0" wp14:anchorId="7833BBFD" wp14:editId="6D5F3557">
                            <wp:extent cx="457200" cy="457200"/>
                            <wp:effectExtent l="0" t="0" r="0" b="0"/>
                            <wp:docPr id="816286028" name="Picture 816286028">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1CE9011" w14:textId="22E00B46" w:rsidR="00C6444C" w:rsidRPr="00954116" w:rsidRDefault="00C6444C" w:rsidP="00020D20">
                      <w:pPr>
                        <w:pStyle w:val="Calloutboxes"/>
                      </w:pPr>
                      <w:r w:rsidRPr="00394A74">
                        <w:t>Cross reference chapter 6, “Perfomance Measures” for additional detail on performance measures.</w:t>
                      </w:r>
                    </w:p>
                  </w:txbxContent>
                </v:textbox>
                <w10:wrap type="tight" anchorx="margin"/>
              </v:shape>
            </w:pict>
          </mc:Fallback>
        </mc:AlternateContent>
      </w:r>
      <w:r w:rsidR="009923C3" w:rsidRPr="009923C3">
        <w:t xml:space="preserve">Based upon input gathered from FHWA Division Offices, a series of key issues are to be considered when discussing fiscal constraint, including: </w:t>
      </w:r>
    </w:p>
    <w:p w14:paraId="1FC04E5E" w14:textId="32E17DB1" w:rsidR="009923C3" w:rsidRPr="006E28D7" w:rsidRDefault="009923C3" w:rsidP="00020D20">
      <w:pPr>
        <w:pStyle w:val="Body-Bullets"/>
        <w:jc w:val="both"/>
      </w:pPr>
      <w:r w:rsidRPr="006E28D7">
        <w:t>Awareness of State Transportation Funding Levels is Important;</w:t>
      </w:r>
    </w:p>
    <w:p w14:paraId="2F8B26E5" w14:textId="77777777" w:rsidR="009923C3" w:rsidRPr="006E28D7" w:rsidRDefault="009923C3" w:rsidP="00020D20">
      <w:pPr>
        <w:pStyle w:val="Body-Bullets"/>
        <w:jc w:val="both"/>
      </w:pPr>
      <w:r w:rsidRPr="006E28D7">
        <w:t>Awareness of Funding Issue Deliberations in State Legislatures is Valuable;</w:t>
      </w:r>
    </w:p>
    <w:p w14:paraId="085FE242" w14:textId="77777777" w:rsidR="009923C3" w:rsidRPr="006E28D7" w:rsidRDefault="009923C3" w:rsidP="00020D20">
      <w:pPr>
        <w:pStyle w:val="Body-Bullets"/>
        <w:jc w:val="both"/>
      </w:pPr>
      <w:r w:rsidRPr="006E28D7">
        <w:t>Discretionary Funding Levels Can Play a Significant Role in Fiscal Constraint;</w:t>
      </w:r>
    </w:p>
    <w:p w14:paraId="6177A0E4" w14:textId="77777777" w:rsidR="009923C3" w:rsidRPr="006E28D7" w:rsidRDefault="009923C3" w:rsidP="00020D20">
      <w:pPr>
        <w:pStyle w:val="Body-Bullets"/>
        <w:jc w:val="both"/>
      </w:pPr>
      <w:r w:rsidRPr="006E28D7">
        <w:t>Accurate Transit Operations and Maintenance Costs are an Important Variable in Fiscal Constraint; and</w:t>
      </w:r>
    </w:p>
    <w:p w14:paraId="45643D65" w14:textId="77777777" w:rsidR="009923C3" w:rsidRPr="006E28D7" w:rsidRDefault="009923C3" w:rsidP="00020D20">
      <w:pPr>
        <w:pStyle w:val="Body-Bullets"/>
        <w:jc w:val="both"/>
      </w:pPr>
      <w:r w:rsidRPr="006E28D7">
        <w:t>Program/Process Reviews on Fiscal Constraint Can Be a Valuable Stewardship and Oversight Tool.</w:t>
      </w:r>
    </w:p>
    <w:p w14:paraId="31941B1E" w14:textId="0B2C98D6" w:rsidR="009923C3" w:rsidRPr="009923C3" w:rsidRDefault="009923C3" w:rsidP="00020D20">
      <w:pPr>
        <w:pStyle w:val="Heading2"/>
      </w:pPr>
      <w:bookmarkStart w:id="243" w:name="_Ref50030098"/>
      <w:r w:rsidRPr="009923C3">
        <w:t>7.7 | RELATIONSHIP TO THE TIP/STIP</w:t>
      </w:r>
      <w:bookmarkEnd w:id="243"/>
    </w:p>
    <w:p w14:paraId="19E1160F" w14:textId="59660407" w:rsidR="009923C3" w:rsidRPr="009923C3" w:rsidRDefault="009923C3" w:rsidP="00020D20">
      <w:pPr>
        <w:jc w:val="both"/>
      </w:pPr>
      <w:r w:rsidRPr="009923C3">
        <w:t>The RTP is used as the basis upon which TIPs are developed. Accordingly, there must be an approved RTP or a properly amended RTP in place when the MPO submits its TIP to ADOT for approval. The TIP must be incorporated into the STIP to ensure continued federal funding for the metropolitan area. A TIP (for inclusion in the STIP) that is not representative of a currently approved or amended RTP cannot be approved.</w:t>
      </w:r>
    </w:p>
    <w:p w14:paraId="6B17EDDA" w14:textId="2C9764BB" w:rsidR="009923C3" w:rsidRPr="009923C3" w:rsidRDefault="00D8227B" w:rsidP="00020D20">
      <w:pPr>
        <w:pStyle w:val="Heading2"/>
      </w:pPr>
      <w:bookmarkStart w:id="244" w:name="_Ref50030103"/>
      <w:r>
        <w:rPr>
          <w:rFonts w:cstheme="minorHAnsi"/>
          <w:noProof/>
        </w:rPr>
        <mc:AlternateContent>
          <mc:Choice Requires="wpg">
            <w:drawing>
              <wp:anchor distT="0" distB="0" distL="114300" distR="114300" simplePos="0" relativeHeight="251618616" behindDoc="0" locked="0" layoutInCell="1" allowOverlap="1" wp14:anchorId="59BD00B1" wp14:editId="43F42FF4">
                <wp:simplePos x="0" y="0"/>
                <wp:positionH relativeFrom="column">
                  <wp:posOffset>-33655</wp:posOffset>
                </wp:positionH>
                <wp:positionV relativeFrom="paragraph">
                  <wp:posOffset>-6035040</wp:posOffset>
                </wp:positionV>
                <wp:extent cx="2943225" cy="1195705"/>
                <wp:effectExtent l="76200" t="0" r="19050" b="71120"/>
                <wp:wrapSquare wrapText="bothSides"/>
                <wp:docPr id="1690911405" name="Group 1690911405"/>
                <wp:cNvGraphicFramePr/>
                <a:graphic xmlns:a="http://schemas.openxmlformats.org/drawingml/2006/main">
                  <a:graphicData uri="http://schemas.microsoft.com/office/word/2010/wordprocessingGroup">
                    <wpg:wgp>
                      <wpg:cNvGrpSpPr/>
                      <wpg:grpSpPr>
                        <a:xfrm>
                          <a:off x="0" y="0"/>
                          <a:ext cx="2943225" cy="1195705"/>
                          <a:chOff x="0" y="0"/>
                          <a:chExt cx="2943225" cy="1195705"/>
                        </a:xfrm>
                      </wpg:grpSpPr>
                      <wps:wsp>
                        <wps:cNvPr id="1690911400" name="Text Box 1690911400"/>
                        <wps:cNvSpPr txBox="1"/>
                        <wps:spPr>
                          <a:xfrm>
                            <a:off x="28575" y="104775"/>
                            <a:ext cx="2828925" cy="109093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1260"/>
                                <w:gridCol w:w="3240"/>
                              </w:tblGrid>
                              <w:tr w:rsidR="00C6444C" w14:paraId="351B0506" w14:textId="77777777" w:rsidTr="00020D20">
                                <w:trPr>
                                  <w:trHeight w:val="360"/>
                                </w:trPr>
                                <w:tc>
                                  <w:tcPr>
                                    <w:tcW w:w="1260" w:type="dxa"/>
                                    <w:shd w:val="clear" w:color="auto" w:fill="auto"/>
                                  </w:tcPr>
                                  <w:p w14:paraId="3C989C90" w14:textId="77777777" w:rsidR="00C6444C" w:rsidRPr="00020D20" w:rsidRDefault="00C6444C">
                                    <w:pPr>
                                      <w:pStyle w:val="Calloutboxes"/>
                                      <w:rPr>
                                        <w:color w:val="012768"/>
                                      </w:rPr>
                                    </w:pPr>
                                  </w:p>
                                </w:tc>
                                <w:tc>
                                  <w:tcPr>
                                    <w:tcW w:w="3240" w:type="dxa"/>
                                    <w:shd w:val="clear" w:color="auto" w:fill="auto"/>
                                  </w:tcPr>
                                  <w:p w14:paraId="45BB14D5" w14:textId="77777777" w:rsidR="00C6444C" w:rsidRPr="00020D20" w:rsidRDefault="00C6444C" w:rsidP="00D30138">
                                    <w:pPr>
                                      <w:pStyle w:val="Calloutboxes"/>
                                      <w:jc w:val="left"/>
                                      <w:rPr>
                                        <w:color w:val="FFFFFF" w:themeColor="background1"/>
                                        <w:sz w:val="24"/>
                                        <w:szCs w:val="24"/>
                                      </w:rPr>
                                    </w:pPr>
                                  </w:p>
                                </w:tc>
                              </w:tr>
                              <w:tr w:rsidR="00C6444C" w14:paraId="7F5E9E56" w14:textId="77777777" w:rsidTr="00020D20">
                                <w:trPr>
                                  <w:trHeight w:val="1081"/>
                                </w:trPr>
                                <w:tc>
                                  <w:tcPr>
                                    <w:tcW w:w="4500" w:type="dxa"/>
                                    <w:gridSpan w:val="2"/>
                                  </w:tcPr>
                                  <w:p w14:paraId="573DF7F7" w14:textId="081D4CAE" w:rsidR="00C6444C" w:rsidRPr="00347D6E" w:rsidRDefault="00C6444C" w:rsidP="00020D20">
                                    <w:pPr>
                                      <w:pStyle w:val="Calloutboxes"/>
                                    </w:pPr>
                                    <w:r>
                                      <w:t>The fiscal constraint requirements are more stringent in air quality nonattainment and maintenance areas. Nonattainment and maintenance areas may not rely upon proposed new revenue sources (i.e. taxes, bonding, or major funding increase still under consideration) to support projects listed in the first two years of the TIP and STIP.</w:t>
                                    </w:r>
                                  </w:p>
                                </w:tc>
                              </w:tr>
                            </w:tbl>
                            <w:p w14:paraId="6BED40C0"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1401" name="Group 1690911401"/>
                        <wpg:cNvGrpSpPr/>
                        <wpg:grpSpPr>
                          <a:xfrm>
                            <a:off x="0" y="0"/>
                            <a:ext cx="2943225" cy="342901"/>
                            <a:chOff x="11875" y="-182202"/>
                            <a:chExt cx="2863688" cy="781906"/>
                          </a:xfrm>
                        </wpg:grpSpPr>
                        <wps:wsp>
                          <wps:cNvPr id="1690911402" name="Rectangle 1690911402"/>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1403" name="Text Box 1690911403"/>
                          <wps:cNvSpPr txBox="1"/>
                          <wps:spPr>
                            <a:xfrm>
                              <a:off x="69775" y="-182202"/>
                              <a:ext cx="2805788" cy="781904"/>
                            </a:xfrm>
                            <a:prstGeom prst="rect">
                              <a:avLst/>
                            </a:prstGeom>
                            <a:noFill/>
                            <a:ln w="6350">
                              <a:noFill/>
                            </a:ln>
                            <a:effectLst/>
                          </wps:spPr>
                          <wps:txbx>
                            <w:txbxContent>
                              <w:p w14:paraId="3D8B460F" w14:textId="77777777" w:rsidR="00C6444C" w:rsidRPr="00020D20" w:rsidRDefault="00C6444C" w:rsidP="00020D20">
                                <w:pPr>
                                  <w:jc w:val="center"/>
                                  <w:rPr>
                                    <w:color w:val="FFFFFF" w:themeColor="background1"/>
                                  </w:rPr>
                                </w:pPr>
                                <w:r>
                                  <w:rPr>
                                    <w:color w:val="FFFFFF" w:themeColor="background1"/>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9BD00B1" id="Group 1690911405" o:spid="_x0000_s1143" style="position:absolute;left:0;text-align:left;margin-left:-2.65pt;margin-top:-475.2pt;width:231.75pt;height:94.15pt;z-index:251618616;mso-width-relative:margin;mso-height-relative:margin" coordsize="29432,11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">
                <v:shape id="Text Box 1690911400" o:spid="_x0000_s1144" type="#_x0000_t202" style="position:absolute;left:285;top:1047;width:28290;height:10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1260"/>
                          <w:gridCol w:w="3240"/>
                        </w:tblGrid>
                        <w:tr w:rsidR="00C6444C" w14:paraId="351B0506" w14:textId="77777777" w:rsidTr="00020D20">
                          <w:trPr>
                            <w:trHeight w:val="360"/>
                          </w:trPr>
                          <w:tc>
                            <w:tcPr>
                              <w:tcW w:w="1260" w:type="dxa"/>
                              <w:shd w:val="clear" w:color="auto" w:fill="auto"/>
                            </w:tcPr>
                            <w:p w14:paraId="3C989C90" w14:textId="77777777" w:rsidR="00C6444C" w:rsidRPr="00020D20" w:rsidRDefault="00C6444C">
                              <w:pPr>
                                <w:pStyle w:val="Calloutboxes"/>
                                <w:rPr>
                                  <w:color w:val="012768"/>
                                </w:rPr>
                              </w:pPr>
                            </w:p>
                          </w:tc>
                          <w:tc>
                            <w:tcPr>
                              <w:tcW w:w="3240" w:type="dxa"/>
                              <w:shd w:val="clear" w:color="auto" w:fill="auto"/>
                            </w:tcPr>
                            <w:p w14:paraId="45BB14D5" w14:textId="77777777" w:rsidR="00C6444C" w:rsidRPr="00020D20" w:rsidRDefault="00C6444C" w:rsidP="00D30138">
                              <w:pPr>
                                <w:pStyle w:val="Calloutboxes"/>
                                <w:jc w:val="left"/>
                                <w:rPr>
                                  <w:color w:val="FFFFFF" w:themeColor="background1"/>
                                  <w:sz w:val="24"/>
                                  <w:szCs w:val="24"/>
                                </w:rPr>
                              </w:pPr>
                            </w:p>
                          </w:tc>
                        </w:tr>
                        <w:tr w:rsidR="00C6444C" w14:paraId="7F5E9E56" w14:textId="77777777" w:rsidTr="00020D20">
                          <w:trPr>
                            <w:trHeight w:val="1081"/>
                          </w:trPr>
                          <w:tc>
                            <w:tcPr>
                              <w:tcW w:w="4500" w:type="dxa"/>
                              <w:gridSpan w:val="2"/>
                            </w:tcPr>
                            <w:p w14:paraId="573DF7F7" w14:textId="081D4CAE" w:rsidR="00C6444C" w:rsidRPr="00347D6E" w:rsidRDefault="00C6444C" w:rsidP="00020D20">
                              <w:pPr>
                                <w:pStyle w:val="Calloutboxes"/>
                              </w:pPr>
                              <w:r>
                                <w:t>The fiscal constraint requirements are more stringent in air quality nonattainment and maintenance areas. Nonattainment and maintenance areas may not rely upon proposed new revenue sources (i.e. taxes, bonding, or major funding increase still under consideration) to support projects listed in the first two years of the TIP and STIP.</w:t>
                              </w:r>
                            </w:p>
                          </w:tc>
                        </w:tr>
                      </w:tbl>
                      <w:p w14:paraId="6BED40C0" w14:textId="77777777" w:rsidR="00C6444C" w:rsidRPr="00347D6E" w:rsidRDefault="00C6444C" w:rsidP="00020D20"/>
                    </w:txbxContent>
                  </v:textbox>
                </v:shape>
                <v:group id="Group 1690911401" o:spid="_x0000_s1145" style="position:absolute;width:29432;height:3429" coordorigin="118,-1822" coordsize="28636,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">
                  <v:rect id="Rectangle 1690911402" o:spid="_x0000_s1146"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" fillcolor="#012768" strokecolor="#1f4d78 [1604]" strokeweight="1pt"/>
                  <v:shape id="Text Box 1690911403" o:spid="_x0000_s1147" type="#_x0000_t202" style="position:absolute;left:697;top:-1822;width:28058;height:7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" filled="f" stroked="f" strokeweight=".5pt">
                    <v:textbox>
                      <w:txbxContent>
                        <w:p w14:paraId="3D8B460F" w14:textId="77777777" w:rsidR="00C6444C" w:rsidRPr="00020D20" w:rsidRDefault="00C6444C" w:rsidP="00020D20">
                          <w:pPr>
                            <w:jc w:val="center"/>
                            <w:rPr>
                              <w:color w:val="FFFFFF" w:themeColor="background1"/>
                            </w:rPr>
                          </w:pPr>
                          <w:r>
                            <w:rPr>
                              <w:color w:val="FFFFFF" w:themeColor="background1"/>
                            </w:rPr>
                            <w:t>DID YOU KNOW</w:t>
                          </w:r>
                        </w:p>
                      </w:txbxContent>
                    </v:textbox>
                  </v:shape>
                </v:group>
                <w10:wrap type="square"/>
              </v:group>
            </w:pict>
          </mc:Fallback>
        </mc:AlternateContent>
      </w:r>
      <w:r w:rsidR="009923C3" w:rsidRPr="009923C3">
        <w:t>7.8 | AREAS TO BE ADDRESSED IN THE RTP</w:t>
      </w:r>
      <w:bookmarkEnd w:id="244"/>
    </w:p>
    <w:p w14:paraId="2FDF4F57" w14:textId="7BFA94EC" w:rsidR="00D8227B" w:rsidRDefault="009923C3" w:rsidP="00020D20">
      <w:pPr>
        <w:jc w:val="both"/>
      </w:pPr>
      <w:r w:rsidRPr="009923C3">
        <w:t xml:space="preserve">Since 2005, federal law has identified </w:t>
      </w:r>
      <w:r w:rsidR="00842DE5">
        <w:t>ten</w:t>
      </w:r>
      <w:r w:rsidR="00842DE5" w:rsidRPr="009923C3">
        <w:t xml:space="preserve"> </w:t>
      </w:r>
      <w:r w:rsidRPr="009923C3">
        <w:t>planning factors</w:t>
      </w:r>
      <w:r w:rsidR="00842DE5">
        <w:t xml:space="preserve"> and 3 emphasis areas</w:t>
      </w:r>
      <w:r w:rsidRPr="009923C3">
        <w:t xml:space="preserve"> to be considered in the MPO planning process, including in the RTP planning process (</w:t>
      </w:r>
      <w:hyperlink r:id="rId465" w:history="1">
        <w:r w:rsidRPr="00020D20">
          <w:rPr>
            <w:rStyle w:val="TitleChar"/>
          </w:rPr>
          <w:t>23 U.S.C. § 134(h)(1)</w:t>
        </w:r>
      </w:hyperlink>
      <w:r w:rsidR="00842DE5" w:rsidRPr="00020D20">
        <w:rPr>
          <w:rStyle w:val="TitleChar"/>
        </w:rPr>
        <w:t xml:space="preserve"> </w:t>
      </w:r>
      <w:r w:rsidR="00842DE5">
        <w:t xml:space="preserve">and </w:t>
      </w:r>
      <w:hyperlink r:id="rId466" w:history="1">
        <w:r w:rsidR="00842DE5" w:rsidRPr="00020D20">
          <w:rPr>
            <w:rStyle w:val="TitleChar"/>
          </w:rPr>
          <w:t xml:space="preserve">23 § </w:t>
        </w:r>
        <w:r w:rsidR="009628C0">
          <w:rPr>
            <w:rStyle w:val="TitleChar"/>
          </w:rPr>
          <w:t xml:space="preserve">C.F.R. </w:t>
        </w:r>
        <w:r w:rsidR="00842DE5" w:rsidRPr="00020D20">
          <w:rPr>
            <w:rStyle w:val="TitleChar"/>
          </w:rPr>
          <w:t>450.306</w:t>
        </w:r>
      </w:hyperlink>
      <w:r w:rsidRPr="009923C3">
        <w:t>).</w:t>
      </w:r>
    </w:p>
    <w:p w14:paraId="098E4FC1" w14:textId="77777777" w:rsidR="00842DE5" w:rsidRPr="00020D20" w:rsidRDefault="00842DE5" w:rsidP="00020D20">
      <w:pPr>
        <w:jc w:val="both"/>
        <w:rPr>
          <w:u w:val="single"/>
        </w:rPr>
      </w:pPr>
      <w:r w:rsidRPr="00020D20">
        <w:rPr>
          <w:u w:val="single"/>
        </w:rPr>
        <w:t>FEDERAL PLANNING FACTORS</w:t>
      </w:r>
    </w:p>
    <w:p w14:paraId="2B1EA32E" w14:textId="34AC80CB" w:rsidR="00842DE5" w:rsidRDefault="00842DE5" w:rsidP="00020D20">
      <w:pPr>
        <w:ind w:left="720"/>
        <w:jc w:val="both"/>
      </w:pPr>
      <w:r>
        <w:t>1. Support the economic vitality of the metropolitan area, especially by enabling global competitiveness, productivity, and efficiency.</w:t>
      </w:r>
    </w:p>
    <w:p w14:paraId="5166F300" w14:textId="77777777" w:rsidR="00842DE5" w:rsidRDefault="00842DE5" w:rsidP="00020D20">
      <w:pPr>
        <w:ind w:left="720"/>
        <w:jc w:val="both"/>
      </w:pPr>
      <w:r>
        <w:t>2. Increase the safety of the transportation system for motorized and non-motorized users.</w:t>
      </w:r>
    </w:p>
    <w:p w14:paraId="12CD614D" w14:textId="01C91579" w:rsidR="00842DE5" w:rsidRDefault="00842DE5" w:rsidP="00020D20">
      <w:pPr>
        <w:ind w:left="720"/>
        <w:jc w:val="both"/>
      </w:pPr>
      <w:r>
        <w:t>3. Increase the security of the transportation system for motorized and non-motorized users.</w:t>
      </w:r>
    </w:p>
    <w:p w14:paraId="6C1A8888" w14:textId="77777777" w:rsidR="00842DE5" w:rsidRDefault="00842DE5" w:rsidP="00020D20">
      <w:pPr>
        <w:ind w:left="720"/>
        <w:jc w:val="both"/>
      </w:pPr>
      <w:r>
        <w:t>4. Increase accessibility and mobility of people and freight.</w:t>
      </w:r>
    </w:p>
    <w:p w14:paraId="5F351DB5" w14:textId="3BD0B6FC" w:rsidR="00842DE5" w:rsidRDefault="00842DE5" w:rsidP="00020D20">
      <w:pPr>
        <w:ind w:left="720"/>
        <w:jc w:val="both"/>
      </w:pPr>
      <w:r>
        <w:t>5. Protect and enhance the environment, promote energy conservation, improve the quality of life, and promote consistency between transportation improvements and state and local planned growth and economic development patterns.</w:t>
      </w:r>
    </w:p>
    <w:p w14:paraId="02A7884A" w14:textId="65765120" w:rsidR="00842DE5" w:rsidRDefault="00842DE5" w:rsidP="00020D20">
      <w:pPr>
        <w:ind w:left="720"/>
        <w:jc w:val="both"/>
      </w:pPr>
      <w:r>
        <w:t>6. Enhance the integration and connectivity of the transportation system, across and between modes, for people and freight.</w:t>
      </w:r>
    </w:p>
    <w:p w14:paraId="70243940" w14:textId="77777777" w:rsidR="00842DE5" w:rsidRDefault="00842DE5" w:rsidP="00020D20">
      <w:pPr>
        <w:ind w:left="720"/>
        <w:jc w:val="both"/>
      </w:pPr>
      <w:r>
        <w:t>7. Promote efficient system management and operation.</w:t>
      </w:r>
    </w:p>
    <w:p w14:paraId="38B53933" w14:textId="77777777" w:rsidR="00842DE5" w:rsidRDefault="00842DE5" w:rsidP="00020D20">
      <w:pPr>
        <w:ind w:left="720"/>
        <w:jc w:val="both"/>
      </w:pPr>
      <w:r>
        <w:t>8. Emphasize the preservation of the existing transportation system.</w:t>
      </w:r>
    </w:p>
    <w:p w14:paraId="52F04238" w14:textId="1F864929" w:rsidR="00842DE5" w:rsidRDefault="00842DE5" w:rsidP="00020D20">
      <w:pPr>
        <w:ind w:left="720"/>
        <w:jc w:val="both"/>
      </w:pPr>
      <w:r>
        <w:t>9. Improve the resiliency and reliability of the transportation system and reduce or mitigate stormwater impacts of surface transportation.</w:t>
      </w:r>
    </w:p>
    <w:p w14:paraId="66293C14" w14:textId="77777777" w:rsidR="00842DE5" w:rsidRDefault="00842DE5" w:rsidP="00020D20">
      <w:pPr>
        <w:ind w:left="720"/>
        <w:jc w:val="both"/>
      </w:pPr>
      <w:r>
        <w:t>10. Enhance travel and tourism.</w:t>
      </w:r>
    </w:p>
    <w:p w14:paraId="370ADF17" w14:textId="2F9F7851" w:rsidR="00842DE5" w:rsidRPr="00020D20" w:rsidRDefault="00961614" w:rsidP="00020D20">
      <w:pPr>
        <w:jc w:val="both"/>
        <w:rPr>
          <w:u w:val="single"/>
        </w:rPr>
      </w:pPr>
      <w:r>
        <w:rPr>
          <w:u w:val="single"/>
        </w:rPr>
        <w:br w:type="column"/>
      </w:r>
      <w:r w:rsidR="00842DE5" w:rsidRPr="00020D20">
        <w:rPr>
          <w:u w:val="single"/>
        </w:rPr>
        <w:t>EMPHASIS AREAS</w:t>
      </w:r>
    </w:p>
    <w:p w14:paraId="7BA1D541" w14:textId="5E940CBA" w:rsidR="00842DE5" w:rsidRDefault="00842DE5" w:rsidP="00020D20">
      <w:pPr>
        <w:ind w:left="720"/>
        <w:jc w:val="both"/>
      </w:pPr>
      <w:r>
        <w:t>11. Transition to performance-based planning and programming (MAP-21 [currently the FAST Act] Implementation).</w:t>
      </w:r>
    </w:p>
    <w:p w14:paraId="515D2A01" w14:textId="31AE0746" w:rsidR="00842DE5" w:rsidRDefault="00842DE5" w:rsidP="00020D20">
      <w:pPr>
        <w:ind w:left="720"/>
        <w:jc w:val="both"/>
      </w:pPr>
      <w:r>
        <w:t>12. Ensure a regional approach to transportation planning by promoting cooperation and coordination across transit agency, MPO and state boundaries (Regional Models of Cooperation).</w:t>
      </w:r>
    </w:p>
    <w:p w14:paraId="7E21433F" w14:textId="0C7747A9" w:rsidR="00842DE5" w:rsidRDefault="00842DE5" w:rsidP="00020D20">
      <w:pPr>
        <w:ind w:left="720"/>
        <w:jc w:val="both"/>
      </w:pPr>
      <w:r>
        <w:t>13. Provide access to essential services (Ladders of Opportunity).</w:t>
      </w:r>
    </w:p>
    <w:p w14:paraId="510BBA83" w14:textId="3049F4AA" w:rsidR="009923C3" w:rsidRPr="009923C3" w:rsidRDefault="00842DE5" w:rsidP="00020D20">
      <w:pPr>
        <w:jc w:val="both"/>
      </w:pPr>
      <w:r>
        <w:t xml:space="preserve">The </w:t>
      </w:r>
      <w:r w:rsidR="00FA72D0">
        <w:t>FAST Act</w:t>
      </w:r>
      <w:r w:rsidR="009923C3" w:rsidRPr="009923C3">
        <w:t xml:space="preserve"> </w:t>
      </w:r>
      <w:r w:rsidR="00FA72D0">
        <w:t>continu</w:t>
      </w:r>
      <w:r w:rsidR="009923C3" w:rsidRPr="009923C3">
        <w:t>ed the requirement for MPOs to establish performance measures addressing seven national goals of the Federal-Aid Highway Program (</w:t>
      </w:r>
      <w:hyperlink r:id="rId467" w:history="1">
        <w:r w:rsidR="009923C3" w:rsidRPr="00020D20">
          <w:rPr>
            <w:rStyle w:val="TitleChar"/>
          </w:rPr>
          <w:t>23 U.S.C. § 150</w:t>
        </w:r>
      </w:hyperlink>
      <w:r w:rsidR="009923C3" w:rsidRPr="009923C3">
        <w:t>):</w:t>
      </w:r>
    </w:p>
    <w:p w14:paraId="49FF1FC9" w14:textId="15D7D27E" w:rsidR="009923C3" w:rsidRPr="00842DE5" w:rsidRDefault="009923C3" w:rsidP="00020D20">
      <w:pPr>
        <w:pStyle w:val="zNumbered"/>
      </w:pPr>
      <w:r w:rsidRPr="00842DE5">
        <w:t>Safety</w:t>
      </w:r>
    </w:p>
    <w:p w14:paraId="5B7346F2" w14:textId="771F58E6" w:rsidR="009923C3" w:rsidRPr="00842DE5" w:rsidRDefault="009923C3" w:rsidP="00020D20">
      <w:pPr>
        <w:pStyle w:val="zNumbered"/>
      </w:pPr>
      <w:r w:rsidRPr="00842DE5">
        <w:t>Infrastructure condition</w:t>
      </w:r>
    </w:p>
    <w:p w14:paraId="7075A573" w14:textId="67B3879D" w:rsidR="009923C3" w:rsidRPr="00842DE5" w:rsidRDefault="009923C3" w:rsidP="00020D20">
      <w:pPr>
        <w:pStyle w:val="zNumbered"/>
      </w:pPr>
      <w:r w:rsidRPr="00842DE5">
        <w:t>Congestion reduction</w:t>
      </w:r>
    </w:p>
    <w:p w14:paraId="6C59306D" w14:textId="30B2CD86" w:rsidR="009923C3" w:rsidRPr="00842DE5" w:rsidRDefault="009923C3" w:rsidP="00020D20">
      <w:pPr>
        <w:pStyle w:val="zNumbered"/>
      </w:pPr>
      <w:r w:rsidRPr="00842DE5">
        <w:t>System reliability</w:t>
      </w:r>
    </w:p>
    <w:p w14:paraId="34A3A4FB" w14:textId="489108AC" w:rsidR="009923C3" w:rsidRPr="00842DE5" w:rsidRDefault="009923C3" w:rsidP="00020D20">
      <w:pPr>
        <w:pStyle w:val="zNumbered"/>
      </w:pPr>
      <w:r w:rsidRPr="00842DE5">
        <w:t>Freight movement and economic vitality</w:t>
      </w:r>
    </w:p>
    <w:p w14:paraId="04FD13DE" w14:textId="3030394C" w:rsidR="009923C3" w:rsidRPr="00842DE5" w:rsidRDefault="009923C3" w:rsidP="00020D20">
      <w:pPr>
        <w:pStyle w:val="zNumbered"/>
      </w:pPr>
      <w:r w:rsidRPr="00842DE5">
        <w:t>Environmental sustainability</w:t>
      </w:r>
    </w:p>
    <w:p w14:paraId="7BEFE796" w14:textId="40E7B01F" w:rsidR="009923C3" w:rsidRPr="00842DE5" w:rsidRDefault="009923C3" w:rsidP="00020D20">
      <w:pPr>
        <w:pStyle w:val="zNumbered"/>
      </w:pPr>
      <w:r w:rsidRPr="00842DE5">
        <w:t>Reduced project delivery delays</w:t>
      </w:r>
    </w:p>
    <w:p w14:paraId="02DA1AB9" w14:textId="1D283CD0" w:rsidR="009923C3" w:rsidRPr="009923C3" w:rsidRDefault="009923C3" w:rsidP="00020D20">
      <w:pPr>
        <w:jc w:val="both"/>
        <w:rPr>
          <w:b/>
        </w:rPr>
      </w:pPr>
      <w:r w:rsidRPr="009923C3">
        <w:t xml:space="preserve">This action by MPOs </w:t>
      </w:r>
      <w:r w:rsidR="00842DE5">
        <w:t>wa</w:t>
      </w:r>
      <w:r w:rsidRPr="009923C3">
        <w:t>s required within 180 days after the state establishes its own performance measures, which in turn, is required within one year after the secretary of the U.S. Department of Transportation does the same (</w:t>
      </w:r>
      <w:hyperlink r:id="rId468" w:anchor="h_2_C" w:history="1">
        <w:r w:rsidR="008307F4" w:rsidRPr="00020D20">
          <w:rPr>
            <w:rStyle w:val="TitleChar"/>
          </w:rPr>
          <w:t>23 U.S.C. 134(h)(2)(C)</w:t>
        </w:r>
      </w:hyperlink>
      <w:r>
        <w:t xml:space="preserve">). </w:t>
      </w:r>
    </w:p>
    <w:p w14:paraId="2624A67E" w14:textId="4D6867A6" w:rsidR="00E62A4B" w:rsidRDefault="009923C3" w:rsidP="00020D20">
      <w:pPr>
        <w:jc w:val="both"/>
      </w:pPr>
      <w:r w:rsidRPr="009923C3">
        <w:t>Because there is extensive overlap between the previously established planning factors and the new federal transportation goals, establishing performance measures does not necessarily alter recent or ongoing</w:t>
      </w:r>
      <w:r w:rsidR="00AE6294">
        <w:t xml:space="preserve"> </w:t>
      </w:r>
      <w:r w:rsidR="00AE6294" w:rsidRPr="00AE6294">
        <w:t>planning priorities. However, MPOs do need to track how transportation investments in their five-year TIPs address the new national performance measurement goals.</w:t>
      </w:r>
      <w:r w:rsidR="00DF383D">
        <w:t xml:space="preserve"> Performance metric emphasis areas data and trends should be utilized to the extent feasible to inform future TIP development and programming decisions.</w:t>
      </w:r>
    </w:p>
    <w:p w14:paraId="55B09952" w14:textId="2BB1C3B1" w:rsidR="00AE6294" w:rsidRPr="00AE6294" w:rsidRDefault="00B81618" w:rsidP="00020D20">
      <w:pPr>
        <w:pStyle w:val="Heading3"/>
        <w:jc w:val="both"/>
      </w:pPr>
      <w:r>
        <w:br w:type="column"/>
      </w:r>
      <w:bookmarkStart w:id="245" w:name="_Ref50030108"/>
      <w:r w:rsidR="00AE6294" w:rsidRPr="00AE6294">
        <w:t>7.8.1 | Additional Topics to be Covered in the RTP</w:t>
      </w:r>
      <w:bookmarkEnd w:id="245"/>
    </w:p>
    <w:p w14:paraId="72F6B853" w14:textId="597086ED" w:rsidR="00AE6294" w:rsidRPr="00AE6294" w:rsidRDefault="00AE6294" w:rsidP="00020D20">
      <w:pPr>
        <w:jc w:val="both"/>
      </w:pPr>
      <w:r w:rsidRPr="00AE6294">
        <w:t xml:space="preserve">In addition to the </w:t>
      </w:r>
      <w:r w:rsidR="00842DE5">
        <w:t>ten</w:t>
      </w:r>
      <w:r w:rsidR="00842DE5" w:rsidRPr="00AE6294">
        <w:t xml:space="preserve"> </w:t>
      </w:r>
      <w:r w:rsidRPr="00AE6294">
        <w:t>planning factors</w:t>
      </w:r>
      <w:r w:rsidR="00842DE5">
        <w:t xml:space="preserve"> and 3 emphasis areas</w:t>
      </w:r>
      <w:r w:rsidRPr="00AE6294">
        <w:t xml:space="preserve"> and the </w:t>
      </w:r>
      <w:r w:rsidR="00FA72D0">
        <w:t>FAST Act</w:t>
      </w:r>
      <w:r w:rsidRPr="00AE6294">
        <w:t xml:space="preserve"> performance measures discussed above, federal laws and regulations specify other topics required to be addressed in a Regional Transportation Plan. At a minimum, the RTP is required to include the following 1</w:t>
      </w:r>
      <w:r w:rsidR="00022650">
        <w:t>2</w:t>
      </w:r>
      <w:r w:rsidRPr="00AE6294">
        <w:t xml:space="preserve"> elements (</w:t>
      </w:r>
      <w:hyperlink r:id="rId469" w:history="1">
        <w:r w:rsidR="00022650">
          <w:rPr>
            <w:rStyle w:val="TitleChar"/>
          </w:rPr>
          <w:t>23 C.F.R. § 450.324(f)</w:t>
        </w:r>
      </w:hyperlink>
      <w:r w:rsidRPr="00AE6294">
        <w:t>):</w:t>
      </w:r>
    </w:p>
    <w:p w14:paraId="7E0A4AAD" w14:textId="77777777" w:rsidR="00AE6294" w:rsidRPr="00AE6294" w:rsidRDefault="00AE6294" w:rsidP="00020D20">
      <w:pPr>
        <w:pStyle w:val="NumberedList"/>
        <w:numPr>
          <w:ilvl w:val="0"/>
          <w:numId w:val="327"/>
        </w:numPr>
      </w:pPr>
      <w:r w:rsidRPr="00AE6294">
        <w:t>projected 20-year travel demand;</w:t>
      </w:r>
    </w:p>
    <w:p w14:paraId="6BDFB8DE" w14:textId="77777777" w:rsidR="00AE6294" w:rsidRPr="00AE6294" w:rsidRDefault="00AE6294" w:rsidP="00020D20">
      <w:pPr>
        <w:pStyle w:val="NumberedList"/>
        <w:numPr>
          <w:ilvl w:val="0"/>
          <w:numId w:val="327"/>
        </w:numPr>
      </w:pPr>
      <w:r w:rsidRPr="00AE6294">
        <w:t>documented multimodal transportation facilities and systems;</w:t>
      </w:r>
    </w:p>
    <w:p w14:paraId="00C41DC1" w14:textId="4CF51933" w:rsidR="00AE6294" w:rsidRPr="00AE6294" w:rsidRDefault="00AE6294" w:rsidP="00020D20">
      <w:pPr>
        <w:pStyle w:val="NumberedList"/>
        <w:numPr>
          <w:ilvl w:val="0"/>
          <w:numId w:val="327"/>
        </w:numPr>
      </w:pPr>
      <w:r w:rsidRPr="00AE6294">
        <w:t>d</w:t>
      </w:r>
      <w:r w:rsidR="00022650">
        <w:t>escription of performance measures and performance targets of the transportation system</w:t>
      </w:r>
      <w:r w:rsidRPr="00AE6294">
        <w:t>;</w:t>
      </w:r>
    </w:p>
    <w:p w14:paraId="7EB62763" w14:textId="176B45B2" w:rsidR="00AE6294" w:rsidRPr="00AE6294" w:rsidRDefault="00022650" w:rsidP="00020D20">
      <w:pPr>
        <w:pStyle w:val="NumberedList"/>
        <w:numPr>
          <w:ilvl w:val="0"/>
          <w:numId w:val="327"/>
        </w:numPr>
      </w:pPr>
      <w:r>
        <w:t>a report of the system performance and subsequent updates evaluating the condition and performance of the transportation system</w:t>
      </w:r>
      <w:r w:rsidR="00AE6294" w:rsidRPr="00AE6294">
        <w:t>;</w:t>
      </w:r>
    </w:p>
    <w:p w14:paraId="2D11FC99" w14:textId="095D6F6C" w:rsidR="00AE6294" w:rsidRPr="00AE6294" w:rsidRDefault="00022650" w:rsidP="00020D20">
      <w:pPr>
        <w:pStyle w:val="NumberedList"/>
        <w:numPr>
          <w:ilvl w:val="0"/>
          <w:numId w:val="327"/>
        </w:numPr>
      </w:pPr>
      <w:r>
        <w:t>d</w:t>
      </w:r>
      <w:r w:rsidR="00AE6294" w:rsidRPr="00AE6294">
        <w:t>ocumented</w:t>
      </w:r>
      <w:r>
        <w:t xml:space="preserve"> operational and management</w:t>
      </w:r>
      <w:r w:rsidR="00AE6294" w:rsidRPr="00AE6294">
        <w:t xml:space="preserve"> strategies for system preservation</w:t>
      </w:r>
    </w:p>
    <w:p w14:paraId="261453B9" w14:textId="608826B9" w:rsidR="00AE6294" w:rsidRPr="00AE6294" w:rsidRDefault="00022650" w:rsidP="00020D20">
      <w:pPr>
        <w:pStyle w:val="NumberedList"/>
        <w:numPr>
          <w:ilvl w:val="0"/>
          <w:numId w:val="327"/>
        </w:numPr>
      </w:pPr>
      <w:r>
        <w:t>Consideration of the results of the congestion management process in TMAs</w:t>
      </w:r>
      <w:r w:rsidR="00AE6294" w:rsidRPr="00AE6294">
        <w:t>;</w:t>
      </w:r>
    </w:p>
    <w:p w14:paraId="74DCA763" w14:textId="2A355CA4" w:rsidR="00AE6294" w:rsidRPr="00AE6294" w:rsidRDefault="00022650" w:rsidP="00020D20">
      <w:pPr>
        <w:pStyle w:val="NumberedList"/>
        <w:numPr>
          <w:ilvl w:val="0"/>
          <w:numId w:val="327"/>
        </w:numPr>
      </w:pPr>
      <w:r>
        <w:t xml:space="preserve">assessment of capital investment and other </w:t>
      </w:r>
      <w:r w:rsidR="00AE6294" w:rsidRPr="00AE6294">
        <w:t>strategies</w:t>
      </w:r>
      <w:r>
        <w:t xml:space="preserve"> to preserve the existing and projected future metropolitan transportation infrastructure, </w:t>
      </w:r>
      <w:r w:rsidRPr="00022650">
        <w:t>provide for multimodal capacity increases based on regional priorities and needs, and reduce the vulnerability of the existing transportation infrastructure to natural disasters</w:t>
      </w:r>
      <w:r>
        <w:t>;</w:t>
      </w:r>
    </w:p>
    <w:p w14:paraId="500E703C" w14:textId="0C1C0822" w:rsidR="00AE6294" w:rsidRPr="00AE6294" w:rsidRDefault="00022650" w:rsidP="00020D20">
      <w:pPr>
        <w:pStyle w:val="NumberedList"/>
        <w:numPr>
          <w:ilvl w:val="0"/>
          <w:numId w:val="327"/>
        </w:numPr>
      </w:pPr>
      <w:r>
        <w:t>transportation and transit enhancements;</w:t>
      </w:r>
    </w:p>
    <w:p w14:paraId="54F47D98" w14:textId="4A1EDF76" w:rsidR="00AE6294" w:rsidRPr="00AE6294" w:rsidRDefault="00AE6294" w:rsidP="00020D20">
      <w:pPr>
        <w:pStyle w:val="NumberedList"/>
        <w:numPr>
          <w:ilvl w:val="0"/>
          <w:numId w:val="327"/>
        </w:numPr>
      </w:pPr>
      <w:r w:rsidRPr="00AE6294">
        <w:t>d</w:t>
      </w:r>
      <w:r w:rsidR="00022650">
        <w:t xml:space="preserve">esign concept and design scope </w:t>
      </w:r>
      <w:r w:rsidR="00022650" w:rsidRPr="00022650">
        <w:t>descriptions of all existing and proposed transportation facilities in sufficient detail, regardless of funding source, in nonattainment and maintenance areas for conformity determinations</w:t>
      </w:r>
      <w:r w:rsidRPr="00AE6294">
        <w:t>)</w:t>
      </w:r>
      <w:r w:rsidR="00022650">
        <w:t>;</w:t>
      </w:r>
    </w:p>
    <w:p w14:paraId="3AA55AAB" w14:textId="0DCC6324" w:rsidR="00F23E46" w:rsidRDefault="00AE6294" w:rsidP="00020D20">
      <w:pPr>
        <w:pStyle w:val="NumberedList"/>
        <w:numPr>
          <w:ilvl w:val="0"/>
          <w:numId w:val="327"/>
        </w:numPr>
      </w:pPr>
      <w:r w:rsidRPr="00AE6294">
        <w:t xml:space="preserve">a </w:t>
      </w:r>
      <w:r w:rsidR="00F23E46" w:rsidRPr="00F23E46">
        <w:t>discussion of types of potential environmental mitigation activities and potential areas to carry out these activities</w:t>
      </w:r>
      <w:r w:rsidR="00F23E46">
        <w:t>;</w:t>
      </w:r>
    </w:p>
    <w:p w14:paraId="42831B37" w14:textId="1D6F8B42" w:rsidR="00AE6294" w:rsidRDefault="00F23E46" w:rsidP="00020D20">
      <w:pPr>
        <w:pStyle w:val="NumberedList"/>
        <w:numPr>
          <w:ilvl w:val="0"/>
          <w:numId w:val="327"/>
        </w:numPr>
      </w:pPr>
      <w:r>
        <w:t>a</w:t>
      </w:r>
      <w:r w:rsidRPr="00F23E46">
        <w:t xml:space="preserve"> financial plan that demonstrates how the adopted transportation plan can be implemented</w:t>
      </w:r>
      <w:r>
        <w:t>;</w:t>
      </w:r>
    </w:p>
    <w:p w14:paraId="17B69803" w14:textId="1D941B64" w:rsidR="00F23E46" w:rsidRPr="00AE6294" w:rsidRDefault="00F23E46" w:rsidP="00020D20">
      <w:pPr>
        <w:pStyle w:val="NumberedList"/>
        <w:numPr>
          <w:ilvl w:val="0"/>
          <w:numId w:val="327"/>
        </w:numPr>
      </w:pPr>
      <w:r w:rsidRPr="00F23E46">
        <w:t xml:space="preserve">Pedestrian walkway and bicycle transportation facilities in accordance with </w:t>
      </w:r>
      <w:hyperlink r:id="rId470" w:history="1">
        <w:r w:rsidRPr="00020D20">
          <w:rPr>
            <w:rStyle w:val="TitleChar"/>
          </w:rPr>
          <w:t>23 U.S.C. 217(g)</w:t>
        </w:r>
      </w:hyperlink>
      <w:r w:rsidRPr="00020D20">
        <w:t>.</w:t>
      </w:r>
    </w:p>
    <w:p w14:paraId="22587239" w14:textId="1CE57CEC" w:rsidR="00AE6294" w:rsidRDefault="00D8227B" w:rsidP="00020D20">
      <w:r w:rsidRPr="00957CC4">
        <w:rPr>
          <w:noProof/>
        </w:rPr>
        <mc:AlternateContent>
          <mc:Choice Requires="wpg">
            <w:drawing>
              <wp:anchor distT="0" distB="0" distL="114300" distR="114300" simplePos="0" relativeHeight="251618636" behindDoc="0" locked="0" layoutInCell="1" allowOverlap="1" wp14:anchorId="240C62BC" wp14:editId="01A2A73C">
                <wp:simplePos x="0" y="0"/>
                <wp:positionH relativeFrom="column">
                  <wp:posOffset>9525</wp:posOffset>
                </wp:positionH>
                <wp:positionV relativeFrom="paragraph">
                  <wp:posOffset>1037590</wp:posOffset>
                </wp:positionV>
                <wp:extent cx="2631440" cy="4257040"/>
                <wp:effectExtent l="95250" t="0" r="92710" b="105410"/>
                <wp:wrapSquare wrapText="bothSides"/>
                <wp:docPr id="1690912770" name="Group 1690912770"/>
                <wp:cNvGraphicFramePr/>
                <a:graphic xmlns:a="http://schemas.openxmlformats.org/drawingml/2006/main">
                  <a:graphicData uri="http://schemas.microsoft.com/office/word/2010/wordprocessingGroup">
                    <wpg:wgp>
                      <wpg:cNvGrpSpPr/>
                      <wpg:grpSpPr>
                        <a:xfrm>
                          <a:off x="0" y="0"/>
                          <a:ext cx="2631440" cy="4257040"/>
                          <a:chOff x="0" y="-1"/>
                          <a:chExt cx="2631440" cy="4001850"/>
                        </a:xfrm>
                      </wpg:grpSpPr>
                      <wps:wsp>
                        <wps:cNvPr id="1690912792" name="Text Box 1690912792"/>
                        <wps:cNvSpPr txBox="1"/>
                        <wps:spPr>
                          <a:xfrm>
                            <a:off x="0" y="114301"/>
                            <a:ext cx="2628900" cy="3887548"/>
                          </a:xfrm>
                          <a:prstGeom prst="rect">
                            <a:avLst/>
                          </a:prstGeom>
                          <a:solidFill>
                            <a:srgbClr val="F7F7F7"/>
                          </a:solidFill>
                          <a:ln w="6350">
                            <a:noFill/>
                          </a:ln>
                          <a:effectLst>
                            <a:outerShdw blurRad="63500" sx="102000" sy="102000" algn="ctr" rotWithShape="0">
                              <a:srgbClr val="012768">
                                <a:alpha val="40000"/>
                              </a:srgbClr>
                            </a:outerShdw>
                          </a:effectLst>
                        </wps:spPr>
                        <wps:txbx>
                          <w:txbxContent>
                            <w:p w14:paraId="2C53A101" w14:textId="77777777" w:rsidR="00C6444C" w:rsidRDefault="00C6444C" w:rsidP="00020D2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
                                <w:gridCol w:w="3332"/>
                              </w:tblGrid>
                              <w:tr w:rsidR="00C6444C" w14:paraId="4F61DB52" w14:textId="77777777" w:rsidTr="00020D20">
                                <w:tc>
                                  <w:tcPr>
                                    <w:tcW w:w="535" w:type="dxa"/>
                                  </w:tcPr>
                                  <w:p w14:paraId="057C9AC7" w14:textId="77777777" w:rsidR="00C6444C" w:rsidRDefault="00C6444C" w:rsidP="00020D20">
                                    <w:pPr>
                                      <w:pStyle w:val="Calloutboxes"/>
                                    </w:pPr>
                                    <w:r>
                                      <w:t>1|</w:t>
                                    </w:r>
                                  </w:p>
                                </w:tc>
                                <w:tc>
                                  <w:tcPr>
                                    <w:tcW w:w="3612" w:type="dxa"/>
                                  </w:tcPr>
                                  <w:p w14:paraId="184A68A3" w14:textId="77777777" w:rsidR="00C6444C" w:rsidRDefault="00C6444C" w:rsidP="004D26AE">
                                    <w:pPr>
                                      <w:pStyle w:val="Calloutboxes"/>
                                      <w:jc w:val="left"/>
                                    </w:pPr>
                                    <w:r>
                                      <w:t>The Plan Considers:</w:t>
                                    </w:r>
                                  </w:p>
                                  <w:p w14:paraId="799CEC5C" w14:textId="77777777" w:rsidR="00C6444C" w:rsidRDefault="00C6444C" w:rsidP="00020D20">
                                    <w:pPr>
                                      <w:pStyle w:val="Calloutboxes"/>
                                      <w:numPr>
                                        <w:ilvl w:val="0"/>
                                        <w:numId w:val="255"/>
                                      </w:numPr>
                                      <w:ind w:left="285" w:hanging="285"/>
                                      <w:jc w:val="left"/>
                                    </w:pPr>
                                    <w:r>
                                      <w:t>Economic Vitality;</w:t>
                                    </w:r>
                                  </w:p>
                                  <w:p w14:paraId="142479A3" w14:textId="77777777" w:rsidR="00C6444C" w:rsidRDefault="00C6444C" w:rsidP="00020D20">
                                    <w:pPr>
                                      <w:pStyle w:val="Calloutboxes"/>
                                      <w:numPr>
                                        <w:ilvl w:val="0"/>
                                        <w:numId w:val="255"/>
                                      </w:numPr>
                                      <w:ind w:left="285" w:hanging="285"/>
                                      <w:jc w:val="left"/>
                                    </w:pPr>
                                    <w:r>
                                      <w:t>Improves Safety;</w:t>
                                    </w:r>
                                  </w:p>
                                  <w:p w14:paraId="565B3190" w14:textId="77777777" w:rsidR="00C6444C" w:rsidRDefault="00C6444C" w:rsidP="00020D20">
                                    <w:pPr>
                                      <w:pStyle w:val="Calloutboxes"/>
                                      <w:numPr>
                                        <w:ilvl w:val="0"/>
                                        <w:numId w:val="255"/>
                                      </w:numPr>
                                      <w:ind w:left="285" w:hanging="285"/>
                                      <w:jc w:val="left"/>
                                    </w:pPr>
                                    <w:r>
                                      <w:t>Improves Transportation Systems Security;</w:t>
                                    </w:r>
                                  </w:p>
                                  <w:p w14:paraId="038948DE" w14:textId="77777777" w:rsidR="00C6444C" w:rsidRDefault="00C6444C" w:rsidP="00020D20">
                                    <w:pPr>
                                      <w:pStyle w:val="Calloutboxes"/>
                                      <w:numPr>
                                        <w:ilvl w:val="0"/>
                                        <w:numId w:val="255"/>
                                      </w:numPr>
                                      <w:ind w:left="285" w:hanging="285"/>
                                      <w:jc w:val="left"/>
                                    </w:pPr>
                                    <w:r>
                                      <w:t>Improves Person Mobility’</w:t>
                                    </w:r>
                                  </w:p>
                                  <w:p w14:paraId="44BD212C" w14:textId="77777777" w:rsidR="00C6444C" w:rsidRDefault="00C6444C" w:rsidP="00020D20">
                                    <w:pPr>
                                      <w:pStyle w:val="Calloutboxes"/>
                                      <w:numPr>
                                        <w:ilvl w:val="0"/>
                                        <w:numId w:val="255"/>
                                      </w:numPr>
                                      <w:ind w:left="285" w:hanging="285"/>
                                      <w:jc w:val="left"/>
                                    </w:pPr>
                                    <w:r>
                                      <w:t>Improves Flight Mobility;</w:t>
                                    </w:r>
                                  </w:p>
                                  <w:p w14:paraId="26AE7B7D" w14:textId="77777777" w:rsidR="00C6444C" w:rsidRDefault="00C6444C" w:rsidP="00020D20">
                                    <w:pPr>
                                      <w:pStyle w:val="Calloutboxes"/>
                                      <w:numPr>
                                        <w:ilvl w:val="0"/>
                                        <w:numId w:val="255"/>
                                      </w:numPr>
                                      <w:ind w:left="285" w:hanging="285"/>
                                      <w:jc w:val="left"/>
                                    </w:pPr>
                                    <w:r>
                                      <w:t>Protects/Enhances the Environment;</w:t>
                                    </w:r>
                                  </w:p>
                                  <w:p w14:paraId="0EC43079" w14:textId="77777777" w:rsidR="00C6444C" w:rsidRDefault="00C6444C" w:rsidP="00020D20">
                                    <w:pPr>
                                      <w:pStyle w:val="Calloutboxes"/>
                                      <w:numPr>
                                        <w:ilvl w:val="0"/>
                                        <w:numId w:val="255"/>
                                      </w:numPr>
                                      <w:ind w:left="285" w:hanging="285"/>
                                      <w:jc w:val="left"/>
                                    </w:pPr>
                                    <w:r>
                                      <w:t>Enhances Connectivity between Modes;</w:t>
                                    </w:r>
                                  </w:p>
                                  <w:p w14:paraId="17843F11" w14:textId="77777777" w:rsidR="00C6444C" w:rsidRDefault="00C6444C" w:rsidP="00020D20">
                                    <w:pPr>
                                      <w:pStyle w:val="Calloutboxes"/>
                                      <w:numPr>
                                        <w:ilvl w:val="0"/>
                                        <w:numId w:val="255"/>
                                      </w:numPr>
                                      <w:ind w:left="285" w:hanging="285"/>
                                      <w:jc w:val="left"/>
                                    </w:pPr>
                                    <w:r>
                                      <w:t>Promotes System Management and Operational Efficiencies; and</w:t>
                                    </w:r>
                                  </w:p>
                                  <w:p w14:paraId="47742FFD" w14:textId="77777777" w:rsidR="00C6444C" w:rsidRDefault="00C6444C" w:rsidP="00020D20">
                                    <w:pPr>
                                      <w:pStyle w:val="Calloutboxes"/>
                                      <w:numPr>
                                        <w:ilvl w:val="0"/>
                                        <w:numId w:val="255"/>
                                      </w:numPr>
                                      <w:ind w:left="285" w:hanging="285"/>
                                      <w:jc w:val="left"/>
                                    </w:pPr>
                                    <w:r>
                                      <w:t>Emphasizes System Preservation.</w:t>
                                    </w:r>
                                  </w:p>
                                </w:tc>
                              </w:tr>
                              <w:tr w:rsidR="00C6444C" w14:paraId="7E3A3E3D" w14:textId="77777777" w:rsidTr="00020D20">
                                <w:tc>
                                  <w:tcPr>
                                    <w:tcW w:w="535" w:type="dxa"/>
                                  </w:tcPr>
                                  <w:p w14:paraId="7827AD88" w14:textId="77777777" w:rsidR="00C6444C" w:rsidRDefault="00C6444C" w:rsidP="00020D20">
                                    <w:pPr>
                                      <w:pStyle w:val="Calloutboxes"/>
                                    </w:pPr>
                                    <w:r>
                                      <w:t>2|</w:t>
                                    </w:r>
                                  </w:p>
                                </w:tc>
                                <w:tc>
                                  <w:tcPr>
                                    <w:tcW w:w="3612" w:type="dxa"/>
                                  </w:tcPr>
                                  <w:p w14:paraId="253924F5" w14:textId="77777777" w:rsidR="00C6444C" w:rsidRDefault="00C6444C" w:rsidP="004D26AE">
                                    <w:pPr>
                                      <w:pStyle w:val="Calloutboxes"/>
                                      <w:jc w:val="left"/>
                                    </w:pPr>
                                    <w:r>
                                      <w:t>The Plan Accounts for:</w:t>
                                    </w:r>
                                  </w:p>
                                  <w:p w14:paraId="1C4B89DF" w14:textId="77777777" w:rsidR="00C6444C" w:rsidRDefault="00C6444C" w:rsidP="00961614">
                                    <w:pPr>
                                      <w:pStyle w:val="Calloutboxes"/>
                                      <w:numPr>
                                        <w:ilvl w:val="0"/>
                                        <w:numId w:val="255"/>
                                      </w:numPr>
                                      <w:ind w:left="285" w:hanging="285"/>
                                      <w:jc w:val="left"/>
                                    </w:pPr>
                                    <w:r>
                                      <w:t>Completed State Mobility Plans;</w:t>
                                    </w:r>
                                  </w:p>
                                  <w:p w14:paraId="18F4F2B3" w14:textId="77777777" w:rsidR="00C6444C" w:rsidRDefault="00C6444C" w:rsidP="00020D20">
                                    <w:pPr>
                                      <w:pStyle w:val="Calloutboxes"/>
                                      <w:numPr>
                                        <w:ilvl w:val="0"/>
                                        <w:numId w:val="331"/>
                                      </w:numPr>
                                      <w:ind w:left="645" w:hanging="285"/>
                                      <w:jc w:val="left"/>
                                    </w:pPr>
                                    <w:r>
                                      <w:t>BqAZ</w:t>
                                    </w:r>
                                  </w:p>
                                  <w:p w14:paraId="080F89D5" w14:textId="77777777" w:rsidR="00C6444C" w:rsidRDefault="00C6444C" w:rsidP="00020D20">
                                    <w:pPr>
                                      <w:pStyle w:val="Calloutboxes"/>
                                      <w:numPr>
                                        <w:ilvl w:val="0"/>
                                        <w:numId w:val="331"/>
                                      </w:numPr>
                                      <w:ind w:left="645" w:hanging="285"/>
                                      <w:jc w:val="left"/>
                                    </w:pPr>
                                    <w:r>
                                      <w:t>What Moves You Arizona</w:t>
                                    </w:r>
                                  </w:p>
                                  <w:p w14:paraId="57276AD2" w14:textId="77777777" w:rsidR="00C6444C" w:rsidRDefault="00C6444C" w:rsidP="00020D20">
                                    <w:pPr>
                                      <w:pStyle w:val="Calloutboxes"/>
                                      <w:numPr>
                                        <w:ilvl w:val="0"/>
                                        <w:numId w:val="331"/>
                                      </w:numPr>
                                      <w:ind w:left="645" w:hanging="285"/>
                                      <w:jc w:val="left"/>
                                    </w:pPr>
                                    <w:r>
                                      <w:t>Arizona State Rail Plan</w:t>
                                    </w:r>
                                  </w:p>
                                  <w:p w14:paraId="1E39EE35" w14:textId="77777777" w:rsidR="00C6444C" w:rsidRDefault="00C6444C" w:rsidP="00020D20">
                                    <w:pPr>
                                      <w:pStyle w:val="Calloutboxes"/>
                                      <w:numPr>
                                        <w:ilvl w:val="0"/>
                                        <w:numId w:val="331"/>
                                      </w:numPr>
                                      <w:ind w:left="645" w:hanging="285"/>
                                      <w:jc w:val="left"/>
                                    </w:pPr>
                                    <w:r>
                                      <w:t>Arizona State Airport System Plan</w:t>
                                    </w:r>
                                  </w:p>
                                  <w:p w14:paraId="2F741AA8" w14:textId="77777777" w:rsidR="00C6444C" w:rsidRDefault="00C6444C" w:rsidP="00961614">
                                    <w:pPr>
                                      <w:pStyle w:val="Calloutboxes"/>
                                      <w:numPr>
                                        <w:ilvl w:val="0"/>
                                        <w:numId w:val="255"/>
                                      </w:numPr>
                                      <w:ind w:left="285" w:hanging="285"/>
                                      <w:jc w:val="left"/>
                                    </w:pPr>
                                    <w:r>
                                      <w:t>Local Agency Plans;</w:t>
                                    </w:r>
                                  </w:p>
                                  <w:p w14:paraId="142F69BD" w14:textId="77777777" w:rsidR="00C6444C" w:rsidRDefault="00C6444C" w:rsidP="00020D20">
                                    <w:pPr>
                                      <w:pStyle w:val="Calloutboxes"/>
                                      <w:numPr>
                                        <w:ilvl w:val="0"/>
                                        <w:numId w:val="332"/>
                                      </w:numPr>
                                      <w:ind w:left="645" w:hanging="285"/>
                                      <w:jc w:val="left"/>
                                    </w:pPr>
                                    <w:r>
                                      <w:t>County Plans/General Plan</w:t>
                                    </w:r>
                                  </w:p>
                                  <w:p w14:paraId="79F82ECE" w14:textId="77777777" w:rsidR="00C6444C" w:rsidRDefault="00C6444C" w:rsidP="00020D20">
                                    <w:pPr>
                                      <w:pStyle w:val="Calloutboxes"/>
                                      <w:numPr>
                                        <w:ilvl w:val="0"/>
                                        <w:numId w:val="332"/>
                                      </w:numPr>
                                      <w:ind w:left="645" w:hanging="285"/>
                                      <w:jc w:val="left"/>
                                    </w:pPr>
                                    <w:r>
                                      <w:t>Municipal Plans/General Plans</w:t>
                                    </w:r>
                                  </w:p>
                                  <w:p w14:paraId="4128890D" w14:textId="77777777" w:rsidR="00C6444C" w:rsidRDefault="00C6444C" w:rsidP="00961614">
                                    <w:pPr>
                                      <w:pStyle w:val="Calloutboxes"/>
                                      <w:numPr>
                                        <w:ilvl w:val="0"/>
                                        <w:numId w:val="255"/>
                                      </w:numPr>
                                      <w:ind w:left="285" w:hanging="285"/>
                                      <w:jc w:val="left"/>
                                    </w:pPr>
                                    <w:r>
                                      <w:t>Tribal Plans; and</w:t>
                                    </w:r>
                                  </w:p>
                                  <w:p w14:paraId="4B1E8712" w14:textId="77777777" w:rsidR="00C6444C" w:rsidRDefault="00C6444C" w:rsidP="00961614">
                                    <w:pPr>
                                      <w:pStyle w:val="Calloutboxes"/>
                                      <w:numPr>
                                        <w:ilvl w:val="0"/>
                                        <w:numId w:val="255"/>
                                      </w:numPr>
                                      <w:ind w:left="285" w:hanging="285"/>
                                      <w:jc w:val="left"/>
                                    </w:pPr>
                                    <w:r>
                                      <w:t>State Land Department Plans.</w:t>
                                    </w:r>
                                  </w:p>
                                  <w:p w14:paraId="6D30A516" w14:textId="77777777" w:rsidR="00C6444C" w:rsidRDefault="00C6444C" w:rsidP="004D26AE">
                                    <w:pPr>
                                      <w:pStyle w:val="Calloutboxes"/>
                                      <w:jc w:val="left"/>
                                    </w:pPr>
                                  </w:p>
                                </w:tc>
                              </w:tr>
                              <w:tr w:rsidR="00C6444C" w14:paraId="31CB2A2E" w14:textId="77777777" w:rsidTr="00020D20">
                                <w:tc>
                                  <w:tcPr>
                                    <w:tcW w:w="535" w:type="dxa"/>
                                  </w:tcPr>
                                  <w:p w14:paraId="1B72B71A" w14:textId="77777777" w:rsidR="00C6444C" w:rsidRDefault="00C6444C" w:rsidP="00020D20">
                                    <w:pPr>
                                      <w:pStyle w:val="Calloutboxes"/>
                                    </w:pPr>
                                    <w:r>
                                      <w:t>3|</w:t>
                                    </w:r>
                                  </w:p>
                                </w:tc>
                                <w:tc>
                                  <w:tcPr>
                                    <w:tcW w:w="3612" w:type="dxa"/>
                                  </w:tcPr>
                                  <w:p w14:paraId="1AE72D8D" w14:textId="77777777" w:rsidR="00C6444C" w:rsidRDefault="00C6444C" w:rsidP="004D26AE">
                                    <w:pPr>
                                      <w:pStyle w:val="Calloutboxes"/>
                                      <w:jc w:val="left"/>
                                    </w:pPr>
                                    <w:r>
                                      <w:t>The Plan’s socioeconomic growth control totals match the Arizona Department of Administration Office of Employment and Population Statistics</w:t>
                                    </w:r>
                                  </w:p>
                                </w:tc>
                              </w:tr>
                              <w:tr w:rsidR="00C6444C" w14:paraId="7E5F3E90" w14:textId="77777777" w:rsidTr="00020D20">
                                <w:tc>
                                  <w:tcPr>
                                    <w:tcW w:w="535" w:type="dxa"/>
                                  </w:tcPr>
                                  <w:p w14:paraId="5A1DE3C7" w14:textId="77777777" w:rsidR="00C6444C" w:rsidRDefault="00C6444C" w:rsidP="00020D20">
                                    <w:pPr>
                                      <w:pStyle w:val="Calloutboxes"/>
                                    </w:pPr>
                                    <w:r>
                                      <w:t>4|</w:t>
                                    </w:r>
                                  </w:p>
                                </w:tc>
                                <w:tc>
                                  <w:tcPr>
                                    <w:tcW w:w="3612" w:type="dxa"/>
                                  </w:tcPr>
                                  <w:p w14:paraId="47B8248E" w14:textId="77777777" w:rsidR="00C6444C" w:rsidRDefault="00C6444C" w:rsidP="004D26AE">
                                    <w:pPr>
                                      <w:pStyle w:val="Calloutboxes"/>
                                      <w:jc w:val="left"/>
                                    </w:pPr>
                                    <w:r>
                                      <w:t>The Plan was adopted following the procedures outlined in the Public Involvement Plan.</w:t>
                                    </w:r>
                                  </w:p>
                                </w:tc>
                              </w:tr>
                            </w:tbl>
                            <w:p w14:paraId="26F0187E"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2793" name="Group 1690912793"/>
                        <wpg:cNvGrpSpPr/>
                        <wpg:grpSpPr>
                          <a:xfrm>
                            <a:off x="0" y="-1"/>
                            <a:ext cx="2631440" cy="342901"/>
                            <a:chOff x="11875" y="-182203"/>
                            <a:chExt cx="2772410" cy="781907"/>
                          </a:xfrm>
                        </wpg:grpSpPr>
                        <wps:wsp>
                          <wps:cNvPr id="1690912803" name="Rectangle 1690912803"/>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1425" name="Text Box 1690911425"/>
                          <wps:cNvSpPr txBox="1"/>
                          <wps:spPr>
                            <a:xfrm>
                              <a:off x="11875" y="-182203"/>
                              <a:ext cx="2583837" cy="781905"/>
                            </a:xfrm>
                            <a:prstGeom prst="rect">
                              <a:avLst/>
                            </a:prstGeom>
                            <a:noFill/>
                            <a:ln w="6350">
                              <a:noFill/>
                            </a:ln>
                            <a:effectLst/>
                          </wps:spPr>
                          <wps:txbx>
                            <w:txbxContent>
                              <w:p w14:paraId="66FBA777" w14:textId="77777777" w:rsidR="00C6444C" w:rsidRPr="00020D20" w:rsidRDefault="00C6444C" w:rsidP="00020D20">
                                <w:pPr>
                                  <w:jc w:val="center"/>
                                  <w:rPr>
                                    <w:color w:val="FFFFFF" w:themeColor="background1"/>
                                  </w:rPr>
                                </w:pPr>
                                <w:r>
                                  <w:rPr>
                                    <w:color w:val="FFFFFF" w:themeColor="background1"/>
                                  </w:rPr>
                                  <w:t>RTP CHECKLIST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0C62BC" id="Group 1690912770" o:spid="_x0000_s1148" style="position:absolute;margin-left:.75pt;margin-top:81.7pt;width:207.2pt;height:335.2pt;z-index:251618636;mso-width-relative:margin;mso-height-relative:margin" coordorigin="" coordsize="26314,40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">
                <v:shape id="Text Box 1690912792" o:spid="_x0000_s1149" type="#_x0000_t202" style="position:absolute;top:1143;width:26289;height:38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" fillcolor="#f7f7f7" stroked="f" strokeweight=".5pt">
                  <v:shadow on="t" type="perspective" color="#012768" opacity="26214f" offset="0,0" matrix="66847f,,,66847f"/>
                  <v:textbox>
                    <w:txbxContent>
                      <w:p w14:paraId="2C53A101" w14:textId="77777777" w:rsidR="00C6444C" w:rsidRDefault="00C6444C" w:rsidP="00020D2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
                          <w:gridCol w:w="3332"/>
                        </w:tblGrid>
                        <w:tr w:rsidR="00C6444C" w14:paraId="4F61DB52" w14:textId="77777777" w:rsidTr="00020D20">
                          <w:tc>
                            <w:tcPr>
                              <w:tcW w:w="535" w:type="dxa"/>
                            </w:tcPr>
                            <w:p w14:paraId="057C9AC7" w14:textId="77777777" w:rsidR="00C6444C" w:rsidRDefault="00C6444C" w:rsidP="00020D20">
                              <w:pPr>
                                <w:pStyle w:val="Calloutboxes"/>
                              </w:pPr>
                              <w:r>
                                <w:t>1|</w:t>
                              </w:r>
                            </w:p>
                          </w:tc>
                          <w:tc>
                            <w:tcPr>
                              <w:tcW w:w="3612" w:type="dxa"/>
                            </w:tcPr>
                            <w:p w14:paraId="184A68A3" w14:textId="77777777" w:rsidR="00C6444C" w:rsidRDefault="00C6444C" w:rsidP="004D26AE">
                              <w:pPr>
                                <w:pStyle w:val="Calloutboxes"/>
                                <w:jc w:val="left"/>
                              </w:pPr>
                              <w:r>
                                <w:t>The Plan Considers:</w:t>
                              </w:r>
                            </w:p>
                            <w:p w14:paraId="799CEC5C" w14:textId="77777777" w:rsidR="00C6444C" w:rsidRDefault="00C6444C" w:rsidP="00020D20">
                              <w:pPr>
                                <w:pStyle w:val="Calloutboxes"/>
                                <w:numPr>
                                  <w:ilvl w:val="0"/>
                                  <w:numId w:val="255"/>
                                </w:numPr>
                                <w:ind w:left="285" w:hanging="285"/>
                                <w:jc w:val="left"/>
                              </w:pPr>
                              <w:r>
                                <w:t>Economic Vitality;</w:t>
                              </w:r>
                            </w:p>
                            <w:p w14:paraId="142479A3" w14:textId="77777777" w:rsidR="00C6444C" w:rsidRDefault="00C6444C" w:rsidP="00020D20">
                              <w:pPr>
                                <w:pStyle w:val="Calloutboxes"/>
                                <w:numPr>
                                  <w:ilvl w:val="0"/>
                                  <w:numId w:val="255"/>
                                </w:numPr>
                                <w:ind w:left="285" w:hanging="285"/>
                                <w:jc w:val="left"/>
                              </w:pPr>
                              <w:r>
                                <w:t>Improves Safety;</w:t>
                              </w:r>
                            </w:p>
                            <w:p w14:paraId="565B3190" w14:textId="77777777" w:rsidR="00C6444C" w:rsidRDefault="00C6444C" w:rsidP="00020D20">
                              <w:pPr>
                                <w:pStyle w:val="Calloutboxes"/>
                                <w:numPr>
                                  <w:ilvl w:val="0"/>
                                  <w:numId w:val="255"/>
                                </w:numPr>
                                <w:ind w:left="285" w:hanging="285"/>
                                <w:jc w:val="left"/>
                              </w:pPr>
                              <w:r>
                                <w:t>Improves Transportation Systems Security;</w:t>
                              </w:r>
                            </w:p>
                            <w:p w14:paraId="038948DE" w14:textId="77777777" w:rsidR="00C6444C" w:rsidRDefault="00C6444C" w:rsidP="00020D20">
                              <w:pPr>
                                <w:pStyle w:val="Calloutboxes"/>
                                <w:numPr>
                                  <w:ilvl w:val="0"/>
                                  <w:numId w:val="255"/>
                                </w:numPr>
                                <w:ind w:left="285" w:hanging="285"/>
                                <w:jc w:val="left"/>
                              </w:pPr>
                              <w:r>
                                <w:t>Improves Person Mobility’</w:t>
                              </w:r>
                            </w:p>
                            <w:p w14:paraId="44BD212C" w14:textId="77777777" w:rsidR="00C6444C" w:rsidRDefault="00C6444C" w:rsidP="00020D20">
                              <w:pPr>
                                <w:pStyle w:val="Calloutboxes"/>
                                <w:numPr>
                                  <w:ilvl w:val="0"/>
                                  <w:numId w:val="255"/>
                                </w:numPr>
                                <w:ind w:left="285" w:hanging="285"/>
                                <w:jc w:val="left"/>
                              </w:pPr>
                              <w:r>
                                <w:t>Improves Flight Mobility;</w:t>
                              </w:r>
                            </w:p>
                            <w:p w14:paraId="26AE7B7D" w14:textId="77777777" w:rsidR="00C6444C" w:rsidRDefault="00C6444C" w:rsidP="00020D20">
                              <w:pPr>
                                <w:pStyle w:val="Calloutboxes"/>
                                <w:numPr>
                                  <w:ilvl w:val="0"/>
                                  <w:numId w:val="255"/>
                                </w:numPr>
                                <w:ind w:left="285" w:hanging="285"/>
                                <w:jc w:val="left"/>
                              </w:pPr>
                              <w:r>
                                <w:t>Protects/Enhances the Environment;</w:t>
                              </w:r>
                            </w:p>
                            <w:p w14:paraId="0EC43079" w14:textId="77777777" w:rsidR="00C6444C" w:rsidRDefault="00C6444C" w:rsidP="00020D20">
                              <w:pPr>
                                <w:pStyle w:val="Calloutboxes"/>
                                <w:numPr>
                                  <w:ilvl w:val="0"/>
                                  <w:numId w:val="255"/>
                                </w:numPr>
                                <w:ind w:left="285" w:hanging="285"/>
                                <w:jc w:val="left"/>
                              </w:pPr>
                              <w:r>
                                <w:t>Enhances Connectivity between Modes;</w:t>
                              </w:r>
                            </w:p>
                            <w:p w14:paraId="17843F11" w14:textId="77777777" w:rsidR="00C6444C" w:rsidRDefault="00C6444C" w:rsidP="00020D20">
                              <w:pPr>
                                <w:pStyle w:val="Calloutboxes"/>
                                <w:numPr>
                                  <w:ilvl w:val="0"/>
                                  <w:numId w:val="255"/>
                                </w:numPr>
                                <w:ind w:left="285" w:hanging="285"/>
                                <w:jc w:val="left"/>
                              </w:pPr>
                              <w:r>
                                <w:t>Promotes System Management and Operational Efficiencies; and</w:t>
                              </w:r>
                            </w:p>
                            <w:p w14:paraId="47742FFD" w14:textId="77777777" w:rsidR="00C6444C" w:rsidRDefault="00C6444C" w:rsidP="00020D20">
                              <w:pPr>
                                <w:pStyle w:val="Calloutboxes"/>
                                <w:numPr>
                                  <w:ilvl w:val="0"/>
                                  <w:numId w:val="255"/>
                                </w:numPr>
                                <w:ind w:left="285" w:hanging="285"/>
                                <w:jc w:val="left"/>
                              </w:pPr>
                              <w:r>
                                <w:t>Emphasizes System Preservation.</w:t>
                              </w:r>
                            </w:p>
                          </w:tc>
                        </w:tr>
                        <w:tr w:rsidR="00C6444C" w14:paraId="7E3A3E3D" w14:textId="77777777" w:rsidTr="00020D20">
                          <w:tc>
                            <w:tcPr>
                              <w:tcW w:w="535" w:type="dxa"/>
                            </w:tcPr>
                            <w:p w14:paraId="7827AD88" w14:textId="77777777" w:rsidR="00C6444C" w:rsidRDefault="00C6444C" w:rsidP="00020D20">
                              <w:pPr>
                                <w:pStyle w:val="Calloutboxes"/>
                              </w:pPr>
                              <w:r>
                                <w:t>2|</w:t>
                              </w:r>
                            </w:p>
                          </w:tc>
                          <w:tc>
                            <w:tcPr>
                              <w:tcW w:w="3612" w:type="dxa"/>
                            </w:tcPr>
                            <w:p w14:paraId="253924F5" w14:textId="77777777" w:rsidR="00C6444C" w:rsidRDefault="00C6444C" w:rsidP="004D26AE">
                              <w:pPr>
                                <w:pStyle w:val="Calloutboxes"/>
                                <w:jc w:val="left"/>
                              </w:pPr>
                              <w:r>
                                <w:t>The Plan Accounts for:</w:t>
                              </w:r>
                            </w:p>
                            <w:p w14:paraId="1C4B89DF" w14:textId="77777777" w:rsidR="00C6444C" w:rsidRDefault="00C6444C" w:rsidP="00961614">
                              <w:pPr>
                                <w:pStyle w:val="Calloutboxes"/>
                                <w:numPr>
                                  <w:ilvl w:val="0"/>
                                  <w:numId w:val="255"/>
                                </w:numPr>
                                <w:ind w:left="285" w:hanging="285"/>
                                <w:jc w:val="left"/>
                              </w:pPr>
                              <w:r>
                                <w:t>Completed State Mobility Plans;</w:t>
                              </w:r>
                            </w:p>
                            <w:p w14:paraId="18F4F2B3" w14:textId="77777777" w:rsidR="00C6444C" w:rsidRDefault="00C6444C" w:rsidP="00020D20">
                              <w:pPr>
                                <w:pStyle w:val="Calloutboxes"/>
                                <w:numPr>
                                  <w:ilvl w:val="0"/>
                                  <w:numId w:val="331"/>
                                </w:numPr>
                                <w:ind w:left="645" w:hanging="285"/>
                                <w:jc w:val="left"/>
                              </w:pPr>
                              <w:r>
                                <w:t>BqAZ</w:t>
                              </w:r>
                            </w:p>
                            <w:p w14:paraId="080F89D5" w14:textId="77777777" w:rsidR="00C6444C" w:rsidRDefault="00C6444C" w:rsidP="00020D20">
                              <w:pPr>
                                <w:pStyle w:val="Calloutboxes"/>
                                <w:numPr>
                                  <w:ilvl w:val="0"/>
                                  <w:numId w:val="331"/>
                                </w:numPr>
                                <w:ind w:left="645" w:hanging="285"/>
                                <w:jc w:val="left"/>
                              </w:pPr>
                              <w:r>
                                <w:t>What Moves You Arizona</w:t>
                              </w:r>
                            </w:p>
                            <w:p w14:paraId="57276AD2" w14:textId="77777777" w:rsidR="00C6444C" w:rsidRDefault="00C6444C" w:rsidP="00020D20">
                              <w:pPr>
                                <w:pStyle w:val="Calloutboxes"/>
                                <w:numPr>
                                  <w:ilvl w:val="0"/>
                                  <w:numId w:val="331"/>
                                </w:numPr>
                                <w:ind w:left="645" w:hanging="285"/>
                                <w:jc w:val="left"/>
                              </w:pPr>
                              <w:r>
                                <w:t>Arizona State Rail Plan</w:t>
                              </w:r>
                            </w:p>
                            <w:p w14:paraId="1E39EE35" w14:textId="77777777" w:rsidR="00C6444C" w:rsidRDefault="00C6444C" w:rsidP="00020D20">
                              <w:pPr>
                                <w:pStyle w:val="Calloutboxes"/>
                                <w:numPr>
                                  <w:ilvl w:val="0"/>
                                  <w:numId w:val="331"/>
                                </w:numPr>
                                <w:ind w:left="645" w:hanging="285"/>
                                <w:jc w:val="left"/>
                              </w:pPr>
                              <w:r>
                                <w:t>Arizona State Airport System Plan</w:t>
                              </w:r>
                            </w:p>
                            <w:p w14:paraId="2F741AA8" w14:textId="77777777" w:rsidR="00C6444C" w:rsidRDefault="00C6444C" w:rsidP="00961614">
                              <w:pPr>
                                <w:pStyle w:val="Calloutboxes"/>
                                <w:numPr>
                                  <w:ilvl w:val="0"/>
                                  <w:numId w:val="255"/>
                                </w:numPr>
                                <w:ind w:left="285" w:hanging="285"/>
                                <w:jc w:val="left"/>
                              </w:pPr>
                              <w:r>
                                <w:t>Local Agency Plans;</w:t>
                              </w:r>
                            </w:p>
                            <w:p w14:paraId="142F69BD" w14:textId="77777777" w:rsidR="00C6444C" w:rsidRDefault="00C6444C" w:rsidP="00020D20">
                              <w:pPr>
                                <w:pStyle w:val="Calloutboxes"/>
                                <w:numPr>
                                  <w:ilvl w:val="0"/>
                                  <w:numId w:val="332"/>
                                </w:numPr>
                                <w:ind w:left="645" w:hanging="285"/>
                                <w:jc w:val="left"/>
                              </w:pPr>
                              <w:r>
                                <w:t>County Plans/General Plan</w:t>
                              </w:r>
                            </w:p>
                            <w:p w14:paraId="79F82ECE" w14:textId="77777777" w:rsidR="00C6444C" w:rsidRDefault="00C6444C" w:rsidP="00020D20">
                              <w:pPr>
                                <w:pStyle w:val="Calloutboxes"/>
                                <w:numPr>
                                  <w:ilvl w:val="0"/>
                                  <w:numId w:val="332"/>
                                </w:numPr>
                                <w:ind w:left="645" w:hanging="285"/>
                                <w:jc w:val="left"/>
                              </w:pPr>
                              <w:r>
                                <w:t>Municipal Plans/General Plans</w:t>
                              </w:r>
                            </w:p>
                            <w:p w14:paraId="4128890D" w14:textId="77777777" w:rsidR="00C6444C" w:rsidRDefault="00C6444C" w:rsidP="00961614">
                              <w:pPr>
                                <w:pStyle w:val="Calloutboxes"/>
                                <w:numPr>
                                  <w:ilvl w:val="0"/>
                                  <w:numId w:val="255"/>
                                </w:numPr>
                                <w:ind w:left="285" w:hanging="285"/>
                                <w:jc w:val="left"/>
                              </w:pPr>
                              <w:r>
                                <w:t>Tribal Plans; and</w:t>
                              </w:r>
                            </w:p>
                            <w:p w14:paraId="4B1E8712" w14:textId="77777777" w:rsidR="00C6444C" w:rsidRDefault="00C6444C" w:rsidP="00961614">
                              <w:pPr>
                                <w:pStyle w:val="Calloutboxes"/>
                                <w:numPr>
                                  <w:ilvl w:val="0"/>
                                  <w:numId w:val="255"/>
                                </w:numPr>
                                <w:ind w:left="285" w:hanging="285"/>
                                <w:jc w:val="left"/>
                              </w:pPr>
                              <w:r>
                                <w:t>State Land Department Plans.</w:t>
                              </w:r>
                            </w:p>
                            <w:p w14:paraId="6D30A516" w14:textId="77777777" w:rsidR="00C6444C" w:rsidRDefault="00C6444C" w:rsidP="004D26AE">
                              <w:pPr>
                                <w:pStyle w:val="Calloutboxes"/>
                                <w:jc w:val="left"/>
                              </w:pPr>
                            </w:p>
                          </w:tc>
                        </w:tr>
                        <w:tr w:rsidR="00C6444C" w14:paraId="31CB2A2E" w14:textId="77777777" w:rsidTr="00020D20">
                          <w:tc>
                            <w:tcPr>
                              <w:tcW w:w="535" w:type="dxa"/>
                            </w:tcPr>
                            <w:p w14:paraId="1B72B71A" w14:textId="77777777" w:rsidR="00C6444C" w:rsidRDefault="00C6444C" w:rsidP="00020D20">
                              <w:pPr>
                                <w:pStyle w:val="Calloutboxes"/>
                              </w:pPr>
                              <w:r>
                                <w:t>3|</w:t>
                              </w:r>
                            </w:p>
                          </w:tc>
                          <w:tc>
                            <w:tcPr>
                              <w:tcW w:w="3612" w:type="dxa"/>
                            </w:tcPr>
                            <w:p w14:paraId="1AE72D8D" w14:textId="77777777" w:rsidR="00C6444C" w:rsidRDefault="00C6444C" w:rsidP="004D26AE">
                              <w:pPr>
                                <w:pStyle w:val="Calloutboxes"/>
                                <w:jc w:val="left"/>
                              </w:pPr>
                              <w:r>
                                <w:t>The Plan’s socioeconomic growth control totals match the Arizona Department of Administration Office of Employment and Population Statistics</w:t>
                              </w:r>
                            </w:p>
                          </w:tc>
                        </w:tr>
                        <w:tr w:rsidR="00C6444C" w14:paraId="7E5F3E90" w14:textId="77777777" w:rsidTr="00020D20">
                          <w:tc>
                            <w:tcPr>
                              <w:tcW w:w="535" w:type="dxa"/>
                            </w:tcPr>
                            <w:p w14:paraId="5A1DE3C7" w14:textId="77777777" w:rsidR="00C6444C" w:rsidRDefault="00C6444C" w:rsidP="00020D20">
                              <w:pPr>
                                <w:pStyle w:val="Calloutboxes"/>
                              </w:pPr>
                              <w:r>
                                <w:t>4|</w:t>
                              </w:r>
                            </w:p>
                          </w:tc>
                          <w:tc>
                            <w:tcPr>
                              <w:tcW w:w="3612" w:type="dxa"/>
                            </w:tcPr>
                            <w:p w14:paraId="47B8248E" w14:textId="77777777" w:rsidR="00C6444C" w:rsidRDefault="00C6444C" w:rsidP="004D26AE">
                              <w:pPr>
                                <w:pStyle w:val="Calloutboxes"/>
                                <w:jc w:val="left"/>
                              </w:pPr>
                              <w:r>
                                <w:t>The Plan was adopted following the procedures outlined in the Public Involvement Plan.</w:t>
                              </w:r>
                            </w:p>
                          </w:tc>
                        </w:tr>
                      </w:tbl>
                      <w:p w14:paraId="26F0187E" w14:textId="77777777" w:rsidR="00C6444C" w:rsidRPr="00347D6E" w:rsidRDefault="00C6444C" w:rsidP="00020D20"/>
                    </w:txbxContent>
                  </v:textbox>
                </v:shape>
                <v:group id="Group 1690912793" o:spid="_x0000_s1150" style="position:absolute;width:26314;height:3429" coordorigin="118,-1822" coordsize="27724,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">
                  <v:rect id="Rectangle 1690912803" o:spid="_x0000_s1151"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" fillcolor="#012768" strokecolor="#1f4d78 [1604]" strokeweight="1pt"/>
                  <v:shape id="Text Box 1690911425" o:spid="_x0000_s1152" type="#_x0000_t202" style="position:absolute;left:118;top:-1822;width:25839;height:7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" filled="f" stroked="f" strokeweight=".5pt">
                    <v:textbox>
                      <w:txbxContent>
                        <w:p w14:paraId="66FBA777" w14:textId="77777777" w:rsidR="00C6444C" w:rsidRPr="00020D20" w:rsidRDefault="00C6444C" w:rsidP="00020D20">
                          <w:pPr>
                            <w:jc w:val="center"/>
                            <w:rPr>
                              <w:color w:val="FFFFFF" w:themeColor="background1"/>
                            </w:rPr>
                          </w:pPr>
                          <w:r>
                            <w:rPr>
                              <w:color w:val="FFFFFF" w:themeColor="background1"/>
                            </w:rPr>
                            <w:t>RTP CHECKLIST</w:t>
                          </w:r>
                        </w:p>
                      </w:txbxContent>
                    </v:textbox>
                  </v:shape>
                </v:group>
                <w10:wrap type="square"/>
              </v:group>
            </w:pict>
          </mc:Fallback>
        </mc:AlternateContent>
      </w:r>
      <w:r w:rsidR="00AE6294" w:rsidRPr="00D8227B">
        <w:t>Table 7-3 provides a list of the federal codes and regulations that define the requirements of RTP</w:t>
      </w:r>
      <w:r w:rsidR="00AE6294" w:rsidRPr="00AE6294">
        <w:t xml:space="preserve"> contents. </w:t>
      </w:r>
      <w:r>
        <w:br w:type="column"/>
      </w:r>
      <w:r w:rsidR="00AE6294" w:rsidRPr="00AE6294">
        <w:t>Table 7-3 | RTP Relevant Codes &amp; Regulations</w:t>
      </w:r>
    </w:p>
    <w:tbl>
      <w:tblPr>
        <w:tblW w:w="4320" w:type="dxa"/>
        <w:tblInd w:w="-10" w:type="dxa"/>
        <w:tblLayout w:type="fixed"/>
        <w:tblCellMar>
          <w:left w:w="0" w:type="dxa"/>
          <w:right w:w="0" w:type="dxa"/>
        </w:tblCellMar>
        <w:tblLook w:val="0000" w:firstRow="0" w:lastRow="0" w:firstColumn="0" w:lastColumn="0" w:noHBand="0" w:noVBand="0"/>
      </w:tblPr>
      <w:tblGrid>
        <w:gridCol w:w="1980"/>
        <w:gridCol w:w="2340"/>
      </w:tblGrid>
      <w:tr w:rsidR="00AE6294" w:rsidRPr="006E28D7" w14:paraId="64514B75" w14:textId="77777777" w:rsidTr="00020D20">
        <w:trPr>
          <w:trHeight w:val="360"/>
        </w:trPr>
        <w:tc>
          <w:tcPr>
            <w:tcW w:w="1980" w:type="dxa"/>
            <w:tcBorders>
              <w:top w:val="single" w:sz="8" w:space="0" w:color="FFFFFF" w:themeColor="background1"/>
              <w:left w:val="single" w:sz="4" w:space="0" w:color="auto"/>
              <w:right w:val="single" w:sz="8" w:space="0" w:color="FFFFFF" w:themeColor="background1"/>
            </w:tcBorders>
            <w:shd w:val="clear" w:color="auto" w:fill="012768"/>
            <w:tcMar>
              <w:top w:w="80" w:type="dxa"/>
              <w:left w:w="80" w:type="dxa"/>
              <w:bottom w:w="80" w:type="dxa"/>
              <w:right w:w="80" w:type="dxa"/>
            </w:tcMar>
            <w:vAlign w:val="center"/>
          </w:tcPr>
          <w:p w14:paraId="6448A9F8" w14:textId="77777777" w:rsidR="00AE6294" w:rsidRPr="00020D20" w:rsidRDefault="00AE6294" w:rsidP="00020D20">
            <w:pPr>
              <w:spacing w:before="0" w:after="0" w:line="240" w:lineRule="auto"/>
              <w:jc w:val="center"/>
              <w:rPr>
                <w:sz w:val="22"/>
              </w:rPr>
            </w:pPr>
            <w:r w:rsidRPr="00020D20">
              <w:rPr>
                <w:sz w:val="22"/>
              </w:rPr>
              <w:t>Code/Regulation</w:t>
            </w:r>
          </w:p>
        </w:tc>
        <w:tc>
          <w:tcPr>
            <w:tcW w:w="2340" w:type="dxa"/>
            <w:tcBorders>
              <w:top w:val="single" w:sz="8" w:space="0" w:color="FFFFFF" w:themeColor="background1"/>
              <w:left w:val="single" w:sz="8" w:space="0" w:color="FFFFFF" w:themeColor="background1"/>
              <w:right w:val="single" w:sz="4" w:space="0" w:color="auto"/>
            </w:tcBorders>
            <w:shd w:val="clear" w:color="auto" w:fill="012768"/>
            <w:tcMar>
              <w:top w:w="80" w:type="dxa"/>
              <w:left w:w="80" w:type="dxa"/>
              <w:bottom w:w="80" w:type="dxa"/>
              <w:right w:w="80" w:type="dxa"/>
            </w:tcMar>
            <w:vAlign w:val="center"/>
          </w:tcPr>
          <w:p w14:paraId="52AD7AEA" w14:textId="77777777" w:rsidR="00AE6294" w:rsidRPr="00020D20" w:rsidRDefault="00AE6294" w:rsidP="00020D20">
            <w:pPr>
              <w:spacing w:before="0" w:after="0" w:line="240" w:lineRule="auto"/>
              <w:jc w:val="center"/>
              <w:rPr>
                <w:sz w:val="22"/>
              </w:rPr>
            </w:pPr>
            <w:r w:rsidRPr="00020D20">
              <w:rPr>
                <w:sz w:val="22"/>
              </w:rPr>
              <w:t>Relevance</w:t>
            </w:r>
          </w:p>
        </w:tc>
      </w:tr>
      <w:tr w:rsidR="00AE6294" w:rsidRPr="006E28D7" w14:paraId="19490B61" w14:textId="77777777" w:rsidTr="00020D20">
        <w:trPr>
          <w:trHeight w:val="53"/>
        </w:trPr>
        <w:tc>
          <w:tcPr>
            <w:tcW w:w="1980" w:type="dxa"/>
            <w:tcBorders>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1DC8A94A" w14:textId="0836FA4F" w:rsidR="00AE6294" w:rsidRPr="00020D20" w:rsidRDefault="00202C92">
            <w:pPr>
              <w:pStyle w:val="Title"/>
              <w:rPr>
                <w:sz w:val="16"/>
                <w:szCs w:val="16"/>
              </w:rPr>
            </w:pPr>
            <w:hyperlink r:id="rId471" w:history="1">
              <w:r w:rsidR="00AE6294" w:rsidRPr="00020D20">
                <w:rPr>
                  <w:rStyle w:val="Hyperlink"/>
                  <w:rFonts w:asciiTheme="minorHAnsi" w:hAnsiTheme="minorHAnsi" w:cstheme="majorBidi"/>
                  <w:i/>
                  <w:iCs w:val="0"/>
                  <w:color w:val="CE5B18"/>
                  <w:u w:val="none"/>
                </w:rPr>
                <w:t>23 U.S.C. § 134 (i) (2) (A)</w:t>
              </w:r>
            </w:hyperlink>
          </w:p>
        </w:tc>
        <w:tc>
          <w:tcPr>
            <w:tcW w:w="2340" w:type="dxa"/>
            <w:vMerge w:val="restart"/>
            <w:tcBorders>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361330EF" w14:textId="77777777" w:rsidR="00AE6294" w:rsidRPr="00020D20" w:rsidRDefault="00AE6294" w:rsidP="00020D20">
            <w:pPr>
              <w:spacing w:before="0" w:after="0" w:line="240" w:lineRule="auto"/>
              <w:rPr>
                <w:sz w:val="16"/>
                <w:szCs w:val="16"/>
              </w:rPr>
            </w:pPr>
            <w:r w:rsidRPr="00020D20">
              <w:rPr>
                <w:sz w:val="16"/>
                <w:szCs w:val="16"/>
              </w:rPr>
              <w:t>transportation facilities</w:t>
            </w:r>
          </w:p>
        </w:tc>
      </w:tr>
      <w:tr w:rsidR="00AE6294" w:rsidRPr="006E28D7" w14:paraId="42BDA78E" w14:textId="77777777" w:rsidTr="00020D20">
        <w:trPr>
          <w:trHeight w:val="2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224657D0" w14:textId="3FDF65E0" w:rsidR="00AE6294" w:rsidRPr="00020D20" w:rsidRDefault="00202C92">
            <w:pPr>
              <w:pStyle w:val="Title"/>
              <w:rPr>
                <w:sz w:val="16"/>
                <w:szCs w:val="16"/>
              </w:rPr>
            </w:pPr>
            <w:hyperlink r:id="rId472"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(2)</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7FA39CA7" w14:textId="77777777" w:rsidR="00AE6294" w:rsidRPr="00020D20" w:rsidRDefault="00AE6294" w:rsidP="00020D20">
            <w:pPr>
              <w:spacing w:before="0" w:after="0" w:line="240" w:lineRule="auto"/>
              <w:rPr>
                <w:sz w:val="16"/>
                <w:szCs w:val="16"/>
              </w:rPr>
            </w:pPr>
          </w:p>
        </w:tc>
      </w:tr>
      <w:tr w:rsidR="00AE6294" w:rsidRPr="006E28D7" w14:paraId="4769A357"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00D1DA37" w14:textId="32E7B4E4" w:rsidR="00AE6294" w:rsidRPr="00020D20" w:rsidRDefault="00202C92">
            <w:pPr>
              <w:pStyle w:val="Title"/>
              <w:rPr>
                <w:sz w:val="16"/>
                <w:szCs w:val="16"/>
              </w:rPr>
            </w:pPr>
            <w:hyperlink r:id="rId473" w:history="1">
              <w:r w:rsidR="00AE6294" w:rsidRPr="00020D20">
                <w:rPr>
                  <w:rStyle w:val="Hyperlink"/>
                  <w:rFonts w:asciiTheme="minorHAnsi" w:hAnsiTheme="minorHAnsi" w:cstheme="majorBidi"/>
                  <w:i/>
                  <w:iCs w:val="0"/>
                  <w:color w:val="CE5B18"/>
                  <w:u w:val="none"/>
                </w:rPr>
                <w:t>23 U.S.C. § 134 (i) (2) (D) (i)</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0DAD2B7A" w14:textId="77777777" w:rsidR="00AE6294" w:rsidRPr="00020D20" w:rsidRDefault="00AE6294" w:rsidP="00020D20">
            <w:pPr>
              <w:spacing w:before="0" w:after="0" w:line="240" w:lineRule="auto"/>
              <w:rPr>
                <w:sz w:val="16"/>
                <w:szCs w:val="16"/>
              </w:rPr>
            </w:pPr>
            <w:r w:rsidRPr="00020D20">
              <w:rPr>
                <w:sz w:val="16"/>
                <w:szCs w:val="16"/>
              </w:rPr>
              <w:t>environmental mitigation activities</w:t>
            </w:r>
          </w:p>
        </w:tc>
      </w:tr>
      <w:tr w:rsidR="00AE6294" w:rsidRPr="006E28D7" w14:paraId="798366FA"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3AAC128A" w14:textId="4BEE111F" w:rsidR="00AE6294" w:rsidRPr="00020D20" w:rsidRDefault="00202C92">
            <w:pPr>
              <w:pStyle w:val="Title"/>
              <w:rPr>
                <w:sz w:val="16"/>
                <w:szCs w:val="16"/>
              </w:rPr>
            </w:pPr>
            <w:hyperlink r:id="rId474"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(7)</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765016B0" w14:textId="77777777" w:rsidR="00AE6294" w:rsidRPr="00020D20" w:rsidRDefault="00AE6294" w:rsidP="00020D20">
            <w:pPr>
              <w:spacing w:before="0" w:after="0" w:line="240" w:lineRule="auto"/>
              <w:rPr>
                <w:sz w:val="16"/>
                <w:szCs w:val="16"/>
              </w:rPr>
            </w:pPr>
          </w:p>
        </w:tc>
      </w:tr>
      <w:tr w:rsidR="00AE6294" w:rsidRPr="006E28D7" w14:paraId="126C73FF"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1128D91" w14:textId="4556725B" w:rsidR="00AE6294" w:rsidRPr="00020D20" w:rsidRDefault="00202C92">
            <w:pPr>
              <w:pStyle w:val="Title"/>
              <w:rPr>
                <w:sz w:val="16"/>
                <w:szCs w:val="16"/>
              </w:rPr>
            </w:pPr>
            <w:hyperlink r:id="rId475" w:history="1">
              <w:r w:rsidR="00AE6294" w:rsidRPr="00020D20">
                <w:rPr>
                  <w:rStyle w:val="Hyperlink"/>
                  <w:rFonts w:asciiTheme="minorHAnsi" w:hAnsiTheme="minorHAnsi" w:cstheme="majorBidi"/>
                  <w:i/>
                  <w:iCs w:val="0"/>
                  <w:color w:val="CE5B18"/>
                  <w:u w:val="none"/>
                </w:rPr>
                <w:t>23 U.S.C. § 134 (i) (2) (E)</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7FCDBA2E" w14:textId="77777777" w:rsidR="00AE6294" w:rsidRPr="00020D20" w:rsidRDefault="00AE6294" w:rsidP="00020D20">
            <w:pPr>
              <w:spacing w:before="0" w:after="0" w:line="240" w:lineRule="auto"/>
              <w:rPr>
                <w:sz w:val="16"/>
                <w:szCs w:val="16"/>
              </w:rPr>
            </w:pPr>
            <w:r w:rsidRPr="00020D20">
              <w:rPr>
                <w:sz w:val="16"/>
                <w:szCs w:val="16"/>
              </w:rPr>
              <w:t>financial plan</w:t>
            </w:r>
          </w:p>
        </w:tc>
      </w:tr>
      <w:tr w:rsidR="00AE6294" w:rsidRPr="006E28D7" w14:paraId="69702643"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65AAA5B9" w14:textId="17B5BF05" w:rsidR="00AE6294" w:rsidRPr="00020D20" w:rsidRDefault="00202C92">
            <w:pPr>
              <w:pStyle w:val="Title"/>
              <w:rPr>
                <w:sz w:val="16"/>
                <w:szCs w:val="16"/>
              </w:rPr>
            </w:pPr>
            <w:hyperlink r:id="rId476"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(10)</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5EA48ADD" w14:textId="77777777" w:rsidR="00AE6294" w:rsidRPr="00020D20" w:rsidRDefault="00AE6294" w:rsidP="00020D20">
            <w:pPr>
              <w:spacing w:before="0" w:after="0" w:line="240" w:lineRule="auto"/>
              <w:rPr>
                <w:sz w:val="16"/>
                <w:szCs w:val="16"/>
              </w:rPr>
            </w:pPr>
          </w:p>
        </w:tc>
      </w:tr>
      <w:tr w:rsidR="00AE6294" w:rsidRPr="006E28D7" w14:paraId="18717F13"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0E78BA59" w14:textId="011632EF" w:rsidR="00AE6294" w:rsidRPr="00020D20" w:rsidRDefault="00202C92">
            <w:pPr>
              <w:pStyle w:val="Title"/>
              <w:rPr>
                <w:sz w:val="16"/>
                <w:szCs w:val="16"/>
              </w:rPr>
            </w:pPr>
            <w:hyperlink r:id="rId477" w:history="1">
              <w:r w:rsidR="00AE6294" w:rsidRPr="00020D20">
                <w:rPr>
                  <w:rStyle w:val="Hyperlink"/>
                  <w:rFonts w:asciiTheme="minorHAnsi" w:hAnsiTheme="minorHAnsi" w:cstheme="majorBidi"/>
                  <w:i/>
                  <w:iCs w:val="0"/>
                  <w:color w:val="CE5B18"/>
                  <w:u w:val="none"/>
                </w:rPr>
                <w:t>23 U.S.C. § 134 (i) (2) (F)</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891B249" w14:textId="77777777" w:rsidR="00AE6294" w:rsidRPr="00020D20" w:rsidRDefault="00AE6294" w:rsidP="00020D20">
            <w:pPr>
              <w:spacing w:before="0" w:after="0" w:line="240" w:lineRule="auto"/>
              <w:rPr>
                <w:sz w:val="16"/>
                <w:szCs w:val="16"/>
              </w:rPr>
            </w:pPr>
            <w:r w:rsidRPr="00020D20">
              <w:rPr>
                <w:sz w:val="16"/>
                <w:szCs w:val="16"/>
              </w:rPr>
              <w:t>operational and management strategies</w:t>
            </w:r>
          </w:p>
        </w:tc>
      </w:tr>
      <w:tr w:rsidR="00AE6294" w:rsidRPr="006E28D7" w14:paraId="02C12E66"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5524CC99" w14:textId="3A051574" w:rsidR="00AE6294" w:rsidRPr="00020D20" w:rsidRDefault="00202C92">
            <w:pPr>
              <w:pStyle w:val="Title"/>
              <w:rPr>
                <w:sz w:val="16"/>
                <w:szCs w:val="16"/>
              </w:rPr>
            </w:pPr>
            <w:hyperlink r:id="rId478"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(3)</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7FC9FB78" w14:textId="77777777" w:rsidR="00AE6294" w:rsidRPr="00020D20" w:rsidRDefault="00AE6294" w:rsidP="00020D20">
            <w:pPr>
              <w:spacing w:before="0" w:after="0" w:line="240" w:lineRule="auto"/>
              <w:rPr>
                <w:sz w:val="16"/>
                <w:szCs w:val="16"/>
              </w:rPr>
            </w:pPr>
          </w:p>
        </w:tc>
      </w:tr>
      <w:tr w:rsidR="00AE6294" w:rsidRPr="006E28D7" w14:paraId="301BFC36"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81D9FA6" w14:textId="4A67CAB0" w:rsidR="00AE6294" w:rsidRPr="00020D20" w:rsidRDefault="00202C92">
            <w:pPr>
              <w:pStyle w:val="Title"/>
              <w:rPr>
                <w:sz w:val="16"/>
                <w:szCs w:val="16"/>
              </w:rPr>
            </w:pPr>
            <w:hyperlink r:id="rId479" w:history="1">
              <w:r w:rsidR="00AE6294" w:rsidRPr="00020D20">
                <w:rPr>
                  <w:rStyle w:val="Hyperlink"/>
                  <w:rFonts w:asciiTheme="minorHAnsi" w:hAnsiTheme="minorHAnsi" w:cstheme="majorBidi"/>
                  <w:i/>
                  <w:iCs w:val="0"/>
                  <w:color w:val="CE5B18"/>
                  <w:u w:val="none"/>
                </w:rPr>
                <w:t>23 U.S.C. § 134 (i) (2) (G)</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33827DAC" w14:textId="3027CFE1" w:rsidR="00AE6294" w:rsidRPr="00020D20" w:rsidRDefault="00AE6294" w:rsidP="00020D20">
            <w:pPr>
              <w:spacing w:before="0" w:after="0" w:line="240" w:lineRule="auto"/>
              <w:rPr>
                <w:sz w:val="16"/>
                <w:szCs w:val="16"/>
              </w:rPr>
            </w:pPr>
            <w:r w:rsidRPr="00020D20">
              <w:rPr>
                <w:sz w:val="16"/>
                <w:szCs w:val="16"/>
              </w:rPr>
              <w:t>capital investment and other strategies</w:t>
            </w:r>
          </w:p>
        </w:tc>
      </w:tr>
      <w:tr w:rsidR="00AE6294" w:rsidRPr="006E28D7" w14:paraId="00406EBE"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3CA77D75" w14:textId="6BE155AE" w:rsidR="00AE6294" w:rsidRPr="00020D20" w:rsidRDefault="00202C92">
            <w:pPr>
              <w:pStyle w:val="Title"/>
              <w:rPr>
                <w:sz w:val="16"/>
                <w:szCs w:val="16"/>
              </w:rPr>
            </w:pPr>
            <w:hyperlink r:id="rId480"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(5)</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0084C32E" w14:textId="77777777" w:rsidR="00AE6294" w:rsidRPr="00020D20" w:rsidRDefault="00AE6294" w:rsidP="00020D20">
            <w:pPr>
              <w:spacing w:before="0" w:after="0" w:line="240" w:lineRule="auto"/>
              <w:rPr>
                <w:sz w:val="16"/>
                <w:szCs w:val="16"/>
              </w:rPr>
            </w:pPr>
          </w:p>
        </w:tc>
      </w:tr>
      <w:tr w:rsidR="00AE6294" w:rsidRPr="006E28D7" w14:paraId="00CC2E5B"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2E516E3" w14:textId="5DF672BC" w:rsidR="00AE6294" w:rsidRPr="00020D20" w:rsidRDefault="00202C92">
            <w:pPr>
              <w:pStyle w:val="Title"/>
              <w:rPr>
                <w:sz w:val="16"/>
                <w:szCs w:val="16"/>
              </w:rPr>
            </w:pPr>
            <w:hyperlink r:id="rId481" w:history="1">
              <w:r w:rsidR="00AE6294" w:rsidRPr="00020D20">
                <w:rPr>
                  <w:rStyle w:val="Hyperlink"/>
                  <w:rFonts w:asciiTheme="minorHAnsi" w:hAnsiTheme="minorHAnsi" w:cstheme="majorBidi"/>
                  <w:i/>
                  <w:iCs w:val="0"/>
                  <w:color w:val="CE5B18"/>
                  <w:u w:val="none"/>
                </w:rPr>
                <w:t>23 U.S.C. § 134 (i) (2) (H)</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69ABD9B7" w14:textId="77777777" w:rsidR="00AE6294" w:rsidRPr="00020D20" w:rsidRDefault="00AE6294" w:rsidP="00020D20">
            <w:pPr>
              <w:spacing w:before="0" w:after="0" w:line="240" w:lineRule="auto"/>
              <w:rPr>
                <w:sz w:val="16"/>
                <w:szCs w:val="16"/>
              </w:rPr>
            </w:pPr>
            <w:r w:rsidRPr="00020D20">
              <w:rPr>
                <w:sz w:val="16"/>
                <w:szCs w:val="16"/>
              </w:rPr>
              <w:t>transportation and transit enhancement activities</w:t>
            </w:r>
          </w:p>
        </w:tc>
      </w:tr>
      <w:tr w:rsidR="00AE6294" w:rsidRPr="006E28D7" w14:paraId="71CF7334"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341B099D" w14:textId="3E0CEC6E" w:rsidR="00AE6294" w:rsidRPr="00020D20" w:rsidRDefault="00202C92">
            <w:pPr>
              <w:pStyle w:val="Title"/>
              <w:rPr>
                <w:sz w:val="16"/>
                <w:szCs w:val="16"/>
              </w:rPr>
            </w:pPr>
            <w:hyperlink r:id="rId482"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(9)</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0C4C9A7D" w14:textId="77777777" w:rsidR="00AE6294" w:rsidRPr="00020D20" w:rsidRDefault="00AE6294" w:rsidP="00020D20">
            <w:pPr>
              <w:spacing w:before="0" w:after="0" w:line="240" w:lineRule="auto"/>
              <w:rPr>
                <w:sz w:val="16"/>
                <w:szCs w:val="16"/>
              </w:rPr>
            </w:pPr>
          </w:p>
        </w:tc>
      </w:tr>
      <w:tr w:rsidR="00AE6294" w:rsidRPr="006E28D7" w14:paraId="786B616A"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3E838684" w14:textId="25685BEE" w:rsidR="00AE6294" w:rsidRPr="00020D20" w:rsidRDefault="00202C92">
            <w:pPr>
              <w:pStyle w:val="Title"/>
              <w:rPr>
                <w:sz w:val="16"/>
                <w:szCs w:val="16"/>
              </w:rPr>
            </w:pPr>
            <w:hyperlink r:id="rId483"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(1)</w:t>
              </w:r>
            </w:hyperlink>
          </w:p>
        </w:tc>
        <w:tc>
          <w:tcPr>
            <w:tcW w:w="234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56CC587C" w14:textId="77777777" w:rsidR="00AE6294" w:rsidRPr="00020D20" w:rsidRDefault="00AE6294" w:rsidP="00020D20">
            <w:pPr>
              <w:spacing w:before="0" w:after="0" w:line="240" w:lineRule="auto"/>
              <w:rPr>
                <w:sz w:val="16"/>
                <w:szCs w:val="16"/>
              </w:rPr>
            </w:pPr>
            <w:r w:rsidRPr="00020D20">
              <w:rPr>
                <w:sz w:val="16"/>
                <w:szCs w:val="16"/>
              </w:rPr>
              <w:t>projected transportation demand</w:t>
            </w:r>
          </w:p>
        </w:tc>
      </w:tr>
      <w:tr w:rsidR="00AE6294" w:rsidRPr="006E28D7" w14:paraId="1900971B"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A850D94" w14:textId="18708C28" w:rsidR="00AE6294" w:rsidRPr="00020D20" w:rsidRDefault="00202C92">
            <w:pPr>
              <w:pStyle w:val="Title"/>
              <w:rPr>
                <w:sz w:val="16"/>
                <w:szCs w:val="16"/>
              </w:rPr>
            </w:pPr>
            <w:hyperlink r:id="rId484" w:history="1">
              <w:r w:rsidR="00AE6294" w:rsidRPr="00020D20">
                <w:rPr>
                  <w:rStyle w:val="Hyperlink"/>
                  <w:rFonts w:asciiTheme="minorHAnsi" w:hAnsiTheme="minorHAnsi" w:cstheme="majorBidi"/>
                  <w:i/>
                  <w:iCs w:val="0"/>
                  <w:color w:val="CE5B18"/>
                  <w:u w:val="none"/>
                </w:rPr>
                <w:t>23 U.S.C. § 217 (g)</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6D66BA29" w14:textId="025EB3B9" w:rsidR="00AE6294" w:rsidRPr="00020D20" w:rsidRDefault="00AE6294" w:rsidP="00020D20">
            <w:pPr>
              <w:spacing w:before="0" w:after="0" w:line="240" w:lineRule="auto"/>
              <w:rPr>
                <w:sz w:val="16"/>
                <w:szCs w:val="16"/>
              </w:rPr>
            </w:pPr>
            <w:r w:rsidRPr="00020D20">
              <w:rPr>
                <w:sz w:val="16"/>
                <w:szCs w:val="16"/>
              </w:rPr>
              <w:t>pedestrian walkway and bicycle transportation facilities</w:t>
            </w:r>
          </w:p>
        </w:tc>
      </w:tr>
      <w:tr w:rsidR="00AE6294" w:rsidRPr="006E28D7" w14:paraId="778D9081"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6B1A2FA" w14:textId="7E382519" w:rsidR="00AE6294" w:rsidRPr="00020D20" w:rsidRDefault="00202C92">
            <w:pPr>
              <w:pStyle w:val="Title"/>
              <w:rPr>
                <w:sz w:val="16"/>
                <w:szCs w:val="16"/>
              </w:rPr>
            </w:pPr>
            <w:hyperlink r:id="rId485"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(8)</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27C62531" w14:textId="77777777" w:rsidR="00AE6294" w:rsidRPr="00020D20" w:rsidRDefault="00AE6294" w:rsidP="00020D20">
            <w:pPr>
              <w:spacing w:before="0" w:after="0" w:line="240" w:lineRule="auto"/>
              <w:rPr>
                <w:sz w:val="16"/>
                <w:szCs w:val="16"/>
              </w:rPr>
            </w:pPr>
          </w:p>
        </w:tc>
      </w:tr>
      <w:tr w:rsidR="00AE6294" w:rsidRPr="006E28D7" w14:paraId="7209B7BB"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0CED9E8D" w14:textId="15185067" w:rsidR="00AE6294" w:rsidRPr="00020D20" w:rsidRDefault="00202C92">
            <w:pPr>
              <w:pStyle w:val="Title"/>
              <w:rPr>
                <w:sz w:val="16"/>
                <w:szCs w:val="16"/>
              </w:rPr>
            </w:pPr>
            <w:hyperlink r:id="rId486"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(6)</w:t>
              </w:r>
            </w:hyperlink>
          </w:p>
        </w:tc>
        <w:tc>
          <w:tcPr>
            <w:tcW w:w="234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12E83A1A" w14:textId="77777777" w:rsidR="00AE6294" w:rsidRPr="00020D20" w:rsidRDefault="00AE6294" w:rsidP="00020D20">
            <w:pPr>
              <w:spacing w:before="0" w:after="0" w:line="240" w:lineRule="auto"/>
              <w:rPr>
                <w:sz w:val="16"/>
                <w:szCs w:val="16"/>
              </w:rPr>
            </w:pPr>
            <w:r w:rsidRPr="00020D20">
              <w:rPr>
                <w:sz w:val="16"/>
                <w:szCs w:val="16"/>
              </w:rPr>
              <w:t>proposed improvements in sufficient detail to develop cost estimates</w:t>
            </w:r>
          </w:p>
        </w:tc>
      </w:tr>
      <w:tr w:rsidR="00AE6294" w:rsidRPr="006E28D7" w14:paraId="426664D4"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79DA7B4A" w14:textId="58DBBBD9" w:rsidR="00AE6294" w:rsidRPr="00020D20" w:rsidRDefault="00202C92">
            <w:pPr>
              <w:pStyle w:val="Title"/>
              <w:rPr>
                <w:sz w:val="16"/>
                <w:szCs w:val="16"/>
              </w:rPr>
            </w:pPr>
            <w:hyperlink r:id="rId487"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(h)</w:t>
              </w:r>
            </w:hyperlink>
          </w:p>
        </w:tc>
        <w:tc>
          <w:tcPr>
            <w:tcW w:w="234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DB8B78C" w14:textId="77777777" w:rsidR="00AE6294" w:rsidRPr="00020D20" w:rsidRDefault="00AE6294" w:rsidP="00020D20">
            <w:pPr>
              <w:spacing w:before="0" w:after="0" w:line="240" w:lineRule="auto"/>
              <w:rPr>
                <w:sz w:val="16"/>
                <w:szCs w:val="16"/>
              </w:rPr>
            </w:pPr>
            <w:r w:rsidRPr="00020D20">
              <w:rPr>
                <w:sz w:val="16"/>
                <w:szCs w:val="16"/>
              </w:rPr>
              <w:t>safety element</w:t>
            </w:r>
          </w:p>
        </w:tc>
      </w:tr>
      <w:tr w:rsidR="00AE6294" w:rsidRPr="006E28D7" w14:paraId="4709FB5A"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6D36F33A" w14:textId="3ABFDEEC" w:rsidR="00AE6294" w:rsidRPr="00020D20" w:rsidRDefault="00202C92">
            <w:pPr>
              <w:pStyle w:val="Title"/>
              <w:rPr>
                <w:sz w:val="16"/>
                <w:szCs w:val="16"/>
              </w:rPr>
            </w:pPr>
            <w:hyperlink r:id="rId488"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(e)</w:t>
              </w:r>
            </w:hyperlink>
          </w:p>
        </w:tc>
        <w:tc>
          <w:tcPr>
            <w:tcW w:w="234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701DEC95" w14:textId="77777777" w:rsidR="00AE6294" w:rsidRPr="00020D20" w:rsidRDefault="00AE6294" w:rsidP="00020D20">
            <w:pPr>
              <w:spacing w:before="0" w:after="0" w:line="240" w:lineRule="auto"/>
              <w:rPr>
                <w:sz w:val="16"/>
                <w:szCs w:val="16"/>
              </w:rPr>
            </w:pPr>
            <w:r w:rsidRPr="00020D20">
              <w:rPr>
                <w:sz w:val="16"/>
                <w:szCs w:val="16"/>
              </w:rPr>
              <w:t>updating the plan</w:t>
            </w:r>
          </w:p>
        </w:tc>
      </w:tr>
      <w:tr w:rsidR="00AE6294" w:rsidRPr="006E28D7" w14:paraId="5AFFA660"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64FC82D6" w14:textId="0C735804" w:rsidR="00AE6294" w:rsidRPr="00020D20" w:rsidRDefault="00202C92">
            <w:pPr>
              <w:pStyle w:val="Title"/>
              <w:rPr>
                <w:sz w:val="16"/>
                <w:szCs w:val="16"/>
              </w:rPr>
            </w:pPr>
            <w:hyperlink r:id="rId489"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(b)</w:t>
              </w:r>
            </w:hyperlink>
          </w:p>
        </w:tc>
        <w:tc>
          <w:tcPr>
            <w:tcW w:w="234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46342F19" w14:textId="77777777" w:rsidR="00AE6294" w:rsidRPr="00020D20" w:rsidRDefault="00AE6294" w:rsidP="00020D20">
            <w:pPr>
              <w:spacing w:before="0" w:after="0" w:line="240" w:lineRule="auto"/>
              <w:rPr>
                <w:sz w:val="16"/>
                <w:szCs w:val="16"/>
              </w:rPr>
            </w:pPr>
            <w:r w:rsidRPr="00020D20">
              <w:rPr>
                <w:sz w:val="16"/>
                <w:szCs w:val="16"/>
              </w:rPr>
              <w:t>long-range and short-range strategies/actions</w:t>
            </w:r>
          </w:p>
        </w:tc>
      </w:tr>
      <w:tr w:rsidR="00AE6294" w:rsidRPr="006E28D7" w14:paraId="2AF0C835"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1C9E97FB" w14:textId="5F71461F" w:rsidR="00AE6294" w:rsidRPr="00020D20" w:rsidRDefault="00202C92">
            <w:pPr>
              <w:pStyle w:val="Title"/>
              <w:rPr>
                <w:sz w:val="16"/>
                <w:szCs w:val="16"/>
              </w:rPr>
            </w:pPr>
            <w:hyperlink r:id="rId490" w:history="1">
              <w:r w:rsidR="00AE6294" w:rsidRPr="00020D20">
                <w:rPr>
                  <w:rStyle w:val="Hyperlink"/>
                  <w:rFonts w:asciiTheme="minorHAnsi" w:hAnsiTheme="minorHAnsi" w:cstheme="majorBidi"/>
                  <w:i/>
                  <w:iCs w:val="0"/>
                  <w:color w:val="CE5B18"/>
                  <w:u w:val="none"/>
                </w:rPr>
                <w:t>23 U.S.C. § 134 (k) (3) (A)</w:t>
              </w:r>
            </w:hyperlink>
          </w:p>
        </w:tc>
        <w:tc>
          <w:tcPr>
            <w:tcW w:w="2340" w:type="dxa"/>
            <w:vMerge w:val="restart"/>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0B392944" w14:textId="3DF3395B" w:rsidR="00AE6294" w:rsidRPr="00020D20" w:rsidRDefault="00AE6294" w:rsidP="00020D20">
            <w:pPr>
              <w:spacing w:before="0" w:after="0" w:line="240" w:lineRule="auto"/>
              <w:rPr>
                <w:sz w:val="16"/>
                <w:szCs w:val="16"/>
              </w:rPr>
            </w:pPr>
            <w:r w:rsidRPr="00020D20">
              <w:rPr>
                <w:sz w:val="16"/>
                <w:szCs w:val="16"/>
              </w:rPr>
              <w:t>address congestion management</w:t>
            </w:r>
          </w:p>
        </w:tc>
      </w:tr>
      <w:tr w:rsidR="00AE6294" w:rsidRPr="006E28D7" w14:paraId="181706DE" w14:textId="77777777" w:rsidTr="00020D20">
        <w:trPr>
          <w:trHeight w:val="360"/>
        </w:trPr>
        <w:tc>
          <w:tcPr>
            <w:tcW w:w="1980" w:type="dxa"/>
            <w:tcBorders>
              <w:top w:val="single" w:sz="8" w:space="0" w:color="58585B"/>
              <w:left w:val="single" w:sz="8" w:space="0" w:color="58585B"/>
              <w:bottom w:val="single" w:sz="8" w:space="0" w:color="58585B"/>
              <w:right w:val="single" w:sz="8" w:space="0" w:color="58585B"/>
            </w:tcBorders>
            <w:shd w:val="clear" w:color="auto" w:fill="auto"/>
            <w:tcMar>
              <w:top w:w="80" w:type="dxa"/>
              <w:left w:w="80" w:type="dxa"/>
              <w:bottom w:w="80" w:type="dxa"/>
              <w:right w:w="80" w:type="dxa"/>
            </w:tcMar>
            <w:vAlign w:val="center"/>
          </w:tcPr>
          <w:p w14:paraId="723D5D10" w14:textId="019E1010" w:rsidR="00AE6294" w:rsidRPr="00020D20" w:rsidRDefault="00202C92">
            <w:pPr>
              <w:pStyle w:val="Title"/>
              <w:rPr>
                <w:sz w:val="16"/>
                <w:szCs w:val="16"/>
              </w:rPr>
            </w:pPr>
            <w:hyperlink r:id="rId491" w:anchor="sec.450.322" w:history="1">
              <w:r w:rsidR="00AE6294"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AE6294" w:rsidRPr="00020D20">
                <w:rPr>
                  <w:rStyle w:val="Hyperlink"/>
                  <w:rFonts w:asciiTheme="minorHAnsi" w:hAnsiTheme="minorHAnsi" w:cstheme="majorBidi"/>
                  <w:i/>
                  <w:iCs w:val="0"/>
                  <w:color w:val="CE5B18"/>
                  <w:u w:val="none"/>
                </w:rPr>
                <w:t>§ 450.322 (f) (4)</w:t>
              </w:r>
            </w:hyperlink>
          </w:p>
        </w:tc>
        <w:tc>
          <w:tcPr>
            <w:tcW w:w="2340" w:type="dxa"/>
            <w:vMerge/>
            <w:tcBorders>
              <w:top w:val="single" w:sz="8" w:space="0" w:color="58585B"/>
              <w:left w:val="single" w:sz="8" w:space="0" w:color="58585B"/>
              <w:bottom w:val="single" w:sz="8" w:space="0" w:color="58585B"/>
              <w:right w:val="single" w:sz="8" w:space="0" w:color="58585B"/>
            </w:tcBorders>
            <w:shd w:val="clear" w:color="auto" w:fill="auto"/>
          </w:tcPr>
          <w:p w14:paraId="3728176A" w14:textId="77777777" w:rsidR="00AE6294" w:rsidRPr="00020D20" w:rsidRDefault="00AE6294" w:rsidP="00020D20">
            <w:pPr>
              <w:jc w:val="both"/>
              <w:rPr>
                <w:sz w:val="16"/>
                <w:szCs w:val="16"/>
              </w:rPr>
            </w:pPr>
          </w:p>
        </w:tc>
      </w:tr>
    </w:tbl>
    <w:p w14:paraId="70B2FD34" w14:textId="4DC5B002" w:rsidR="00AE6294" w:rsidRPr="00AE6294" w:rsidRDefault="00AE6294" w:rsidP="00020D20">
      <w:pPr>
        <w:pStyle w:val="Heading3"/>
        <w:jc w:val="both"/>
      </w:pPr>
      <w:bookmarkStart w:id="246" w:name="_Ref50030111"/>
      <w:r w:rsidRPr="00AE6294">
        <w:t>7.8.2 | Environmental Mitigation</w:t>
      </w:r>
      <w:bookmarkEnd w:id="246"/>
    </w:p>
    <w:p w14:paraId="5DEC07D6" w14:textId="27DAF6A1" w:rsidR="00AE6294" w:rsidRPr="00AE6294" w:rsidRDefault="00AE6294" w:rsidP="00020D20">
      <w:pPr>
        <w:jc w:val="both"/>
        <w:rPr>
          <w:rFonts w:cstheme="minorHAnsi"/>
        </w:rPr>
      </w:pPr>
      <w:r w:rsidRPr="00AE6294">
        <w:rPr>
          <w:rFonts w:cstheme="minorHAnsi"/>
        </w:rPr>
        <w:t>The RTP process must include a discussion on environmental mitigation in which a general approach to mitigation activities, in accordance with federal, state, regional, and local regulations, are considered. This discussion must occur on a regional system-wide level rather than on project-specific issues. Areas of consideration include mitigation policies, strategies</w:t>
      </w:r>
      <w:r w:rsidR="00FC75C5">
        <w:rPr>
          <w:rFonts w:cstheme="minorHAnsi"/>
        </w:rPr>
        <w:t>,</w:t>
      </w:r>
      <w:r w:rsidRPr="00AE6294">
        <w:rPr>
          <w:rFonts w:cstheme="minorHAnsi"/>
        </w:rPr>
        <w:t xml:space="preserve"> and activities derived from regional resources, conservation, and mitigation plans. The discussion needs to include, among other issues, wetlands, water resources, protected</w:t>
      </w:r>
      <w:r>
        <w:rPr>
          <w:rFonts w:cstheme="minorHAnsi"/>
        </w:rPr>
        <w:t xml:space="preserve"> </w:t>
      </w:r>
      <w:r w:rsidRPr="00AE6294">
        <w:rPr>
          <w:rFonts w:cstheme="minorHAnsi"/>
        </w:rPr>
        <w:t>species, cultural resources, wildlife corridors</w:t>
      </w:r>
      <w:r w:rsidR="00A6611B">
        <w:rPr>
          <w:rFonts w:cstheme="minorHAnsi"/>
        </w:rPr>
        <w:t>, Title VI/Environmental Justice</w:t>
      </w:r>
      <w:r w:rsidRPr="00AE6294">
        <w:rPr>
          <w:rFonts w:cstheme="minorHAnsi"/>
        </w:rPr>
        <w:t xml:space="preserve">, and impacts to the human environment. Areas designated for future mitigation, conservation, or preservation must be mapped in both its existing area as well as its future area. </w:t>
      </w:r>
    </w:p>
    <w:p w14:paraId="42F57D53" w14:textId="307C9A4A" w:rsidR="00AE6294" w:rsidRPr="00AE6294" w:rsidRDefault="00FC75C5" w:rsidP="00020D20">
      <w:pPr>
        <w:jc w:val="both"/>
        <w:rPr>
          <w:rFonts w:cstheme="minorHAnsi"/>
        </w:rPr>
      </w:pPr>
      <w:r>
        <w:rPr>
          <w:rFonts w:cstheme="minorHAnsi"/>
          <w:noProof/>
        </w:rPr>
        <mc:AlternateContent>
          <mc:Choice Requires="wps">
            <w:drawing>
              <wp:anchor distT="0" distB="0" distL="114300" distR="114300" simplePos="0" relativeHeight="251618534" behindDoc="1" locked="0" layoutInCell="1" allowOverlap="1" wp14:anchorId="4701BB54" wp14:editId="201C682B">
                <wp:simplePos x="0" y="0"/>
                <wp:positionH relativeFrom="margin">
                  <wp:posOffset>1343025</wp:posOffset>
                </wp:positionH>
                <wp:positionV relativeFrom="paragraph">
                  <wp:posOffset>824865</wp:posOffset>
                </wp:positionV>
                <wp:extent cx="1362075" cy="1285875"/>
                <wp:effectExtent l="95250" t="95250" r="104775" b="104775"/>
                <wp:wrapTight wrapText="bothSides">
                  <wp:wrapPolygon edited="0">
                    <wp:start x="-906" y="-1600"/>
                    <wp:lineTo x="-1510" y="-960"/>
                    <wp:lineTo x="-1208" y="23040"/>
                    <wp:lineTo x="22657" y="23040"/>
                    <wp:lineTo x="22959" y="4160"/>
                    <wp:lineTo x="22355" y="-640"/>
                    <wp:lineTo x="22355" y="-1600"/>
                    <wp:lineTo x="-906" y="-1600"/>
                  </wp:wrapPolygon>
                </wp:wrapTight>
                <wp:docPr id="1690911415" name="Text Box 1690911415"/>
                <wp:cNvGraphicFramePr/>
                <a:graphic xmlns:a="http://schemas.openxmlformats.org/drawingml/2006/main">
                  <a:graphicData uri="http://schemas.microsoft.com/office/word/2010/wordprocessingShape">
                    <wps:wsp>
                      <wps:cNvSpPr txBox="1"/>
                      <wps:spPr>
                        <a:xfrm>
                          <a:off x="0" y="0"/>
                          <a:ext cx="1362075" cy="12858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54499B4" w14:textId="77777777" w:rsidR="00C6444C" w:rsidRPr="0051438A" w:rsidRDefault="00C6444C" w:rsidP="00020D20">
                            <w:pPr>
                              <w:jc w:val="center"/>
                            </w:pPr>
                            <w:r w:rsidRPr="001241F0">
                              <w:rPr>
                                <w:noProof/>
                              </w:rPr>
                              <w:drawing>
                                <wp:inline distT="0" distB="0" distL="0" distR="0" wp14:anchorId="7EC7810B" wp14:editId="4242DC93">
                                  <wp:extent cx="457200" cy="457200"/>
                                  <wp:effectExtent l="0" t="0" r="0" b="0"/>
                                  <wp:docPr id="816286040" name="Picture 816286040">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8F3EA36" w14:textId="0EF23175" w:rsidR="00C6444C" w:rsidRPr="00954116" w:rsidRDefault="00C6444C" w:rsidP="00020D20">
                            <w:pPr>
                              <w:pStyle w:val="Calloutboxes"/>
                            </w:pPr>
                            <w:r w:rsidRPr="00394A74">
                              <w:t>FHWA’s Planning and Environmental Linkages:</w:t>
                            </w:r>
                          </w:p>
                          <w:p w14:paraId="35BA2290" w14:textId="2436370D" w:rsidR="00C6444C" w:rsidRPr="00020D20" w:rsidRDefault="00202C92">
                            <w:pPr>
                              <w:pStyle w:val="Title"/>
                              <w:rPr>
                                <w:sz w:val="16"/>
                                <w:szCs w:val="16"/>
                              </w:rPr>
                            </w:pPr>
                            <w:hyperlink r:id="rId492" w:history="1">
                              <w:r w:rsidR="00C6444C" w:rsidRPr="00020D20">
                                <w:rPr>
                                  <w:rStyle w:val="Hyperlink"/>
                                  <w:rFonts w:ascii="Calibri" w:hAnsi="Calibri" w:cstheme="majorBidi"/>
                                  <w:i/>
                                  <w:color w:val="CE5B18"/>
                                  <w:szCs w:val="56"/>
                                  <w:u w:val="none"/>
                                </w:rPr>
                                <w:t>https://www.environment.fhwa.dot.gov/env_initiatives/PEL.aspx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01BB54" id="Text Box 1690911415" o:spid="_x0000_s1153" type="#_x0000_t202" style="position:absolute;left:0;text-align:left;margin-left:105.75pt;margin-top:64.95pt;width:107.25pt;height:101.25pt;z-index:-2516979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" fillcolor="#f7f7f7" stroked="f" strokeweight=".5pt">
                <v:shadow on="t" type="perspective" color="black" opacity="26214f" offset="0,0" matrix="66847f,,,66847f"/>
                <v:textbox>
                  <w:txbxContent>
                    <w:p w14:paraId="054499B4" w14:textId="77777777" w:rsidR="00C6444C" w:rsidRPr="0051438A" w:rsidRDefault="00C6444C" w:rsidP="00020D20">
                      <w:pPr>
                        <w:jc w:val="center"/>
                      </w:pPr>
                      <w:r w:rsidRPr="001241F0">
                        <w:rPr>
                          <w:noProof/>
                        </w:rPr>
                        <w:drawing>
                          <wp:inline distT="0" distB="0" distL="0" distR="0" wp14:anchorId="7EC7810B" wp14:editId="4242DC93">
                            <wp:extent cx="457200" cy="457200"/>
                            <wp:effectExtent l="0" t="0" r="0" b="0"/>
                            <wp:docPr id="816286040" name="Picture 816286040">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8F3EA36" w14:textId="0EF23175" w:rsidR="00C6444C" w:rsidRPr="00954116" w:rsidRDefault="00C6444C" w:rsidP="00020D20">
                      <w:pPr>
                        <w:pStyle w:val="Calloutboxes"/>
                      </w:pPr>
                      <w:r w:rsidRPr="00394A74">
                        <w:t>FHWA’s Planning and Environmental Linkages:</w:t>
                      </w:r>
                    </w:p>
                    <w:p w14:paraId="35BA2290" w14:textId="2436370D" w:rsidR="00C6444C" w:rsidRPr="00020D20" w:rsidRDefault="00C6444C">
                      <w:pPr>
                        <w:pStyle w:val="Title"/>
                        <w:rPr>
                          <w:sz w:val="16"/>
                          <w:szCs w:val="16"/>
                        </w:rPr>
                      </w:pPr>
                      <w:hyperlink r:id="rId493" w:history="1">
                        <w:r w:rsidRPr="00020D20">
                          <w:rPr>
                            <w:rStyle w:val="Hyperlink"/>
                            <w:rFonts w:ascii="Calibri" w:hAnsi="Calibri" w:cstheme="majorBidi"/>
                            <w:i/>
                            <w:color w:val="CE5B18"/>
                            <w:szCs w:val="56"/>
                            <w:u w:val="none"/>
                          </w:rPr>
                          <w:t>https://www.environment.fhwa.dot.gov/env_initiatives/PEL.aspx</w:t>
                        </w:r>
                      </w:hyperlink>
                    </w:p>
                  </w:txbxContent>
                </v:textbox>
                <w10:wrap type="tight" anchorx="margin"/>
              </v:shape>
            </w:pict>
          </mc:Fallback>
        </mc:AlternateContent>
      </w:r>
      <w:r w:rsidR="00AE6294" w:rsidRPr="00AE6294">
        <w:rPr>
          <w:rFonts w:cstheme="minorHAnsi"/>
        </w:rPr>
        <w:t xml:space="preserve">Several federal requirements already discussed in this chapter have mentioned the need to address environmental considerations in the RTP. FHWA encourages closer coordination between the processes to help streamline the process of project-level environmental clearances. ADOT has established the PEL process to facilitate these discussions. </w:t>
      </w:r>
    </w:p>
    <w:p w14:paraId="5ED5B829" w14:textId="211E0268" w:rsidR="00AE6294" w:rsidRPr="00AE6294" w:rsidRDefault="00AE6294" w:rsidP="00020D20">
      <w:pPr>
        <w:pStyle w:val="Heading2"/>
      </w:pPr>
      <w:bookmarkStart w:id="247" w:name="_Ref50030116"/>
      <w:r w:rsidRPr="00AE6294">
        <w:t>7.9 | RTP REVISIONS</w:t>
      </w:r>
      <w:bookmarkEnd w:id="247"/>
    </w:p>
    <w:p w14:paraId="4806E306" w14:textId="3737C80C" w:rsidR="00AE6294" w:rsidRPr="00AE6294" w:rsidRDefault="00AE6294" w:rsidP="00020D20">
      <w:pPr>
        <w:jc w:val="both"/>
        <w:rPr>
          <w:rFonts w:cstheme="minorHAnsi"/>
        </w:rPr>
      </w:pPr>
      <w:r w:rsidRPr="00AE6294">
        <w:rPr>
          <w:rFonts w:cstheme="minorHAnsi"/>
        </w:rPr>
        <w:t>Besides the five-year update cycle, there are times when an MPO may find it necessary to revise the RTP. Federal regulations define two types of RTP revisions: administrative modifications and amendments.</w:t>
      </w:r>
    </w:p>
    <w:p w14:paraId="4B4026C2" w14:textId="720252EB" w:rsidR="00AE6294" w:rsidRPr="00AE6294" w:rsidRDefault="00AE6294" w:rsidP="00020D20">
      <w:pPr>
        <w:jc w:val="both"/>
        <w:rPr>
          <w:rFonts w:cstheme="minorHAnsi"/>
        </w:rPr>
      </w:pPr>
      <w:r w:rsidRPr="00AE6294">
        <w:rPr>
          <w:rFonts w:cstheme="minorHAnsi"/>
        </w:rPr>
        <w:t>An administrative modification is a minor revision to the RTP</w:t>
      </w:r>
      <w:r w:rsidR="00796AC5">
        <w:rPr>
          <w:rFonts w:cstheme="minorHAnsi"/>
        </w:rPr>
        <w:t>.</w:t>
      </w:r>
      <w:r w:rsidRPr="00AE6294">
        <w:rPr>
          <w:rFonts w:cstheme="minorHAnsi"/>
        </w:rPr>
        <w:t xml:space="preserve"> Administrative modifications include minor changes to project/phase costs, funding sources, or project/phase initiation dates. They do not require public review and comment or demonstrating fiscal constraint (</w:t>
      </w:r>
      <w:hyperlink r:id="rId494" w:history="1">
        <w:r w:rsidRPr="00020D20">
          <w:rPr>
            <w:rStyle w:val="TitleChar"/>
          </w:rPr>
          <w:t xml:space="preserve">23 </w:t>
        </w:r>
        <w:r w:rsidR="009628C0">
          <w:rPr>
            <w:rStyle w:val="TitleChar"/>
          </w:rPr>
          <w:t xml:space="preserve">C.F.R. </w:t>
        </w:r>
        <w:r w:rsidRPr="00020D20">
          <w:rPr>
            <w:rStyle w:val="TitleChar"/>
          </w:rPr>
          <w:t>§</w:t>
        </w:r>
        <w:r w:rsidR="008216A0" w:rsidRPr="00020D20">
          <w:rPr>
            <w:rStyle w:val="TitleChar"/>
          </w:rPr>
          <w:t xml:space="preserve"> </w:t>
        </w:r>
        <w:r w:rsidRPr="00020D20">
          <w:rPr>
            <w:rStyle w:val="TitleChar"/>
          </w:rPr>
          <w:t>450.104</w:t>
        </w:r>
      </w:hyperlink>
      <w:r w:rsidRPr="00AE6294">
        <w:rPr>
          <w:rFonts w:cstheme="minorHAnsi"/>
        </w:rPr>
        <w:t xml:space="preserve">). </w:t>
      </w:r>
    </w:p>
    <w:p w14:paraId="771BC88D" w14:textId="0524373F" w:rsidR="00AE6294" w:rsidRPr="00AE6294" w:rsidRDefault="00AE6294" w:rsidP="00020D20">
      <w:pPr>
        <w:jc w:val="both"/>
        <w:rPr>
          <w:rFonts w:cstheme="minorHAnsi"/>
          <w:b/>
        </w:rPr>
      </w:pPr>
      <w:r w:rsidRPr="00AE6294">
        <w:rPr>
          <w:rFonts w:cstheme="minorHAnsi"/>
        </w:rPr>
        <w:t>An amendment is a major revision to the RTP (or TIP). This may include adding or deleting projects from the plan as well as making major changes to project costs, initiation dates, or design concepts and scopes for existing projects. An amendment requires public review and comment in accordance with the RTP amendment and public involvement processes and demonstrating fiscal constraint. Changes to projects that are included only for illustrative purposes do not require an amendment (</w:t>
      </w:r>
      <w:hyperlink r:id="rId495" w:history="1">
        <w:r w:rsidRPr="00020D20">
          <w:rPr>
            <w:rStyle w:val="TitleChar"/>
          </w:rPr>
          <w:t xml:space="preserve">23 </w:t>
        </w:r>
        <w:r w:rsidR="009628C0">
          <w:rPr>
            <w:rStyle w:val="TitleChar"/>
          </w:rPr>
          <w:t xml:space="preserve">C.F.R. </w:t>
        </w:r>
        <w:r w:rsidRPr="00020D20">
          <w:rPr>
            <w:rStyle w:val="TitleChar"/>
          </w:rPr>
          <w:t>§ 450.104</w:t>
        </w:r>
      </w:hyperlink>
      <w:r w:rsidRPr="00AE6294">
        <w:rPr>
          <w:rFonts w:cstheme="minorHAnsi"/>
        </w:rPr>
        <w:t>). An amendment requires revenue and cost estimates supporting the plan to use an inflation rate(s) to reflect year of expenditure dollars, based on reasonable financial principles and information (</w:t>
      </w:r>
      <w:hyperlink r:id="rId496" w:history="1">
        <w:r w:rsidRPr="00020D20">
          <w:rPr>
            <w:rStyle w:val="TitleChar"/>
          </w:rPr>
          <w:t xml:space="preserve">23 </w:t>
        </w:r>
        <w:r w:rsidR="009628C0">
          <w:rPr>
            <w:rStyle w:val="TitleChar"/>
          </w:rPr>
          <w:t xml:space="preserve">C.F.R. </w:t>
        </w:r>
        <w:r w:rsidRPr="00020D20">
          <w:rPr>
            <w:rStyle w:val="TitleChar"/>
          </w:rPr>
          <w:t>§ 450.322(f)</w:t>
        </w:r>
        <w:r w:rsidRPr="00020D20" w:rsidDel="00FA30E4">
          <w:rPr>
            <w:rStyle w:val="TitleChar"/>
          </w:rPr>
          <w:t xml:space="preserve"> </w:t>
        </w:r>
        <w:r w:rsidRPr="00020D20">
          <w:rPr>
            <w:rStyle w:val="TitleChar"/>
          </w:rPr>
          <w:t>(10)</w:t>
        </w:r>
        <w:r w:rsidRPr="00020D20" w:rsidDel="00FA30E4">
          <w:rPr>
            <w:rStyle w:val="TitleChar"/>
          </w:rPr>
          <w:t xml:space="preserve"> </w:t>
        </w:r>
        <w:r w:rsidRPr="00020D20">
          <w:rPr>
            <w:rStyle w:val="TitleChar"/>
          </w:rPr>
          <w:t>(iv)</w:t>
        </w:r>
      </w:hyperlink>
      <w:r w:rsidRPr="00AE6294">
        <w:rPr>
          <w:rFonts w:cstheme="minorHAnsi"/>
        </w:rPr>
        <w:t>).</w:t>
      </w:r>
    </w:p>
    <w:p w14:paraId="7FE9AE86" w14:textId="7AFFE483" w:rsidR="00AE6294" w:rsidRPr="00AE6294" w:rsidRDefault="00AE6294" w:rsidP="00020D20">
      <w:pPr>
        <w:jc w:val="both"/>
        <w:rPr>
          <w:rFonts w:cstheme="minorHAnsi"/>
        </w:rPr>
      </w:pPr>
      <w:r w:rsidRPr="00AE6294">
        <w:rPr>
          <w:rFonts w:cstheme="minorHAnsi"/>
        </w:rPr>
        <w:t>The RTP can be revised at any time. The MPO does not have to extend the planning horizon of the RTP out another 20 years for administrative modifications and amendments. That is only required for the periodic (e.g., five-year) updates.</w:t>
      </w:r>
    </w:p>
    <w:p w14:paraId="42D93AB3" w14:textId="59681578" w:rsidR="00AE6294" w:rsidRPr="00AE6294" w:rsidRDefault="00AE6294" w:rsidP="00020D20">
      <w:pPr>
        <w:pStyle w:val="Heading2"/>
      </w:pPr>
      <w:bookmarkStart w:id="248" w:name="_Ref50030121"/>
      <w:r w:rsidRPr="00AE6294">
        <w:t>7.10 |PUBLICATION &amp; DISTRIBUTION</w:t>
      </w:r>
      <w:bookmarkEnd w:id="248"/>
    </w:p>
    <w:p w14:paraId="3A32E4F0" w14:textId="42D13C53" w:rsidR="00AE6294" w:rsidRPr="00AE6294" w:rsidRDefault="00AE6294" w:rsidP="00020D20">
      <w:pPr>
        <w:jc w:val="both"/>
        <w:rPr>
          <w:rFonts w:cstheme="minorHAnsi"/>
        </w:rPr>
      </w:pPr>
      <w:r w:rsidRPr="00AE6294">
        <w:rPr>
          <w:rFonts w:cstheme="minorHAnsi"/>
        </w:rPr>
        <w:t>Although the RTP does not require approval by</w:t>
      </w:r>
      <w:r w:rsidR="00796AC5">
        <w:rPr>
          <w:rFonts w:cstheme="minorHAnsi"/>
        </w:rPr>
        <w:t xml:space="preserve"> ADOT, </w:t>
      </w:r>
      <w:r w:rsidRPr="00AE6294">
        <w:rPr>
          <w:rFonts w:cstheme="minorHAnsi"/>
        </w:rPr>
        <w:t>FHWA or FTA, these agencies should be involved during the development of the plan and be provided an opportunity to comment on the draft plan. The plan is reviewed by FHWA and FTA during the quadrennial TMA certification. Copies of any new and/or revised plans must be provided to each</w:t>
      </w:r>
      <w:r>
        <w:rPr>
          <w:rFonts w:cstheme="minorHAnsi"/>
        </w:rPr>
        <w:t xml:space="preserve"> </w:t>
      </w:r>
      <w:r w:rsidRPr="00AE6294">
        <w:rPr>
          <w:rFonts w:cstheme="minorHAnsi"/>
        </w:rPr>
        <w:t>agency as well as to ADOT (</w:t>
      </w:r>
      <w:hyperlink r:id="rId497" w:history="1">
        <w:r w:rsidRPr="00020D20">
          <w:rPr>
            <w:rStyle w:val="TitleChar"/>
          </w:rPr>
          <w:t xml:space="preserve">23 </w:t>
        </w:r>
        <w:r w:rsidR="009628C0">
          <w:rPr>
            <w:rStyle w:val="TitleChar"/>
          </w:rPr>
          <w:t xml:space="preserve">C.F.R. </w:t>
        </w:r>
        <w:r w:rsidRPr="00020D20">
          <w:rPr>
            <w:rStyle w:val="TitleChar"/>
          </w:rPr>
          <w:t>§ 450.322(c)</w:t>
        </w:r>
      </w:hyperlink>
      <w:r w:rsidRPr="00AE6294">
        <w:rPr>
          <w:rFonts w:cstheme="minorHAnsi"/>
        </w:rPr>
        <w:t>). New or revised plans should be provided to the FHWA, FTA, and appropriate ADOT offices prior to the MPO annual self-certification.</w:t>
      </w:r>
    </w:p>
    <w:p w14:paraId="4FED50B1" w14:textId="1CB19546" w:rsidR="00354355" w:rsidRDefault="00AE6294" w:rsidP="00020D20">
      <w:pPr>
        <w:jc w:val="both"/>
        <w:sectPr w:rsidR="00354355" w:rsidSect="00020D20">
          <w:type w:val="continuous"/>
          <w:pgSz w:w="12240" w:h="15840"/>
          <w:pgMar w:top="1440" w:right="1440" w:bottom="1440" w:left="1440" w:header="720" w:footer="720" w:gutter="0"/>
          <w:pgNumType w:chapStyle="1"/>
          <w:cols w:num="2" w:space="720"/>
          <w:docGrid w:linePitch="360"/>
        </w:sectPr>
      </w:pPr>
      <w:r w:rsidRPr="00AE6294">
        <w:rPr>
          <w:rFonts w:cstheme="minorHAnsi"/>
        </w:rPr>
        <w:t>Federal law requires that the MPO publish its RTP and make it available to the public for review including, to the maximum extent practicable, in electronically accessible format</w:t>
      </w:r>
      <w:r w:rsidR="003758CD">
        <w:rPr>
          <w:rFonts w:cstheme="minorHAnsi"/>
        </w:rPr>
        <w:t xml:space="preserve"> (</w:t>
      </w:r>
      <w:hyperlink r:id="rId498" w:history="1">
        <w:r w:rsidR="00692504" w:rsidRPr="00020D20">
          <w:rPr>
            <w:rStyle w:val="TitleChar"/>
          </w:rPr>
          <w:t>23 U.S.C. § 134(i)(7)</w:t>
        </w:r>
      </w:hyperlink>
      <w:r w:rsidR="00692504" w:rsidRPr="00AE6294">
        <w:rPr>
          <w:rFonts w:cstheme="minorHAnsi"/>
        </w:rPr>
        <w:t xml:space="preserve">; </w:t>
      </w:r>
      <w:hyperlink r:id="rId499" w:history="1">
        <w:r w:rsidR="00692504" w:rsidRPr="00020D20">
          <w:rPr>
            <w:rStyle w:val="TitleChar"/>
          </w:rPr>
          <w:t xml:space="preserve">23 </w:t>
        </w:r>
        <w:r w:rsidR="009628C0">
          <w:rPr>
            <w:rStyle w:val="TitleChar"/>
          </w:rPr>
          <w:t xml:space="preserve">C.F.R. </w:t>
        </w:r>
        <w:r w:rsidR="00692504" w:rsidRPr="00020D20">
          <w:rPr>
            <w:rStyle w:val="TitleChar"/>
          </w:rPr>
          <w:t>§ 450.316(a)(1)(iv)</w:t>
        </w:r>
      </w:hyperlink>
      <w:r w:rsidR="00692504" w:rsidRPr="00AE6294">
        <w:rPr>
          <w:rFonts w:cstheme="minorHAnsi"/>
        </w:rPr>
        <w:t>).</w:t>
      </w:r>
      <w:r w:rsidR="00F4508F" w:rsidRPr="00F4508F">
        <w:rPr>
          <w:rFonts w:cstheme="minorHAnsi"/>
          <w:noProof/>
        </w:rPr>
        <w:t xml:space="preserve"> </w:t>
      </w:r>
    </w:p>
    <w:p w14:paraId="1945BF17" w14:textId="2F37EE55" w:rsidR="00354355" w:rsidRDefault="00354355" w:rsidP="00020D20">
      <w:pPr>
        <w:jc w:val="both"/>
        <w:sectPr w:rsidR="00354355" w:rsidSect="00096406">
          <w:type w:val="continuous"/>
          <w:pgSz w:w="12240" w:h="15840"/>
          <w:pgMar w:top="1440" w:right="1440" w:bottom="1440" w:left="1440" w:header="720" w:footer="720" w:gutter="0"/>
          <w:cols w:space="720"/>
          <w:docGrid w:linePitch="360"/>
        </w:sectPr>
      </w:pPr>
    </w:p>
    <w:p w14:paraId="13A5AA89" w14:textId="6CD0E26C" w:rsidR="00904690" w:rsidRDefault="00A93F3E" w:rsidP="00020D20">
      <w:pPr>
        <w:pStyle w:val="BodyTextTitle"/>
        <w:spacing w:before="0" w:after="0" w:line="240" w:lineRule="auto"/>
        <w:jc w:val="both"/>
      </w:pPr>
      <w:r>
        <w:t>8</w:t>
      </w:r>
      <w:r w:rsidR="00904690">
        <w:t xml:space="preserve"> </w:t>
      </w:r>
      <w:r>
        <w:t xml:space="preserve">| </w:t>
      </w:r>
      <w:r w:rsidR="00904690">
        <w:t>TRANSPORTATION IMPROVEMENT PLAN</w:t>
      </w:r>
    </w:p>
    <w:p w14:paraId="6E55ACCF" w14:textId="28F32A2C" w:rsidR="00A93F3E" w:rsidRPr="00020D20" w:rsidRDefault="00A93F3E" w:rsidP="00020D20">
      <w:pPr>
        <w:pStyle w:val="BodyTextTitle"/>
        <w:spacing w:before="0" w:line="240" w:lineRule="auto"/>
        <w:jc w:val="both"/>
        <w:rPr>
          <w:sz w:val="36"/>
        </w:rPr>
      </w:pPr>
      <w:r w:rsidRPr="00020D20">
        <w:rPr>
          <w:sz w:val="36"/>
        </w:rPr>
        <w:t>TABLE OF CONTENTS</w:t>
      </w:r>
    </w:p>
    <w:p w14:paraId="0731A94F" w14:textId="476200EF" w:rsidR="00A93F3E" w:rsidRDefault="00011602"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_Ref50030337 \h </w:instrText>
      </w:r>
      <w:r w:rsidR="002D38FC">
        <w:instrText xml:space="preserve"> \* MERGEFORMAT </w:instrText>
      </w:r>
      <w:r>
        <w:fldChar w:fldCharType="separate"/>
      </w:r>
      <w:r w:rsidRPr="00D174BF">
        <w:t>8.1 | PURPOSE</w:t>
      </w:r>
      <w:r>
        <w:fldChar w:fldCharType="end"/>
      </w:r>
    </w:p>
    <w:p w14:paraId="301B18DE" w14:textId="15CAB9A7" w:rsidR="00011602" w:rsidRDefault="00011602"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_Ref50030341 \h </w:instrText>
      </w:r>
      <w:r w:rsidR="002D38FC">
        <w:instrText xml:space="preserve"> \* MERGEFORMAT </w:instrText>
      </w:r>
      <w:r>
        <w:fldChar w:fldCharType="separate"/>
      </w:r>
      <w:r w:rsidRPr="00D174BF">
        <w:t>8.2 | AUTHORITY</w:t>
      </w:r>
      <w:r>
        <w:fldChar w:fldCharType="end"/>
      </w:r>
    </w:p>
    <w:p w14:paraId="1D8759F8" w14:textId="1D40F391" w:rsidR="00011602" w:rsidRDefault="00011602"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_Ref50030345 \h </w:instrText>
      </w:r>
      <w:r w:rsidR="002D38FC">
        <w:instrText xml:space="preserve"> \* MERGEFORMAT </w:instrText>
      </w:r>
      <w:r>
        <w:fldChar w:fldCharType="separate"/>
      </w:r>
      <w:r w:rsidRPr="00D174BF">
        <w:t>8.3 | SCOPE</w:t>
      </w:r>
      <w:r>
        <w:fldChar w:fldCharType="end"/>
      </w:r>
    </w:p>
    <w:p w14:paraId="32321B43" w14:textId="5FCCC87B"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_Ref50030356 \h </w:instrText>
      </w:r>
      <w:r w:rsidR="002D38FC">
        <w:instrText xml:space="preserve"> \* MERGEFORMAT </w:instrText>
      </w:r>
      <w:r>
        <w:fldChar w:fldCharType="separate"/>
      </w:r>
      <w:r w:rsidRPr="00D174BF">
        <w:t>8.4 | TIP LEGAL REQUIREMENTS</w:t>
      </w:r>
      <w:r>
        <w:fldChar w:fldCharType="end"/>
      </w:r>
    </w:p>
    <w:p w14:paraId="796D1F53" w14:textId="4E340979"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_Ref50030360 \h </w:instrText>
      </w:r>
      <w:r w:rsidR="002D38FC">
        <w:instrText xml:space="preserve"> \* MERGEFORMAT </w:instrText>
      </w:r>
      <w:r>
        <w:fldChar w:fldCharType="separate"/>
      </w:r>
      <w:r w:rsidRPr="00D174BF">
        <w:t>8.4.1 | TIP Schedule</w:t>
      </w:r>
      <w:r>
        <w:fldChar w:fldCharType="end"/>
      </w:r>
    </w:p>
    <w:p w14:paraId="2A94ED79" w14:textId="3D5C4B49"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_Ref50030363 \h </w:instrText>
      </w:r>
      <w:r w:rsidR="002D38FC">
        <w:instrText xml:space="preserve"> \* MERGEFORMAT </w:instrText>
      </w:r>
      <w:r>
        <w:fldChar w:fldCharType="separate"/>
      </w:r>
      <w:r>
        <w:t>8</w:t>
      </w:r>
      <w:r w:rsidRPr="00CD09C3">
        <w:t>.4.2 | Public Involvement</w:t>
      </w:r>
      <w:r>
        <w:fldChar w:fldCharType="end"/>
      </w:r>
    </w:p>
    <w:p w14:paraId="2DD3A56F" w14:textId="18C111AE"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_Ref50030369 \h </w:instrText>
      </w:r>
      <w:r w:rsidR="002D38FC">
        <w:instrText xml:space="preserve"> \* MERGEFORMAT </w:instrText>
      </w:r>
      <w:r>
        <w:fldChar w:fldCharType="separate"/>
      </w:r>
      <w:r w:rsidRPr="00CD09C3">
        <w:t>8.4.3 | Financial Constraints</w:t>
      </w:r>
      <w:r>
        <w:fldChar w:fldCharType="end"/>
      </w:r>
    </w:p>
    <w:p w14:paraId="2A81FFDA" w14:textId="41CFF1BD"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_Ref50030372 \h </w:instrText>
      </w:r>
      <w:r w:rsidR="002D38FC">
        <w:instrText xml:space="preserve"> \* MERGEFORMAT </w:instrText>
      </w:r>
      <w:r>
        <w:fldChar w:fldCharType="separate"/>
      </w:r>
      <w:r w:rsidRPr="00CD09C3">
        <w:t>8.4.4 | Project Selection Process</w:t>
      </w:r>
      <w:r>
        <w:fldChar w:fldCharType="end"/>
      </w:r>
    </w:p>
    <w:p w14:paraId="73D54BF6" w14:textId="6179BBF8"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_Ref50030376 \h </w:instrText>
      </w:r>
      <w:r w:rsidR="002D38FC">
        <w:instrText xml:space="preserve"> \* MERGEFORMAT </w:instrText>
      </w:r>
      <w:r>
        <w:fldChar w:fldCharType="separate"/>
      </w:r>
      <w:r w:rsidRPr="00CD09C3">
        <w:t>8.4.5 | Projects to be Included in the TIP</w:t>
      </w:r>
      <w:r>
        <w:fldChar w:fldCharType="end"/>
      </w:r>
    </w:p>
    <w:p w14:paraId="3A4F19DC" w14:textId="162D10E8"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_Ref50030384 \h </w:instrText>
      </w:r>
      <w:r w:rsidR="002D38FC">
        <w:instrText xml:space="preserve"> \* MERGEFORMAT </w:instrText>
      </w:r>
      <w:r>
        <w:fldChar w:fldCharType="separate"/>
      </w:r>
      <w:r w:rsidRPr="00CD09C3">
        <w:t>8.5 | YEARS TO BE COVERED</w:t>
      </w:r>
      <w:r>
        <w:fldChar w:fldCharType="end"/>
      </w:r>
    </w:p>
    <w:p w14:paraId="6666864D" w14:textId="59EE58C4"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_Ref50030387 \h </w:instrText>
      </w:r>
      <w:r w:rsidR="002D38FC">
        <w:instrText xml:space="preserve"> \* MERGEFORMAT </w:instrText>
      </w:r>
      <w:r>
        <w:fldChar w:fldCharType="separate"/>
      </w:r>
      <w:r w:rsidRPr="00CD09C3">
        <w:t>8.6 | RELATIONSHIP OF THE RTP</w:t>
      </w:r>
      <w:r>
        <w:fldChar w:fldCharType="end"/>
      </w:r>
    </w:p>
    <w:p w14:paraId="498225B7" w14:textId="27D031CB"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_Ref50030393 \h </w:instrText>
      </w:r>
      <w:r w:rsidR="002D38FC">
        <w:instrText xml:space="preserve"> \* MERGEFORMAT </w:instrText>
      </w:r>
      <w:r>
        <w:fldChar w:fldCharType="separate"/>
      </w:r>
      <w:r w:rsidRPr="00CD09C3">
        <w:t>8.7 | FORMAT &amp; CONTENT</w:t>
      </w:r>
      <w:r>
        <w:fldChar w:fldCharType="end"/>
      </w:r>
    </w:p>
    <w:p w14:paraId="7AFC41A1" w14:textId="7913035F" w:rsidR="00073CA6" w:rsidRDefault="00F076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_Ref50030853 \h </w:instrText>
      </w:r>
      <w:r w:rsidR="002D38FC">
        <w:instrText xml:space="preserve"> \* MERGEFORMAT </w:instrText>
      </w:r>
      <w:r>
        <w:fldChar w:fldCharType="separate"/>
      </w:r>
      <w:r>
        <w:t xml:space="preserve">8.7.1 | </w:t>
      </w:r>
      <w:r w:rsidRPr="008A48CD">
        <w:t>Introductory</w:t>
      </w:r>
      <w:r w:rsidRPr="00CD09C3">
        <w:t xml:space="preserve"> Materials</w:t>
      </w:r>
      <w:r>
        <w:fldChar w:fldCharType="end"/>
      </w:r>
    </w:p>
    <w:p w14:paraId="7196F4CA" w14:textId="6975506A"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_Ref50030398 \h </w:instrText>
      </w:r>
      <w:r w:rsidR="002D38FC">
        <w:instrText xml:space="preserve"> \* MERGEFORMAT </w:instrText>
      </w:r>
      <w:r>
        <w:fldChar w:fldCharType="separate"/>
      </w:r>
      <w:r w:rsidRPr="00CD09C3">
        <w:t>8.7.2 | Narrative</w:t>
      </w:r>
      <w:r>
        <w:fldChar w:fldCharType="end"/>
      </w:r>
    </w:p>
    <w:p w14:paraId="44F089AC" w14:textId="37901976" w:rsidR="001D3EE3" w:rsidRDefault="001D3EE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_Ref57988144 \h </w:instrText>
      </w:r>
      <w:r>
        <w:fldChar w:fldCharType="separate"/>
      </w:r>
      <w:r w:rsidRPr="00CD09C3">
        <w:t>8.7.3 | Detailed Project Listings for Five Fiscal Years</w:t>
      </w:r>
      <w:r>
        <w:fldChar w:fldCharType="end"/>
      </w:r>
    </w:p>
    <w:p w14:paraId="2255CB0F" w14:textId="56330F3D"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_Ref50030415 \h </w:instrText>
      </w:r>
      <w:r w:rsidR="002D38FC">
        <w:instrText xml:space="preserve"> \* MERGEFORMAT </w:instrText>
      </w:r>
      <w:r>
        <w:fldChar w:fldCharType="separate"/>
      </w:r>
      <w:r w:rsidRPr="00CD09C3">
        <w:t>8.8 | REVIEW PROCESS</w:t>
      </w:r>
      <w:r>
        <w:fldChar w:fldCharType="end"/>
      </w:r>
    </w:p>
    <w:p w14:paraId="66DDE1A8" w14:textId="7FDC7724"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_Ref50030420 \h </w:instrText>
      </w:r>
      <w:r w:rsidR="002D38FC">
        <w:instrText xml:space="preserve"> \* MERGEFORMAT </w:instrText>
      </w:r>
      <w:r>
        <w:fldChar w:fldCharType="separate"/>
      </w:r>
      <w:r w:rsidRPr="00CD09C3">
        <w:t>8.8.1 | Review by Federal Agencies</w:t>
      </w:r>
      <w:r>
        <w:fldChar w:fldCharType="end"/>
      </w:r>
    </w:p>
    <w:p w14:paraId="18F967CD" w14:textId="47D39411"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_Ref50030423 \h </w:instrText>
      </w:r>
      <w:r w:rsidR="002D38FC">
        <w:instrText xml:space="preserve"> \* MERGEFORMAT </w:instrText>
      </w:r>
      <w:r>
        <w:fldChar w:fldCharType="separate"/>
      </w:r>
      <w:r w:rsidRPr="00CD09C3">
        <w:t>8.8.2 | TIP Approval</w:t>
      </w:r>
      <w:r>
        <w:fldChar w:fldCharType="end"/>
      </w:r>
    </w:p>
    <w:p w14:paraId="6FED1ED9" w14:textId="1AE430E9"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_Ref50030426 \h </w:instrText>
      </w:r>
      <w:r w:rsidR="002D38FC">
        <w:instrText xml:space="preserve"> \* MERGEFORMAT </w:instrText>
      </w:r>
      <w:r>
        <w:fldChar w:fldCharType="separate"/>
      </w:r>
      <w:r w:rsidRPr="00CD09C3">
        <w:t>8.9 | AMENDMENTS</w:t>
      </w:r>
      <w:r>
        <w:fldChar w:fldCharType="end"/>
      </w:r>
    </w:p>
    <w:p w14:paraId="1E2F4A2C" w14:textId="3F35213A"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_Ref50030430 \h </w:instrText>
      </w:r>
      <w:r w:rsidR="002D38FC">
        <w:instrText xml:space="preserve"> \* MERGEFORMAT </w:instrText>
      </w:r>
      <w:r>
        <w:fldChar w:fldCharType="separate"/>
      </w:r>
      <w:r w:rsidRPr="00CD09C3">
        <w:t>8.9.1 | TIP Amendment Procedure</w:t>
      </w:r>
      <w:r>
        <w:fldChar w:fldCharType="end"/>
      </w:r>
    </w:p>
    <w:p w14:paraId="5073C812" w14:textId="74488BF4"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_Ref50030436 \h </w:instrText>
      </w:r>
      <w:r w:rsidR="002D38FC">
        <w:instrText xml:space="preserve"> \* MERGEFORMAT </w:instrText>
      </w:r>
      <w:r>
        <w:fldChar w:fldCharType="separate"/>
      </w:r>
      <w:r w:rsidRPr="00CD09C3">
        <w:t>8.10 | DETERMINING IF A TIP/STIP AMENDMENT IS REQUIRED</w:t>
      </w:r>
      <w:r>
        <w:fldChar w:fldCharType="end"/>
      </w:r>
    </w:p>
    <w:p w14:paraId="61CE92AF" w14:textId="1E2E0056"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_Ref50030445 \h </w:instrText>
      </w:r>
      <w:r w:rsidR="002D38FC">
        <w:instrText xml:space="preserve"> \* MERGEFORMAT </w:instrText>
      </w:r>
      <w:r>
        <w:fldChar w:fldCharType="separate"/>
      </w:r>
      <w:r w:rsidRPr="00CD09C3">
        <w:t>8.10.1 | Determining Amendment or Modification</w:t>
      </w:r>
      <w:r>
        <w:fldChar w:fldCharType="end"/>
      </w:r>
    </w:p>
    <w:p w14:paraId="6E62E05C" w14:textId="65CF9DE9"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_Ref50030448 \h </w:instrText>
      </w:r>
      <w:r w:rsidR="002D38FC">
        <w:instrText xml:space="preserve"> \* MERGEFORMAT </w:instrText>
      </w:r>
      <w:r>
        <w:fldChar w:fldCharType="separate"/>
      </w:r>
      <w:r w:rsidRPr="00CD09C3">
        <w:t>8.10.2 | Change Adds a New Individual Project</w:t>
      </w:r>
      <w:r>
        <w:fldChar w:fldCharType="end"/>
      </w:r>
    </w:p>
    <w:p w14:paraId="186C6533" w14:textId="68E9D619"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_Ref50030452 \h </w:instrText>
      </w:r>
      <w:r w:rsidR="002D38FC">
        <w:instrText xml:space="preserve"> \* MERGEFORMAT </w:instrText>
      </w:r>
      <w:r>
        <w:fldChar w:fldCharType="separate"/>
      </w:r>
      <w:r w:rsidRPr="00CD09C3">
        <w:t>8.10.3 | Change Adversely Impacts Financial Constraint</w:t>
      </w:r>
      <w:r>
        <w:fldChar w:fldCharType="end"/>
      </w:r>
    </w:p>
    <w:p w14:paraId="4306BC79" w14:textId="6DC770D8"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_Ref50030455 \h </w:instrText>
      </w:r>
      <w:r w:rsidR="002D38FC">
        <w:instrText xml:space="preserve"> \* MERGEFORMAT </w:instrText>
      </w:r>
      <w:r>
        <w:fldChar w:fldCharType="separate"/>
      </w:r>
      <w:r w:rsidRPr="00CD09C3">
        <w:t>8.10.4 | Change Results in Major Scope Changes</w:t>
      </w:r>
      <w:r>
        <w:fldChar w:fldCharType="end"/>
      </w:r>
    </w:p>
    <w:p w14:paraId="05F6BD6F" w14:textId="174100AA"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_Ref50030459 \h </w:instrText>
      </w:r>
      <w:r w:rsidR="002D38FC">
        <w:instrText xml:space="preserve"> \* MERGEFORMAT </w:instrText>
      </w:r>
      <w:r>
        <w:fldChar w:fldCharType="separate"/>
      </w:r>
      <w:r w:rsidRPr="00CD09C3">
        <w:t>8.10.5 | Change Deletes an Individually Listed Project</w:t>
      </w:r>
      <w:r>
        <w:fldChar w:fldCharType="end"/>
      </w:r>
    </w:p>
    <w:p w14:paraId="31A3D263" w14:textId="33C32657"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_Ref50030462 \h </w:instrText>
      </w:r>
      <w:r w:rsidR="002D38FC">
        <w:instrText xml:space="preserve"> \* MERGEFORMAT </w:instrText>
      </w:r>
      <w:r>
        <w:fldChar w:fldCharType="separate"/>
      </w:r>
      <w:r w:rsidRPr="00CD09C3">
        <w:t>8.10.6 | Change Results in a Cost Increase Greater Than 25 percent</w:t>
      </w:r>
      <w:r>
        <w:fldChar w:fldCharType="end"/>
      </w:r>
    </w:p>
    <w:p w14:paraId="6F2B4001" w14:textId="60A2B45D" w:rsidR="00903FB3" w:rsidRDefault="00903FB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_Ref50030468 \h </w:instrText>
      </w:r>
      <w:r w:rsidR="002D38FC">
        <w:instrText xml:space="preserve"> \* MERGEFORMAT </w:instrText>
      </w:r>
      <w:r>
        <w:fldChar w:fldCharType="separate"/>
      </w:r>
      <w:r w:rsidRPr="00CD09C3">
        <w:t>8.10.7 | Contents of TIP/STIP Amendment Package</w:t>
      </w:r>
      <w:r>
        <w:fldChar w:fldCharType="end"/>
      </w:r>
    </w:p>
    <w:p w14:paraId="777DE55B" w14:textId="5CEE4F0A" w:rsidR="004576F5" w:rsidRDefault="004576F5"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_Ref50030977 \h </w:instrText>
      </w:r>
      <w:r w:rsidR="002D38FC">
        <w:instrText xml:space="preserve"> \* MERGEFORMAT </w:instrText>
      </w:r>
      <w:r>
        <w:fldChar w:fldCharType="separate"/>
      </w:r>
      <w:r>
        <w:t>8.11</w:t>
      </w:r>
      <w:r w:rsidRPr="00CD09C3">
        <w:t xml:space="preserve"> | </w:t>
      </w:r>
      <w:r>
        <w:t>STANDARD WORK IN ESTIP</w:t>
      </w:r>
      <w:r>
        <w:fldChar w:fldCharType="end"/>
      </w:r>
    </w:p>
    <w:p w14:paraId="110ECE15" w14:textId="77777777" w:rsidR="00492D0B" w:rsidRDefault="00A93F3E"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A429CC">
          <w:footerReference w:type="default" r:id="rId500"/>
          <w:pgSz w:w="12240" w:h="15840"/>
          <w:pgMar w:top="1440" w:right="1440" w:bottom="1440" w:left="1440" w:header="720" w:footer="720" w:gutter="0"/>
          <w:pgNumType w:start="1" w:chapStyle="1"/>
          <w:cols w:space="720"/>
          <w:docGrid w:linePitch="360"/>
        </w:sectPr>
      </w:pPr>
      <w:r>
        <w:br w:type="page"/>
      </w:r>
    </w:p>
    <w:p w14:paraId="1C9E309E" w14:textId="5C0C6A1C" w:rsidR="00D174BF" w:rsidRPr="00020D20" w:rsidRDefault="00D174BF" w:rsidP="00020D20">
      <w:pPr>
        <w:pStyle w:val="Heading1"/>
        <w:tabs>
          <w:tab w:val="left" w:pos="360"/>
        </w:tabs>
        <w:jc w:val="both"/>
      </w:pPr>
      <w:bookmarkStart w:id="249" w:name="_|_Transportation_Improvement"/>
      <w:bookmarkStart w:id="250" w:name="_Toc49862235"/>
      <w:bookmarkStart w:id="251" w:name="_Toc49870628"/>
      <w:bookmarkStart w:id="252" w:name="_Toc50540224"/>
      <w:bookmarkEnd w:id="249"/>
      <w:r w:rsidRPr="00D174BF">
        <w:t>|</w:t>
      </w:r>
      <w:r w:rsidR="000E518A">
        <w:t xml:space="preserve"> </w:t>
      </w:r>
      <w:r w:rsidRPr="00D174BF">
        <w:t>Transportation Improvement Program</w:t>
      </w:r>
      <w:bookmarkEnd w:id="250"/>
      <w:bookmarkEnd w:id="251"/>
      <w:bookmarkEnd w:id="252"/>
      <w:r w:rsidRPr="00020D20">
        <w:t xml:space="preserve"> </w:t>
      </w:r>
    </w:p>
    <w:p w14:paraId="5499554F" w14:textId="77777777" w:rsidR="00354355" w:rsidRDefault="00354355" w:rsidP="00020D20">
      <w:pPr>
        <w:pStyle w:val="Heading1"/>
        <w:jc w:val="both"/>
        <w:sectPr w:rsidR="00354355" w:rsidSect="00020D20">
          <w:footerReference w:type="default" r:id="rId501"/>
          <w:type w:val="continuous"/>
          <w:pgSz w:w="12240" w:h="15840"/>
          <w:pgMar w:top="1440" w:right="1440" w:bottom="1440" w:left="1440" w:header="720" w:footer="720" w:gutter="0"/>
          <w:pgNumType w:start="1" w:chapStyle="1"/>
          <w:cols w:space="720"/>
          <w:docGrid w:linePitch="360"/>
        </w:sectPr>
      </w:pPr>
    </w:p>
    <w:p w14:paraId="16F2AA9C" w14:textId="5CBCDDE4" w:rsidR="00D174BF" w:rsidRPr="00D174BF" w:rsidRDefault="00D174BF" w:rsidP="00020D20">
      <w:pPr>
        <w:pStyle w:val="Heading2"/>
      </w:pPr>
      <w:bookmarkStart w:id="253" w:name="_Ref50030337"/>
      <w:r w:rsidRPr="00D174BF">
        <w:t>8.1 | PURPOSE</w:t>
      </w:r>
      <w:bookmarkEnd w:id="253"/>
    </w:p>
    <w:p w14:paraId="7687F085" w14:textId="77777777" w:rsidR="00D174BF" w:rsidRPr="00D174BF" w:rsidRDefault="00D174BF" w:rsidP="00020D20">
      <w:pPr>
        <w:jc w:val="both"/>
        <w:rPr>
          <w:rFonts w:cstheme="minorHAnsi"/>
        </w:rPr>
      </w:pPr>
      <w:r w:rsidRPr="00D174BF">
        <w:rPr>
          <w:rFonts w:cstheme="minorHAnsi"/>
        </w:rPr>
        <w:t xml:space="preserve">This chapter provides guidance to MPOs/COGs on reviewing, processing, and amending TIPs. </w:t>
      </w:r>
    </w:p>
    <w:p w14:paraId="582313F4" w14:textId="77777777" w:rsidR="00D174BF" w:rsidRPr="00D174BF" w:rsidRDefault="00D174BF" w:rsidP="00020D20">
      <w:pPr>
        <w:pStyle w:val="Heading2"/>
      </w:pPr>
      <w:bookmarkStart w:id="254" w:name="_Ref50030341"/>
      <w:r w:rsidRPr="00D174BF">
        <w:t>8.2 | AUTHORITY</w:t>
      </w:r>
      <w:bookmarkEnd w:id="254"/>
    </w:p>
    <w:p w14:paraId="54C1585F" w14:textId="77777777" w:rsidR="00D174BF" w:rsidRPr="00D174BF" w:rsidRDefault="00D174BF" w:rsidP="00020D20">
      <w:pPr>
        <w:jc w:val="both"/>
        <w:rPr>
          <w:rFonts w:cstheme="minorHAnsi"/>
        </w:rPr>
      </w:pPr>
      <w:r w:rsidRPr="00D174BF">
        <w:rPr>
          <w:rFonts w:cstheme="minorHAnsi"/>
        </w:rPr>
        <w:t>Table 8-1 displays the laws and regulations that specify the requirements of a TIP.</w:t>
      </w:r>
    </w:p>
    <w:p w14:paraId="18682176" w14:textId="77777777" w:rsidR="00D174BF" w:rsidRPr="00D174BF" w:rsidRDefault="00D174BF" w:rsidP="00020D20">
      <w:pPr>
        <w:pStyle w:val="Heading2"/>
      </w:pPr>
      <w:bookmarkStart w:id="255" w:name="_Ref50030345"/>
      <w:r w:rsidRPr="00D174BF">
        <w:t>8.3 | SCOPE</w:t>
      </w:r>
      <w:bookmarkEnd w:id="255"/>
    </w:p>
    <w:p w14:paraId="6DD86363" w14:textId="2C82BA75" w:rsidR="00D174BF" w:rsidRPr="00D174BF" w:rsidRDefault="0051438A" w:rsidP="00020D20">
      <w:pPr>
        <w:jc w:val="both"/>
        <w:rPr>
          <w:rFonts w:cstheme="minorHAnsi"/>
        </w:rPr>
      </w:pPr>
      <w:r>
        <w:rPr>
          <w:rFonts w:cstheme="minorHAnsi"/>
          <w:noProof/>
        </w:rPr>
        <mc:AlternateContent>
          <mc:Choice Requires="wps">
            <w:drawing>
              <wp:anchor distT="0" distB="0" distL="114300" distR="114300" simplePos="0" relativeHeight="251618436" behindDoc="1" locked="0" layoutInCell="1" allowOverlap="1" wp14:anchorId="665C48E4" wp14:editId="15F61EDA">
                <wp:simplePos x="0" y="0"/>
                <wp:positionH relativeFrom="column">
                  <wp:posOffset>1526540</wp:posOffset>
                </wp:positionH>
                <wp:positionV relativeFrom="paragraph">
                  <wp:posOffset>1247775</wp:posOffset>
                </wp:positionV>
                <wp:extent cx="1035050" cy="1257300"/>
                <wp:effectExtent l="76200" t="76200" r="69850" b="76200"/>
                <wp:wrapTight wrapText="bothSides">
                  <wp:wrapPolygon edited="0">
                    <wp:start x="-1193" y="-1309"/>
                    <wp:lineTo x="-1590" y="-982"/>
                    <wp:lineTo x="-1590" y="21273"/>
                    <wp:lineTo x="-1193" y="22582"/>
                    <wp:lineTo x="22660" y="22582"/>
                    <wp:lineTo x="22660" y="4255"/>
                    <wp:lineTo x="22263" y="-655"/>
                    <wp:lineTo x="22263" y="-1309"/>
                    <wp:lineTo x="-1193" y="-1309"/>
                  </wp:wrapPolygon>
                </wp:wrapTight>
                <wp:docPr id="222" name="Text Box 222"/>
                <wp:cNvGraphicFramePr/>
                <a:graphic xmlns:a="http://schemas.openxmlformats.org/drawingml/2006/main">
                  <a:graphicData uri="http://schemas.microsoft.com/office/word/2010/wordprocessingShape">
                    <wps:wsp>
                      <wps:cNvSpPr txBox="1"/>
                      <wps:spPr>
                        <a:xfrm>
                          <a:off x="0" y="0"/>
                          <a:ext cx="1035050" cy="1257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501CB40" w14:textId="77777777" w:rsidR="00C6444C" w:rsidRDefault="00C6444C" w:rsidP="00020D20">
                            <w:pPr>
                              <w:jc w:val="center"/>
                            </w:pPr>
                            <w:r>
                              <w:rPr>
                                <w:noProof/>
                              </w:rPr>
                              <w:drawing>
                                <wp:inline distT="0" distB="0" distL="0" distR="0" wp14:anchorId="0B3DB111" wp14:editId="58BE9664">
                                  <wp:extent cx="457200" cy="457200"/>
                                  <wp:effectExtent l="0" t="0" r="0" b="0"/>
                                  <wp:docPr id="816286043" name="Picture 816286043">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FC2D751" w14:textId="0120A036" w:rsidR="00C6444C" w:rsidRPr="00020D20" w:rsidRDefault="00202C92">
                            <w:pPr>
                              <w:pStyle w:val="Title"/>
                              <w:rPr>
                                <w:sz w:val="16"/>
                                <w:szCs w:val="16"/>
                              </w:rPr>
                            </w:pPr>
                            <w:hyperlink r:id="rId502" w:history="1">
                              <w:r w:rsidR="00C6444C" w:rsidRPr="00020D20">
                                <w:rPr>
                                  <w:rStyle w:val="TitleChar"/>
                                  <w:sz w:val="16"/>
                                  <w:szCs w:val="16"/>
                                </w:rPr>
                                <w:t>ADOT, MPO, and COG Guidelines and Procedures Manual</w:t>
                              </w:r>
                            </w:hyperlink>
                            <w:r w:rsidR="00C6444C" w:rsidRPr="00020D20">
                              <w:rPr>
                                <w:rStyle w:val="TitleChar"/>
                                <w:sz w:val="16"/>
                                <w:szCs w:val="16"/>
                              </w:rPr>
                              <w:t xml:space="preserve">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5C48E4" id="Text Box 222" o:spid="_x0000_s1154" type="#_x0000_t202" style="position:absolute;left:0;text-align:left;margin-left:120.2pt;margin-top:98.25pt;width:81.5pt;height:99pt;z-index:-251698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" fillcolor="#f7f7f7" stroked="f" strokeweight=".5pt">
                <v:shadow on="t" type="perspective" color="black" opacity="26214f" offset="0,0" matrix="66847f,,,66847f"/>
                <v:textbox>
                  <w:txbxContent>
                    <w:p w14:paraId="5501CB40" w14:textId="77777777" w:rsidR="00C6444C" w:rsidRDefault="00C6444C" w:rsidP="00020D20">
                      <w:pPr>
                        <w:jc w:val="center"/>
                      </w:pPr>
                      <w:r>
                        <w:rPr>
                          <w:noProof/>
                        </w:rPr>
                        <w:drawing>
                          <wp:inline distT="0" distB="0" distL="0" distR="0" wp14:anchorId="0B3DB111" wp14:editId="58BE9664">
                            <wp:extent cx="457200" cy="457200"/>
                            <wp:effectExtent l="0" t="0" r="0" b="0"/>
                            <wp:docPr id="816286043" name="Picture 816286043">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FC2D751" w14:textId="0120A036" w:rsidR="00C6444C" w:rsidRPr="00020D20" w:rsidRDefault="00C6444C">
                      <w:pPr>
                        <w:pStyle w:val="Title"/>
                        <w:rPr>
                          <w:sz w:val="16"/>
                          <w:szCs w:val="16"/>
                        </w:rPr>
                      </w:pPr>
                      <w:hyperlink r:id="rId503" w:history="1">
                        <w:r w:rsidRPr="00020D20">
                          <w:rPr>
                            <w:rStyle w:val="TitleChar"/>
                            <w:sz w:val="16"/>
                            <w:szCs w:val="16"/>
                          </w:rPr>
                          <w:t>ADOT, MPO, and COG Guidelines and Procedures Manual</w:t>
                        </w:r>
                      </w:hyperlink>
                      <w:r w:rsidRPr="00020D20">
                        <w:rPr>
                          <w:rStyle w:val="TitleChar"/>
                          <w:sz w:val="16"/>
                          <w:szCs w:val="16"/>
                        </w:rPr>
                        <w:t xml:space="preserve"> Website</w:t>
                      </w:r>
                    </w:p>
                  </w:txbxContent>
                </v:textbox>
                <w10:wrap type="tight"/>
              </v:shape>
            </w:pict>
          </mc:Fallback>
        </mc:AlternateContent>
      </w:r>
      <w:r w:rsidR="00D174BF" w:rsidRPr="00D174BF">
        <w:rPr>
          <w:rFonts w:cstheme="minorHAnsi"/>
        </w:rPr>
        <w:t>This chapter facilitates department planning, program development and environmental management in ADOT and may be used by MPO/COG staff as a guideline for the requirements of developing a TIP</w:t>
      </w:r>
      <w:r w:rsidR="00F87671">
        <w:rPr>
          <w:rFonts w:cstheme="minorHAnsi"/>
        </w:rPr>
        <w:t xml:space="preserve"> and entering all projects and TIP action into the electronic </w:t>
      </w:r>
      <w:r w:rsidR="002F3D9D">
        <w:rPr>
          <w:rFonts w:cstheme="minorHAnsi"/>
        </w:rPr>
        <w:t>STIP (</w:t>
      </w:r>
      <w:r w:rsidR="000F68E4">
        <w:rPr>
          <w:rFonts w:cstheme="minorHAnsi"/>
        </w:rPr>
        <w:t>ESTIP</w:t>
      </w:r>
      <w:r w:rsidR="00F87671">
        <w:rPr>
          <w:rFonts w:cstheme="minorHAnsi"/>
        </w:rPr>
        <w:t xml:space="preserve">). Standard work that includes instructions for the most common actions in </w:t>
      </w:r>
      <w:r w:rsidR="000F68E4">
        <w:rPr>
          <w:rFonts w:cstheme="minorHAnsi"/>
        </w:rPr>
        <w:t>ESTIP</w:t>
      </w:r>
      <w:r w:rsidR="00F87671">
        <w:rPr>
          <w:rFonts w:cstheme="minorHAnsi"/>
        </w:rPr>
        <w:t xml:space="preserve"> can be found in the links on the</w:t>
      </w:r>
      <w:r w:rsidR="00F87671" w:rsidRPr="00F87671">
        <w:t xml:space="preserve"> </w:t>
      </w:r>
      <w:r w:rsidR="00F87671">
        <w:t xml:space="preserve">website for the </w:t>
      </w:r>
      <w:hyperlink r:id="rId504" w:history="1">
        <w:r w:rsidR="00F87671" w:rsidRPr="00020D20">
          <w:rPr>
            <w:rStyle w:val="TitleChar"/>
          </w:rPr>
          <w:t>ADOT, MPO, and COG Guidelines and Procedures Manual</w:t>
        </w:r>
      </w:hyperlink>
      <w:r w:rsidR="00F87671" w:rsidRPr="00020D20">
        <w:rPr>
          <w:rStyle w:val="TitleChar"/>
        </w:rPr>
        <w:t xml:space="preserve"> </w:t>
      </w:r>
      <w:r w:rsidR="00F87671">
        <w:rPr>
          <w:rFonts w:cstheme="minorHAnsi"/>
        </w:rPr>
        <w:t>.</w:t>
      </w:r>
    </w:p>
    <w:p w14:paraId="2169BDA9" w14:textId="77777777" w:rsidR="00D174BF" w:rsidRPr="00D174BF" w:rsidRDefault="00D174BF" w:rsidP="00020D20">
      <w:pPr>
        <w:pStyle w:val="Heading2"/>
      </w:pPr>
      <w:bookmarkStart w:id="256" w:name="_Ref50030356"/>
      <w:r w:rsidRPr="00D174BF">
        <w:t>8.4 | TIP LEGAL REQUIREMENTS</w:t>
      </w:r>
      <w:bookmarkEnd w:id="256"/>
    </w:p>
    <w:p w14:paraId="4FE561CC" w14:textId="2C1E3C34" w:rsidR="00D760D3" w:rsidRDefault="00D174BF" w:rsidP="00020D20">
      <w:pPr>
        <w:jc w:val="both"/>
        <w:rPr>
          <w:rFonts w:cstheme="minorHAnsi"/>
        </w:rPr>
      </w:pPr>
      <w:r w:rsidRPr="00D174BF">
        <w:rPr>
          <w:rFonts w:cstheme="minorHAnsi"/>
        </w:rPr>
        <w:t xml:space="preserve">The MPO is required by </w:t>
      </w:r>
      <w:hyperlink r:id="rId505" w:history="1">
        <w:r w:rsidRPr="00020D20">
          <w:rPr>
            <w:rStyle w:val="TitleChar"/>
          </w:rPr>
          <w:t>23 U.S.C. § 134(j)</w:t>
        </w:r>
      </w:hyperlink>
      <w:r w:rsidRPr="00D174BF">
        <w:rPr>
          <w:rFonts w:cstheme="minorHAnsi"/>
        </w:rPr>
        <w:t xml:space="preserve"> to develop a TIP. The TIP is the primary document to communicate to the public the ways that public (and private) dollars are allocated and spent. This listing of projects must be displayed in a manner that is understandable by the public, as the public is the intended audience of the TIP. The </w:t>
      </w:r>
      <w:r w:rsidR="009628C0">
        <w:rPr>
          <w:rFonts w:cstheme="minorHAnsi"/>
        </w:rPr>
        <w:t xml:space="preserve">C.F.R. </w:t>
      </w:r>
      <w:r w:rsidRPr="00D174BF">
        <w:rPr>
          <w:rFonts w:cstheme="minorHAnsi"/>
        </w:rPr>
        <w:t>defines the TIP as a “prioritized listing/program of transportation projects covering a period of four years that is developed and formally adopted by an MPO as part of the metropolitan transportation planning process, consistent with the metropolitan transportation plan, and required for projects to be eligible for funding under title 23 U.S.C. and title 49 U.S.C. Chapter 53” (</w:t>
      </w:r>
      <w:hyperlink r:id="rId506" w:history="1">
        <w:r w:rsidRPr="00020D20">
          <w:rPr>
            <w:rStyle w:val="TitleChar"/>
          </w:rPr>
          <w:t xml:space="preserve">23 </w:t>
        </w:r>
        <w:r w:rsidR="009628C0">
          <w:rPr>
            <w:rStyle w:val="TitleChar"/>
          </w:rPr>
          <w:t xml:space="preserve">C.F.R. </w:t>
        </w:r>
        <w:r w:rsidRPr="00020D20">
          <w:rPr>
            <w:rStyle w:val="TitleChar"/>
          </w:rPr>
          <w:t>§ 450.104</w:t>
        </w:r>
      </w:hyperlink>
      <w:r w:rsidRPr="00D174BF">
        <w:rPr>
          <w:rFonts w:cstheme="minorHAnsi"/>
        </w:rPr>
        <w:t xml:space="preserve">). The </w:t>
      </w:r>
      <w:r w:rsidR="000738DF">
        <w:rPr>
          <w:rFonts w:cstheme="minorHAnsi"/>
        </w:rPr>
        <w:t xml:space="preserve">MPO, </w:t>
      </w:r>
      <w:r w:rsidRPr="00D174BF">
        <w:rPr>
          <w:rFonts w:cstheme="minorHAnsi"/>
        </w:rPr>
        <w:t xml:space="preserve">in cooperation with </w:t>
      </w:r>
      <w:r w:rsidR="000738DF">
        <w:rPr>
          <w:rFonts w:cstheme="minorHAnsi"/>
        </w:rPr>
        <w:t>the State</w:t>
      </w:r>
      <w:r w:rsidRPr="00D174BF">
        <w:rPr>
          <w:rFonts w:cstheme="minorHAnsi"/>
        </w:rPr>
        <w:t xml:space="preserve"> and</w:t>
      </w:r>
      <w:r w:rsidR="000738DF">
        <w:rPr>
          <w:rFonts w:cstheme="minorHAnsi"/>
        </w:rPr>
        <w:t xml:space="preserve"> any affected</w:t>
      </w:r>
      <w:r w:rsidRPr="00D174BF">
        <w:rPr>
          <w:rFonts w:cstheme="minorHAnsi"/>
        </w:rPr>
        <w:t xml:space="preserve"> public trans</w:t>
      </w:r>
      <w:r w:rsidR="000738DF">
        <w:rPr>
          <w:rFonts w:cstheme="minorHAnsi"/>
        </w:rPr>
        <w:t xml:space="preserve">portation </w:t>
      </w:r>
      <w:r w:rsidRPr="00D174BF">
        <w:rPr>
          <w:rFonts w:cstheme="minorHAnsi"/>
        </w:rPr>
        <w:t>operator</w:t>
      </w:r>
      <w:r w:rsidR="000738DF">
        <w:rPr>
          <w:rFonts w:cstheme="minorHAnsi"/>
        </w:rPr>
        <w:t>(</w:t>
      </w:r>
      <w:r w:rsidRPr="00D174BF">
        <w:rPr>
          <w:rFonts w:cstheme="minorHAnsi"/>
        </w:rPr>
        <w:t>s</w:t>
      </w:r>
      <w:r w:rsidR="000738DF">
        <w:rPr>
          <w:rFonts w:cstheme="minorHAnsi"/>
        </w:rPr>
        <w:t>), shall develop a TIP for the metropolitan planning area</w:t>
      </w:r>
      <w:r w:rsidRPr="00D174BF">
        <w:rPr>
          <w:rFonts w:cstheme="minorHAnsi"/>
        </w:rPr>
        <w:t xml:space="preserve"> (</w:t>
      </w:r>
      <w:hyperlink r:id="rId507" w:history="1">
        <w:r w:rsidR="002B1718" w:rsidRPr="00020D20">
          <w:rPr>
            <w:rStyle w:val="TitleChar"/>
          </w:rPr>
          <w:t xml:space="preserve">23 </w:t>
        </w:r>
        <w:r w:rsidR="009628C0">
          <w:rPr>
            <w:rStyle w:val="TitleChar"/>
          </w:rPr>
          <w:t xml:space="preserve">C.F.R. </w:t>
        </w:r>
        <w:r w:rsidR="002B1718" w:rsidRPr="00020D20">
          <w:rPr>
            <w:rStyle w:val="TitleChar"/>
          </w:rPr>
          <w:t>§ 450.326(a)</w:t>
        </w:r>
      </w:hyperlink>
      <w:r w:rsidRPr="00D174BF">
        <w:rPr>
          <w:rFonts w:cstheme="minorHAnsi"/>
        </w:rPr>
        <w:t>).</w:t>
      </w:r>
      <w:r w:rsidR="0066687A" w:rsidRPr="0066687A">
        <w:rPr>
          <w:rFonts w:cstheme="minorHAnsi"/>
        </w:rPr>
        <w:t xml:space="preserve"> </w:t>
      </w:r>
    </w:p>
    <w:p w14:paraId="3FCB533F" w14:textId="3968E5DE" w:rsidR="0066687A" w:rsidRPr="00D174BF" w:rsidRDefault="0066687A" w:rsidP="00020D20">
      <w:pPr>
        <w:jc w:val="both"/>
        <w:rPr>
          <w:rFonts w:cstheme="minorHAnsi"/>
        </w:rPr>
      </w:pPr>
      <w:r w:rsidRPr="00D174BF">
        <w:rPr>
          <w:rFonts w:cstheme="minorHAnsi"/>
        </w:rPr>
        <w:t xml:space="preserve">COGs in Arizona are required to produce a TIP because they use and manage federal funds, much like an MPO does. The </w:t>
      </w:r>
      <w:r w:rsidR="00BD216C">
        <w:rPr>
          <w:rFonts w:cstheme="minorHAnsi"/>
        </w:rPr>
        <w:t>GRT</w:t>
      </w:r>
      <w:r w:rsidRPr="00D174BF">
        <w:rPr>
          <w:rFonts w:cstheme="minorHAnsi"/>
        </w:rPr>
        <w:t xml:space="preserve"> that the COGs sign establishes the agreement and requirement for COGs to develop and manage a TIP.</w:t>
      </w:r>
    </w:p>
    <w:p w14:paraId="5260851A" w14:textId="77777777" w:rsidR="007B1806" w:rsidRPr="00D174BF" w:rsidRDefault="007B1806" w:rsidP="00020D20">
      <w:pPr>
        <w:pStyle w:val="Heading3"/>
        <w:jc w:val="both"/>
      </w:pPr>
      <w:bookmarkStart w:id="257" w:name="_Ref50030360"/>
      <w:r w:rsidRPr="00D174BF">
        <w:t>8.4.1 | TIP Schedule</w:t>
      </w:r>
      <w:bookmarkEnd w:id="257"/>
    </w:p>
    <w:p w14:paraId="5BDF196D" w14:textId="74AE4337" w:rsidR="007B1806" w:rsidRDefault="007B1806" w:rsidP="00020D20">
      <w:pPr>
        <w:jc w:val="both"/>
        <w:rPr>
          <w:rFonts w:cstheme="minorHAnsi"/>
        </w:rPr>
        <w:sectPr w:rsidR="007B1806" w:rsidSect="008E695B">
          <w:type w:val="continuous"/>
          <w:pgSz w:w="12240" w:h="15840"/>
          <w:pgMar w:top="1440" w:right="1440" w:bottom="1440" w:left="1440" w:header="720" w:footer="720" w:gutter="0"/>
          <w:cols w:num="2" w:space="720"/>
          <w:docGrid w:linePitch="360"/>
        </w:sectPr>
      </w:pPr>
      <w:r w:rsidRPr="00D174BF">
        <w:rPr>
          <w:rFonts w:cstheme="minorHAnsi"/>
        </w:rPr>
        <w:t>The schedule for the development of the TIP must be compatible with the schedule for the development of ADOT’s STIP because the TIP is</w:t>
      </w:r>
      <w:r w:rsidRPr="000B1779">
        <w:rPr>
          <w:rFonts w:cstheme="minorHAnsi"/>
        </w:rPr>
        <w:t xml:space="preserve"> </w:t>
      </w:r>
      <w:r w:rsidRPr="00D174BF">
        <w:rPr>
          <w:rFonts w:cstheme="minorHAnsi"/>
        </w:rPr>
        <w:t>incorporated into the STIP (</w:t>
      </w:r>
      <w:hyperlink r:id="rId508" w:history="1">
        <w:r w:rsidR="002B1718" w:rsidRPr="00020D20">
          <w:rPr>
            <w:rStyle w:val="TitleChar"/>
          </w:rPr>
          <w:t>23 U.S.C. § 135(g)(5)(D)(i)</w:t>
        </w:r>
      </w:hyperlink>
      <w:r w:rsidRPr="00D174BF">
        <w:rPr>
          <w:rFonts w:cstheme="minorHAnsi"/>
        </w:rPr>
        <w:t xml:space="preserve">; </w:t>
      </w:r>
      <w:hyperlink r:id="rId509" w:history="1">
        <w:r w:rsidRPr="00020D20">
          <w:rPr>
            <w:rStyle w:val="TitleChar"/>
          </w:rPr>
          <w:t xml:space="preserve">23 </w:t>
        </w:r>
        <w:r w:rsidR="009628C0">
          <w:rPr>
            <w:rStyle w:val="TitleChar"/>
          </w:rPr>
          <w:t xml:space="preserve">C.F.R. </w:t>
        </w:r>
        <w:r w:rsidRPr="00020D20">
          <w:rPr>
            <w:rStyle w:val="TitleChar"/>
          </w:rPr>
          <w:t>§ 450.216(b)</w:t>
        </w:r>
      </w:hyperlink>
      <w:r w:rsidRPr="00D174BF">
        <w:rPr>
          <w:rFonts w:cstheme="minorHAnsi"/>
        </w:rPr>
        <w:t>). FHWA and FTA make a joint finding that each TIP is consistent with</w:t>
      </w:r>
      <w:r w:rsidRPr="0066687A">
        <w:rPr>
          <w:rFonts w:cstheme="minorHAnsi"/>
        </w:rPr>
        <w:t xml:space="preserve"> </w:t>
      </w:r>
      <w:r w:rsidRPr="00D174BF">
        <w:rPr>
          <w:rFonts w:cstheme="minorHAnsi"/>
        </w:rPr>
        <w:t>the RTP. FHWA and FTA base their findings on the self-certification statement submitted by the State and the MPO, their review of the RTP, and other reviews that they deem necessary (</w:t>
      </w:r>
      <w:hyperlink r:id="rId510" w:history="1">
        <w:r w:rsidRPr="00020D20">
          <w:rPr>
            <w:rStyle w:val="TitleChar"/>
          </w:rPr>
          <w:t xml:space="preserve">23 </w:t>
        </w:r>
        <w:r w:rsidR="009628C0">
          <w:rPr>
            <w:rStyle w:val="TitleChar"/>
          </w:rPr>
          <w:t xml:space="preserve">C.F.R. </w:t>
        </w:r>
        <w:r w:rsidRPr="00020D20">
          <w:rPr>
            <w:rStyle w:val="TitleChar"/>
          </w:rPr>
          <w:t>§ 450.328(a)</w:t>
        </w:r>
      </w:hyperlink>
      <w:r w:rsidRPr="00D174BF">
        <w:rPr>
          <w:rFonts w:cstheme="minorHAnsi"/>
        </w:rPr>
        <w:t>). COGs are not required to submit a self-certification statement as they do not certify themselves.</w:t>
      </w:r>
    </w:p>
    <w:p w14:paraId="1FF3F1F6" w14:textId="2785CAE7" w:rsidR="004730FF" w:rsidRDefault="008E695B" w:rsidP="00020D20">
      <w:pPr>
        <w:pStyle w:val="Heading4"/>
        <w:jc w:val="both"/>
      </w:pPr>
      <w:r>
        <w:rPr>
          <w:rFonts w:cstheme="minorHAnsi"/>
        </w:rPr>
        <w:br w:type="column"/>
      </w:r>
      <w:r w:rsidR="004730FF" w:rsidRPr="00D174BF">
        <w:t>Table 8-1 | Authority</w:t>
      </w:r>
    </w:p>
    <w:tbl>
      <w:tblPr>
        <w:tblW w:w="9360" w:type="dxa"/>
        <w:tblInd w:w="-10" w:type="dxa"/>
        <w:tblLayout w:type="fixed"/>
        <w:tblCellMar>
          <w:left w:w="0" w:type="dxa"/>
          <w:right w:w="0" w:type="dxa"/>
        </w:tblCellMar>
        <w:tblLook w:val="0000" w:firstRow="0" w:lastRow="0" w:firstColumn="0" w:lastColumn="0" w:noHBand="0" w:noVBand="0"/>
      </w:tblPr>
      <w:tblGrid>
        <w:gridCol w:w="360"/>
        <w:gridCol w:w="2340"/>
        <w:gridCol w:w="6660"/>
      </w:tblGrid>
      <w:tr w:rsidR="00D174BF" w:rsidRPr="00D174BF" w14:paraId="12574C4A" w14:textId="77777777" w:rsidTr="00020D20">
        <w:trPr>
          <w:cantSplit/>
          <w:trHeight w:val="116"/>
        </w:trPr>
        <w:tc>
          <w:tcPr>
            <w:tcW w:w="2700"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41866EB1" w14:textId="7C694F89" w:rsidR="00D174BF" w:rsidRPr="00465C31" w:rsidRDefault="00D174BF" w:rsidP="00020D20">
            <w:pPr>
              <w:spacing w:before="0" w:after="0" w:line="240" w:lineRule="auto"/>
              <w:jc w:val="center"/>
            </w:pPr>
            <w:r w:rsidRPr="00465C31">
              <w:t>Code</w:t>
            </w:r>
          </w:p>
        </w:tc>
        <w:tc>
          <w:tcPr>
            <w:tcW w:w="6660"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5D514880" w14:textId="77777777" w:rsidR="00D174BF" w:rsidRPr="00465C31" w:rsidRDefault="00D174BF" w:rsidP="00020D20">
            <w:pPr>
              <w:spacing w:before="0" w:after="0" w:line="240" w:lineRule="auto"/>
              <w:jc w:val="center"/>
            </w:pPr>
            <w:r w:rsidRPr="00465C31">
              <w:t>Description</w:t>
            </w:r>
          </w:p>
        </w:tc>
      </w:tr>
      <w:tr w:rsidR="00D174BF" w:rsidRPr="00D174BF" w14:paraId="4EB515A6" w14:textId="77777777" w:rsidTr="00020D20">
        <w:trPr>
          <w:cantSplit/>
          <w:trHeight w:val="20"/>
        </w:trPr>
        <w:tc>
          <w:tcPr>
            <w:tcW w:w="360" w:type="dxa"/>
            <w:vMerge w:val="restart"/>
            <w:tcBorders>
              <w:top w:val="single" w:sz="4" w:space="0" w:color="FFFFFF" w:themeColor="background1"/>
              <w:left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0B7B0567" w14:textId="0B80ED83" w:rsidR="00D174BF" w:rsidRPr="00465C31" w:rsidRDefault="00D174BF" w:rsidP="00020D20">
            <w:pPr>
              <w:spacing w:before="0" w:after="0" w:line="240" w:lineRule="auto"/>
              <w:jc w:val="center"/>
            </w:pPr>
            <w:r w:rsidRPr="00465C31">
              <w:t>Federal</w:t>
            </w:r>
          </w:p>
        </w:tc>
        <w:tc>
          <w:tcPr>
            <w:tcW w:w="23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98B00EF" w14:textId="0EEC8C3F" w:rsidR="00D174BF" w:rsidRPr="006D3DB7" w:rsidRDefault="00202C92">
            <w:pPr>
              <w:pStyle w:val="Title"/>
              <w:rPr>
                <w:sz w:val="18"/>
              </w:rPr>
            </w:pPr>
            <w:hyperlink r:id="rId511" w:history="1">
              <w:r w:rsidR="006D3DB7" w:rsidRPr="006D3DB7">
                <w:rPr>
                  <w:rStyle w:val="Hyperlink"/>
                  <w:rFonts w:asciiTheme="minorHAnsi" w:hAnsiTheme="minorHAnsi" w:cstheme="majorBidi"/>
                  <w:i/>
                  <w:iCs w:val="0"/>
                  <w:color w:val="CE5B18"/>
                  <w:sz w:val="18"/>
                  <w:szCs w:val="56"/>
                  <w:u w:val="none"/>
                </w:rPr>
                <w:t>23 U.S.C. § 134 (h) (j) and (k) (3) and (4)</w:t>
              </w:r>
            </w:hyperlink>
          </w:p>
        </w:tc>
        <w:tc>
          <w:tcPr>
            <w:tcW w:w="66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4AF935D" w14:textId="77777777" w:rsidR="00D174BF" w:rsidRPr="004730FF" w:rsidRDefault="00D174BF" w:rsidP="00020D20">
            <w:pPr>
              <w:spacing w:before="0" w:after="0" w:line="240" w:lineRule="auto"/>
              <w:jc w:val="both"/>
            </w:pPr>
            <w:r w:rsidRPr="004730FF">
              <w:t>Metropolitan Transportation Planning</w:t>
            </w:r>
          </w:p>
        </w:tc>
      </w:tr>
      <w:tr w:rsidR="00D174BF" w:rsidRPr="00D174BF" w14:paraId="5AA2847C" w14:textId="77777777" w:rsidTr="00020D20">
        <w:trPr>
          <w:cantSplit/>
          <w:trHeight w:val="20"/>
        </w:trPr>
        <w:tc>
          <w:tcPr>
            <w:tcW w:w="360" w:type="dxa"/>
            <w:vMerge/>
            <w:tcBorders>
              <w:left w:val="single" w:sz="4" w:space="0" w:color="auto"/>
              <w:right w:val="single" w:sz="4" w:space="0" w:color="auto"/>
            </w:tcBorders>
            <w:shd w:val="clear" w:color="auto" w:fill="012768"/>
          </w:tcPr>
          <w:p w14:paraId="140C6A5B" w14:textId="77777777" w:rsidR="00D174BF" w:rsidRPr="00020D20"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3B58F1DC" w14:textId="58B0D615" w:rsidR="00D174BF" w:rsidRPr="006D3DB7" w:rsidRDefault="00202C92">
            <w:pPr>
              <w:pStyle w:val="Title"/>
              <w:rPr>
                <w:sz w:val="18"/>
              </w:rPr>
            </w:pPr>
            <w:hyperlink r:id="rId512" w:history="1">
              <w:r w:rsidR="00D174BF" w:rsidRPr="006D3DB7">
                <w:rPr>
                  <w:rStyle w:val="Hyperlink"/>
                  <w:rFonts w:asciiTheme="minorHAnsi" w:hAnsiTheme="minorHAnsi" w:cstheme="majorBidi"/>
                  <w:i/>
                  <w:iCs w:val="0"/>
                  <w:color w:val="CE5B18"/>
                  <w:sz w:val="18"/>
                  <w:szCs w:val="56"/>
                  <w:u w:val="none"/>
                </w:rPr>
                <w:t>23 U.S.C. § 135</w:t>
              </w:r>
            </w:hyperlink>
          </w:p>
        </w:tc>
        <w:tc>
          <w:tcPr>
            <w:tcW w:w="666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5E4365BA" w14:textId="77777777" w:rsidR="00D174BF" w:rsidRPr="004730FF" w:rsidRDefault="00D174BF" w:rsidP="00020D20">
            <w:pPr>
              <w:spacing w:before="0" w:after="0" w:line="240" w:lineRule="auto"/>
              <w:jc w:val="both"/>
            </w:pPr>
            <w:r w:rsidRPr="004730FF">
              <w:t>Statewide Transportation Planning</w:t>
            </w:r>
          </w:p>
        </w:tc>
      </w:tr>
      <w:tr w:rsidR="00D174BF" w:rsidRPr="00D174BF" w14:paraId="540231D4" w14:textId="77777777" w:rsidTr="00020D20">
        <w:trPr>
          <w:cantSplit/>
          <w:trHeight w:val="20"/>
        </w:trPr>
        <w:tc>
          <w:tcPr>
            <w:tcW w:w="360" w:type="dxa"/>
            <w:vMerge/>
            <w:tcBorders>
              <w:left w:val="single" w:sz="4" w:space="0" w:color="auto"/>
              <w:right w:val="single" w:sz="4" w:space="0" w:color="auto"/>
            </w:tcBorders>
            <w:shd w:val="clear" w:color="auto" w:fill="012768"/>
          </w:tcPr>
          <w:p w14:paraId="27C162D0" w14:textId="77777777" w:rsidR="00D174BF" w:rsidRPr="00020D20"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0F89044" w14:textId="21CA0DF7" w:rsidR="00D174BF" w:rsidRPr="006D3DB7" w:rsidRDefault="00202C92">
            <w:pPr>
              <w:pStyle w:val="Title"/>
              <w:rPr>
                <w:sz w:val="18"/>
              </w:rPr>
            </w:pPr>
            <w:hyperlink r:id="rId513" w:history="1">
              <w:r w:rsidR="00D174BF" w:rsidRPr="006D3DB7">
                <w:rPr>
                  <w:rStyle w:val="Hyperlink"/>
                  <w:rFonts w:asciiTheme="minorHAnsi" w:hAnsiTheme="minorHAnsi" w:cstheme="majorBidi"/>
                  <w:i/>
                  <w:iCs w:val="0"/>
                  <w:color w:val="CE5B18"/>
                  <w:sz w:val="18"/>
                  <w:szCs w:val="56"/>
                  <w:u w:val="none"/>
                </w:rPr>
                <w:t>23 U.S.C. § 139</w:t>
              </w:r>
            </w:hyperlink>
          </w:p>
        </w:tc>
        <w:tc>
          <w:tcPr>
            <w:tcW w:w="66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AC35E37" w14:textId="33A3BCEA" w:rsidR="00D174BF" w:rsidRPr="004730FF" w:rsidRDefault="00D174BF" w:rsidP="00020D20">
            <w:pPr>
              <w:spacing w:before="0" w:after="0" w:line="240" w:lineRule="auto"/>
              <w:jc w:val="both"/>
            </w:pPr>
            <w:r w:rsidRPr="004730FF">
              <w:t>Efficient Environmental Reviews for Project Decision</w:t>
            </w:r>
            <w:r w:rsidR="00135FA0">
              <w:t xml:space="preserve"> </w:t>
            </w:r>
            <w:r w:rsidRPr="004730FF">
              <w:t>making</w:t>
            </w:r>
          </w:p>
        </w:tc>
      </w:tr>
      <w:tr w:rsidR="00D174BF" w:rsidRPr="00D174BF" w14:paraId="4BC489F9" w14:textId="77777777" w:rsidTr="00020D20">
        <w:trPr>
          <w:cantSplit/>
          <w:trHeight w:val="20"/>
        </w:trPr>
        <w:tc>
          <w:tcPr>
            <w:tcW w:w="360" w:type="dxa"/>
            <w:vMerge/>
            <w:tcBorders>
              <w:left w:val="single" w:sz="4" w:space="0" w:color="auto"/>
              <w:right w:val="single" w:sz="4" w:space="0" w:color="auto"/>
            </w:tcBorders>
            <w:shd w:val="clear" w:color="auto" w:fill="012768"/>
          </w:tcPr>
          <w:p w14:paraId="733E87A6" w14:textId="77777777" w:rsidR="00D174BF" w:rsidRPr="00020D20"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0E6F240" w14:textId="0C81166B" w:rsidR="00D174BF" w:rsidRPr="006D3DB7" w:rsidRDefault="00202C92">
            <w:pPr>
              <w:pStyle w:val="Title"/>
              <w:rPr>
                <w:sz w:val="18"/>
              </w:rPr>
            </w:pPr>
            <w:hyperlink r:id="rId514" w:history="1">
              <w:r w:rsidR="00D174BF" w:rsidRPr="006D3DB7">
                <w:rPr>
                  <w:rStyle w:val="Hyperlink"/>
                  <w:rFonts w:asciiTheme="minorHAnsi" w:hAnsiTheme="minorHAnsi" w:cstheme="majorBidi"/>
                  <w:i/>
                  <w:iCs w:val="0"/>
                  <w:color w:val="CE5B18"/>
                  <w:sz w:val="18"/>
                  <w:szCs w:val="56"/>
                  <w:u w:val="none"/>
                </w:rPr>
                <w:t>23 U.S.C. § 204</w:t>
              </w:r>
            </w:hyperlink>
          </w:p>
        </w:tc>
        <w:tc>
          <w:tcPr>
            <w:tcW w:w="66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6E86055" w14:textId="77777777" w:rsidR="00D174BF" w:rsidRPr="004730FF" w:rsidRDefault="00D174BF" w:rsidP="00020D20">
            <w:pPr>
              <w:spacing w:before="0" w:after="0" w:line="240" w:lineRule="auto"/>
              <w:jc w:val="both"/>
            </w:pPr>
            <w:r w:rsidRPr="004730FF">
              <w:t>Federal Lands Highways Program</w:t>
            </w:r>
          </w:p>
        </w:tc>
      </w:tr>
      <w:tr w:rsidR="00D174BF" w:rsidRPr="00D174BF" w14:paraId="21F578C0" w14:textId="77777777" w:rsidTr="00020D20">
        <w:trPr>
          <w:cantSplit/>
          <w:trHeight w:val="20"/>
        </w:trPr>
        <w:tc>
          <w:tcPr>
            <w:tcW w:w="360" w:type="dxa"/>
            <w:vMerge/>
            <w:tcBorders>
              <w:left w:val="single" w:sz="4" w:space="0" w:color="auto"/>
              <w:right w:val="single" w:sz="4" w:space="0" w:color="auto"/>
            </w:tcBorders>
            <w:shd w:val="clear" w:color="auto" w:fill="012768"/>
          </w:tcPr>
          <w:p w14:paraId="4DEE0147" w14:textId="77777777" w:rsidR="00D174BF" w:rsidRPr="00020D20"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EB3E93E" w14:textId="5B422AAB" w:rsidR="00D174BF" w:rsidRPr="006D3DB7" w:rsidRDefault="00202C92">
            <w:pPr>
              <w:pStyle w:val="Title"/>
              <w:rPr>
                <w:sz w:val="18"/>
              </w:rPr>
            </w:pPr>
            <w:hyperlink r:id="rId515" w:history="1">
              <w:r w:rsidR="00D174BF" w:rsidRPr="006D3DB7">
                <w:rPr>
                  <w:rStyle w:val="Hyperlink"/>
                  <w:rFonts w:asciiTheme="minorHAnsi" w:hAnsiTheme="minorHAnsi" w:cstheme="majorBidi"/>
                  <w:i/>
                  <w:iCs w:val="0"/>
                  <w:color w:val="CE5B18"/>
                  <w:sz w:val="18"/>
                  <w:szCs w:val="56"/>
                  <w:u w:val="none"/>
                </w:rPr>
                <w:t>49 U.S.C. § 5304</w:t>
              </w:r>
            </w:hyperlink>
          </w:p>
        </w:tc>
        <w:tc>
          <w:tcPr>
            <w:tcW w:w="66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707D14F" w14:textId="77777777" w:rsidR="00D174BF" w:rsidRPr="004730FF" w:rsidRDefault="00D174BF" w:rsidP="00020D20">
            <w:pPr>
              <w:spacing w:before="0" w:after="0" w:line="240" w:lineRule="auto"/>
              <w:jc w:val="both"/>
            </w:pPr>
            <w:r w:rsidRPr="004730FF">
              <w:t>Statewide Transportation Planning</w:t>
            </w:r>
          </w:p>
        </w:tc>
      </w:tr>
      <w:tr w:rsidR="00D174BF" w:rsidRPr="00D174BF" w14:paraId="5BFF602F" w14:textId="77777777" w:rsidTr="00020D20">
        <w:trPr>
          <w:cantSplit/>
          <w:trHeight w:val="20"/>
        </w:trPr>
        <w:tc>
          <w:tcPr>
            <w:tcW w:w="360" w:type="dxa"/>
            <w:vMerge/>
            <w:tcBorders>
              <w:left w:val="single" w:sz="4" w:space="0" w:color="auto"/>
              <w:right w:val="single" w:sz="4" w:space="0" w:color="auto"/>
            </w:tcBorders>
            <w:shd w:val="clear" w:color="auto" w:fill="012768"/>
          </w:tcPr>
          <w:p w14:paraId="6126284D" w14:textId="77777777" w:rsidR="00D174BF" w:rsidRPr="00020D20"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FE507EA" w14:textId="6C247555" w:rsidR="00D174BF" w:rsidRPr="006D3DB7" w:rsidRDefault="00202C92">
            <w:pPr>
              <w:pStyle w:val="Title"/>
              <w:rPr>
                <w:sz w:val="18"/>
              </w:rPr>
            </w:pPr>
            <w:hyperlink r:id="rId516" w:history="1">
              <w:r w:rsidR="00D174BF" w:rsidRPr="006D3DB7">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D174BF" w:rsidRPr="006D3DB7">
                <w:rPr>
                  <w:rStyle w:val="Hyperlink"/>
                  <w:rFonts w:asciiTheme="minorHAnsi" w:hAnsiTheme="minorHAnsi" w:cstheme="majorBidi"/>
                  <w:i/>
                  <w:iCs w:val="0"/>
                  <w:color w:val="CE5B18"/>
                  <w:sz w:val="18"/>
                  <w:szCs w:val="56"/>
                  <w:u w:val="none"/>
                </w:rPr>
                <w:t>Part 450 §§ 320, 324, 326, 328, 330, and 332</w:t>
              </w:r>
            </w:hyperlink>
          </w:p>
        </w:tc>
        <w:tc>
          <w:tcPr>
            <w:tcW w:w="66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06D4BBC" w14:textId="77777777" w:rsidR="00D174BF" w:rsidRPr="004730FF" w:rsidRDefault="00D174BF" w:rsidP="00020D20">
            <w:pPr>
              <w:spacing w:before="0" w:after="0" w:line="240" w:lineRule="auto"/>
              <w:jc w:val="both"/>
            </w:pPr>
            <w:r w:rsidRPr="004730FF">
              <w:t>Congestion Management Process in Transportation Management Areas, Development and Content of the TIP, TIP Revisions and Relationship to the STIP, TIP Action by the FHWA and the FTA, Project Selection From the TIP, and Annual Listing of Obligated Projects, respectively</w:t>
            </w:r>
          </w:p>
        </w:tc>
      </w:tr>
      <w:tr w:rsidR="00D174BF" w:rsidRPr="00D174BF" w14:paraId="47424938" w14:textId="77777777" w:rsidTr="00020D20">
        <w:trPr>
          <w:cantSplit/>
          <w:trHeight w:val="20"/>
        </w:trPr>
        <w:tc>
          <w:tcPr>
            <w:tcW w:w="360" w:type="dxa"/>
            <w:vMerge/>
            <w:tcBorders>
              <w:left w:val="single" w:sz="4" w:space="0" w:color="auto"/>
              <w:bottom w:val="single" w:sz="4" w:space="0" w:color="FFFFFF" w:themeColor="background1"/>
              <w:right w:val="single" w:sz="4" w:space="0" w:color="auto"/>
            </w:tcBorders>
            <w:shd w:val="clear" w:color="auto" w:fill="012768"/>
          </w:tcPr>
          <w:p w14:paraId="6F19D2B3" w14:textId="77777777" w:rsidR="00D174BF" w:rsidRPr="00020D20"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CB4FEE2" w14:textId="4DB6274D" w:rsidR="00D174BF" w:rsidRPr="006D3DB7" w:rsidRDefault="00202C92">
            <w:pPr>
              <w:pStyle w:val="Title"/>
              <w:rPr>
                <w:sz w:val="18"/>
              </w:rPr>
            </w:pPr>
            <w:hyperlink r:id="rId517" w:history="1">
              <w:r w:rsidR="00D174BF" w:rsidRPr="006D3DB7">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D174BF" w:rsidRPr="006D3DB7">
                <w:rPr>
                  <w:rStyle w:val="Hyperlink"/>
                  <w:rFonts w:asciiTheme="minorHAnsi" w:hAnsiTheme="minorHAnsi" w:cstheme="majorBidi"/>
                  <w:i/>
                  <w:iCs w:val="0"/>
                  <w:color w:val="CE5B18"/>
                  <w:sz w:val="18"/>
                  <w:szCs w:val="56"/>
                  <w:u w:val="none"/>
                </w:rPr>
                <w:t>Part 500 §§ 109, 110, and 111</w:t>
              </w:r>
            </w:hyperlink>
          </w:p>
        </w:tc>
        <w:tc>
          <w:tcPr>
            <w:tcW w:w="66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6A306A2" w14:textId="77777777" w:rsidR="00D174BF" w:rsidRPr="004730FF" w:rsidRDefault="00D174BF" w:rsidP="00020D20">
            <w:pPr>
              <w:spacing w:before="0" w:after="0" w:line="240" w:lineRule="auto"/>
              <w:jc w:val="both"/>
            </w:pPr>
            <w:r w:rsidRPr="004730FF">
              <w:t>Congestion Management System, Public Transportation Management System, and Intermodal Management System, respectively</w:t>
            </w:r>
          </w:p>
        </w:tc>
      </w:tr>
      <w:tr w:rsidR="00D174BF" w:rsidRPr="00D174BF" w14:paraId="5DE25A57" w14:textId="77777777" w:rsidTr="00020D20">
        <w:trPr>
          <w:cantSplit/>
          <w:trHeight w:val="20"/>
        </w:trPr>
        <w:tc>
          <w:tcPr>
            <w:tcW w:w="360" w:type="dxa"/>
            <w:vMerge w:val="restart"/>
            <w:tcBorders>
              <w:top w:val="single" w:sz="4" w:space="0" w:color="FFFFFF" w:themeColor="background1"/>
              <w:left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54FFD76A" w14:textId="77777777" w:rsidR="00D174BF" w:rsidRPr="00EB61B8" w:rsidRDefault="00D174BF" w:rsidP="00020D20">
            <w:pPr>
              <w:spacing w:before="0" w:after="0" w:line="240" w:lineRule="auto"/>
              <w:jc w:val="center"/>
            </w:pPr>
            <w:r w:rsidRPr="00EB61B8">
              <w:t>State</w:t>
            </w:r>
          </w:p>
        </w:tc>
        <w:tc>
          <w:tcPr>
            <w:tcW w:w="23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5F7D0D3" w14:textId="3FC6A099" w:rsidR="00D174BF" w:rsidRPr="006D3DB7" w:rsidRDefault="00202C92">
            <w:pPr>
              <w:pStyle w:val="Title"/>
              <w:rPr>
                <w:sz w:val="18"/>
              </w:rPr>
            </w:pPr>
            <w:hyperlink r:id="rId518" w:history="1">
              <w:r w:rsidR="00D174BF" w:rsidRPr="006D3DB7">
                <w:rPr>
                  <w:rStyle w:val="Hyperlink"/>
                  <w:rFonts w:asciiTheme="minorHAnsi" w:hAnsiTheme="minorHAnsi" w:cstheme="majorBidi"/>
                  <w:i/>
                  <w:iCs w:val="0"/>
                  <w:color w:val="CE5B18"/>
                  <w:sz w:val="18"/>
                  <w:szCs w:val="56"/>
                  <w:u w:val="none"/>
                </w:rPr>
                <w:t>A.R.S. 28-6538</w:t>
              </w:r>
            </w:hyperlink>
          </w:p>
        </w:tc>
        <w:tc>
          <w:tcPr>
            <w:tcW w:w="66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F132E41" w14:textId="77777777" w:rsidR="00D174BF" w:rsidRPr="004730FF" w:rsidRDefault="00D174BF" w:rsidP="00020D20">
            <w:pPr>
              <w:spacing w:before="0" w:after="0" w:line="240" w:lineRule="auto"/>
              <w:jc w:val="both"/>
            </w:pPr>
            <w:r w:rsidRPr="004730FF">
              <w:t>Arizona Highway User Revenue Fund Distribution; Remaining Monies; Highway Fund Distribution; Contract Authorization; Regional Transportation Plan Requirements</w:t>
            </w:r>
          </w:p>
        </w:tc>
      </w:tr>
      <w:tr w:rsidR="00D174BF" w:rsidRPr="00D174BF" w14:paraId="0FCFE9DF" w14:textId="77777777" w:rsidTr="00020D20">
        <w:trPr>
          <w:cantSplit/>
          <w:trHeight w:val="20"/>
        </w:trPr>
        <w:tc>
          <w:tcPr>
            <w:tcW w:w="360" w:type="dxa"/>
            <w:vMerge/>
            <w:tcBorders>
              <w:left w:val="single" w:sz="4" w:space="0" w:color="auto"/>
              <w:right w:val="single" w:sz="4" w:space="0" w:color="auto"/>
            </w:tcBorders>
            <w:shd w:val="clear" w:color="auto" w:fill="012768"/>
          </w:tcPr>
          <w:p w14:paraId="4FB09691" w14:textId="77777777" w:rsidR="00D174BF" w:rsidRPr="004730FF" w:rsidRDefault="00D174BF" w:rsidP="00020D20">
            <w:pPr>
              <w:spacing w:before="0" w:after="0" w:line="240" w:lineRule="auto"/>
              <w:jc w:val="center"/>
            </w:pPr>
          </w:p>
        </w:tc>
        <w:tc>
          <w:tcPr>
            <w:tcW w:w="23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48D2625" w14:textId="269EF45A" w:rsidR="00D174BF" w:rsidRPr="006D3DB7" w:rsidRDefault="00202C92">
            <w:pPr>
              <w:pStyle w:val="Title"/>
              <w:rPr>
                <w:sz w:val="18"/>
              </w:rPr>
            </w:pPr>
            <w:hyperlink r:id="rId519" w:history="1">
              <w:r w:rsidR="006D3DB7" w:rsidRPr="006D3DB7">
                <w:rPr>
                  <w:rStyle w:val="Hyperlink"/>
                  <w:rFonts w:asciiTheme="minorHAnsi" w:hAnsiTheme="minorHAnsi" w:cstheme="majorBidi"/>
                  <w:i/>
                  <w:iCs w:val="0"/>
                  <w:color w:val="CE5B18"/>
                  <w:sz w:val="18"/>
                  <w:szCs w:val="56"/>
                  <w:u w:val="none"/>
                </w:rPr>
                <w:t>Arizona State Transportation Board Policies (revised November 15, 2019)</w:t>
              </w:r>
            </w:hyperlink>
          </w:p>
        </w:tc>
        <w:tc>
          <w:tcPr>
            <w:tcW w:w="66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5FD41BD" w14:textId="359FB86C" w:rsidR="00D174BF" w:rsidRPr="004730FF" w:rsidRDefault="006D3DB7" w:rsidP="00020D20">
            <w:pPr>
              <w:spacing w:before="0" w:after="0" w:line="240" w:lineRule="auto"/>
              <w:jc w:val="both"/>
            </w:pPr>
            <w:r>
              <w:t>Section 20: Programming Policy and S</w:t>
            </w:r>
            <w:r w:rsidR="00D174BF" w:rsidRPr="004730FF">
              <w:t>ection 21: Program Development Policy</w:t>
            </w:r>
          </w:p>
        </w:tc>
      </w:tr>
    </w:tbl>
    <w:p w14:paraId="6D51B1F4" w14:textId="4C4977C8" w:rsidR="008E695B" w:rsidRDefault="002334E4" w:rsidP="00020D20">
      <w:pPr>
        <w:jc w:val="both"/>
        <w:rPr>
          <w:rFonts w:cstheme="minorHAnsi"/>
        </w:rPr>
        <w:sectPr w:rsidR="008E695B" w:rsidSect="00020D20">
          <w:type w:val="continuous"/>
          <w:pgSz w:w="12240" w:h="15840"/>
          <w:pgMar w:top="1440" w:right="1440" w:bottom="1440" w:left="1440" w:header="720" w:footer="720" w:gutter="0"/>
          <w:pgNumType w:chapStyle="1"/>
          <w:cols w:space="720"/>
          <w:docGrid w:linePitch="360"/>
        </w:sectPr>
      </w:pPr>
      <w:r>
        <w:rPr>
          <w:rFonts w:cstheme="minorHAnsi"/>
          <w:noProof/>
        </w:rPr>
        <mc:AlternateContent>
          <mc:Choice Requires="wps">
            <w:drawing>
              <wp:anchor distT="0" distB="0" distL="114300" distR="114300" simplePos="0" relativeHeight="251618537" behindDoc="1" locked="0" layoutInCell="1" allowOverlap="1" wp14:anchorId="280862F0" wp14:editId="1E0A5349">
                <wp:simplePos x="0" y="0"/>
                <wp:positionH relativeFrom="column">
                  <wp:posOffset>4629150</wp:posOffset>
                </wp:positionH>
                <wp:positionV relativeFrom="paragraph">
                  <wp:posOffset>414020</wp:posOffset>
                </wp:positionV>
                <wp:extent cx="1238250" cy="1238250"/>
                <wp:effectExtent l="76200" t="76200" r="76200" b="76200"/>
                <wp:wrapTight wrapText="bothSides">
                  <wp:wrapPolygon edited="0">
                    <wp:start x="-997" y="-1329"/>
                    <wp:lineTo x="-1329" y="-997"/>
                    <wp:lineTo x="-1329" y="22597"/>
                    <wp:lineTo x="22597" y="22597"/>
                    <wp:lineTo x="22597" y="4320"/>
                    <wp:lineTo x="22265" y="-665"/>
                    <wp:lineTo x="22265" y="-1329"/>
                    <wp:lineTo x="-997" y="-1329"/>
                  </wp:wrapPolygon>
                </wp:wrapTight>
                <wp:docPr id="1690911428" name="Text Box 1690911428"/>
                <wp:cNvGraphicFramePr/>
                <a:graphic xmlns:a="http://schemas.openxmlformats.org/drawingml/2006/main">
                  <a:graphicData uri="http://schemas.microsoft.com/office/word/2010/wordprocessingShape">
                    <wps:wsp>
                      <wps:cNvSpPr txBox="1"/>
                      <wps:spPr>
                        <a:xfrm>
                          <a:off x="0" y="0"/>
                          <a:ext cx="1238250" cy="12382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36B990B" w14:textId="77777777" w:rsidR="00C6444C" w:rsidRDefault="00C6444C" w:rsidP="00020D20">
                            <w:pPr>
                              <w:jc w:val="center"/>
                            </w:pPr>
                            <w:r>
                              <w:rPr>
                                <w:noProof/>
                              </w:rPr>
                              <w:drawing>
                                <wp:inline distT="0" distB="0" distL="0" distR="0" wp14:anchorId="1BBE32CC" wp14:editId="6AAF8084">
                                  <wp:extent cx="457200" cy="457200"/>
                                  <wp:effectExtent l="0" t="0" r="0" b="0"/>
                                  <wp:docPr id="816286045" name="Picture 816286045">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1DB0E3F" w14:textId="2D5DF193" w:rsidR="00C6444C" w:rsidRPr="00020D20" w:rsidRDefault="00C6444C" w:rsidP="00020D20">
                            <w:pPr>
                              <w:pStyle w:val="Calloutboxes"/>
                              <w:rPr>
                                <w:rStyle w:val="FootnoteReference"/>
                                <w:vertAlign w:val="baseline"/>
                              </w:rPr>
                            </w:pPr>
                            <w:r w:rsidRPr="00957CC4">
                              <w:t>Chapter 13 provides information regarding developing a public participation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0862F0" id="Text Box 1690911428" o:spid="_x0000_s1155" type="#_x0000_t202" style="position:absolute;left:0;text-align:left;margin-left:364.5pt;margin-top:32.6pt;width:97.5pt;height:97.5pt;z-index:-251697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" fillcolor="#f7f7f7" stroked="f" strokeweight=".5pt">
                <v:shadow on="t" type="perspective" color="black" opacity="26214f" offset="0,0" matrix="66847f,,,66847f"/>
                <v:textbox>
                  <w:txbxContent>
                    <w:p w14:paraId="436B990B" w14:textId="77777777" w:rsidR="00C6444C" w:rsidRDefault="00C6444C" w:rsidP="00020D20">
                      <w:pPr>
                        <w:jc w:val="center"/>
                      </w:pPr>
                      <w:r>
                        <w:rPr>
                          <w:noProof/>
                        </w:rPr>
                        <w:drawing>
                          <wp:inline distT="0" distB="0" distL="0" distR="0" wp14:anchorId="1BBE32CC" wp14:editId="6AAF8084">
                            <wp:extent cx="457200" cy="457200"/>
                            <wp:effectExtent l="0" t="0" r="0" b="0"/>
                            <wp:docPr id="816286045" name="Picture 816286045">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1DB0E3F" w14:textId="2D5DF193" w:rsidR="00C6444C" w:rsidRPr="00020D20" w:rsidRDefault="00C6444C" w:rsidP="00020D20">
                      <w:pPr>
                        <w:pStyle w:val="Calloutboxes"/>
                        <w:rPr>
                          <w:rStyle w:val="FootnoteReference"/>
                          <w:vertAlign w:val="baseline"/>
                        </w:rPr>
                      </w:pPr>
                      <w:r w:rsidRPr="00957CC4">
                        <w:t>Chapter 13 provides information regarding developing a public participation plan</w:t>
                      </w:r>
                    </w:p>
                  </w:txbxContent>
                </v:textbox>
                <w10:wrap type="tight"/>
              </v:shape>
            </w:pict>
          </mc:Fallback>
        </mc:AlternateContent>
      </w:r>
    </w:p>
    <w:p w14:paraId="796FC434" w14:textId="59835953" w:rsidR="00CD09C3" w:rsidRPr="00CD09C3" w:rsidRDefault="004730FF" w:rsidP="00020D20">
      <w:pPr>
        <w:pStyle w:val="Heading3"/>
        <w:jc w:val="both"/>
      </w:pPr>
      <w:bookmarkStart w:id="258" w:name="_Ref50030363"/>
      <w:r>
        <w:t>8</w:t>
      </w:r>
      <w:r w:rsidR="00CD09C3" w:rsidRPr="00CD09C3">
        <w:t>.4.2 | Public Involvement</w:t>
      </w:r>
      <w:bookmarkEnd w:id="258"/>
    </w:p>
    <w:p w14:paraId="4FC6FA86" w14:textId="2709716A" w:rsidR="00CD09C3" w:rsidRPr="00CD09C3" w:rsidRDefault="00FA72D0" w:rsidP="00020D20">
      <w:pPr>
        <w:jc w:val="both"/>
        <w:rPr>
          <w:rFonts w:cstheme="minorHAnsi"/>
        </w:rPr>
      </w:pPr>
      <w:r>
        <w:rPr>
          <w:rFonts w:cstheme="minorHAnsi"/>
        </w:rPr>
        <w:t>The FAST Act</w:t>
      </w:r>
      <w:r w:rsidR="00CD09C3" w:rsidRPr="00CD09C3">
        <w:rPr>
          <w:rFonts w:cstheme="minorHAnsi"/>
        </w:rPr>
        <w:t xml:space="preserve"> requires that the MPO develop and use a documented Public Participation Plan (</w:t>
      </w:r>
      <w:hyperlink r:id="rId520" w:history="1">
        <w:r w:rsidR="002B1718" w:rsidRPr="00020D20">
          <w:rPr>
            <w:rStyle w:val="TitleChar"/>
          </w:rPr>
          <w:t>23 U.S.C. §</w:t>
        </w:r>
        <w:r w:rsidR="00D815B1">
          <w:rPr>
            <w:rStyle w:val="TitleChar"/>
          </w:rPr>
          <w:t xml:space="preserve"> </w:t>
        </w:r>
        <w:r w:rsidR="002B1718" w:rsidRPr="00020D20">
          <w:rPr>
            <w:rStyle w:val="TitleChar"/>
          </w:rPr>
          <w:t>134(i)(6)(B)</w:t>
        </w:r>
      </w:hyperlink>
      <w:r w:rsidR="00CD09C3" w:rsidRPr="00CD09C3">
        <w:rPr>
          <w:rFonts w:cstheme="minorHAnsi"/>
        </w:rPr>
        <w:t xml:space="preserve">; </w:t>
      </w:r>
      <w:hyperlink r:id="rId521" w:history="1">
        <w:r w:rsidR="00CD09C3" w:rsidRPr="00020D20">
          <w:rPr>
            <w:rStyle w:val="TitleChar"/>
          </w:rPr>
          <w:t xml:space="preserve">23 </w:t>
        </w:r>
        <w:r w:rsidR="009628C0">
          <w:rPr>
            <w:rStyle w:val="TitleChar"/>
          </w:rPr>
          <w:t xml:space="preserve">C.F.R. </w:t>
        </w:r>
        <w:r w:rsidR="00CD09C3" w:rsidRPr="00020D20">
          <w:rPr>
            <w:rStyle w:val="TitleChar"/>
          </w:rPr>
          <w:t>§</w:t>
        </w:r>
        <w:r w:rsidR="00D815B1">
          <w:rPr>
            <w:rStyle w:val="TitleChar"/>
          </w:rPr>
          <w:t xml:space="preserve"> </w:t>
        </w:r>
        <w:r w:rsidR="00CD09C3" w:rsidRPr="00020D20">
          <w:rPr>
            <w:rStyle w:val="TitleChar"/>
          </w:rPr>
          <w:t>450.316(a)</w:t>
        </w:r>
      </w:hyperlink>
      <w:r w:rsidR="00CD09C3" w:rsidRPr="00CD09C3">
        <w:rPr>
          <w:rFonts w:cstheme="minorHAnsi"/>
        </w:rPr>
        <w:t xml:space="preserve">). In Arizona, COGs are also required to develop and use a Public Participation Plan. </w:t>
      </w:r>
    </w:p>
    <w:p w14:paraId="1F85B56E" w14:textId="25A27482" w:rsidR="00CD09C3" w:rsidRPr="00CD09C3" w:rsidRDefault="00CD09C3" w:rsidP="00020D20">
      <w:pPr>
        <w:jc w:val="both"/>
        <w:rPr>
          <w:rFonts w:cstheme="minorHAnsi"/>
          <w:b/>
        </w:rPr>
      </w:pPr>
      <w:r w:rsidRPr="00CD09C3">
        <w:rPr>
          <w:rFonts w:cstheme="minorHAnsi"/>
        </w:rPr>
        <w:t>In addition, the MPO/COG must periodically review the effectiveness of the procedures and strategies contained in the Public Participation Plan (</w:t>
      </w:r>
      <w:hyperlink r:id="rId522" w:history="1">
        <w:r w:rsidRPr="00020D20">
          <w:rPr>
            <w:rStyle w:val="TitleChar"/>
          </w:rPr>
          <w:t xml:space="preserve">23 </w:t>
        </w:r>
        <w:r w:rsidR="009628C0">
          <w:rPr>
            <w:rStyle w:val="TitleChar"/>
          </w:rPr>
          <w:t xml:space="preserve">C.F.R. </w:t>
        </w:r>
        <w:r w:rsidRPr="00020D20">
          <w:rPr>
            <w:rStyle w:val="TitleChar"/>
          </w:rPr>
          <w:t>§</w:t>
        </w:r>
        <w:r w:rsidRPr="00020D20" w:rsidDel="00252C5A">
          <w:rPr>
            <w:rStyle w:val="TitleChar"/>
          </w:rPr>
          <w:t xml:space="preserve"> </w:t>
        </w:r>
        <w:r w:rsidRPr="00020D20">
          <w:rPr>
            <w:rStyle w:val="TitleChar"/>
          </w:rPr>
          <w:t>450.316(a)(1)(x)</w:t>
        </w:r>
      </w:hyperlink>
      <w:r w:rsidRPr="00CD09C3">
        <w:rPr>
          <w:rFonts w:cstheme="minorHAnsi"/>
        </w:rPr>
        <w:t>). These requirements are necessary because the Public Participation Plan must define the process for public input into the TIP.</w:t>
      </w:r>
    </w:p>
    <w:p w14:paraId="678E1320" w14:textId="645C5B18" w:rsidR="00CD09C3" w:rsidRPr="00CD09C3" w:rsidRDefault="00CD09C3" w:rsidP="00020D20">
      <w:pPr>
        <w:jc w:val="both"/>
        <w:rPr>
          <w:rFonts w:cstheme="minorHAnsi"/>
        </w:rPr>
      </w:pPr>
      <w:r w:rsidRPr="00CD09C3">
        <w:rPr>
          <w:rFonts w:cstheme="minorHAnsi"/>
        </w:rPr>
        <w:t>The MPO/COG must provide all interested parties opportunity to comment on the TIP. In addition, in nonattainment TMAs, at least one public meeting during the TIP development process must be provided, which is documented in the Public Participation Plan (</w:t>
      </w:r>
      <w:hyperlink r:id="rId523" w:history="1">
        <w:r w:rsidR="00252C5A" w:rsidRPr="00020D20">
          <w:rPr>
            <w:rStyle w:val="TitleChar"/>
          </w:rPr>
          <w:t xml:space="preserve">23 </w:t>
        </w:r>
        <w:r w:rsidR="009628C0">
          <w:rPr>
            <w:rStyle w:val="TitleChar"/>
          </w:rPr>
          <w:t xml:space="preserve">C.F.R. </w:t>
        </w:r>
        <w:r w:rsidR="00252C5A" w:rsidRPr="00020D20">
          <w:rPr>
            <w:rStyle w:val="TitleChar"/>
          </w:rPr>
          <w:t>§ 450.326(b)</w:t>
        </w:r>
      </w:hyperlink>
      <w:r w:rsidRPr="00CD09C3">
        <w:rPr>
          <w:rFonts w:cstheme="minorHAnsi"/>
        </w:rPr>
        <w:t>). The Public Participation Plan outlines the interested parties that may want to comment on the TIP. The interested parties may include citizens; affected public agencies; representatives of public transportation employees; freight shippers; providers of freight transportation services; private providers of transportation; representatives of users of public transportation, pedestrian walkways, bicycle transportation facilities; and representatives of people with disabilities (</w:t>
      </w:r>
      <w:hyperlink r:id="rId524" w:history="1">
        <w:r w:rsidRPr="00020D20">
          <w:rPr>
            <w:rStyle w:val="TitleChar"/>
          </w:rPr>
          <w:t xml:space="preserve">23 </w:t>
        </w:r>
        <w:r w:rsidR="009628C0">
          <w:rPr>
            <w:rStyle w:val="TitleChar"/>
          </w:rPr>
          <w:t xml:space="preserve">C.F.R. </w:t>
        </w:r>
        <w:r w:rsidRPr="00020D20">
          <w:rPr>
            <w:rStyle w:val="TitleChar"/>
          </w:rPr>
          <w:t>§ 450.316(a)</w:t>
        </w:r>
      </w:hyperlink>
      <w:r w:rsidRPr="00CD09C3">
        <w:rPr>
          <w:rFonts w:cstheme="minorHAnsi"/>
        </w:rPr>
        <w:t xml:space="preserve">). If the MPO/COG includes tribal lands that are not included on the regional council and TAC, the MPO/COG must involve the tribal governments that are located within their planning boundaries throughout the process using the consultation process outlined in chapter 17, section 17.6. In addition, if the MPA includes federal public lands, the MPO/COG must involve federal land management agencies in the process. </w:t>
      </w:r>
    </w:p>
    <w:p w14:paraId="5080AE7B" w14:textId="77777777" w:rsidR="00CD09C3" w:rsidRPr="00CD09C3" w:rsidRDefault="00CD09C3" w:rsidP="00020D20">
      <w:pPr>
        <w:pStyle w:val="Heading3"/>
        <w:jc w:val="both"/>
      </w:pPr>
      <w:bookmarkStart w:id="259" w:name="_Ref50030369"/>
      <w:r w:rsidRPr="00CD09C3">
        <w:t>8.4.3 | Financial Constraints</w:t>
      </w:r>
      <w:bookmarkEnd w:id="259"/>
    </w:p>
    <w:p w14:paraId="73B2882F" w14:textId="78568FD3" w:rsidR="00CD09C3" w:rsidRDefault="00CD09C3" w:rsidP="00020D20">
      <w:pPr>
        <w:jc w:val="both"/>
        <w:rPr>
          <w:rFonts w:cstheme="minorHAnsi"/>
        </w:rPr>
      </w:pPr>
      <w:r w:rsidRPr="00CD09C3">
        <w:rPr>
          <w:rFonts w:cstheme="minorHAnsi"/>
        </w:rPr>
        <w:t xml:space="preserve">The TIP is always fiscally constrained, meaning that all projects in the TIP must identify the funding source that is paying for the improvements. The funds used to pay for the improvements cannot exceed the amount of available funding per funding source that can be programmed in the TIP. </w:t>
      </w:r>
      <w:r w:rsidR="0008482C">
        <w:rPr>
          <w:rFonts w:cstheme="minorHAnsi"/>
        </w:rPr>
        <w:t xml:space="preserve">For federal funding, </w:t>
      </w:r>
      <w:r w:rsidRPr="00CD09C3">
        <w:rPr>
          <w:rFonts w:cstheme="minorHAnsi"/>
        </w:rPr>
        <w:t xml:space="preserve">The Financial Management </w:t>
      </w:r>
      <w:r w:rsidR="00EA29A7">
        <w:rPr>
          <w:rFonts w:cstheme="minorHAnsi"/>
        </w:rPr>
        <w:t>Services</w:t>
      </w:r>
      <w:r w:rsidR="00317205">
        <w:rPr>
          <w:rFonts w:cstheme="minorHAnsi"/>
        </w:rPr>
        <w:t xml:space="preserve"> (FMS)</w:t>
      </w:r>
      <w:r w:rsidR="00EA29A7" w:rsidRPr="00CD09C3">
        <w:rPr>
          <w:rFonts w:cstheme="minorHAnsi"/>
        </w:rPr>
        <w:t xml:space="preserve"> </w:t>
      </w:r>
      <w:r w:rsidRPr="00CD09C3">
        <w:rPr>
          <w:rFonts w:cstheme="minorHAnsi"/>
        </w:rPr>
        <w:t>and the MPO/COG ledger provide the apportionments and obligation authority to guide TIP development and fiscal constraint. The MPO/COG must demonstrate that the TIP is financially constrained by year and maintain that financial constraint (</w:t>
      </w:r>
      <w:hyperlink r:id="rId525" w:history="1">
        <w:r w:rsidR="005118F0">
          <w:rPr>
            <w:rStyle w:val="TitleChar"/>
          </w:rPr>
          <w:t xml:space="preserve">23 </w:t>
        </w:r>
        <w:r w:rsidR="009628C0">
          <w:rPr>
            <w:rStyle w:val="TitleChar"/>
          </w:rPr>
          <w:t xml:space="preserve">C.F.R. </w:t>
        </w:r>
        <w:r w:rsidR="005118F0">
          <w:rPr>
            <w:rStyle w:val="TitleChar"/>
          </w:rPr>
          <w:t>§ 450.326(k)</w:t>
        </w:r>
      </w:hyperlink>
      <w:r w:rsidRPr="00CD09C3">
        <w:rPr>
          <w:rFonts w:cstheme="minorHAnsi"/>
        </w:rPr>
        <w:t>). It is highly recommended that the TIP include a table(s) that compares the funding sources and amounts by year with the total project costs by year. The TIP must include a financial plan that demonstrates how the approved TIP can be implemented, indicates resources from public and private sources that are reasonably expected to be made available to carry out the TIP, and recommends any additional financing strategies for needed projects and programs (</w:t>
      </w:r>
      <w:hyperlink r:id="rId526" w:history="1">
        <w:r w:rsidR="005118F0" w:rsidRPr="00020D20">
          <w:rPr>
            <w:rStyle w:val="TitleChar"/>
          </w:rPr>
          <w:t xml:space="preserve">23 </w:t>
        </w:r>
        <w:r w:rsidR="009628C0">
          <w:rPr>
            <w:rStyle w:val="TitleChar"/>
          </w:rPr>
          <w:t xml:space="preserve">C.F.R. </w:t>
        </w:r>
        <w:r w:rsidR="005118F0" w:rsidRPr="00020D20">
          <w:rPr>
            <w:rStyle w:val="TitleChar"/>
          </w:rPr>
          <w:t>§ 450.326(j)</w:t>
        </w:r>
      </w:hyperlink>
      <w:r w:rsidRPr="00CD09C3">
        <w:rPr>
          <w:rFonts w:cstheme="minorHAnsi"/>
        </w:rPr>
        <w:t xml:space="preserve">). </w:t>
      </w:r>
      <w:r w:rsidR="000738DF">
        <w:rPr>
          <w:rFonts w:cstheme="minorHAnsi"/>
        </w:rPr>
        <w:t>In</w:t>
      </w:r>
      <w:r w:rsidR="000738DF" w:rsidRPr="00CD09C3">
        <w:rPr>
          <w:rFonts w:cstheme="minorHAnsi"/>
        </w:rPr>
        <w:t xml:space="preserve"> </w:t>
      </w:r>
      <w:r w:rsidRPr="00CD09C3">
        <w:rPr>
          <w:rFonts w:cstheme="minorHAnsi"/>
        </w:rPr>
        <w:t xml:space="preserve">developing the TIP, the MPO/COG, State, and public transportation operator(s) </w:t>
      </w:r>
      <w:r w:rsidR="00503973">
        <w:rPr>
          <w:rFonts w:cstheme="minorHAnsi"/>
        </w:rPr>
        <w:t>shall</w:t>
      </w:r>
      <w:r w:rsidR="00503973" w:rsidRPr="00CD09C3">
        <w:rPr>
          <w:rFonts w:cstheme="minorHAnsi"/>
        </w:rPr>
        <w:t xml:space="preserve"> </w:t>
      </w:r>
      <w:r w:rsidRPr="00CD09C3">
        <w:rPr>
          <w:rFonts w:cstheme="minorHAnsi"/>
        </w:rPr>
        <w:t xml:space="preserve">cooperatively develop estimates of funds that are reasonably expected to be available </w:t>
      </w:r>
      <w:r w:rsidR="00503973">
        <w:rPr>
          <w:rFonts w:cstheme="minorHAnsi"/>
        </w:rPr>
        <w:t xml:space="preserve">to support TIP implementation </w:t>
      </w:r>
      <w:r w:rsidRPr="00CD09C3">
        <w:rPr>
          <w:rFonts w:cstheme="minorHAnsi"/>
        </w:rPr>
        <w:t>(</w:t>
      </w:r>
      <w:hyperlink r:id="rId527" w:history="1">
        <w:r w:rsidR="005118F0" w:rsidRPr="00020D20">
          <w:rPr>
            <w:rStyle w:val="TitleChar"/>
          </w:rPr>
          <w:t xml:space="preserve">23 </w:t>
        </w:r>
        <w:r w:rsidR="009628C0">
          <w:rPr>
            <w:rStyle w:val="TitleChar"/>
          </w:rPr>
          <w:t xml:space="preserve">C.F.R. </w:t>
        </w:r>
        <w:r w:rsidR="005118F0" w:rsidRPr="00020D20">
          <w:rPr>
            <w:rStyle w:val="TitleChar"/>
          </w:rPr>
          <w:t>§ 450.326(j)</w:t>
        </w:r>
      </w:hyperlink>
      <w:r w:rsidRPr="00CD09C3">
        <w:rPr>
          <w:rFonts w:cstheme="minorHAnsi"/>
        </w:rPr>
        <w:t>).</w:t>
      </w:r>
    </w:p>
    <w:p w14:paraId="77E88180" w14:textId="2BD878FB" w:rsidR="00CD09C3" w:rsidRPr="00CD09C3" w:rsidRDefault="00CD09C3" w:rsidP="00020D20">
      <w:pPr>
        <w:jc w:val="both"/>
        <w:rPr>
          <w:rFonts w:cstheme="minorHAnsi"/>
        </w:rPr>
      </w:pPr>
      <w:r w:rsidRPr="00CD09C3">
        <w:rPr>
          <w:rFonts w:cstheme="minorHAnsi"/>
        </w:rPr>
        <w:t>The TIP must include a project or phase of a project only if full funding can reasonably be anticipated for the time period contemplated to complete the project (</w:t>
      </w:r>
      <w:hyperlink r:id="rId528" w:history="1">
        <w:r w:rsidR="005118F0" w:rsidRPr="00020D20">
          <w:rPr>
            <w:rStyle w:val="TitleChar"/>
          </w:rPr>
          <w:t xml:space="preserve">23 </w:t>
        </w:r>
        <w:r w:rsidR="009628C0">
          <w:rPr>
            <w:rStyle w:val="TitleChar"/>
          </w:rPr>
          <w:t xml:space="preserve">C.F.R. </w:t>
        </w:r>
        <w:r w:rsidR="005118F0" w:rsidRPr="00020D20">
          <w:rPr>
            <w:rStyle w:val="TitleChar"/>
          </w:rPr>
          <w:t>§ 450.326(k)</w:t>
        </w:r>
      </w:hyperlink>
      <w:r w:rsidRPr="00CD09C3">
        <w:rPr>
          <w:rFonts w:cstheme="minorHAnsi"/>
        </w:rPr>
        <w:t>). The TIP may include projects that are not fully funded in the</w:t>
      </w:r>
      <w:r>
        <w:rPr>
          <w:rFonts w:cstheme="minorHAnsi"/>
        </w:rPr>
        <w:t xml:space="preserve"> </w:t>
      </w:r>
      <w:r w:rsidRPr="00CD09C3">
        <w:rPr>
          <w:rFonts w:cstheme="minorHAnsi"/>
        </w:rPr>
        <w:t xml:space="preserve">four federally recognized years of the TIP so long as those projects or project phases are fully funded within the 20-year time horizon of the MTP/ RTP. However, once federal funds are spent on a project, </w:t>
      </w:r>
      <w:r w:rsidR="00EA29A7">
        <w:rPr>
          <w:rFonts w:cstheme="minorHAnsi"/>
        </w:rPr>
        <w:t xml:space="preserve">right-of-way acquisition or </w:t>
      </w:r>
      <w:r w:rsidRPr="00CD09C3">
        <w:rPr>
          <w:rFonts w:cstheme="minorHAnsi"/>
        </w:rPr>
        <w:t>construction must be started within a 10-year period</w:t>
      </w:r>
      <w:r w:rsidR="00B05355">
        <w:rPr>
          <w:rFonts w:cstheme="minorHAnsi"/>
        </w:rPr>
        <w:t xml:space="preserve"> starting from the date of </w:t>
      </w:r>
      <w:r w:rsidR="00EA29A7">
        <w:rPr>
          <w:rFonts w:cstheme="minorHAnsi"/>
        </w:rPr>
        <w:t xml:space="preserve">when the </w:t>
      </w:r>
      <w:r w:rsidR="00B05355">
        <w:rPr>
          <w:rFonts w:cstheme="minorHAnsi"/>
        </w:rPr>
        <w:t>federal</w:t>
      </w:r>
      <w:r w:rsidR="00EA29A7">
        <w:rPr>
          <w:rFonts w:cstheme="minorHAnsi"/>
        </w:rPr>
        <w:t xml:space="preserve"> funding is obligated</w:t>
      </w:r>
      <w:r w:rsidRPr="00CD09C3">
        <w:rPr>
          <w:rFonts w:cstheme="minorHAnsi"/>
        </w:rPr>
        <w:t xml:space="preserve">. </w:t>
      </w:r>
      <w:r w:rsidR="00B05355">
        <w:rPr>
          <w:rFonts w:cstheme="minorHAnsi"/>
        </w:rPr>
        <w:t>Specifically, for ADOT sponsored-projects, t</w:t>
      </w:r>
      <w:r w:rsidRPr="00CD09C3">
        <w:rPr>
          <w:rFonts w:cstheme="minorHAnsi"/>
        </w:rPr>
        <w:t>he term “project” refers to the event when an ADOT project number is developed.</w:t>
      </w:r>
      <w:r w:rsidR="00B05355">
        <w:rPr>
          <w:rFonts w:cstheme="minorHAnsi"/>
        </w:rPr>
        <w:t xml:space="preserve"> This rule does not apply to TIP projects not sponsored by ADOT.</w:t>
      </w:r>
    </w:p>
    <w:p w14:paraId="2DBD13CC" w14:textId="77777777" w:rsidR="00CD09C3" w:rsidRPr="00CD09C3" w:rsidRDefault="00CD09C3" w:rsidP="00020D20">
      <w:pPr>
        <w:pStyle w:val="Heading3"/>
        <w:jc w:val="both"/>
      </w:pPr>
      <w:bookmarkStart w:id="260" w:name="_Ref50030372"/>
      <w:r w:rsidRPr="00CD09C3">
        <w:t>8.4.4 | Project Selection Process</w:t>
      </w:r>
      <w:bookmarkEnd w:id="260"/>
    </w:p>
    <w:p w14:paraId="49AD3C2C" w14:textId="77777777" w:rsidR="00CD09C3" w:rsidRPr="00CD09C3" w:rsidRDefault="00CD09C3" w:rsidP="00020D20">
      <w:pPr>
        <w:jc w:val="both"/>
        <w:rPr>
          <w:rFonts w:cstheme="minorHAnsi"/>
        </w:rPr>
      </w:pPr>
      <w:r w:rsidRPr="00CD09C3">
        <w:rPr>
          <w:rFonts w:cstheme="minorHAnsi"/>
        </w:rPr>
        <w:t>There is no set methodology to determine which projects are selected for inclusion in the TIP. Typically, the process involves an evaluation that determines how the proposed project meets the goals and objectives of the RTP and other regional and state plans. All TIP projects in MPO areas must be included in the RTP. Because COGs are not mandated to have an RTP, this is not a requirement of COG TIPs.</w:t>
      </w:r>
    </w:p>
    <w:p w14:paraId="15EA2D44" w14:textId="2A678130" w:rsidR="00CD09C3" w:rsidRPr="00CD09C3" w:rsidRDefault="00CD09C3" w:rsidP="00020D20">
      <w:pPr>
        <w:jc w:val="both"/>
        <w:rPr>
          <w:rFonts w:cstheme="minorHAnsi"/>
        </w:rPr>
      </w:pPr>
      <w:r w:rsidRPr="00CD09C3">
        <w:rPr>
          <w:rFonts w:cstheme="minorHAnsi"/>
        </w:rPr>
        <w:t xml:space="preserve">The TIP project selection evaluations are typically conducted by the MPO/COG staff, and the results are then shared with the MPO/COG TAC for review and input prior to regional council MPO/COG approval. </w:t>
      </w:r>
    </w:p>
    <w:p w14:paraId="53D755E8" w14:textId="77777777" w:rsidR="00CD09C3" w:rsidRPr="00CD09C3" w:rsidRDefault="00CD09C3" w:rsidP="00020D20">
      <w:pPr>
        <w:pStyle w:val="Heading3"/>
        <w:jc w:val="both"/>
      </w:pPr>
      <w:bookmarkStart w:id="261" w:name="_Ref50030376"/>
      <w:r w:rsidRPr="00CD09C3">
        <w:t>8.4.5 | Projects to be Included in the TIP</w:t>
      </w:r>
      <w:bookmarkEnd w:id="261"/>
    </w:p>
    <w:p w14:paraId="070774B6" w14:textId="77777777" w:rsidR="00CD09C3" w:rsidRPr="00CD09C3" w:rsidRDefault="00CD09C3" w:rsidP="00020D20">
      <w:pPr>
        <w:jc w:val="both"/>
        <w:rPr>
          <w:rFonts w:cstheme="minorHAnsi"/>
        </w:rPr>
      </w:pPr>
      <w:r w:rsidRPr="00CD09C3">
        <w:rPr>
          <w:rFonts w:cstheme="minorHAnsi"/>
        </w:rPr>
        <w:t>The TIP must include the following projects:</w:t>
      </w:r>
    </w:p>
    <w:p w14:paraId="3C9C28FA" w14:textId="2EDA8006" w:rsidR="00D61F65" w:rsidRDefault="00D61F65" w:rsidP="00020D20">
      <w:pPr>
        <w:pStyle w:val="Body-Bullets"/>
        <w:jc w:val="both"/>
      </w:pPr>
      <w:r w:rsidRPr="00D61F65">
        <w:t>The TIP shall include, to the maximum extent practicable, a description of the anticipated effect of the TIP toward achieving the performance targets identified in the metropolitan transportation plan, linking investment prioriti</w:t>
      </w:r>
      <w:r>
        <w:t>es to those performance targets (</w:t>
      </w:r>
      <w:hyperlink r:id="rId529" w:history="1">
        <w:r w:rsidRPr="00020D20">
          <w:rPr>
            <w:rStyle w:val="TitleChar"/>
          </w:rPr>
          <w:t>23 C.F.R. § 450.326(d)</w:t>
        </w:r>
      </w:hyperlink>
      <w:r>
        <w:t>)</w:t>
      </w:r>
    </w:p>
    <w:p w14:paraId="44150BE9" w14:textId="5FD3E32E" w:rsidR="00CD09C3" w:rsidRPr="00C74C1A" w:rsidRDefault="00CD09C3" w:rsidP="00020D20">
      <w:pPr>
        <w:pStyle w:val="Body-Bullets"/>
        <w:jc w:val="both"/>
      </w:pPr>
      <w:r w:rsidRPr="00C74C1A">
        <w:t xml:space="preserve">Capital and non-capital surface transportation projects proposed for funding under Title 23 and Title 49 Chapter 53 (including transportation alternatives, Federal Lands </w:t>
      </w:r>
      <w:r w:rsidR="00E80429">
        <w:t>Transportation</w:t>
      </w:r>
      <w:r w:rsidR="00E80429" w:rsidRPr="00C74C1A">
        <w:t xml:space="preserve"> </w:t>
      </w:r>
      <w:r w:rsidRPr="00C74C1A">
        <w:t>projects, safety projects included in the Strategic Highway Safety Plan, trail projects, pedestrian walkways, and bicycle facilities) (</w:t>
      </w:r>
      <w:hyperlink r:id="rId530" w:history="1">
        <w:r w:rsidR="00E80429" w:rsidRPr="00020D20">
          <w:rPr>
            <w:rStyle w:val="TitleChar"/>
          </w:rPr>
          <w:t xml:space="preserve">23 </w:t>
        </w:r>
        <w:r w:rsidR="009628C0">
          <w:rPr>
            <w:rStyle w:val="TitleChar"/>
          </w:rPr>
          <w:t xml:space="preserve">C.F.R. </w:t>
        </w:r>
        <w:r w:rsidR="00E80429" w:rsidRPr="00020D20">
          <w:rPr>
            <w:rStyle w:val="TitleChar"/>
          </w:rPr>
          <w:t>§ 450.326(e)</w:t>
        </w:r>
      </w:hyperlink>
      <w:r w:rsidRPr="00C74C1A">
        <w:t>)</w:t>
      </w:r>
    </w:p>
    <w:p w14:paraId="44C06305" w14:textId="2907EF33" w:rsidR="00CD09C3" w:rsidRPr="00103039" w:rsidRDefault="00CD09C3" w:rsidP="00020D20">
      <w:pPr>
        <w:pStyle w:val="Body-Bullets"/>
        <w:jc w:val="both"/>
      </w:pPr>
      <w:r w:rsidRPr="00103039">
        <w:t>All regionally significant projects requiring an action by FHWA or FTA regardless of funding source</w:t>
      </w:r>
      <w:r w:rsidR="00DA68FE" w:rsidRPr="00103039">
        <w:t xml:space="preserve">. </w:t>
      </w:r>
      <w:r w:rsidRPr="00103039">
        <w:t>For information purposes, all regionally significant projects proposed to be funded with federal funds other than those administered by the FHWA or FTA, as well as all regionally significant projects to be funded with non-federal funds (</w:t>
      </w:r>
      <w:hyperlink r:id="rId531" w:history="1">
        <w:r w:rsidR="00DA68FE" w:rsidRPr="00020D20">
          <w:rPr>
            <w:rStyle w:val="TitleChar"/>
          </w:rPr>
          <w:t xml:space="preserve">23 </w:t>
        </w:r>
        <w:r w:rsidR="009628C0">
          <w:rPr>
            <w:rStyle w:val="TitleChar"/>
          </w:rPr>
          <w:t xml:space="preserve">C.F.R. </w:t>
        </w:r>
        <w:r w:rsidR="00DA68FE" w:rsidRPr="00020D20">
          <w:rPr>
            <w:rStyle w:val="TitleChar"/>
          </w:rPr>
          <w:t>§ 450.326(f)</w:t>
        </w:r>
      </w:hyperlink>
      <w:r w:rsidRPr="00103039">
        <w:t>)</w:t>
      </w:r>
    </w:p>
    <w:p w14:paraId="23A39FCB" w14:textId="28712683" w:rsidR="00CD09C3" w:rsidRPr="00C74C1A" w:rsidRDefault="00CD09C3" w:rsidP="00020D20">
      <w:pPr>
        <w:pStyle w:val="Body-Bullets"/>
        <w:jc w:val="both"/>
      </w:pPr>
      <w:r w:rsidRPr="00C74C1A">
        <w:t>In areas with Americans with Disabilities Act (ADA) required paratransit and key station plans, identification of those projects that will implement these plans (</w:t>
      </w:r>
      <w:hyperlink r:id="rId532" w:history="1">
        <w:r w:rsidR="00DA68FE" w:rsidRPr="00020D20">
          <w:rPr>
            <w:rStyle w:val="TitleChar"/>
          </w:rPr>
          <w:t xml:space="preserve">23 </w:t>
        </w:r>
        <w:r w:rsidR="009628C0">
          <w:rPr>
            <w:rStyle w:val="TitleChar"/>
          </w:rPr>
          <w:t xml:space="preserve">C.F.R. </w:t>
        </w:r>
        <w:r w:rsidR="00DA68FE" w:rsidRPr="00020D20">
          <w:rPr>
            <w:rStyle w:val="TitleChar"/>
          </w:rPr>
          <w:t>§ 450.326(g)(7)</w:t>
        </w:r>
      </w:hyperlink>
      <w:r w:rsidRPr="00C74C1A">
        <w:t>)</w:t>
      </w:r>
    </w:p>
    <w:p w14:paraId="5735F494" w14:textId="1E1B8AEB" w:rsidR="00CD09C3" w:rsidRPr="00C74C1A" w:rsidRDefault="00CD09C3" w:rsidP="00020D20">
      <w:pPr>
        <w:pStyle w:val="Body-Bullets"/>
        <w:jc w:val="both"/>
      </w:pPr>
      <w:r w:rsidRPr="00C74C1A">
        <w:t>Only projects consistent with the RTP (</w:t>
      </w:r>
      <w:hyperlink r:id="rId533" w:history="1">
        <w:r w:rsidR="00103039" w:rsidRPr="00020D20">
          <w:rPr>
            <w:rStyle w:val="TitleChar"/>
          </w:rPr>
          <w:t xml:space="preserve">23 </w:t>
        </w:r>
        <w:r w:rsidR="009628C0">
          <w:rPr>
            <w:rStyle w:val="TitleChar"/>
          </w:rPr>
          <w:t xml:space="preserve">C.F.R. </w:t>
        </w:r>
        <w:r w:rsidR="00103039" w:rsidRPr="00020D20">
          <w:rPr>
            <w:rStyle w:val="TitleChar"/>
          </w:rPr>
          <w:t>§ 450.326(i)</w:t>
        </w:r>
      </w:hyperlink>
      <w:r w:rsidRPr="00C74C1A">
        <w:t>)</w:t>
      </w:r>
    </w:p>
    <w:p w14:paraId="4BF4B6B2" w14:textId="30704C92" w:rsidR="00CD09C3" w:rsidRPr="00C74C1A" w:rsidRDefault="00CD09C3" w:rsidP="00020D20">
      <w:pPr>
        <w:pStyle w:val="Body-Bullets"/>
        <w:jc w:val="both"/>
      </w:pPr>
      <w:r w:rsidRPr="00C74C1A">
        <w:t>According</w:t>
      </w:r>
      <w:r w:rsidR="00D61F65">
        <w:t xml:space="preserve"> </w:t>
      </w:r>
      <w:r w:rsidRPr="00C74C1A">
        <w:t xml:space="preserve">to </w:t>
      </w:r>
      <w:hyperlink r:id="rId534" w:history="1">
        <w:r w:rsidR="00103039" w:rsidRPr="00020D20">
          <w:rPr>
            <w:rStyle w:val="TitleChar"/>
          </w:rPr>
          <w:t xml:space="preserve">23 </w:t>
        </w:r>
        <w:r w:rsidR="009628C0">
          <w:rPr>
            <w:rStyle w:val="TitleChar"/>
          </w:rPr>
          <w:t xml:space="preserve">C.F.R. </w:t>
        </w:r>
        <w:r w:rsidR="00103039" w:rsidRPr="00020D20">
          <w:rPr>
            <w:rStyle w:val="TitleChar"/>
          </w:rPr>
          <w:t>§ 450.326(e)</w:t>
        </w:r>
      </w:hyperlink>
      <w:r w:rsidRPr="00C74C1A">
        <w:t>, the following types of projects may be included in the TIP.</w:t>
      </w:r>
    </w:p>
    <w:p w14:paraId="061197D8" w14:textId="352D9554" w:rsidR="00CD09C3" w:rsidRPr="00C74C1A" w:rsidRDefault="00CD09C3" w:rsidP="00020D20">
      <w:pPr>
        <w:pStyle w:val="SecondLevelBulletList"/>
        <w:contextualSpacing/>
      </w:pPr>
      <w:r w:rsidRPr="00C74C1A">
        <w:t xml:space="preserve">Safety projects funded under </w:t>
      </w:r>
      <w:hyperlink r:id="rId535" w:history="1">
        <w:r w:rsidRPr="00020D20">
          <w:rPr>
            <w:rStyle w:val="TitleChar"/>
          </w:rPr>
          <w:t>23 U.S.C. § 402</w:t>
        </w:r>
      </w:hyperlink>
      <w:r w:rsidRPr="00C74C1A">
        <w:t xml:space="preserve"> and </w:t>
      </w:r>
      <w:hyperlink r:id="rId536" w:history="1">
        <w:r w:rsidRPr="00020D20">
          <w:rPr>
            <w:rStyle w:val="TitleChar"/>
          </w:rPr>
          <w:t>49 U.S.C. § 31102</w:t>
        </w:r>
      </w:hyperlink>
    </w:p>
    <w:p w14:paraId="6BFAF064" w14:textId="5F365D18" w:rsidR="00CD09C3" w:rsidRPr="00C74C1A" w:rsidRDefault="00CD09C3" w:rsidP="00020D20">
      <w:pPr>
        <w:pStyle w:val="SecondLevelBulletList"/>
        <w:contextualSpacing/>
      </w:pPr>
      <w:r w:rsidRPr="00C74C1A">
        <w:t xml:space="preserve">Metropolitan planning projects funded under </w:t>
      </w:r>
      <w:hyperlink r:id="rId537" w:anchor="d" w:history="1">
        <w:r w:rsidRPr="00020D20">
          <w:rPr>
            <w:rStyle w:val="TitleChar"/>
          </w:rPr>
          <w:t>23 U.S.C. § 104(</w:t>
        </w:r>
        <w:r w:rsidR="00103039" w:rsidRPr="00020D20">
          <w:rPr>
            <w:rStyle w:val="TitleChar"/>
          </w:rPr>
          <w:t>d</w:t>
        </w:r>
        <w:r w:rsidRPr="00020D20">
          <w:rPr>
            <w:rStyle w:val="TitleChar"/>
          </w:rPr>
          <w:t>)</w:t>
        </w:r>
      </w:hyperlink>
      <w:r w:rsidRPr="00C74C1A">
        <w:t xml:space="preserve">, </w:t>
      </w:r>
      <w:hyperlink r:id="rId538" w:anchor="d" w:history="1">
        <w:r w:rsidRPr="00020D20">
          <w:rPr>
            <w:rStyle w:val="TitleChar"/>
          </w:rPr>
          <w:t>49 U.S.C. § 5305(d)</w:t>
        </w:r>
      </w:hyperlink>
    </w:p>
    <w:p w14:paraId="14E50BA4" w14:textId="1896EF4C" w:rsidR="00CD09C3" w:rsidRPr="00C74C1A" w:rsidRDefault="00CD09C3" w:rsidP="00020D20">
      <w:pPr>
        <w:pStyle w:val="SecondLevelBulletList"/>
        <w:contextualSpacing/>
      </w:pPr>
      <w:r w:rsidRPr="00C74C1A">
        <w:t xml:space="preserve">State planning and research projects funded under </w:t>
      </w:r>
      <w:hyperlink r:id="rId539" w:history="1">
        <w:r w:rsidRPr="00020D20">
          <w:rPr>
            <w:rStyle w:val="TitleChar"/>
          </w:rPr>
          <w:t>23 U.S.C. § 505</w:t>
        </w:r>
      </w:hyperlink>
      <w:r w:rsidRPr="00C74C1A">
        <w:t xml:space="preserve"> and </w:t>
      </w:r>
      <w:hyperlink r:id="rId540" w:anchor="e" w:history="1">
        <w:r w:rsidRPr="00020D20">
          <w:rPr>
            <w:rStyle w:val="TitleChar"/>
          </w:rPr>
          <w:t>49 U.S.C. § 5305(e)</w:t>
        </w:r>
      </w:hyperlink>
    </w:p>
    <w:p w14:paraId="31FC47DA" w14:textId="798282C5" w:rsidR="00CD09C3" w:rsidRPr="00C74C1A" w:rsidRDefault="00CD09C3" w:rsidP="00020D20">
      <w:pPr>
        <w:pStyle w:val="SecondLevelBulletList"/>
        <w:contextualSpacing/>
      </w:pPr>
      <w:r w:rsidRPr="00C74C1A">
        <w:t>State planning and research projects funded with NHS, ST</w:t>
      </w:r>
      <w:r w:rsidR="007A1665" w:rsidRPr="00C74C1A">
        <w:t>BG</w:t>
      </w:r>
      <w:r w:rsidRPr="00C74C1A">
        <w:t>P, and/or Equity Bonus funds</w:t>
      </w:r>
    </w:p>
    <w:p w14:paraId="365D55A8" w14:textId="0F9B4F1A" w:rsidR="00CD09C3" w:rsidRPr="00C74C1A" w:rsidRDefault="00CD09C3" w:rsidP="00020D20">
      <w:pPr>
        <w:pStyle w:val="SecondLevelBulletList"/>
        <w:contextualSpacing/>
      </w:pPr>
      <w:r w:rsidRPr="00C74C1A">
        <w:t>Emergency relief projects (except those involving substantial functional, location, or capacity changes)</w:t>
      </w:r>
    </w:p>
    <w:p w14:paraId="35ABD13E" w14:textId="313852E2" w:rsidR="00CD09C3" w:rsidRPr="00C74C1A" w:rsidRDefault="00CD09C3" w:rsidP="00020D20">
      <w:pPr>
        <w:pStyle w:val="SecondLevelBulletList"/>
        <w:contextualSpacing/>
      </w:pPr>
      <w:r w:rsidRPr="00C74C1A">
        <w:t xml:space="preserve">National planning and research projects funded under </w:t>
      </w:r>
      <w:hyperlink r:id="rId541" w:history="1">
        <w:r w:rsidRPr="00020D20">
          <w:rPr>
            <w:rStyle w:val="TitleChar"/>
          </w:rPr>
          <w:t>49 U.S.C. § 5314</w:t>
        </w:r>
      </w:hyperlink>
    </w:p>
    <w:p w14:paraId="1B870EBE" w14:textId="6884802F" w:rsidR="00CD09C3" w:rsidRPr="00C74C1A" w:rsidRDefault="00CD09C3" w:rsidP="00020D20">
      <w:pPr>
        <w:pStyle w:val="SecondLevelBulletList"/>
        <w:contextualSpacing/>
      </w:pPr>
      <w:r w:rsidRPr="00C74C1A">
        <w:t xml:space="preserve">Project management oversight projects funded under </w:t>
      </w:r>
      <w:hyperlink r:id="rId542" w:history="1">
        <w:r w:rsidRPr="00020D20">
          <w:rPr>
            <w:rStyle w:val="TitleChar"/>
          </w:rPr>
          <w:t>49 U.S.C. § 5327</w:t>
        </w:r>
      </w:hyperlink>
    </w:p>
    <w:p w14:paraId="1A4CEE53" w14:textId="439E5CAD" w:rsidR="00D174BF" w:rsidRPr="00C74C1A" w:rsidRDefault="003416CC" w:rsidP="00020D20">
      <w:pPr>
        <w:pStyle w:val="Body-Bullets"/>
        <w:jc w:val="both"/>
      </w:pPr>
      <w:r w:rsidRPr="001E4049">
        <w:rPr>
          <w:noProof/>
        </w:rPr>
        <mc:AlternateContent>
          <mc:Choice Requires="wpg">
            <w:drawing>
              <wp:anchor distT="0" distB="0" distL="114300" distR="114300" simplePos="0" relativeHeight="251618619" behindDoc="0" locked="0" layoutInCell="1" allowOverlap="1" wp14:anchorId="4A6A2174" wp14:editId="0D29D2F1">
                <wp:simplePos x="0" y="0"/>
                <wp:positionH relativeFrom="column">
                  <wp:posOffset>157617</wp:posOffset>
                </wp:positionH>
                <wp:positionV relativeFrom="paragraph">
                  <wp:posOffset>958215</wp:posOffset>
                </wp:positionV>
                <wp:extent cx="2505075" cy="2362200"/>
                <wp:effectExtent l="95250" t="0" r="85725" b="95250"/>
                <wp:wrapSquare wrapText="bothSides"/>
                <wp:docPr id="816285946" name="Group 816285946"/>
                <wp:cNvGraphicFramePr/>
                <a:graphic xmlns:a="http://schemas.openxmlformats.org/drawingml/2006/main">
                  <a:graphicData uri="http://schemas.microsoft.com/office/word/2010/wordprocessingGroup">
                    <wpg:wgp>
                      <wpg:cNvGrpSpPr/>
                      <wpg:grpSpPr>
                        <a:xfrm>
                          <a:off x="0" y="0"/>
                          <a:ext cx="2505075" cy="2362200"/>
                          <a:chOff x="0" y="0"/>
                          <a:chExt cx="2631440" cy="2200275"/>
                        </a:xfrm>
                      </wpg:grpSpPr>
                      <wps:wsp>
                        <wps:cNvPr id="1690911457" name="Text Box 1690911457"/>
                        <wps:cNvSpPr txBox="1"/>
                        <wps:spPr>
                          <a:xfrm>
                            <a:off x="0" y="114300"/>
                            <a:ext cx="2628900" cy="2085975"/>
                          </a:xfrm>
                          <a:prstGeom prst="rect">
                            <a:avLst/>
                          </a:prstGeom>
                          <a:solidFill>
                            <a:srgbClr val="F7F7F7"/>
                          </a:solidFill>
                          <a:ln w="6350">
                            <a:noFill/>
                          </a:ln>
                          <a:effectLst>
                            <a:outerShdw blurRad="63500" sx="102000" sy="102000" algn="ctr" rotWithShape="0">
                              <a:srgbClr val="012768">
                                <a:alpha val="40000"/>
                              </a:srgbClr>
                            </a:outerShdw>
                          </a:effectLst>
                        </wps:spPr>
                        <wps:txbx>
                          <w:txbxContent>
                            <w:p w14:paraId="6901CEA7" w14:textId="77777777" w:rsidR="00C6444C" w:rsidRDefault="00C6444C" w:rsidP="00020D20"/>
                            <w:tbl>
                              <w:tblPr>
                                <w:tblW w:w="0" w:type="auto"/>
                                <w:tblLayout w:type="fixed"/>
                                <w:tblLook w:val="04A0" w:firstRow="1" w:lastRow="0" w:firstColumn="1" w:lastColumn="0" w:noHBand="0" w:noVBand="1"/>
                              </w:tblPr>
                              <w:tblGrid>
                                <w:gridCol w:w="3780"/>
                              </w:tblGrid>
                              <w:tr w:rsidR="00C6444C" w14:paraId="1715AFAA" w14:textId="77777777" w:rsidTr="00020D20">
                                <w:trPr>
                                  <w:trHeight w:val="2850"/>
                                </w:trPr>
                                <w:tc>
                                  <w:tcPr>
                                    <w:tcW w:w="3780" w:type="dxa"/>
                                  </w:tcPr>
                                  <w:p w14:paraId="14609FD6" w14:textId="77777777" w:rsidR="00C6444C" w:rsidRPr="009D4C80" w:rsidRDefault="00C6444C" w:rsidP="00020D20">
                                    <w:pPr>
                                      <w:pStyle w:val="Calloutboxes"/>
                                    </w:pPr>
                                    <w:r w:rsidRPr="004D26AE">
                                      <w:t xml:space="preserve">A transportation project (other than an exempt project) that is on a facility which serves regional transportation needs (such as access to and from the area outside of the </w:t>
                                    </w:r>
                                    <w:r w:rsidRPr="009D4C80">
                                      <w:t>region, major activity centers in the region, major planned developments such as new retail malls, sports complexes, etc., or transportation terminals as well as most terminals themselves) and would normally be included in the modeling of a metropolitan area’s transportation network, including at a minimum all principal arterial highways and all fixed guide-way transit facilities that offer an alternative to regional highway travel.</w:t>
                                    </w:r>
                                  </w:p>
                                  <w:p w14:paraId="59E09089" w14:textId="77777777" w:rsidR="00C6444C" w:rsidRPr="0027769D" w:rsidRDefault="00202C92" w:rsidP="00020D20">
                                    <w:pPr>
                                      <w:pStyle w:val="BalloonText"/>
                                      <w:jc w:val="center"/>
                                    </w:pPr>
                                    <w:hyperlink r:id="rId543" w:history="1">
                                      <w:r w:rsidR="00C6444C" w:rsidRPr="009E7FE4">
                                        <w:rPr>
                                          <w:rStyle w:val="Hyperlink"/>
                                          <w:rFonts w:ascii="Calibri" w:hAnsi="Calibri" w:cstheme="majorBidi"/>
                                          <w:i w:val="0"/>
                                          <w:color w:val="CE5B18"/>
                                          <w:u w:val="none"/>
                                        </w:rPr>
                                        <w:t>https://ops.fhwa.dot.gov/Freight/infrastructure/nat_reg_sig/index.htm</w:t>
                                      </w:r>
                                    </w:hyperlink>
                                  </w:p>
                                </w:tc>
                              </w:tr>
                            </w:tbl>
                            <w:p w14:paraId="3600C2B5"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1459" name="Group 1690911459"/>
                        <wpg:cNvGrpSpPr/>
                        <wpg:grpSpPr>
                          <a:xfrm>
                            <a:off x="0" y="0"/>
                            <a:ext cx="2631440" cy="342900"/>
                            <a:chOff x="11875" y="-182203"/>
                            <a:chExt cx="2772410" cy="781907"/>
                          </a:xfrm>
                        </wpg:grpSpPr>
                        <wps:wsp>
                          <wps:cNvPr id="1690911470" name="Rectangle 1690911470"/>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1472" name="Text Box 1690911472"/>
                          <wps:cNvSpPr txBox="1"/>
                          <wps:spPr>
                            <a:xfrm>
                              <a:off x="105494" y="-182203"/>
                              <a:ext cx="2583836" cy="781906"/>
                            </a:xfrm>
                            <a:prstGeom prst="rect">
                              <a:avLst/>
                            </a:prstGeom>
                            <a:noFill/>
                            <a:ln w="6350">
                              <a:noFill/>
                            </a:ln>
                            <a:effectLst/>
                          </wps:spPr>
                          <wps:txbx>
                            <w:txbxContent>
                              <w:p w14:paraId="563A6B33" w14:textId="08097091" w:rsidR="00C6444C" w:rsidRPr="00020D20" w:rsidRDefault="00C6444C" w:rsidP="00020D20">
                                <w:pPr>
                                  <w:jc w:val="center"/>
                                  <w:rPr>
                                    <w:color w:val="FFFFFF" w:themeColor="background1"/>
                                    <w:sz w:val="22"/>
                                  </w:rPr>
                                </w:pPr>
                                <w:r w:rsidRPr="00020D20">
                                  <w:rPr>
                                    <w:color w:val="FFFFFF" w:themeColor="background1"/>
                                    <w:sz w:val="22"/>
                                  </w:rPr>
                                  <w:t>REGIONALLY SIGNIFICANT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A6A2174" id="Group 816285946" o:spid="_x0000_s1156" style="position:absolute;left:0;text-align:left;margin-left:12.4pt;margin-top:75.45pt;width:197.25pt;height:186pt;z-index:251618619;mso-width-relative:margin;mso-height-relative:margin" coordsize="26314,22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">
                <v:shape id="Text Box 1690911457" o:spid="_x0000_s1157" type="#_x0000_t202" style="position:absolute;top:1143;width:26289;height:2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" fillcolor="#f7f7f7" stroked="f" strokeweight=".5pt">
                  <v:shadow on="t" type="perspective" color="#012768" opacity="26214f" offset="0,0" matrix="66847f,,,66847f"/>
                  <v:textbox>
                    <w:txbxContent>
                      <w:p w14:paraId="6901CEA7" w14:textId="77777777" w:rsidR="00C6444C" w:rsidRDefault="00C6444C" w:rsidP="00020D20"/>
                      <w:tbl>
                        <w:tblPr>
                          <w:tblW w:w="0" w:type="auto"/>
                          <w:tblLayout w:type="fixed"/>
                          <w:tblLook w:val="04A0" w:firstRow="1" w:lastRow="0" w:firstColumn="1" w:lastColumn="0" w:noHBand="0" w:noVBand="1"/>
                        </w:tblPr>
                        <w:tblGrid>
                          <w:gridCol w:w="3780"/>
                        </w:tblGrid>
                        <w:tr w:rsidR="00C6444C" w14:paraId="1715AFAA" w14:textId="77777777" w:rsidTr="00020D20">
                          <w:trPr>
                            <w:trHeight w:val="2850"/>
                          </w:trPr>
                          <w:tc>
                            <w:tcPr>
                              <w:tcW w:w="3780" w:type="dxa"/>
                            </w:tcPr>
                            <w:p w14:paraId="14609FD6" w14:textId="77777777" w:rsidR="00C6444C" w:rsidRPr="009D4C80" w:rsidRDefault="00C6444C" w:rsidP="00020D20">
                              <w:pPr>
                                <w:pStyle w:val="Calloutboxes"/>
                              </w:pPr>
                              <w:r w:rsidRPr="004D26AE">
                                <w:t xml:space="preserve">A transportation project (other than an exempt project) that is on a facility which serves regional transportation needs (such as access to and from the area outside of the </w:t>
                              </w:r>
                              <w:r w:rsidRPr="009D4C80">
                                <w:t>region, major activity centers in the region, major planned developments such as new retail malls, sports complexes, etc., or transportation terminals as well as most terminals themselves) and would normally be included in the modeling of a metropolitan area’s transportation network, including at a minimum all principal arterial highways and all fixed guide-way transit facilities that offer an alternative to regional highway travel.</w:t>
                              </w:r>
                            </w:p>
                            <w:p w14:paraId="59E09089" w14:textId="77777777" w:rsidR="00C6444C" w:rsidRPr="0027769D" w:rsidRDefault="00202C92" w:rsidP="00020D20">
                              <w:pPr>
                                <w:pStyle w:val="BalloonText"/>
                                <w:jc w:val="center"/>
                              </w:pPr>
                              <w:hyperlink r:id="rId544" w:history="1">
                                <w:r w:rsidR="00C6444C" w:rsidRPr="009E7FE4">
                                  <w:rPr>
                                    <w:rStyle w:val="Hyperlink"/>
                                    <w:rFonts w:ascii="Calibri" w:hAnsi="Calibri" w:cstheme="majorBidi"/>
                                    <w:i w:val="0"/>
                                    <w:color w:val="CE5B18"/>
                                    <w:u w:val="none"/>
                                  </w:rPr>
                                  <w:t>https://ops.fhwa.dot.gov/Freight/infrastructure/nat_reg_sig/index.htm</w:t>
                                </w:r>
                              </w:hyperlink>
                            </w:p>
                          </w:tc>
                        </w:tr>
                      </w:tbl>
                      <w:p w14:paraId="3600C2B5" w14:textId="77777777" w:rsidR="00C6444C" w:rsidRPr="00347D6E" w:rsidRDefault="00C6444C" w:rsidP="00020D20"/>
                    </w:txbxContent>
                  </v:textbox>
                </v:shape>
                <v:group id="Group 1690911459" o:spid="_x0000_s1158" style="position:absolute;width:26314;height:3429" coordorigin="118,-1822" coordsize="27724,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">
                  <v:rect id="Rectangle 1690911470" o:spid="_x0000_s1159"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" fillcolor="#012768" strokecolor="#1f4d78 [1604]" strokeweight="1pt"/>
                  <v:shape id="Text Box 1690911472" o:spid="_x0000_s1160" type="#_x0000_t202" style="position:absolute;left:1054;top:-1822;width:25839;height:7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" filled="f" stroked="f" strokeweight=".5pt">
                    <v:textbox>
                      <w:txbxContent>
                        <w:p w14:paraId="563A6B33" w14:textId="08097091" w:rsidR="00C6444C" w:rsidRPr="00020D20" w:rsidRDefault="00C6444C" w:rsidP="00020D20">
                          <w:pPr>
                            <w:jc w:val="center"/>
                            <w:rPr>
                              <w:color w:val="FFFFFF" w:themeColor="background1"/>
                              <w:sz w:val="22"/>
                            </w:rPr>
                          </w:pPr>
                          <w:r w:rsidRPr="00020D20">
                            <w:rPr>
                              <w:color w:val="FFFFFF" w:themeColor="background1"/>
                              <w:sz w:val="22"/>
                            </w:rPr>
                            <w:t>REGIONALLY SIGNIFICANT PROJECT</w:t>
                          </w:r>
                        </w:p>
                      </w:txbxContent>
                    </v:textbox>
                  </v:shape>
                </v:group>
                <w10:wrap type="square"/>
              </v:group>
            </w:pict>
          </mc:Fallback>
        </mc:AlternateContent>
      </w:r>
      <w:r w:rsidR="00CD09C3" w:rsidRPr="00C74C1A">
        <w:t>Furthermore, the MPO/COG may group projects that are not considered to be of appropriate scale for individual identification in a given program year (</w:t>
      </w:r>
      <w:hyperlink r:id="rId545" w:history="1">
        <w:r w:rsidR="00D815B1" w:rsidRPr="00020D20">
          <w:rPr>
            <w:rStyle w:val="TitleChar"/>
          </w:rPr>
          <w:t xml:space="preserve">23 </w:t>
        </w:r>
        <w:r w:rsidR="009628C0">
          <w:rPr>
            <w:rStyle w:val="TitleChar"/>
          </w:rPr>
          <w:t xml:space="preserve">C.F.R. </w:t>
        </w:r>
        <w:r w:rsidR="00D815B1" w:rsidRPr="00020D20">
          <w:rPr>
            <w:rStyle w:val="TitleChar"/>
          </w:rPr>
          <w:t>§ 450.326(h)</w:t>
        </w:r>
      </w:hyperlink>
      <w:r w:rsidR="00CD09C3" w:rsidRPr="00C74C1A">
        <w:t>).</w:t>
      </w:r>
    </w:p>
    <w:p w14:paraId="3DD85315" w14:textId="77777777" w:rsidR="00CD09C3" w:rsidRPr="00CD09C3" w:rsidRDefault="00CD09C3" w:rsidP="00020D20">
      <w:pPr>
        <w:pStyle w:val="Heading2"/>
      </w:pPr>
      <w:bookmarkStart w:id="262" w:name="_Ref50030384"/>
      <w:r w:rsidRPr="00CD09C3">
        <w:t>8.5 | YEARS TO BE COVERED</w:t>
      </w:r>
      <w:bookmarkEnd w:id="262"/>
    </w:p>
    <w:p w14:paraId="2EF82FFC" w14:textId="6B5287B4" w:rsidR="00CD09C3" w:rsidRPr="00CD09C3" w:rsidRDefault="00CD09C3" w:rsidP="00020D20">
      <w:pPr>
        <w:jc w:val="both"/>
        <w:rPr>
          <w:rFonts w:cstheme="minorHAnsi"/>
        </w:rPr>
      </w:pPr>
      <w:r w:rsidRPr="00CD09C3">
        <w:rPr>
          <w:rFonts w:cstheme="minorHAnsi"/>
        </w:rPr>
        <w:t>Under federal law, the TIP must cover a four-year period (</w:t>
      </w:r>
      <w:hyperlink r:id="rId546" w:history="1">
        <w:r w:rsidR="00066C27" w:rsidRPr="00020D20">
          <w:rPr>
            <w:rStyle w:val="TitleChar"/>
          </w:rPr>
          <w:t>23 U.S.C. § 134 (i)(1)(B)</w:t>
        </w:r>
      </w:hyperlink>
      <w:r w:rsidRPr="00CD09C3">
        <w:rPr>
          <w:rFonts w:cstheme="minorHAnsi"/>
        </w:rPr>
        <w:t>). Federal regulations allow a TIP to cover more than the required four years. FHWA and FTA consider the fifth year of a TIP as informational (</w:t>
      </w:r>
      <w:hyperlink r:id="rId547" w:history="1">
        <w:r w:rsidR="00066C27" w:rsidRPr="00020D20">
          <w:rPr>
            <w:rStyle w:val="TitleChar"/>
          </w:rPr>
          <w:t xml:space="preserve">23 </w:t>
        </w:r>
        <w:r w:rsidR="009628C0">
          <w:rPr>
            <w:rStyle w:val="TitleChar"/>
          </w:rPr>
          <w:t xml:space="preserve">C.F.R. </w:t>
        </w:r>
        <w:r w:rsidR="00066C27" w:rsidRPr="00020D20">
          <w:rPr>
            <w:rStyle w:val="TitleChar"/>
          </w:rPr>
          <w:t>§ 450.326(a)</w:t>
        </w:r>
      </w:hyperlink>
      <w:r w:rsidRPr="00CD09C3">
        <w:rPr>
          <w:rFonts w:cstheme="minorHAnsi"/>
        </w:rPr>
        <w:t>). The consolidation of both federal and state requirements into a single project listing satisfy the federal requirement that regionally significant transportation projects be listed in the TIP even if no federal funding is involved.</w:t>
      </w:r>
    </w:p>
    <w:p w14:paraId="0255AAD8" w14:textId="7E9204F2" w:rsidR="00CD09C3" w:rsidRPr="00CD09C3" w:rsidRDefault="00CD09C3" w:rsidP="00020D20">
      <w:pPr>
        <w:pStyle w:val="Heading2"/>
      </w:pPr>
      <w:bookmarkStart w:id="263" w:name="_Ref50030387"/>
      <w:r w:rsidRPr="00CD09C3">
        <w:t>8.6 | RELATIONSHIP OF THE RTP</w:t>
      </w:r>
      <w:bookmarkEnd w:id="263"/>
    </w:p>
    <w:p w14:paraId="2B87E135" w14:textId="03967918" w:rsidR="00CD09C3" w:rsidRPr="00CD09C3" w:rsidRDefault="00C51551" w:rsidP="00020D20">
      <w:pPr>
        <w:jc w:val="both"/>
        <w:rPr>
          <w:rFonts w:cstheme="minorHAnsi"/>
        </w:rPr>
      </w:pPr>
      <w:r>
        <w:rPr>
          <w:rFonts w:cstheme="minorHAnsi"/>
          <w:noProof/>
        </w:rPr>
        <mc:AlternateContent>
          <mc:Choice Requires="wps">
            <w:drawing>
              <wp:anchor distT="0" distB="0" distL="114300" distR="114300" simplePos="0" relativeHeight="251618538" behindDoc="1" locked="0" layoutInCell="1" allowOverlap="1" wp14:anchorId="70282590" wp14:editId="188E1C9A">
                <wp:simplePos x="0" y="0"/>
                <wp:positionH relativeFrom="column">
                  <wp:posOffset>1181027</wp:posOffset>
                </wp:positionH>
                <wp:positionV relativeFrom="paragraph">
                  <wp:posOffset>93345</wp:posOffset>
                </wp:positionV>
                <wp:extent cx="1238250" cy="1143000"/>
                <wp:effectExtent l="76200" t="76200" r="76200" b="76200"/>
                <wp:wrapTight wrapText="bothSides">
                  <wp:wrapPolygon edited="0">
                    <wp:start x="-997" y="-1440"/>
                    <wp:lineTo x="-1329" y="-1080"/>
                    <wp:lineTo x="-1329" y="22680"/>
                    <wp:lineTo x="22597" y="22680"/>
                    <wp:lineTo x="22597" y="4680"/>
                    <wp:lineTo x="22265" y="-720"/>
                    <wp:lineTo x="22265" y="-1440"/>
                    <wp:lineTo x="-997" y="-1440"/>
                  </wp:wrapPolygon>
                </wp:wrapTight>
                <wp:docPr id="1690911430" name="Text Box 1690911430"/>
                <wp:cNvGraphicFramePr/>
                <a:graphic xmlns:a="http://schemas.openxmlformats.org/drawingml/2006/main">
                  <a:graphicData uri="http://schemas.microsoft.com/office/word/2010/wordprocessingShape">
                    <wps:wsp>
                      <wps:cNvSpPr txBox="1"/>
                      <wps:spPr>
                        <a:xfrm>
                          <a:off x="0" y="0"/>
                          <a:ext cx="123825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30F2BE5" w14:textId="77777777" w:rsidR="00C6444C" w:rsidRDefault="00C6444C" w:rsidP="00020D20">
                            <w:pPr>
                              <w:jc w:val="center"/>
                            </w:pPr>
                            <w:r>
                              <w:rPr>
                                <w:noProof/>
                              </w:rPr>
                              <w:drawing>
                                <wp:inline distT="0" distB="0" distL="0" distR="0" wp14:anchorId="52DD9C43" wp14:editId="1AC08791">
                                  <wp:extent cx="457200" cy="457200"/>
                                  <wp:effectExtent l="0" t="0" r="0" b="0"/>
                                  <wp:docPr id="1690911522" name="Picture 1690911522">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813A444" w14:textId="2250DB22" w:rsidR="00C6444C" w:rsidRPr="00020D20" w:rsidRDefault="00C6444C" w:rsidP="00020D20">
                            <w:pPr>
                              <w:pStyle w:val="Calloutboxes"/>
                              <w:rPr>
                                <w:rStyle w:val="FootnoteReference"/>
                              </w:rPr>
                            </w:pPr>
                            <w:r w:rsidRPr="00394A74">
                              <w:t>Chapter 7 provides information regarding RTP.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282590" id="Text Box 1690911430" o:spid="_x0000_s1161" type="#_x0000_t202" style="position:absolute;left:0;text-align:left;margin-left:93pt;margin-top:7.35pt;width:97.5pt;height:90pt;z-index:-251697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" fillcolor="#f7f7f7" stroked="f" strokeweight=".5pt">
                <v:shadow on="t" type="perspective" color="black" opacity="26214f" offset="0,0" matrix="66847f,,,66847f"/>
                <v:textbox>
                  <w:txbxContent>
                    <w:p w14:paraId="130F2BE5" w14:textId="77777777" w:rsidR="00C6444C" w:rsidRDefault="00C6444C" w:rsidP="00020D20">
                      <w:pPr>
                        <w:jc w:val="center"/>
                      </w:pPr>
                      <w:r>
                        <w:rPr>
                          <w:noProof/>
                        </w:rPr>
                        <w:drawing>
                          <wp:inline distT="0" distB="0" distL="0" distR="0" wp14:anchorId="52DD9C43" wp14:editId="1AC08791">
                            <wp:extent cx="457200" cy="457200"/>
                            <wp:effectExtent l="0" t="0" r="0" b="0"/>
                            <wp:docPr id="1690911522" name="Picture 1690911522">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813A444" w14:textId="2250DB22" w:rsidR="00C6444C" w:rsidRPr="00020D20" w:rsidRDefault="00C6444C" w:rsidP="00020D20">
                      <w:pPr>
                        <w:pStyle w:val="Calloutboxes"/>
                        <w:rPr>
                          <w:rStyle w:val="FootnoteReference"/>
                        </w:rPr>
                      </w:pPr>
                      <w:r w:rsidRPr="00394A74">
                        <w:t>Chapter 7 provides information regarding RTP.</w:t>
                      </w:r>
                    </w:p>
                  </w:txbxContent>
                </v:textbox>
                <w10:wrap type="tight"/>
              </v:shape>
            </w:pict>
          </mc:Fallback>
        </mc:AlternateContent>
      </w:r>
      <w:r w:rsidR="00CD09C3" w:rsidRPr="00CD09C3">
        <w:rPr>
          <w:rFonts w:cstheme="minorHAnsi"/>
        </w:rPr>
        <w:t>There must be an approved RTP or a properly amended RTP at the time the MPO submits the annual TIP to ADOT for the director’s approval. The TIP must be incorporated into the STIP to ensure continued federal funding for the metropolitan area. The director cannot approve a TIP for inclusion in the STIP that does not come from a currently approved RTP or a TIP that includes projects that have not been properly amended into the RTP and approved by the MPO. Because COGs are not required to have an RTP, the COG TIP must be consistent with goals set forth in the statewide LRTP.</w:t>
      </w:r>
    </w:p>
    <w:p w14:paraId="16D785B3" w14:textId="3F3BE04E" w:rsidR="00CD09C3" w:rsidRPr="00CD09C3" w:rsidRDefault="00CD09C3" w:rsidP="00020D20">
      <w:pPr>
        <w:pStyle w:val="Heading2"/>
      </w:pPr>
      <w:bookmarkStart w:id="264" w:name="_Ref50030393"/>
      <w:r w:rsidRPr="00CD09C3">
        <w:t>8.7 | FORMAT &amp; CONTENT</w:t>
      </w:r>
      <w:bookmarkEnd w:id="264"/>
    </w:p>
    <w:p w14:paraId="6530ED88" w14:textId="7718F7F5" w:rsidR="00CD09C3" w:rsidRDefault="00C74C1A" w:rsidP="00020D20">
      <w:pPr>
        <w:jc w:val="both"/>
        <w:rPr>
          <w:rFonts w:cstheme="minorHAnsi"/>
        </w:rPr>
      </w:pPr>
      <w:r>
        <w:rPr>
          <w:rFonts w:cstheme="minorHAnsi"/>
          <w:noProof/>
        </w:rPr>
        <mc:AlternateContent>
          <mc:Choice Requires="wps">
            <w:drawing>
              <wp:anchor distT="0" distB="0" distL="114300" distR="114300" simplePos="0" relativeHeight="251618539" behindDoc="1" locked="0" layoutInCell="1" allowOverlap="1" wp14:anchorId="3CA3E81D" wp14:editId="1EEC0A80">
                <wp:simplePos x="0" y="0"/>
                <wp:positionH relativeFrom="column">
                  <wp:posOffset>1242060</wp:posOffset>
                </wp:positionH>
                <wp:positionV relativeFrom="paragraph">
                  <wp:posOffset>89535</wp:posOffset>
                </wp:positionV>
                <wp:extent cx="1238250" cy="1500505"/>
                <wp:effectExtent l="76200" t="95250" r="76200" b="99695"/>
                <wp:wrapTight wrapText="bothSides">
                  <wp:wrapPolygon edited="0">
                    <wp:start x="-1329" y="-1371"/>
                    <wp:lineTo x="-1329" y="22761"/>
                    <wp:lineTo x="22597" y="22761"/>
                    <wp:lineTo x="22597" y="-1371"/>
                    <wp:lineTo x="-1329" y="-1371"/>
                  </wp:wrapPolygon>
                </wp:wrapTight>
                <wp:docPr id="1690911432" name="Text Box 1690911432"/>
                <wp:cNvGraphicFramePr/>
                <a:graphic xmlns:a="http://schemas.openxmlformats.org/drawingml/2006/main">
                  <a:graphicData uri="http://schemas.microsoft.com/office/word/2010/wordprocessingShape">
                    <wps:wsp>
                      <wps:cNvSpPr txBox="1"/>
                      <wps:spPr>
                        <a:xfrm>
                          <a:off x="0" y="0"/>
                          <a:ext cx="1238250" cy="15005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A6217DE" w14:textId="77777777" w:rsidR="00C6444C" w:rsidRDefault="00C6444C" w:rsidP="00020D20">
                            <w:pPr>
                              <w:jc w:val="center"/>
                            </w:pPr>
                            <w:r>
                              <w:rPr>
                                <w:noProof/>
                              </w:rPr>
                              <w:drawing>
                                <wp:inline distT="0" distB="0" distL="0" distR="0" wp14:anchorId="4D330A75" wp14:editId="23ECA693">
                                  <wp:extent cx="457200" cy="457200"/>
                                  <wp:effectExtent l="0" t="0" r="0" b="0"/>
                                  <wp:docPr id="1690911524" name="Picture 1690911524">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2737D21" w14:textId="213BCBC6" w:rsidR="00C6444C" w:rsidRPr="00020D20" w:rsidRDefault="00C6444C" w:rsidP="00020D20">
                            <w:pPr>
                              <w:pStyle w:val="Calloutboxes"/>
                              <w:rPr>
                                <w:rStyle w:val="TitleChar"/>
                                <w:sz w:val="16"/>
                                <w:szCs w:val="16"/>
                              </w:rPr>
                            </w:pPr>
                            <w:r w:rsidRPr="00954116">
                              <w:rPr>
                                <w:rStyle w:val="TitleChar"/>
                                <w:i w:val="0"/>
                                <w:color w:val="58585B"/>
                                <w:sz w:val="16"/>
                                <w:szCs w:val="16"/>
                              </w:rPr>
                              <w:t>What Moves You Arizona LRTP</w:t>
                            </w:r>
                            <w:r w:rsidRPr="00020D20">
                              <w:rPr>
                                <w:rStyle w:val="TitleChar"/>
                                <w:color w:val="58585B"/>
                                <w:sz w:val="16"/>
                                <w:szCs w:val="16"/>
                              </w:rPr>
                              <w:t xml:space="preserve"> 2016</w:t>
                            </w:r>
                            <w:r w:rsidRPr="00954116">
                              <w:rPr>
                                <w:rStyle w:val="TitleChar"/>
                                <w:i w:val="0"/>
                                <w:color w:val="58585B"/>
                                <w:sz w:val="16"/>
                                <w:szCs w:val="16"/>
                              </w:rPr>
                              <w:t>-20</w:t>
                            </w:r>
                            <w:r w:rsidRPr="00020D20">
                              <w:rPr>
                                <w:rStyle w:val="TitleChar"/>
                                <w:color w:val="58585B"/>
                                <w:sz w:val="16"/>
                                <w:szCs w:val="16"/>
                              </w:rPr>
                              <w:t>40</w:t>
                            </w:r>
                            <w:r w:rsidRPr="00954116">
                              <w:rPr>
                                <w:rStyle w:val="TitleChar"/>
                                <w:i w:val="0"/>
                                <w:color w:val="58585B"/>
                                <w:sz w:val="16"/>
                                <w:szCs w:val="16"/>
                              </w:rPr>
                              <w:t xml:space="preserve"> </w:t>
                            </w:r>
                            <w:hyperlink r:id="rId548" w:history="1">
                              <w:r w:rsidRPr="00020D20">
                                <w:rPr>
                                  <w:rStyle w:val="TitleChar"/>
                                  <w:sz w:val="16"/>
                                  <w:szCs w:val="16"/>
                                </w:rPr>
                                <w:t>https://azdot.gov/planning/transportation-programs/state-long-range-transportation-plan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A3E81D" id="Text Box 1690911432" o:spid="_x0000_s1162" type="#_x0000_t202" style="position:absolute;left:0;text-align:left;margin-left:97.8pt;margin-top:7.05pt;width:97.5pt;height:118.15pt;z-index:-251697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" fillcolor="#f7f7f7" stroked="f" strokeweight=".5pt">
                <v:shadow on="t" type="perspective" color="black" opacity="26214f" offset="0,0" matrix="66847f,,,66847f"/>
                <v:textbox>
                  <w:txbxContent>
                    <w:p w14:paraId="4A6217DE" w14:textId="77777777" w:rsidR="00C6444C" w:rsidRDefault="00C6444C" w:rsidP="00020D20">
                      <w:pPr>
                        <w:jc w:val="center"/>
                      </w:pPr>
                      <w:r>
                        <w:rPr>
                          <w:noProof/>
                        </w:rPr>
                        <w:drawing>
                          <wp:inline distT="0" distB="0" distL="0" distR="0" wp14:anchorId="4D330A75" wp14:editId="23ECA693">
                            <wp:extent cx="457200" cy="457200"/>
                            <wp:effectExtent l="0" t="0" r="0" b="0"/>
                            <wp:docPr id="1690911524" name="Picture 1690911524">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2737D21" w14:textId="213BCBC6" w:rsidR="00C6444C" w:rsidRPr="00020D20" w:rsidRDefault="00C6444C" w:rsidP="00020D20">
                      <w:pPr>
                        <w:pStyle w:val="Calloutboxes"/>
                        <w:rPr>
                          <w:rStyle w:val="TitleChar"/>
                          <w:sz w:val="16"/>
                          <w:szCs w:val="16"/>
                        </w:rPr>
                      </w:pPr>
                      <w:r w:rsidRPr="00954116">
                        <w:rPr>
                          <w:rStyle w:val="TitleChar"/>
                          <w:i w:val="0"/>
                          <w:color w:val="58585B"/>
                          <w:sz w:val="16"/>
                          <w:szCs w:val="16"/>
                        </w:rPr>
                        <w:t>What Moves You Arizona LRTP</w:t>
                      </w:r>
                      <w:r w:rsidRPr="00020D20">
                        <w:rPr>
                          <w:rStyle w:val="TitleChar"/>
                          <w:color w:val="58585B"/>
                          <w:sz w:val="16"/>
                          <w:szCs w:val="16"/>
                        </w:rPr>
                        <w:t xml:space="preserve"> 2016</w:t>
                      </w:r>
                      <w:r w:rsidRPr="00954116">
                        <w:rPr>
                          <w:rStyle w:val="TitleChar"/>
                          <w:i w:val="0"/>
                          <w:color w:val="58585B"/>
                          <w:sz w:val="16"/>
                          <w:szCs w:val="16"/>
                        </w:rPr>
                        <w:t>-20</w:t>
                      </w:r>
                      <w:r w:rsidRPr="00020D20">
                        <w:rPr>
                          <w:rStyle w:val="TitleChar"/>
                          <w:color w:val="58585B"/>
                          <w:sz w:val="16"/>
                          <w:szCs w:val="16"/>
                        </w:rPr>
                        <w:t>40</w:t>
                      </w:r>
                      <w:r w:rsidRPr="00954116">
                        <w:rPr>
                          <w:rStyle w:val="TitleChar"/>
                          <w:i w:val="0"/>
                          <w:color w:val="58585B"/>
                          <w:sz w:val="16"/>
                          <w:szCs w:val="16"/>
                        </w:rPr>
                        <w:t xml:space="preserve"> </w:t>
                      </w:r>
                      <w:hyperlink r:id="rId549" w:history="1">
                        <w:r w:rsidRPr="00020D20">
                          <w:rPr>
                            <w:rStyle w:val="TitleChar"/>
                            <w:sz w:val="16"/>
                            <w:szCs w:val="16"/>
                          </w:rPr>
                          <w:t>https://azdot.gov/planning/transportation-programs/state-long-range-transportation-plan</w:t>
                        </w:r>
                      </w:hyperlink>
                    </w:p>
                  </w:txbxContent>
                </v:textbox>
                <w10:wrap type="tight"/>
              </v:shape>
            </w:pict>
          </mc:Fallback>
        </mc:AlternateContent>
      </w:r>
      <w:r w:rsidR="00CD09C3" w:rsidRPr="00CD09C3">
        <w:rPr>
          <w:rFonts w:cstheme="minorHAnsi"/>
        </w:rPr>
        <w:t>Although no format for the TIP is specified in federal or state laws or rules, the following format meets legal requirements and is acceptable to the FHWA and the FTA.</w:t>
      </w:r>
    </w:p>
    <w:p w14:paraId="21155B84" w14:textId="436B9704" w:rsidR="00CD09C3" w:rsidRPr="00CD09C3" w:rsidRDefault="00262BDB" w:rsidP="00020D20">
      <w:pPr>
        <w:pStyle w:val="Heading3"/>
        <w:jc w:val="both"/>
      </w:pPr>
      <w:bookmarkStart w:id="265" w:name="_Ref50030853"/>
      <w:r>
        <w:t xml:space="preserve">8.7.1 | </w:t>
      </w:r>
      <w:r w:rsidR="00CD09C3" w:rsidRPr="008A48CD">
        <w:t>Introductory</w:t>
      </w:r>
      <w:r w:rsidR="00CD09C3" w:rsidRPr="00CD09C3">
        <w:t xml:space="preserve"> Materials</w:t>
      </w:r>
      <w:bookmarkEnd w:id="265"/>
      <w:r w:rsidR="00CD09C3">
        <w:t xml:space="preserve"> </w:t>
      </w:r>
    </w:p>
    <w:p w14:paraId="4B649A03" w14:textId="77177E9F" w:rsidR="00CD09C3" w:rsidRPr="004730FF" w:rsidRDefault="00CD09C3" w:rsidP="00020D20">
      <w:pPr>
        <w:pStyle w:val="NumberedList"/>
        <w:numPr>
          <w:ilvl w:val="0"/>
          <w:numId w:val="270"/>
        </w:numPr>
        <w:jc w:val="both"/>
      </w:pPr>
      <w:r w:rsidRPr="004730FF">
        <w:t>On the cover or title page, include the official MPO/COG name, state fiscal years covered, and list the MPO/COG board approval date and/or subsequent revision dates.</w:t>
      </w:r>
    </w:p>
    <w:p w14:paraId="6D7554BB" w14:textId="2022E00E" w:rsidR="00CD09C3" w:rsidRPr="004730FF" w:rsidRDefault="00CD09C3" w:rsidP="00020D20">
      <w:pPr>
        <w:pStyle w:val="NumberedList"/>
        <w:jc w:val="both"/>
      </w:pPr>
      <w:r w:rsidRPr="004730FF">
        <w:t>In the table of contents, list the title of each section and its beginning page number.</w:t>
      </w:r>
    </w:p>
    <w:p w14:paraId="49407C80" w14:textId="77777777" w:rsidR="00CD09C3" w:rsidRPr="004730FF" w:rsidRDefault="00CD09C3" w:rsidP="00020D20">
      <w:pPr>
        <w:jc w:val="both"/>
      </w:pPr>
      <w:r w:rsidRPr="004730FF">
        <w:t>Each TIP must include an endorsement stating the date of official MPO/COG approval and that the TIP has been developed consistent with federal and state requirements. The endorsement may be a copy of the MPO/COG resolution approving the TIP or a signature block on the document cover page signed by the MPO/COG chairperson. In maintenance or nonattainment areas, an air quality conformity determination must be approved prior to the TIP approval by the MPO/COG.</w:t>
      </w:r>
    </w:p>
    <w:p w14:paraId="49F50A00" w14:textId="77777777" w:rsidR="00CD09C3" w:rsidRPr="004730FF" w:rsidRDefault="00CD09C3" w:rsidP="00020D20">
      <w:pPr>
        <w:jc w:val="both"/>
      </w:pPr>
      <w:r w:rsidRPr="004730FF">
        <w:t>Include a list of definitions, abbreviations, funding and phase codes, and acronyms used within the text.</w:t>
      </w:r>
    </w:p>
    <w:p w14:paraId="588D7120" w14:textId="77777777" w:rsidR="00CD09C3" w:rsidRPr="00CD09C3" w:rsidRDefault="00CD09C3" w:rsidP="00020D20">
      <w:pPr>
        <w:pStyle w:val="Heading3"/>
        <w:jc w:val="both"/>
      </w:pPr>
      <w:bookmarkStart w:id="266" w:name="_Ref50030398"/>
      <w:r w:rsidRPr="00CD09C3">
        <w:t>8.7.2 | Narrative</w:t>
      </w:r>
      <w:bookmarkEnd w:id="266"/>
    </w:p>
    <w:p w14:paraId="4539AB45" w14:textId="77777777" w:rsidR="00CD09C3" w:rsidRPr="00CD09C3" w:rsidRDefault="00CD09C3" w:rsidP="00020D20">
      <w:pPr>
        <w:jc w:val="both"/>
        <w:rPr>
          <w:rFonts w:cstheme="minorHAnsi"/>
        </w:rPr>
      </w:pPr>
      <w:r w:rsidRPr="00CD09C3">
        <w:rPr>
          <w:rFonts w:cstheme="minorHAnsi"/>
        </w:rPr>
        <w:t xml:space="preserve">The MPO’s/COG’s TIP typically includes the following sections: </w:t>
      </w:r>
    </w:p>
    <w:p w14:paraId="506C5D51" w14:textId="77777777" w:rsidR="00CD09C3" w:rsidRPr="00CD09C3" w:rsidRDefault="00CD09C3" w:rsidP="00020D20">
      <w:pPr>
        <w:pStyle w:val="Body-Bullets"/>
        <w:jc w:val="both"/>
      </w:pPr>
      <w:r w:rsidRPr="00CD09C3">
        <w:t>Introduction</w:t>
      </w:r>
    </w:p>
    <w:p w14:paraId="6844D1CD" w14:textId="77777777" w:rsidR="00CD09C3" w:rsidRPr="004730FF" w:rsidRDefault="00CD09C3" w:rsidP="00020D20">
      <w:pPr>
        <w:pStyle w:val="ListParagraph"/>
        <w:numPr>
          <w:ilvl w:val="1"/>
          <w:numId w:val="104"/>
        </w:numPr>
        <w:tabs>
          <w:tab w:val="clear" w:pos="540"/>
          <w:tab w:val="left" w:pos="450"/>
        </w:tabs>
        <w:spacing w:before="60" w:after="0"/>
        <w:jc w:val="both"/>
      </w:pPr>
      <w:r w:rsidRPr="004730FF">
        <w:t>Mission</w:t>
      </w:r>
    </w:p>
    <w:p w14:paraId="33319C76" w14:textId="77777777" w:rsidR="00CD09C3" w:rsidRPr="004730FF" w:rsidRDefault="00CD09C3" w:rsidP="00020D20">
      <w:pPr>
        <w:pStyle w:val="ListParagraph"/>
        <w:numPr>
          <w:ilvl w:val="1"/>
          <w:numId w:val="104"/>
        </w:numPr>
        <w:tabs>
          <w:tab w:val="clear" w:pos="540"/>
          <w:tab w:val="left" w:pos="450"/>
        </w:tabs>
        <w:spacing w:before="0" w:after="0"/>
        <w:jc w:val="both"/>
      </w:pPr>
      <w:r w:rsidRPr="004730FF">
        <w:t>Vision</w:t>
      </w:r>
    </w:p>
    <w:p w14:paraId="6450D323" w14:textId="094C231E" w:rsidR="00CD09C3" w:rsidRPr="004730FF" w:rsidRDefault="00CD09C3" w:rsidP="00020D20">
      <w:pPr>
        <w:pStyle w:val="ListParagraph"/>
        <w:numPr>
          <w:ilvl w:val="1"/>
          <w:numId w:val="104"/>
        </w:numPr>
        <w:tabs>
          <w:tab w:val="clear" w:pos="540"/>
          <w:tab w:val="left" w:pos="450"/>
        </w:tabs>
        <w:spacing w:before="0" w:after="0"/>
        <w:jc w:val="both"/>
      </w:pPr>
      <w:r w:rsidRPr="004730FF">
        <w:t>Regional Profile</w:t>
      </w:r>
    </w:p>
    <w:p w14:paraId="48EBE16E" w14:textId="599C4BBE" w:rsidR="00CD09C3" w:rsidRPr="004730FF" w:rsidRDefault="00CD09C3" w:rsidP="00020D20">
      <w:pPr>
        <w:pStyle w:val="ListParagraph"/>
        <w:numPr>
          <w:ilvl w:val="1"/>
          <w:numId w:val="104"/>
        </w:numPr>
        <w:tabs>
          <w:tab w:val="clear" w:pos="540"/>
          <w:tab w:val="left" w:pos="450"/>
        </w:tabs>
        <w:spacing w:before="0" w:after="0"/>
        <w:jc w:val="both"/>
      </w:pPr>
      <w:r w:rsidRPr="004730FF">
        <w:t>Funding and Budget Summary</w:t>
      </w:r>
    </w:p>
    <w:p w14:paraId="5C129109" w14:textId="0D1B1929" w:rsidR="00CD09C3" w:rsidRDefault="00CD09C3" w:rsidP="00020D20">
      <w:pPr>
        <w:pStyle w:val="Body-Bullets"/>
        <w:jc w:val="both"/>
      </w:pPr>
      <w:r w:rsidRPr="00CD09C3">
        <w:t>T</w:t>
      </w:r>
      <w:r w:rsidRPr="00020D20">
        <w:rPr>
          <w:rStyle w:val="Body-BulletsChar"/>
        </w:rPr>
        <w:t>IP Process and Public Involvement</w:t>
      </w:r>
    </w:p>
    <w:p w14:paraId="280393E4" w14:textId="77777777" w:rsidR="00CD09C3" w:rsidRPr="004730FF" w:rsidRDefault="00CD09C3" w:rsidP="00020D20">
      <w:pPr>
        <w:pStyle w:val="ListParagraph"/>
        <w:numPr>
          <w:ilvl w:val="1"/>
          <w:numId w:val="105"/>
        </w:numPr>
        <w:tabs>
          <w:tab w:val="clear" w:pos="540"/>
          <w:tab w:val="left" w:pos="450"/>
        </w:tabs>
        <w:spacing w:before="60" w:after="0"/>
        <w:jc w:val="both"/>
      </w:pPr>
      <w:r w:rsidRPr="004730FF">
        <w:t>Schedule</w:t>
      </w:r>
    </w:p>
    <w:p w14:paraId="2C4D4947" w14:textId="77777777" w:rsidR="00CD09C3" w:rsidRPr="004730FF" w:rsidRDefault="00CD09C3" w:rsidP="00020D20">
      <w:pPr>
        <w:pStyle w:val="ListParagraph"/>
        <w:numPr>
          <w:ilvl w:val="1"/>
          <w:numId w:val="105"/>
        </w:numPr>
        <w:tabs>
          <w:tab w:val="clear" w:pos="540"/>
          <w:tab w:val="left" w:pos="450"/>
        </w:tabs>
        <w:spacing w:before="0" w:after="0"/>
        <w:jc w:val="both"/>
      </w:pPr>
      <w:r w:rsidRPr="004730FF">
        <w:t>Project Submittal</w:t>
      </w:r>
    </w:p>
    <w:p w14:paraId="2C00EC28" w14:textId="77777777" w:rsidR="00CD09C3" w:rsidRPr="004730FF" w:rsidRDefault="00CD09C3" w:rsidP="00020D20">
      <w:pPr>
        <w:pStyle w:val="ListParagraph"/>
        <w:numPr>
          <w:ilvl w:val="1"/>
          <w:numId w:val="105"/>
        </w:numPr>
        <w:tabs>
          <w:tab w:val="clear" w:pos="540"/>
          <w:tab w:val="left" w:pos="450"/>
        </w:tabs>
        <w:spacing w:before="0" w:after="0"/>
        <w:jc w:val="both"/>
      </w:pPr>
      <w:r w:rsidRPr="004730FF">
        <w:t>Fiscal Constraints</w:t>
      </w:r>
    </w:p>
    <w:p w14:paraId="3A707952" w14:textId="77777777" w:rsidR="00CD09C3" w:rsidRPr="004730FF" w:rsidRDefault="00CD09C3" w:rsidP="00020D20">
      <w:pPr>
        <w:pStyle w:val="ListParagraph"/>
        <w:numPr>
          <w:ilvl w:val="1"/>
          <w:numId w:val="105"/>
        </w:numPr>
        <w:tabs>
          <w:tab w:val="clear" w:pos="540"/>
          <w:tab w:val="left" w:pos="450"/>
        </w:tabs>
        <w:spacing w:before="0" w:after="0"/>
        <w:jc w:val="both"/>
      </w:pPr>
      <w:r w:rsidRPr="004730FF">
        <w:t>Technical Committee Review</w:t>
      </w:r>
    </w:p>
    <w:p w14:paraId="07EB20E0" w14:textId="77777777" w:rsidR="00CD09C3" w:rsidRPr="004730FF" w:rsidRDefault="00CD09C3" w:rsidP="00020D20">
      <w:pPr>
        <w:pStyle w:val="ListParagraph"/>
        <w:numPr>
          <w:ilvl w:val="1"/>
          <w:numId w:val="105"/>
        </w:numPr>
        <w:tabs>
          <w:tab w:val="clear" w:pos="540"/>
          <w:tab w:val="left" w:pos="450"/>
        </w:tabs>
        <w:spacing w:before="0" w:after="0"/>
        <w:jc w:val="both"/>
      </w:pPr>
      <w:r w:rsidRPr="004730FF">
        <w:t>Public Review and Public Comment Period</w:t>
      </w:r>
    </w:p>
    <w:p w14:paraId="63A0F4A3" w14:textId="1146C6F4" w:rsidR="00CD09C3" w:rsidRPr="004730FF" w:rsidRDefault="00CD09C3" w:rsidP="00020D20">
      <w:pPr>
        <w:pStyle w:val="ListParagraph"/>
        <w:numPr>
          <w:ilvl w:val="1"/>
          <w:numId w:val="105"/>
        </w:numPr>
        <w:tabs>
          <w:tab w:val="clear" w:pos="540"/>
          <w:tab w:val="left" w:pos="450"/>
        </w:tabs>
        <w:spacing w:before="0" w:after="0"/>
        <w:jc w:val="both"/>
      </w:pPr>
      <w:r w:rsidRPr="004730FF">
        <w:t>Final Approval</w:t>
      </w:r>
    </w:p>
    <w:p w14:paraId="428EB9B5" w14:textId="37AE82F3" w:rsidR="00CD09C3" w:rsidRPr="00CD09C3" w:rsidRDefault="00CD09C3" w:rsidP="00020D20">
      <w:pPr>
        <w:pStyle w:val="Body-Bullets"/>
        <w:jc w:val="both"/>
      </w:pPr>
      <w:r w:rsidRPr="00CD09C3">
        <w:t>Transit Projects</w:t>
      </w:r>
    </w:p>
    <w:p w14:paraId="78773688" w14:textId="77777777" w:rsidR="00CD09C3" w:rsidRPr="00CD09C3" w:rsidRDefault="00CD09C3" w:rsidP="00020D20">
      <w:pPr>
        <w:pStyle w:val="Body-Bullets"/>
        <w:numPr>
          <w:ilvl w:val="1"/>
          <w:numId w:val="328"/>
        </w:numPr>
        <w:jc w:val="both"/>
      </w:pPr>
      <w:r w:rsidRPr="00CD09C3">
        <w:t>Table with Costs for State and Federal Funded Projects</w:t>
      </w:r>
    </w:p>
    <w:p w14:paraId="1074012F" w14:textId="77777777" w:rsidR="00CD09C3" w:rsidRPr="00CD09C3" w:rsidRDefault="00CD09C3" w:rsidP="00020D20">
      <w:pPr>
        <w:pStyle w:val="Body-Bullets"/>
        <w:numPr>
          <w:ilvl w:val="1"/>
          <w:numId w:val="328"/>
        </w:numPr>
        <w:jc w:val="both"/>
      </w:pPr>
      <w:r w:rsidRPr="00CD09C3">
        <w:t>Table with Costs for Operations and Maintenance</w:t>
      </w:r>
    </w:p>
    <w:p w14:paraId="4D5E32A1" w14:textId="77777777" w:rsidR="00CD09C3" w:rsidRPr="00CD09C3" w:rsidRDefault="00CD09C3" w:rsidP="00020D20">
      <w:pPr>
        <w:pStyle w:val="Body-Bullets"/>
        <w:numPr>
          <w:ilvl w:val="1"/>
          <w:numId w:val="328"/>
        </w:numPr>
        <w:jc w:val="both"/>
      </w:pPr>
      <w:r w:rsidRPr="00CD09C3">
        <w:t>Table with Costs for Transit Projects</w:t>
      </w:r>
    </w:p>
    <w:p w14:paraId="31C91A10" w14:textId="77777777" w:rsidR="00CD09C3" w:rsidRPr="00CD09C3" w:rsidRDefault="00CD09C3" w:rsidP="00020D20">
      <w:pPr>
        <w:pStyle w:val="Body-Bullets"/>
        <w:numPr>
          <w:ilvl w:val="1"/>
          <w:numId w:val="328"/>
        </w:numPr>
        <w:jc w:val="both"/>
      </w:pPr>
      <w:r w:rsidRPr="00CD09C3">
        <w:t>Table with Costs for Locally Funded Projects</w:t>
      </w:r>
    </w:p>
    <w:p w14:paraId="634B4C44" w14:textId="2B963110" w:rsidR="00CD09C3" w:rsidRDefault="00CD09C3" w:rsidP="00020D20">
      <w:pPr>
        <w:pStyle w:val="Body-Bullets"/>
        <w:numPr>
          <w:ilvl w:val="1"/>
          <w:numId w:val="328"/>
        </w:numPr>
        <w:jc w:val="both"/>
      </w:pPr>
      <w:r w:rsidRPr="00CD09C3">
        <w:t>Table with Costs for ST</w:t>
      </w:r>
      <w:r w:rsidR="007A1665">
        <w:t>BG</w:t>
      </w:r>
      <w:r w:rsidRPr="00CD09C3">
        <w:t>P Projects</w:t>
      </w:r>
    </w:p>
    <w:p w14:paraId="54F8BBFD" w14:textId="4F95CE7D" w:rsidR="00CD09C3" w:rsidRPr="00CD09C3" w:rsidRDefault="00CD09C3" w:rsidP="00020D20">
      <w:pPr>
        <w:jc w:val="both"/>
        <w:rPr>
          <w:rFonts w:cstheme="minorHAnsi"/>
        </w:rPr>
      </w:pPr>
      <w:r w:rsidRPr="00CD09C3">
        <w:rPr>
          <w:rFonts w:cstheme="minorHAnsi"/>
        </w:rPr>
        <w:t>In the narrative, include a description of the following subjects:</w:t>
      </w:r>
    </w:p>
    <w:p w14:paraId="553EB5B6" w14:textId="118D508B" w:rsidR="000B257E" w:rsidRPr="001B4F45" w:rsidRDefault="000B257E" w:rsidP="00020D20">
      <w:pPr>
        <w:pStyle w:val="NumberedList"/>
        <w:numPr>
          <w:ilvl w:val="0"/>
          <w:numId w:val="271"/>
        </w:numPr>
        <w:jc w:val="both"/>
        <w:rPr>
          <w:rFonts w:cstheme="minorHAnsi"/>
        </w:rPr>
      </w:pPr>
      <w:r>
        <w:t>Purpose</w:t>
      </w:r>
    </w:p>
    <w:p w14:paraId="639B84C8" w14:textId="4DAB086A" w:rsidR="00CD09C3" w:rsidRDefault="00CD09C3" w:rsidP="00020D20">
      <w:pPr>
        <w:pStyle w:val="NumberedList"/>
        <w:jc w:val="both"/>
      </w:pPr>
      <w:r w:rsidRPr="00363784">
        <w:t>Begin the narrative with a statement that the purpose of the TIP is to provide a prioritized listing of transportation projects covering a period of four years that is consistent with the regional transportation plan. Indicate that the TIP contains all transportation projects within the designated metropolitan area to be funded by Title 23 and Title 49 funds and all regionally significant projects regardless of funding source.</w:t>
      </w:r>
    </w:p>
    <w:p w14:paraId="1B39683B" w14:textId="3521B65D" w:rsidR="00CD09C3" w:rsidRPr="000B257E" w:rsidRDefault="000B257E" w:rsidP="00020D20">
      <w:pPr>
        <w:pStyle w:val="NumberedList"/>
        <w:jc w:val="both"/>
      </w:pPr>
      <w:r>
        <w:t>Financial plan: In the narrative</w:t>
      </w:r>
      <w:r w:rsidR="00CD09C3" w:rsidRPr="000B257E">
        <w:t xml:space="preserve">, discuss the TIP’s financial plan. </w:t>
      </w:r>
    </w:p>
    <w:p w14:paraId="36D35986" w14:textId="075F5BE0" w:rsidR="00CD09C3" w:rsidRPr="000B257E" w:rsidRDefault="00CD09C3" w:rsidP="00020D20">
      <w:pPr>
        <w:pStyle w:val="ListParagraph"/>
        <w:numPr>
          <w:ilvl w:val="0"/>
          <w:numId w:val="106"/>
        </w:numPr>
        <w:tabs>
          <w:tab w:val="clear" w:pos="540"/>
          <w:tab w:val="left" w:pos="450"/>
        </w:tabs>
        <w:jc w:val="both"/>
        <w:rPr>
          <w:rFonts w:cstheme="minorHAnsi"/>
        </w:rPr>
      </w:pPr>
      <w:r w:rsidRPr="000B257E">
        <w:rPr>
          <w:rFonts w:cstheme="minorHAnsi"/>
        </w:rPr>
        <w:t>Explain that the TIP is financially constrained for each year.</w:t>
      </w:r>
    </w:p>
    <w:p w14:paraId="23633676" w14:textId="6419F5F1" w:rsidR="00CD09C3" w:rsidRPr="000B257E" w:rsidRDefault="00CD09C3" w:rsidP="00020D20">
      <w:pPr>
        <w:pStyle w:val="ListParagraph"/>
        <w:numPr>
          <w:ilvl w:val="0"/>
          <w:numId w:val="106"/>
        </w:numPr>
        <w:tabs>
          <w:tab w:val="clear" w:pos="540"/>
          <w:tab w:val="left" w:pos="450"/>
        </w:tabs>
        <w:jc w:val="both"/>
        <w:rPr>
          <w:rFonts w:cstheme="minorHAnsi"/>
        </w:rPr>
      </w:pPr>
      <w:r w:rsidRPr="000B257E">
        <w:rPr>
          <w:rFonts w:cstheme="minorHAnsi"/>
        </w:rPr>
        <w:t xml:space="preserve">Provide a financial plan that demonstrates how the TIP </w:t>
      </w:r>
      <w:r w:rsidR="00503973">
        <w:rPr>
          <w:rFonts w:cstheme="minorHAnsi"/>
        </w:rPr>
        <w:t>how it will</w:t>
      </w:r>
      <w:r w:rsidR="00503973" w:rsidRPr="000B257E">
        <w:rPr>
          <w:rFonts w:cstheme="minorHAnsi"/>
        </w:rPr>
        <w:t xml:space="preserve"> </w:t>
      </w:r>
      <w:r w:rsidRPr="000B257E">
        <w:rPr>
          <w:rFonts w:cstheme="minorHAnsi"/>
        </w:rPr>
        <w:t>be implemented. The plan needs to indicate the</w:t>
      </w:r>
      <w:r w:rsidR="00503973">
        <w:rPr>
          <w:rFonts w:cstheme="minorHAnsi"/>
        </w:rPr>
        <w:t xml:space="preserve"> </w:t>
      </w:r>
      <w:r w:rsidRPr="000B257E">
        <w:rPr>
          <w:rFonts w:cstheme="minorHAnsi"/>
        </w:rPr>
        <w:t xml:space="preserve">public and private financial resources that are reasonably expected to be available to accomplish the program. For example, in order for ADOT to initiate a non-federally funded project, a </w:t>
      </w:r>
      <w:r w:rsidR="00BD216C">
        <w:rPr>
          <w:rFonts w:cstheme="minorHAnsi"/>
        </w:rPr>
        <w:t>GRT</w:t>
      </w:r>
      <w:r w:rsidRPr="000B257E">
        <w:rPr>
          <w:rFonts w:cstheme="minorHAnsi"/>
        </w:rPr>
        <w:t xml:space="preserve"> must be established to arrive at a financial plan. All </w:t>
      </w:r>
      <w:r w:rsidR="00BD216C">
        <w:rPr>
          <w:rFonts w:cstheme="minorHAnsi"/>
        </w:rPr>
        <w:t>GRT</w:t>
      </w:r>
      <w:r w:rsidRPr="000B257E">
        <w:rPr>
          <w:rFonts w:cstheme="minorHAnsi"/>
        </w:rPr>
        <w:t>s and IGAs are on a per project basis. Identify any innovative financing techniques that may be used to fund needed projects and programs. Additional projects that would be included in the approved TIP if reasonable additional resources beyond those identified in the financial plan were available may be identified.</w:t>
      </w:r>
    </w:p>
    <w:p w14:paraId="7F94F8FA" w14:textId="50924C65" w:rsidR="00CD09C3" w:rsidRPr="000B257E" w:rsidRDefault="00CD09C3" w:rsidP="00020D20">
      <w:pPr>
        <w:pStyle w:val="ListParagraph"/>
        <w:numPr>
          <w:ilvl w:val="0"/>
          <w:numId w:val="106"/>
        </w:numPr>
        <w:tabs>
          <w:tab w:val="clear" w:pos="540"/>
          <w:tab w:val="left" w:pos="450"/>
        </w:tabs>
        <w:jc w:val="both"/>
        <w:rPr>
          <w:rFonts w:cstheme="minorHAnsi"/>
        </w:rPr>
      </w:pPr>
      <w:r w:rsidRPr="000B257E">
        <w:rPr>
          <w:rFonts w:cstheme="minorHAnsi"/>
        </w:rPr>
        <w:t xml:space="preserve">State that the TIP is developed by the MPO/COG in cooperation with the State and </w:t>
      </w:r>
      <w:r w:rsidR="00746F47">
        <w:rPr>
          <w:rFonts w:cstheme="minorHAnsi"/>
        </w:rPr>
        <w:t>any affected</w:t>
      </w:r>
      <w:r w:rsidR="00746F47" w:rsidRPr="000B257E">
        <w:rPr>
          <w:rFonts w:cstheme="minorHAnsi"/>
        </w:rPr>
        <w:t xml:space="preserve"> </w:t>
      </w:r>
      <w:r w:rsidRPr="000B257E">
        <w:rPr>
          <w:rFonts w:cstheme="minorHAnsi"/>
        </w:rPr>
        <w:t>transit operator</w:t>
      </w:r>
      <w:r w:rsidR="00746F47">
        <w:rPr>
          <w:rFonts w:cstheme="minorHAnsi"/>
        </w:rPr>
        <w:t>(s)</w:t>
      </w:r>
      <w:r w:rsidRPr="000B257E">
        <w:rPr>
          <w:rFonts w:cstheme="minorHAnsi"/>
        </w:rPr>
        <w:t xml:space="preserve"> who will provide the MPO/COG with estimates of available federal and state funds in order for the MPO/COG to develop the financial plan (</w:t>
      </w:r>
      <w:hyperlink r:id="rId550" w:history="1">
        <w:r w:rsidR="00746F47" w:rsidRPr="00020D20">
          <w:rPr>
            <w:rStyle w:val="TitleChar"/>
          </w:rPr>
          <w:t>23 C.F.R. § 450.326(a)</w:t>
        </w:r>
      </w:hyperlink>
      <w:r w:rsidRPr="000B257E">
        <w:rPr>
          <w:rFonts w:cstheme="minorHAnsi"/>
        </w:rPr>
        <w:t>).</w:t>
      </w:r>
    </w:p>
    <w:p w14:paraId="686AE63B" w14:textId="2ACB399E" w:rsidR="000B257E" w:rsidRPr="000B257E" w:rsidRDefault="00CD09C3" w:rsidP="00020D20">
      <w:pPr>
        <w:pStyle w:val="NumberedList"/>
        <w:jc w:val="both"/>
      </w:pPr>
      <w:r w:rsidRPr="000B257E">
        <w:t xml:space="preserve">Project Selection: </w:t>
      </w:r>
      <w:r w:rsidR="000B257E" w:rsidRPr="000B257E">
        <w:t xml:space="preserve">Describe the project </w:t>
      </w:r>
      <w:r w:rsidRPr="000B257E">
        <w:t xml:space="preserve">selection process and state that it is consistent with the federal requirements in </w:t>
      </w:r>
      <w:hyperlink r:id="rId551" w:history="1">
        <w:r w:rsidR="00746F47" w:rsidRPr="00020D20">
          <w:rPr>
            <w:rStyle w:val="TitleChar"/>
          </w:rPr>
          <w:t>23 C.F.R. § 450.332(b)</w:t>
        </w:r>
      </w:hyperlink>
      <w:r w:rsidRPr="000B257E">
        <w:t xml:space="preserve"> for non-TMA MPOs/COGs or </w:t>
      </w:r>
      <w:hyperlink r:id="rId552" w:history="1">
        <w:r w:rsidR="00746F47" w:rsidRPr="00020D20">
          <w:rPr>
            <w:rStyle w:val="TitleChar"/>
          </w:rPr>
          <w:t>23 C.F.R. § 450.332(c)</w:t>
        </w:r>
      </w:hyperlink>
      <w:r w:rsidRPr="000B257E">
        <w:t xml:space="preserve"> for TMA MPOs.</w:t>
      </w:r>
    </w:p>
    <w:p w14:paraId="47BEA535" w14:textId="1789A8DE" w:rsidR="00CD09C3" w:rsidRPr="00CD09C3" w:rsidRDefault="00CD09C3" w:rsidP="00020D20">
      <w:pPr>
        <w:pStyle w:val="NumberedList"/>
        <w:jc w:val="both"/>
      </w:pPr>
      <w:r w:rsidRPr="00CD09C3">
        <w:t>Consistency with Other Plans: Describe how projects are consistent with the MPO RTP and, to the maximum extent feasible, with transit development plans and the approved local government comprehensive plans for those local governments located within the metropolitan area. When possible, the TIP should cross-reference projects with the corresponding RTP project.</w:t>
      </w:r>
      <w:r w:rsidR="001B1F4B">
        <w:t xml:space="preserve"> Additionally, in nonattainment areas, TIPs and RTPs must be in line with </w:t>
      </w:r>
      <w:r w:rsidR="00616B84">
        <w:t>State Implementation</w:t>
      </w:r>
      <w:r w:rsidR="001B1F4B">
        <w:t xml:space="preserve"> plan. In other areas, all of the TIPs and RTPs have to conform with the Clean Air Act</w:t>
      </w:r>
      <w:r w:rsidR="00C3473F">
        <w:t xml:space="preserve"> at a minimum</w:t>
      </w:r>
      <w:r w:rsidR="001B1F4B">
        <w:t>.</w:t>
      </w:r>
    </w:p>
    <w:p w14:paraId="6F3FB2A7" w14:textId="01D52668" w:rsidR="00CD09C3" w:rsidRPr="00CD09C3" w:rsidRDefault="00CD09C3" w:rsidP="00020D20">
      <w:pPr>
        <w:pStyle w:val="NumberedList"/>
        <w:jc w:val="both"/>
      </w:pPr>
      <w:r w:rsidRPr="00CD09C3">
        <w:t>Project Priority Statement: Identify the MPO’s/COG’s criteria and process for prioritizing implementation</w:t>
      </w:r>
      <w:r>
        <w:t xml:space="preserve"> </w:t>
      </w:r>
      <w:r w:rsidRPr="00CD09C3">
        <w:t>of the transportation plan elements for inclusion in the TIP and explain any changes in priorities from the previous TIP (</w:t>
      </w:r>
      <w:hyperlink r:id="rId553" w:history="1">
        <w:r w:rsidR="00746F47" w:rsidRPr="00020D20">
          <w:rPr>
            <w:rStyle w:val="TitleChar"/>
          </w:rPr>
          <w:t>23 C.F.R. § 450.326(l)(1)</w:t>
        </w:r>
      </w:hyperlink>
      <w:r w:rsidRPr="00CD09C3">
        <w:t>). The MPO’s/COG’s TIP project priorities must be consistent with the MTP/RTP.</w:t>
      </w:r>
    </w:p>
    <w:p w14:paraId="48AE5F96" w14:textId="17200EE3" w:rsidR="00CD09C3" w:rsidRPr="00CD09C3" w:rsidRDefault="00CD09C3" w:rsidP="00020D20">
      <w:pPr>
        <w:pStyle w:val="NumberedList"/>
        <w:jc w:val="both"/>
      </w:pPr>
      <w:r w:rsidRPr="00CD09C3">
        <w:t>Public Involvement:</w:t>
      </w:r>
      <w:r>
        <w:t xml:space="preserve"> </w:t>
      </w:r>
      <w:r w:rsidRPr="00CD09C3">
        <w:t>This section documents the MPO’s/COG’s activities to seek public comment and how the draft TIP was made available for public review (</w:t>
      </w:r>
      <w:hyperlink r:id="rId554" w:history="1">
        <w:r w:rsidR="005D4DAF">
          <w:rPr>
            <w:rStyle w:val="TitleChar"/>
          </w:rPr>
          <w:t>23 CFR C.F.R. § 450.316(a)</w:t>
        </w:r>
      </w:hyperlink>
      <w:r w:rsidRPr="00CD09C3">
        <w:t xml:space="preserve">). The MPO/COG must document the techniques used to reach citizens, such as Internet access to documents, flyers, meeting notices, billboards, media outreach, and other means it uses to seek the involvement of citizens and groups. </w:t>
      </w:r>
    </w:p>
    <w:p w14:paraId="630B2E34" w14:textId="1FF3568B" w:rsidR="00CD09C3" w:rsidRPr="00CD09C3" w:rsidRDefault="00CD09C3" w:rsidP="00020D20">
      <w:pPr>
        <w:pStyle w:val="NumberedList"/>
        <w:jc w:val="both"/>
      </w:pPr>
      <w:r w:rsidRPr="00CD09C3">
        <w:t>Certification:</w:t>
      </w:r>
      <w:r>
        <w:t xml:space="preserve"> </w:t>
      </w:r>
      <w:r w:rsidRPr="00CD09C3">
        <w:t>This section includes the date the current annual ADOT and MPO joint certification was completed. MPOs within TMAs should also include the date of the last FHWA/FTA certification and, if known, the anticipated date of the next FHWA/FTA certification.</w:t>
      </w:r>
    </w:p>
    <w:p w14:paraId="7AEC9C77" w14:textId="48244D50" w:rsidR="00D14518" w:rsidRDefault="00CD09C3" w:rsidP="00020D20">
      <w:pPr>
        <w:pStyle w:val="NumberedList"/>
        <w:jc w:val="both"/>
      </w:pPr>
      <w:r w:rsidRPr="00CD09C3">
        <w:t xml:space="preserve">Congestion Management Process (CMP): TMAs are required by </w:t>
      </w:r>
      <w:hyperlink r:id="rId555" w:history="1">
        <w:r w:rsidRPr="00020D20">
          <w:rPr>
            <w:rStyle w:val="TitleChar"/>
          </w:rPr>
          <w:t>23 U.S.C. § 134 (k)(3)</w:t>
        </w:r>
      </w:hyperlink>
      <w:r w:rsidRPr="00CD09C3">
        <w:t xml:space="preserve"> to have a CMP that provides for the effective management and operation of new and existing facilities through the use of travel demand reduction and operational management strategies. This section of the TIP includes a discussion of the CMP that is in place at the TMA.</w:t>
      </w:r>
      <w:bookmarkStart w:id="267" w:name="_Ref50030404"/>
    </w:p>
    <w:p w14:paraId="5DD4B2BF" w14:textId="2BCEFD3E" w:rsidR="00CD09C3" w:rsidRPr="00CD09C3" w:rsidRDefault="00CD09C3">
      <w:pPr>
        <w:pStyle w:val="Heading3"/>
      </w:pPr>
      <w:bookmarkStart w:id="268" w:name="_Ref57988144"/>
      <w:r w:rsidRPr="00CD09C3">
        <w:t>8.7.3 | Detailed Project Listings for Five Fiscal Years</w:t>
      </w:r>
      <w:bookmarkEnd w:id="267"/>
      <w:bookmarkEnd w:id="268"/>
    </w:p>
    <w:p w14:paraId="43DA38BB" w14:textId="63986BD2" w:rsidR="00CD09C3" w:rsidRPr="00CD09C3" w:rsidRDefault="00CD09C3" w:rsidP="00020D20">
      <w:pPr>
        <w:jc w:val="both"/>
        <w:rPr>
          <w:rFonts w:cstheme="minorHAnsi"/>
        </w:rPr>
      </w:pPr>
      <w:r w:rsidRPr="00CD09C3">
        <w:rPr>
          <w:rFonts w:cstheme="minorHAnsi"/>
        </w:rPr>
        <w:t>Per (</w:t>
      </w:r>
      <w:hyperlink r:id="rId556" w:history="1">
        <w:r w:rsidR="001509B2" w:rsidRPr="00020D20">
          <w:rPr>
            <w:rStyle w:val="TitleChar"/>
          </w:rPr>
          <w:t>23 C.F.R. § 450.326(g)</w:t>
        </w:r>
      </w:hyperlink>
      <w:r w:rsidRPr="00CD09C3">
        <w:rPr>
          <w:rFonts w:cstheme="minorHAnsi"/>
        </w:rPr>
        <w:t>, for each project or phase the TIP must include:</w:t>
      </w:r>
    </w:p>
    <w:p w14:paraId="25BF34A1" w14:textId="321BC276" w:rsidR="00CD09C3" w:rsidRPr="00CD09C3" w:rsidRDefault="00CD09C3" w:rsidP="00020D20">
      <w:pPr>
        <w:pStyle w:val="NumberedList"/>
        <w:numPr>
          <w:ilvl w:val="0"/>
          <w:numId w:val="272"/>
        </w:numPr>
        <w:jc w:val="both"/>
      </w:pPr>
      <w:r w:rsidRPr="00CD09C3">
        <w:t xml:space="preserve">sufficient descriptive material </w:t>
      </w:r>
      <w:r w:rsidR="001509B2" w:rsidRPr="00CD09C3">
        <w:t>(i.e.</w:t>
      </w:r>
      <w:r w:rsidRPr="00CD09C3">
        <w:t>, type of work, termini, and length) to identify the project or phase.</w:t>
      </w:r>
    </w:p>
    <w:p w14:paraId="3352BE09" w14:textId="77777777" w:rsidR="00CD09C3" w:rsidRPr="00CD09C3" w:rsidRDefault="00CD09C3" w:rsidP="00020D20">
      <w:pPr>
        <w:pStyle w:val="NumberedList"/>
        <w:jc w:val="both"/>
      </w:pPr>
      <w:r w:rsidRPr="00CD09C3">
        <w:t>estimated total project cost, which may extend beyond the four years of the TIP.</w:t>
      </w:r>
    </w:p>
    <w:p w14:paraId="085125EE" w14:textId="77777777" w:rsidR="00CD09C3" w:rsidRPr="00CD09C3" w:rsidRDefault="00CD09C3" w:rsidP="00020D20">
      <w:pPr>
        <w:pStyle w:val="NumberedList"/>
        <w:jc w:val="both"/>
      </w:pPr>
      <w:r w:rsidRPr="00CD09C3">
        <w:t>the amount of federal funds proposed to be obligated during each program year for the project or phase (for the first year, this includes the proposed category of federal funds and source(s) of nonfederal funds. For the second, third, and fourth years, this includes the likely category or possible categories of federal funds and sources of nonfederal funds).</w:t>
      </w:r>
    </w:p>
    <w:p w14:paraId="2C28D9F4" w14:textId="77777777" w:rsidR="00CD09C3" w:rsidRPr="00CD09C3" w:rsidRDefault="00CD09C3" w:rsidP="00020D20">
      <w:pPr>
        <w:pStyle w:val="NumberedList"/>
        <w:jc w:val="both"/>
      </w:pPr>
      <w:r w:rsidRPr="00CD09C3">
        <w:t>identification of the agencies responsible for carrying out the project or phase.</w:t>
      </w:r>
    </w:p>
    <w:p w14:paraId="363E2BD9" w14:textId="77777777" w:rsidR="00CD09C3" w:rsidRPr="00CD09C3" w:rsidRDefault="00CD09C3" w:rsidP="00020D20">
      <w:pPr>
        <w:pStyle w:val="NumberedList"/>
        <w:jc w:val="both"/>
      </w:pPr>
      <w:r w:rsidRPr="00CD09C3">
        <w:t>in nonattainment and maintenance areas, identification of those projects that are identified as Transportation Control Measures (TCMs) in the applicable SIP.</w:t>
      </w:r>
    </w:p>
    <w:p w14:paraId="0A25053E" w14:textId="0F1501BD" w:rsidR="00164538" w:rsidRPr="00CD09C3" w:rsidRDefault="00CD09C3" w:rsidP="00020D20">
      <w:pPr>
        <w:pStyle w:val="NumberedList"/>
        <w:jc w:val="both"/>
      </w:pPr>
      <w:r w:rsidRPr="00CD09C3">
        <w:t>in nonattainment and maintenance areas, sufficient detail (design concept and scope) for air quality analysis in accordance with the EPA transportation conformity regulation (</w:t>
      </w:r>
      <w:hyperlink r:id="rId557" w:history="1">
        <w:r w:rsidR="001509B2" w:rsidRPr="00020D20">
          <w:rPr>
            <w:rStyle w:val="TitleChar"/>
          </w:rPr>
          <w:t>40 C.F.R. part 93</w:t>
        </w:r>
      </w:hyperlink>
      <w:r w:rsidRPr="00CD09C3">
        <w:t>).</w:t>
      </w:r>
    </w:p>
    <w:p w14:paraId="4946D418" w14:textId="77777777" w:rsidR="00CD09C3" w:rsidRPr="00CD09C3" w:rsidRDefault="00CD09C3" w:rsidP="00020D20">
      <w:pPr>
        <w:pStyle w:val="NumberedList"/>
        <w:jc w:val="both"/>
      </w:pPr>
      <w:r w:rsidRPr="00CD09C3">
        <w:t>in areas with ADA-required paratransit and key station plans, identification of those projects that will implement these plans.</w:t>
      </w:r>
    </w:p>
    <w:p w14:paraId="3D437BE1" w14:textId="77777777" w:rsidR="00CD09C3" w:rsidRPr="00CD09C3" w:rsidRDefault="00CD09C3" w:rsidP="00020D20">
      <w:pPr>
        <w:jc w:val="both"/>
        <w:rPr>
          <w:rFonts w:cstheme="minorHAnsi"/>
        </w:rPr>
      </w:pPr>
      <w:r w:rsidRPr="00CD09C3">
        <w:rPr>
          <w:rFonts w:cstheme="minorHAnsi"/>
        </w:rPr>
        <w:t>Please note that for FTA funded projects, the FTA has provided guidance stating that projects in the TIP or STIP need to be described in a level of detail that delineates between minor projects (bus shelters, signs, facility rehabilitation, preventative maintenance, operating assistance) and major projects (rolling stock, new facilities) activities. Major projects must be listed in an approved Transit Development Plan (TDP). Minor activities that are not considered to be of an appropriate scale for individual identification may be grouped by function.</w:t>
      </w:r>
    </w:p>
    <w:p w14:paraId="610A54ED" w14:textId="067B747D" w:rsidR="00CD09C3" w:rsidRDefault="00CD09C3" w:rsidP="00020D20">
      <w:pPr>
        <w:jc w:val="both"/>
        <w:rPr>
          <w:rFonts w:cstheme="minorHAnsi"/>
        </w:rPr>
      </w:pPr>
      <w:r w:rsidRPr="00CD09C3">
        <w:rPr>
          <w:rFonts w:cstheme="minorHAnsi"/>
        </w:rPr>
        <w:t>The MPO/COG should identify and document all projects that have been rescheduled in the proposed TIP that had advanced to the design stage of preliminary engineering and have been removed from a previous TIP.</w:t>
      </w:r>
    </w:p>
    <w:p w14:paraId="501A2683" w14:textId="77777777" w:rsidR="00CD09C3" w:rsidRPr="00CD09C3" w:rsidRDefault="00CD09C3" w:rsidP="00020D20">
      <w:pPr>
        <w:pStyle w:val="Heading2"/>
      </w:pPr>
      <w:bookmarkStart w:id="269" w:name="_Ref50030415"/>
      <w:r w:rsidRPr="00CD09C3">
        <w:t>8.8 | REVIEW PROCESS</w:t>
      </w:r>
      <w:bookmarkEnd w:id="269"/>
      <w:r w:rsidRPr="00CD09C3">
        <w:t xml:space="preserve"> </w:t>
      </w:r>
    </w:p>
    <w:p w14:paraId="547CD5BC" w14:textId="77777777" w:rsidR="00CD09C3" w:rsidRPr="00CD09C3" w:rsidRDefault="00CD09C3" w:rsidP="00020D20">
      <w:pPr>
        <w:pStyle w:val="Heading3"/>
        <w:jc w:val="both"/>
      </w:pPr>
      <w:bookmarkStart w:id="270" w:name="_Ref50030420"/>
      <w:r w:rsidRPr="00CD09C3">
        <w:t>8.8.1 | Review by Federal Agencies</w:t>
      </w:r>
      <w:bookmarkEnd w:id="270"/>
    </w:p>
    <w:p w14:paraId="54207CDD" w14:textId="35A4E9CD" w:rsidR="00CD09C3" w:rsidRPr="00CD09C3" w:rsidRDefault="00CD09C3" w:rsidP="00020D20">
      <w:pPr>
        <w:jc w:val="both"/>
        <w:rPr>
          <w:rFonts w:cstheme="minorHAnsi"/>
        </w:rPr>
      </w:pPr>
      <w:r w:rsidRPr="00CD09C3">
        <w:rPr>
          <w:rFonts w:cstheme="minorHAnsi"/>
        </w:rPr>
        <w:t xml:space="preserve">ADOT provides a copy of each TIP </w:t>
      </w:r>
      <w:r w:rsidR="00596AAA">
        <w:rPr>
          <w:rFonts w:cstheme="minorHAnsi"/>
        </w:rPr>
        <w:t xml:space="preserve">document </w:t>
      </w:r>
      <w:r w:rsidRPr="00CD09C3">
        <w:rPr>
          <w:rFonts w:cstheme="minorHAnsi"/>
        </w:rPr>
        <w:t>to FHWA for review and comment. If the FHWA or the FTA finds any TIP to be deficient or incomplete, FHWA produces a “Letter of Findings” that identifies all TIP-related issues if any exist. ADOT coordinates with the MPO/COG to resolve the identified issues as soon as possible</w:t>
      </w:r>
      <w:r w:rsidR="00903FB4">
        <w:rPr>
          <w:rFonts w:cstheme="minorHAnsi"/>
        </w:rPr>
        <w:t xml:space="preserve"> and, u</w:t>
      </w:r>
      <w:r w:rsidRPr="00CD09C3">
        <w:rPr>
          <w:rFonts w:cstheme="minorHAnsi"/>
        </w:rPr>
        <w:t>pon resolution of deficiencies, the MPO/COG resubmits the corrected TIP to ADO</w:t>
      </w:r>
      <w:r w:rsidR="00903FB4">
        <w:rPr>
          <w:rFonts w:cstheme="minorHAnsi"/>
        </w:rPr>
        <w:t>T</w:t>
      </w:r>
      <w:r w:rsidRPr="00CD09C3">
        <w:rPr>
          <w:rFonts w:cstheme="minorHAnsi"/>
        </w:rPr>
        <w:t>. ADOT resubmits the TIP submittal package to the FHWA Arizona Division Office</w:t>
      </w:r>
      <w:r w:rsidR="00F22B75">
        <w:rPr>
          <w:rFonts w:cstheme="minorHAnsi"/>
        </w:rPr>
        <w:t xml:space="preserve"> through the </w:t>
      </w:r>
      <w:r w:rsidR="000F68E4">
        <w:rPr>
          <w:rFonts w:cstheme="minorHAnsi"/>
        </w:rPr>
        <w:t>ESTIP</w:t>
      </w:r>
      <w:r w:rsidRPr="00CD09C3">
        <w:rPr>
          <w:rFonts w:cstheme="minorHAnsi"/>
        </w:rPr>
        <w:t xml:space="preserve"> and upon confirmation that issues have been resolved to the satisfaction of the FHWA and the FTA, the TIP can then be incorporated into the STIP.</w:t>
      </w:r>
    </w:p>
    <w:p w14:paraId="7D6315E1" w14:textId="77777777" w:rsidR="00CD09C3" w:rsidRPr="00CD09C3" w:rsidRDefault="00CD09C3" w:rsidP="00020D20">
      <w:pPr>
        <w:pStyle w:val="Heading3"/>
        <w:jc w:val="both"/>
      </w:pPr>
      <w:bookmarkStart w:id="271" w:name="_Ref50030423"/>
      <w:r w:rsidRPr="00CD09C3">
        <w:t>8.8.2 | TIP Approval</w:t>
      </w:r>
      <w:bookmarkEnd w:id="271"/>
    </w:p>
    <w:p w14:paraId="5D4B52A5" w14:textId="4A55BDF5" w:rsidR="00CD09C3" w:rsidRPr="00CD09C3" w:rsidRDefault="00CD09C3" w:rsidP="00020D20">
      <w:pPr>
        <w:jc w:val="both"/>
        <w:rPr>
          <w:rFonts w:cstheme="minorHAnsi"/>
        </w:rPr>
      </w:pPr>
      <w:r w:rsidRPr="00CD09C3">
        <w:rPr>
          <w:rFonts w:cstheme="minorHAnsi"/>
        </w:rPr>
        <w:t>TIPs require some sort of executive approval</w:t>
      </w:r>
      <w:r w:rsidR="00903FB4">
        <w:rPr>
          <w:rFonts w:cstheme="minorHAnsi"/>
        </w:rPr>
        <w:t>. This includes the State Transportation Board approval of ADOT’s Five Year Facilities Construction Program and MPO/COG executive approval of the regional TIPs</w:t>
      </w:r>
      <w:r w:rsidRPr="00CD09C3">
        <w:rPr>
          <w:rFonts w:cstheme="minorHAnsi"/>
        </w:rPr>
        <w:t xml:space="preserve">. A project must be included in the approved TIP and STIP in order for the FHWA and the FTA to participate in the cost of any federally funded transportation project and issue a federal project authorization. Federal authorization requests are prepared by ADOT. The request is reviewed for compliance with the required criteria and transmitted electronically to </w:t>
      </w:r>
      <w:r w:rsidR="002334E4">
        <w:rPr>
          <w:rFonts w:cstheme="minorHAnsi"/>
          <w:noProof/>
        </w:rPr>
        <mc:AlternateContent>
          <mc:Choice Requires="wps">
            <w:drawing>
              <wp:anchor distT="0" distB="0" distL="114300" distR="114300" simplePos="0" relativeHeight="251618541" behindDoc="1" locked="0" layoutInCell="1" allowOverlap="1" wp14:anchorId="1D150314" wp14:editId="605BA012">
                <wp:simplePos x="0" y="0"/>
                <wp:positionH relativeFrom="column">
                  <wp:posOffset>4619625</wp:posOffset>
                </wp:positionH>
                <wp:positionV relativeFrom="paragraph">
                  <wp:posOffset>534670</wp:posOffset>
                </wp:positionV>
                <wp:extent cx="1514475" cy="1400175"/>
                <wp:effectExtent l="95250" t="95250" r="104775" b="104775"/>
                <wp:wrapTight wrapText="bothSides">
                  <wp:wrapPolygon edited="0">
                    <wp:start x="-815" y="-1469"/>
                    <wp:lineTo x="-1358" y="-882"/>
                    <wp:lineTo x="-1087" y="22922"/>
                    <wp:lineTo x="22551" y="22922"/>
                    <wp:lineTo x="22823" y="3820"/>
                    <wp:lineTo x="22279" y="-588"/>
                    <wp:lineTo x="22279" y="-1469"/>
                    <wp:lineTo x="-815" y="-1469"/>
                  </wp:wrapPolygon>
                </wp:wrapTight>
                <wp:docPr id="1690911436" name="Text Box 1690911436"/>
                <wp:cNvGraphicFramePr/>
                <a:graphic xmlns:a="http://schemas.openxmlformats.org/drawingml/2006/main">
                  <a:graphicData uri="http://schemas.microsoft.com/office/word/2010/wordprocessingShape">
                    <wps:wsp>
                      <wps:cNvSpPr txBox="1"/>
                      <wps:spPr>
                        <a:xfrm>
                          <a:off x="0" y="0"/>
                          <a:ext cx="1514475" cy="14001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5AE1925" w14:textId="77777777" w:rsidR="00C6444C" w:rsidRDefault="00C6444C" w:rsidP="00020D20">
                            <w:pPr>
                              <w:jc w:val="center"/>
                            </w:pPr>
                            <w:r>
                              <w:rPr>
                                <w:noProof/>
                              </w:rPr>
                              <w:drawing>
                                <wp:inline distT="0" distB="0" distL="0" distR="0" wp14:anchorId="1A805786" wp14:editId="0953F776">
                                  <wp:extent cx="457200" cy="457200"/>
                                  <wp:effectExtent l="0" t="0" r="0" b="0"/>
                                  <wp:docPr id="1690911533" name="Picture 1690911533">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3074BC1" w14:textId="77777777" w:rsidR="00C6444C" w:rsidRPr="00954116" w:rsidRDefault="00C6444C" w:rsidP="00020D20">
                            <w:pPr>
                              <w:pStyle w:val="Calloutboxes"/>
                            </w:pPr>
                            <w:r w:rsidRPr="00394A74">
                              <w:t>Address ADOT letters to FTA to:</w:t>
                            </w:r>
                          </w:p>
                          <w:p w14:paraId="49F1DE24" w14:textId="128EF39F" w:rsidR="00C6444C" w:rsidRPr="00020D20" w:rsidRDefault="00C6444C" w:rsidP="00020D20">
                            <w:pPr>
                              <w:pStyle w:val="Calloutboxes"/>
                              <w:rPr>
                                <w:rStyle w:val="FootnoteReference"/>
                              </w:rPr>
                            </w:pPr>
                            <w:r w:rsidRPr="0052715B">
                              <w:t>REGIONAL ADMINISTRATOR Federal Transit Administration 201 Mission St., Suite 1650 San Francisco, CA 94105-1839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150314" id="Text Box 1690911436" o:spid="_x0000_s1163" type="#_x0000_t202" style="position:absolute;left:0;text-align:left;margin-left:363.75pt;margin-top:42.1pt;width:119.25pt;height:110.25pt;z-index:-251697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" fillcolor="#f7f7f7" stroked="f" strokeweight=".5pt">
                <v:shadow on="t" type="perspective" color="black" opacity="26214f" offset="0,0" matrix="66847f,,,66847f"/>
                <v:textbox>
                  <w:txbxContent>
                    <w:p w14:paraId="05AE1925" w14:textId="77777777" w:rsidR="00C6444C" w:rsidRDefault="00C6444C" w:rsidP="00020D20">
                      <w:pPr>
                        <w:jc w:val="center"/>
                      </w:pPr>
                      <w:r>
                        <w:rPr>
                          <w:noProof/>
                        </w:rPr>
                        <w:drawing>
                          <wp:inline distT="0" distB="0" distL="0" distR="0" wp14:anchorId="1A805786" wp14:editId="0953F776">
                            <wp:extent cx="457200" cy="457200"/>
                            <wp:effectExtent l="0" t="0" r="0" b="0"/>
                            <wp:docPr id="1690911533" name="Picture 1690911533">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3074BC1" w14:textId="77777777" w:rsidR="00C6444C" w:rsidRPr="00954116" w:rsidRDefault="00C6444C" w:rsidP="00020D20">
                      <w:pPr>
                        <w:pStyle w:val="Calloutboxes"/>
                      </w:pPr>
                      <w:r w:rsidRPr="00394A74">
                        <w:t>Address ADOT letters to FTA to:</w:t>
                      </w:r>
                    </w:p>
                    <w:p w14:paraId="49F1DE24" w14:textId="128EF39F" w:rsidR="00C6444C" w:rsidRPr="00020D20" w:rsidRDefault="00C6444C" w:rsidP="00020D20">
                      <w:pPr>
                        <w:pStyle w:val="Calloutboxes"/>
                        <w:rPr>
                          <w:rStyle w:val="FootnoteReference"/>
                        </w:rPr>
                      </w:pPr>
                      <w:r w:rsidRPr="0052715B">
                        <w:t>REGIONAL ADMINISTRATOR Federal Transit Administration 201 Mission St., Suite 1650 San Francisco, CA 94105-1839</w:t>
                      </w:r>
                    </w:p>
                  </w:txbxContent>
                </v:textbox>
                <w10:wrap type="tight"/>
              </v:shape>
            </w:pict>
          </mc:Fallback>
        </mc:AlternateContent>
      </w:r>
      <w:r w:rsidRPr="00CD09C3">
        <w:rPr>
          <w:rFonts w:cstheme="minorHAnsi"/>
        </w:rPr>
        <w:t>the FHWA for approval.</w:t>
      </w:r>
    </w:p>
    <w:p w14:paraId="2DAE722A" w14:textId="42AE226D" w:rsidR="00CD09C3" w:rsidRPr="00CD09C3" w:rsidRDefault="00903FB4" w:rsidP="00020D20">
      <w:pPr>
        <w:jc w:val="both"/>
        <w:rPr>
          <w:rFonts w:cstheme="minorHAnsi"/>
        </w:rPr>
      </w:pPr>
      <w:r>
        <w:rPr>
          <w:rFonts w:cstheme="minorHAnsi"/>
          <w:noProof/>
        </w:rPr>
        <mc:AlternateContent>
          <mc:Choice Requires="wps">
            <w:drawing>
              <wp:anchor distT="0" distB="0" distL="114300" distR="114300" simplePos="0" relativeHeight="251618540" behindDoc="1" locked="0" layoutInCell="1" allowOverlap="1" wp14:anchorId="5266C2D2" wp14:editId="3618CEFF">
                <wp:simplePos x="0" y="0"/>
                <wp:positionH relativeFrom="column">
                  <wp:posOffset>2886075</wp:posOffset>
                </wp:positionH>
                <wp:positionV relativeFrom="paragraph">
                  <wp:posOffset>85725</wp:posOffset>
                </wp:positionV>
                <wp:extent cx="1628775" cy="1400175"/>
                <wp:effectExtent l="95250" t="95250" r="104775" b="104775"/>
                <wp:wrapTight wrapText="bothSides">
                  <wp:wrapPolygon edited="0">
                    <wp:start x="-758" y="-1469"/>
                    <wp:lineTo x="-1263" y="-882"/>
                    <wp:lineTo x="-1011" y="22922"/>
                    <wp:lineTo x="22484" y="22922"/>
                    <wp:lineTo x="22737" y="3820"/>
                    <wp:lineTo x="22232" y="-588"/>
                    <wp:lineTo x="22232" y="-1469"/>
                    <wp:lineTo x="-758" y="-1469"/>
                  </wp:wrapPolygon>
                </wp:wrapTight>
                <wp:docPr id="1690911474" name="Text Box 1690911474"/>
                <wp:cNvGraphicFramePr/>
                <a:graphic xmlns:a="http://schemas.openxmlformats.org/drawingml/2006/main">
                  <a:graphicData uri="http://schemas.microsoft.com/office/word/2010/wordprocessingShape">
                    <wps:wsp>
                      <wps:cNvSpPr txBox="1"/>
                      <wps:spPr>
                        <a:xfrm>
                          <a:off x="0" y="0"/>
                          <a:ext cx="1628775" cy="14001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8AA3377" w14:textId="77777777" w:rsidR="00C6444C" w:rsidRDefault="00C6444C" w:rsidP="00020D20">
                            <w:pPr>
                              <w:jc w:val="center"/>
                            </w:pPr>
                            <w:r>
                              <w:rPr>
                                <w:noProof/>
                              </w:rPr>
                              <w:drawing>
                                <wp:inline distT="0" distB="0" distL="0" distR="0" wp14:anchorId="574C4DB5" wp14:editId="410394E6">
                                  <wp:extent cx="457200" cy="457200"/>
                                  <wp:effectExtent l="0" t="0" r="0" b="0"/>
                                  <wp:docPr id="1690911534" name="Picture 1690911534">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48526DC" w14:textId="77777777" w:rsidR="00C6444C" w:rsidRPr="00954116" w:rsidRDefault="00C6444C" w:rsidP="00020D20">
                            <w:pPr>
                              <w:pStyle w:val="Calloutboxes"/>
                            </w:pPr>
                            <w:r w:rsidRPr="00394A74">
                              <w:t>Address ADOT letters to FHWA to:</w:t>
                            </w:r>
                          </w:p>
                          <w:p w14:paraId="23309C77" w14:textId="77777777" w:rsidR="00C6444C" w:rsidRPr="00977A9B" w:rsidRDefault="00C6444C" w:rsidP="00020D20">
                            <w:pPr>
                              <w:pStyle w:val="Calloutboxes"/>
                            </w:pPr>
                            <w:r w:rsidRPr="0052715B">
                              <w:t>D</w:t>
                            </w:r>
                            <w:r w:rsidRPr="005A6734">
                              <w:t>IVISION ADMINISTRATOR</w:t>
                            </w:r>
                          </w:p>
                          <w:p w14:paraId="1AEF5334" w14:textId="2EB7A0C6" w:rsidR="00C6444C" w:rsidRPr="00020D20" w:rsidRDefault="00C6444C" w:rsidP="00020D20">
                            <w:pPr>
                              <w:pStyle w:val="Calloutboxes"/>
                              <w:rPr>
                                <w:rStyle w:val="FootnoteReference"/>
                              </w:rPr>
                            </w:pPr>
                            <w:r w:rsidRPr="00FE3DA2">
                              <w:t xml:space="preserve">Federal Highway Administration 4000 N. Central Ave., Suite 1500 </w:t>
                            </w:r>
                            <w:r w:rsidRPr="000D70F2">
                              <w:t>Phoenix, AZ 85012-1906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66C2D2" id="Text Box 1690911474" o:spid="_x0000_s1164" type="#_x0000_t202" style="position:absolute;left:0;text-align:left;margin-left:227.25pt;margin-top:6.75pt;width:128.25pt;height:110.25pt;z-index:-251697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" fillcolor="#f7f7f7" stroked="f" strokeweight=".5pt">
                <v:shadow on="t" type="perspective" color="black" opacity="26214f" offset="0,0" matrix="66847f,,,66847f"/>
                <v:textbox>
                  <w:txbxContent>
                    <w:p w14:paraId="28AA3377" w14:textId="77777777" w:rsidR="00C6444C" w:rsidRDefault="00C6444C" w:rsidP="00020D20">
                      <w:pPr>
                        <w:jc w:val="center"/>
                      </w:pPr>
                      <w:r>
                        <w:rPr>
                          <w:noProof/>
                        </w:rPr>
                        <w:drawing>
                          <wp:inline distT="0" distB="0" distL="0" distR="0" wp14:anchorId="574C4DB5" wp14:editId="410394E6">
                            <wp:extent cx="457200" cy="457200"/>
                            <wp:effectExtent l="0" t="0" r="0" b="0"/>
                            <wp:docPr id="1690911534" name="Picture 1690911534">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48526DC" w14:textId="77777777" w:rsidR="00C6444C" w:rsidRPr="00954116" w:rsidRDefault="00C6444C" w:rsidP="00020D20">
                      <w:pPr>
                        <w:pStyle w:val="Calloutboxes"/>
                      </w:pPr>
                      <w:r w:rsidRPr="00394A74">
                        <w:t>Address ADOT letters to FHWA to:</w:t>
                      </w:r>
                    </w:p>
                    <w:p w14:paraId="23309C77" w14:textId="77777777" w:rsidR="00C6444C" w:rsidRPr="00977A9B" w:rsidRDefault="00C6444C" w:rsidP="00020D20">
                      <w:pPr>
                        <w:pStyle w:val="Calloutboxes"/>
                      </w:pPr>
                      <w:r w:rsidRPr="0052715B">
                        <w:t>D</w:t>
                      </w:r>
                      <w:r w:rsidRPr="005A6734">
                        <w:t>IVISION ADMINISTRATOR</w:t>
                      </w:r>
                    </w:p>
                    <w:p w14:paraId="1AEF5334" w14:textId="2EB7A0C6" w:rsidR="00C6444C" w:rsidRPr="00020D20" w:rsidRDefault="00C6444C" w:rsidP="00020D20">
                      <w:pPr>
                        <w:pStyle w:val="Calloutboxes"/>
                        <w:rPr>
                          <w:rStyle w:val="FootnoteReference"/>
                        </w:rPr>
                      </w:pPr>
                      <w:r w:rsidRPr="00FE3DA2">
                        <w:t xml:space="preserve">Federal Highway Administration 4000 N. Central Ave., Suite 1500 </w:t>
                      </w:r>
                      <w:r w:rsidRPr="000D70F2">
                        <w:t>Phoenix, AZ 85012-1906</w:t>
                      </w:r>
                    </w:p>
                  </w:txbxContent>
                </v:textbox>
                <w10:wrap type="tight"/>
              </v:shape>
            </w:pict>
          </mc:Fallback>
        </mc:AlternateContent>
      </w:r>
      <w:r w:rsidR="00CD09C3" w:rsidRPr="00CD09C3">
        <w:rPr>
          <w:rFonts w:cstheme="minorHAnsi"/>
        </w:rPr>
        <w:t>Generally, a properly filed federal authorization request is approved by the FHWA within two weeks of the submission by the Federal-Aid Highway Program. However, if the project is not properly listed in the TIP/STIP, then a TIP amendment requiring MPO/COG board action may be required to obtain the federal authorization. This may delay commencement of work by weeks if not months. A STIP amendment request generally needs to accompany the TIP amendment.</w:t>
      </w:r>
    </w:p>
    <w:p w14:paraId="185E7027" w14:textId="77777777" w:rsidR="00CD09C3" w:rsidRPr="00CD09C3" w:rsidRDefault="00CD09C3" w:rsidP="00020D20">
      <w:pPr>
        <w:pStyle w:val="Heading2"/>
      </w:pPr>
      <w:bookmarkStart w:id="272" w:name="_Ref50030426"/>
      <w:r w:rsidRPr="00CD09C3">
        <w:t>8.9 | AMENDMENTS</w:t>
      </w:r>
      <w:bookmarkEnd w:id="272"/>
    </w:p>
    <w:p w14:paraId="7A01592A" w14:textId="03DC0B7B" w:rsidR="00CD09C3" w:rsidRPr="00CD09C3" w:rsidRDefault="00CD09C3" w:rsidP="00020D20">
      <w:pPr>
        <w:jc w:val="both"/>
        <w:rPr>
          <w:rFonts w:cstheme="minorHAnsi"/>
        </w:rPr>
      </w:pPr>
      <w:r w:rsidRPr="00CD09C3">
        <w:rPr>
          <w:rFonts w:cstheme="minorHAnsi"/>
        </w:rPr>
        <w:t xml:space="preserve">At times, the MPO/COG TIPs and the STIP may require changes. ADOT MPD should identify the need for amending the TIP and STIP and work with the MPO/COG to prepare and approve the TIP amendment in accordance with </w:t>
      </w:r>
      <w:hyperlink r:id="rId558" w:history="1">
        <w:r w:rsidR="005D4DAF">
          <w:rPr>
            <w:rStyle w:val="TitleChar"/>
          </w:rPr>
          <w:t>23 C.F.R. §§ 450.326</w:t>
        </w:r>
      </w:hyperlink>
      <w:r w:rsidRPr="00020D20">
        <w:rPr>
          <w:rStyle w:val="TitleChar"/>
        </w:rPr>
        <w:t xml:space="preserve"> </w:t>
      </w:r>
      <w:r w:rsidRPr="00CD09C3">
        <w:rPr>
          <w:rFonts w:cstheme="minorHAnsi"/>
        </w:rPr>
        <w:t xml:space="preserve">and </w:t>
      </w:r>
      <w:hyperlink r:id="rId559" w:history="1">
        <w:r w:rsidRPr="00020D20">
          <w:rPr>
            <w:rStyle w:val="TitleChar"/>
          </w:rPr>
          <w:t>32</w:t>
        </w:r>
        <w:r w:rsidR="001509B2" w:rsidRPr="00020D20">
          <w:rPr>
            <w:rStyle w:val="TitleChar"/>
          </w:rPr>
          <w:t>8</w:t>
        </w:r>
      </w:hyperlink>
      <w:r w:rsidRPr="00CD09C3">
        <w:rPr>
          <w:rFonts w:cstheme="minorHAnsi"/>
        </w:rPr>
        <w:t xml:space="preserve"> in advance of the authorization request to FHWA. Internal production schedules may need to be modified to allow time for MPO/COG board action and FHWA or FTA approvals</w:t>
      </w:r>
      <w:r w:rsidR="00F22B75">
        <w:rPr>
          <w:rFonts w:cstheme="minorHAnsi"/>
        </w:rPr>
        <w:t xml:space="preserve"> through </w:t>
      </w:r>
      <w:r w:rsidR="000F68E4">
        <w:rPr>
          <w:rFonts w:cstheme="minorHAnsi"/>
        </w:rPr>
        <w:t>ESTIP</w:t>
      </w:r>
      <w:r w:rsidRPr="00CD09C3">
        <w:rPr>
          <w:rFonts w:cstheme="minorHAnsi"/>
        </w:rPr>
        <w:t xml:space="preserve">. </w:t>
      </w:r>
    </w:p>
    <w:p w14:paraId="20C687A9" w14:textId="77777777" w:rsidR="00CD09C3" w:rsidRPr="00CD09C3" w:rsidRDefault="00CD09C3" w:rsidP="00020D20">
      <w:pPr>
        <w:pStyle w:val="Heading3"/>
        <w:jc w:val="both"/>
      </w:pPr>
      <w:bookmarkStart w:id="273" w:name="_Ref50030430"/>
      <w:r w:rsidRPr="00CD09C3">
        <w:t>8.9.1 | TIP Amendment Procedure</w:t>
      </w:r>
      <w:bookmarkEnd w:id="273"/>
    </w:p>
    <w:p w14:paraId="7B4F2B58" w14:textId="77777777" w:rsidR="00CD09C3" w:rsidRPr="00CD09C3" w:rsidRDefault="00CD09C3" w:rsidP="00020D20">
      <w:pPr>
        <w:jc w:val="both"/>
        <w:rPr>
          <w:rFonts w:cstheme="minorHAnsi"/>
        </w:rPr>
      </w:pPr>
      <w:r w:rsidRPr="00CD09C3">
        <w:rPr>
          <w:rFonts w:cstheme="minorHAnsi"/>
        </w:rPr>
        <w:t xml:space="preserve">A request to amend the TIP may be received as an email or a letter (preferred) from an MPO/COG or a federal or state agency. The requesting entity should compile supporting documentation, including: </w:t>
      </w:r>
    </w:p>
    <w:p w14:paraId="273EBDB7" w14:textId="77777777" w:rsidR="00CD09C3" w:rsidRPr="00CD09C3" w:rsidRDefault="00CD09C3" w:rsidP="00020D20">
      <w:pPr>
        <w:pStyle w:val="Body-Bullets"/>
        <w:jc w:val="both"/>
      </w:pPr>
      <w:r w:rsidRPr="00CD09C3">
        <w:t xml:space="preserve">a signed letter from the MPO/COG or federal or state agency requesting the attached TIP be included in the current STIP, </w:t>
      </w:r>
    </w:p>
    <w:p w14:paraId="2D00DAF1" w14:textId="77777777" w:rsidR="00CD09C3" w:rsidRPr="00CD09C3" w:rsidRDefault="00CD09C3" w:rsidP="00020D20">
      <w:pPr>
        <w:pStyle w:val="Body-Bullets"/>
        <w:jc w:val="both"/>
      </w:pPr>
      <w:r w:rsidRPr="00CD09C3">
        <w:t>the page of the TIP being amended, and</w:t>
      </w:r>
    </w:p>
    <w:p w14:paraId="14DC11A4" w14:textId="77777777" w:rsidR="00CD09C3" w:rsidRPr="00CD09C3" w:rsidRDefault="00CD09C3" w:rsidP="00020D20">
      <w:pPr>
        <w:pStyle w:val="Body-Bullets"/>
        <w:jc w:val="both"/>
      </w:pPr>
      <w:r w:rsidRPr="00CD09C3">
        <w:t>other supporting documents related to the request.</w:t>
      </w:r>
    </w:p>
    <w:p w14:paraId="493088C5" w14:textId="0FC26D06" w:rsidR="00CD09C3" w:rsidRDefault="00903FB4" w:rsidP="00020D20">
      <w:pPr>
        <w:jc w:val="both"/>
        <w:rPr>
          <w:rFonts w:cstheme="minorHAnsi"/>
        </w:rPr>
      </w:pPr>
      <w:r>
        <w:rPr>
          <w:rFonts w:cstheme="minorHAnsi"/>
        </w:rPr>
        <w:t>T</w:t>
      </w:r>
      <w:r w:rsidR="00F22B75">
        <w:rPr>
          <w:rFonts w:cstheme="minorHAnsi"/>
        </w:rPr>
        <w:t>he</w:t>
      </w:r>
      <w:r>
        <w:rPr>
          <w:rFonts w:cstheme="minorHAnsi"/>
        </w:rPr>
        <w:t xml:space="preserve"> TIP</w:t>
      </w:r>
      <w:r w:rsidR="00F22B75">
        <w:rPr>
          <w:rFonts w:cstheme="minorHAnsi"/>
        </w:rPr>
        <w:t xml:space="preserve"> amendment </w:t>
      </w:r>
      <w:r>
        <w:rPr>
          <w:rFonts w:cstheme="minorHAnsi"/>
        </w:rPr>
        <w:t xml:space="preserve">is created in ESTIP along with </w:t>
      </w:r>
      <w:r w:rsidR="00F22B75">
        <w:rPr>
          <w:rFonts w:cstheme="minorHAnsi"/>
        </w:rPr>
        <w:t>mak</w:t>
      </w:r>
      <w:r>
        <w:rPr>
          <w:rFonts w:cstheme="minorHAnsi"/>
        </w:rPr>
        <w:t>ing</w:t>
      </w:r>
      <w:r w:rsidR="00F22B75">
        <w:rPr>
          <w:rFonts w:cstheme="minorHAnsi"/>
        </w:rPr>
        <w:t xml:space="preserve"> the applicable project changes</w:t>
      </w:r>
      <w:r>
        <w:rPr>
          <w:rFonts w:cstheme="minorHAnsi"/>
        </w:rPr>
        <w:t xml:space="preserve"> and attaching any support documentation</w:t>
      </w:r>
      <w:r w:rsidR="00F22B75">
        <w:rPr>
          <w:rFonts w:cstheme="minorHAnsi"/>
        </w:rPr>
        <w:t xml:space="preserve">. </w:t>
      </w:r>
      <w:r w:rsidR="00CD09C3" w:rsidRPr="00CD09C3">
        <w:rPr>
          <w:rFonts w:cstheme="minorHAnsi"/>
        </w:rPr>
        <w:t>The regional planner</w:t>
      </w:r>
      <w:r w:rsidR="00F22B75">
        <w:rPr>
          <w:rFonts w:cstheme="minorHAnsi"/>
        </w:rPr>
        <w:t xml:space="preserve"> reviews the amendment request and supporting documentation in </w:t>
      </w:r>
      <w:r w:rsidR="000F68E4">
        <w:rPr>
          <w:rFonts w:cstheme="minorHAnsi"/>
        </w:rPr>
        <w:t>ESTIP</w:t>
      </w:r>
      <w:r w:rsidR="00F22B75">
        <w:rPr>
          <w:rFonts w:cstheme="minorHAnsi"/>
        </w:rPr>
        <w:t xml:space="preserve"> and forwards the </w:t>
      </w:r>
      <w:r w:rsidR="00CD09C3" w:rsidRPr="00CD09C3">
        <w:rPr>
          <w:rFonts w:cstheme="minorHAnsi"/>
        </w:rPr>
        <w:t>request</w:t>
      </w:r>
      <w:r w:rsidR="00F22B75">
        <w:rPr>
          <w:rFonts w:cstheme="minorHAnsi"/>
        </w:rPr>
        <w:t xml:space="preserve"> to</w:t>
      </w:r>
      <w:r w:rsidR="00CD09C3" w:rsidRPr="00CD09C3">
        <w:rPr>
          <w:rFonts w:cstheme="minorHAnsi"/>
        </w:rPr>
        <w:t xml:space="preserve"> the ADOT </w:t>
      </w:r>
      <w:r w:rsidR="00F22B75">
        <w:rPr>
          <w:rFonts w:cstheme="minorHAnsi"/>
        </w:rPr>
        <w:t>MPD D</w:t>
      </w:r>
      <w:r w:rsidR="00CD09C3" w:rsidRPr="00CD09C3">
        <w:rPr>
          <w:rFonts w:cstheme="minorHAnsi"/>
        </w:rPr>
        <w:t>irector</w:t>
      </w:r>
      <w:r w:rsidR="00F22B75">
        <w:rPr>
          <w:rFonts w:cstheme="minorHAnsi"/>
        </w:rPr>
        <w:t xml:space="preserve"> for</w:t>
      </w:r>
      <w:r w:rsidR="00CD09C3" w:rsidRPr="00CD09C3">
        <w:rPr>
          <w:rFonts w:cstheme="minorHAnsi"/>
        </w:rPr>
        <w:t xml:space="preserve"> signature. Once approved, the STIP change is submitted</w:t>
      </w:r>
      <w:r w:rsidR="00F22B75">
        <w:rPr>
          <w:rFonts w:cstheme="minorHAnsi"/>
        </w:rPr>
        <w:t xml:space="preserve"> through </w:t>
      </w:r>
      <w:r w:rsidR="000F68E4">
        <w:rPr>
          <w:rFonts w:cstheme="minorHAnsi"/>
        </w:rPr>
        <w:t>ESTIP</w:t>
      </w:r>
      <w:r w:rsidR="00CD09C3" w:rsidRPr="00CD09C3">
        <w:rPr>
          <w:rFonts w:cstheme="minorHAnsi"/>
        </w:rPr>
        <w:t xml:space="preserve"> to FHWA/FTA for approval</w:t>
      </w:r>
      <w:r>
        <w:rPr>
          <w:rFonts w:cstheme="minorHAnsi"/>
        </w:rPr>
        <w:t xml:space="preserve"> and inclusion in the STIP</w:t>
      </w:r>
      <w:r w:rsidR="00CD09C3" w:rsidRPr="00CD09C3">
        <w:rPr>
          <w:rFonts w:cstheme="minorHAnsi"/>
        </w:rPr>
        <w:t>.</w:t>
      </w:r>
    </w:p>
    <w:p w14:paraId="04B48663" w14:textId="1027EDF7" w:rsidR="00CD09C3" w:rsidRPr="00CD09C3" w:rsidRDefault="00CD09C3" w:rsidP="00020D20">
      <w:pPr>
        <w:jc w:val="both"/>
        <w:rPr>
          <w:rFonts w:cstheme="minorHAnsi"/>
        </w:rPr>
      </w:pPr>
      <w:r w:rsidRPr="00CD09C3">
        <w:rPr>
          <w:rFonts w:cstheme="minorHAnsi"/>
        </w:rPr>
        <w:t xml:space="preserve">Following receipt of the update approval, the ADOT </w:t>
      </w:r>
      <w:r w:rsidR="00F22B75">
        <w:rPr>
          <w:rFonts w:cstheme="minorHAnsi"/>
        </w:rPr>
        <w:t>STIP Manager attaches and</w:t>
      </w:r>
      <w:r w:rsidRPr="00CD09C3">
        <w:rPr>
          <w:rFonts w:cstheme="minorHAnsi"/>
        </w:rPr>
        <w:t xml:space="preserve"> sends electronic copies</w:t>
      </w:r>
      <w:r w:rsidR="00F22B75">
        <w:rPr>
          <w:rFonts w:cstheme="minorHAnsi"/>
        </w:rPr>
        <w:t xml:space="preserve"> through </w:t>
      </w:r>
      <w:r w:rsidR="000F68E4">
        <w:rPr>
          <w:rFonts w:cstheme="minorHAnsi"/>
        </w:rPr>
        <w:t>ESTIP</w:t>
      </w:r>
      <w:r w:rsidRPr="00CD09C3">
        <w:rPr>
          <w:rFonts w:cstheme="minorHAnsi"/>
        </w:rPr>
        <w:t xml:space="preserve"> to: </w:t>
      </w:r>
    </w:p>
    <w:p w14:paraId="1C943BCA" w14:textId="66E0D2FA" w:rsidR="00CD09C3" w:rsidRPr="00C74C1A" w:rsidRDefault="00CD09C3" w:rsidP="00020D20">
      <w:pPr>
        <w:pStyle w:val="Body-Bullets"/>
        <w:jc w:val="both"/>
      </w:pPr>
      <w:r w:rsidRPr="00C74C1A">
        <w:t xml:space="preserve">the </w:t>
      </w:r>
      <w:r w:rsidR="00903FB4">
        <w:t>recipients</w:t>
      </w:r>
      <w:r w:rsidR="00903FB4" w:rsidRPr="00C74C1A">
        <w:t xml:space="preserve"> </w:t>
      </w:r>
      <w:r w:rsidRPr="00C74C1A">
        <w:t>on the original letter’s cc list,</w:t>
      </w:r>
    </w:p>
    <w:p w14:paraId="7DC67438" w14:textId="72D9C088" w:rsidR="00CD09C3" w:rsidRPr="00C74C1A" w:rsidRDefault="00CD09C3" w:rsidP="00020D20">
      <w:pPr>
        <w:pStyle w:val="Body-Bullets"/>
        <w:jc w:val="both"/>
      </w:pPr>
      <w:r w:rsidRPr="00C74C1A">
        <w:t xml:space="preserve">the local FHWA and FTA offices that represent the COG/MPO, and the ADOT amendments administrator (for the Amendments file). </w:t>
      </w:r>
    </w:p>
    <w:p w14:paraId="41657F41" w14:textId="44E15A98" w:rsidR="00CD09C3" w:rsidRPr="00CD09C3" w:rsidRDefault="00CD09C3" w:rsidP="00020D20">
      <w:pPr>
        <w:pStyle w:val="Heading2"/>
      </w:pPr>
      <w:bookmarkStart w:id="274" w:name="_Ref50030436"/>
      <w:r w:rsidRPr="00CD09C3">
        <w:t>8.10 | DETERMINING IF A TIP/STIP AMENDMENT IS REQUIRED</w:t>
      </w:r>
      <w:bookmarkEnd w:id="274"/>
      <w:r w:rsidRPr="00CD09C3">
        <w:t xml:space="preserve"> </w:t>
      </w:r>
    </w:p>
    <w:p w14:paraId="6DCFC4A4" w14:textId="14DB7447" w:rsidR="00CD09C3" w:rsidRPr="00CD09C3" w:rsidRDefault="00CD09C3" w:rsidP="00020D20">
      <w:pPr>
        <w:jc w:val="both"/>
        <w:rPr>
          <w:rFonts w:cstheme="minorHAnsi"/>
        </w:rPr>
      </w:pPr>
      <w:r w:rsidRPr="00CD09C3">
        <w:rPr>
          <w:rFonts w:cstheme="minorHAnsi"/>
        </w:rPr>
        <w:t>This section defines the changes to the federally mandated MPO/COG TIPs and statewide STIP that require state review and federal approval before the included federally funded projects can be authorized for federal participation. These guidelines do not affect any other provisions of state or federal law or departmental procedure governing the way projects are initially incorporated into the MPO/COG TIPs or the statewide STIP.</w:t>
      </w:r>
      <w:r w:rsidR="00443B7F" w:rsidRPr="00443B7F">
        <w:rPr>
          <w:rFonts w:cstheme="minorHAnsi"/>
        </w:rPr>
        <w:t xml:space="preserve"> </w:t>
      </w:r>
    </w:p>
    <w:p w14:paraId="56B7B439" w14:textId="77777777" w:rsidR="00CD09C3" w:rsidRPr="00CD09C3" w:rsidRDefault="00CD09C3" w:rsidP="00020D20">
      <w:pPr>
        <w:jc w:val="both"/>
        <w:rPr>
          <w:rFonts w:cstheme="minorHAnsi"/>
        </w:rPr>
      </w:pPr>
      <w:r w:rsidRPr="00CD09C3">
        <w:rPr>
          <w:rFonts w:cstheme="minorHAnsi"/>
        </w:rPr>
        <w:t xml:space="preserve">The WP amendment process must not be confused with the TIP/STIP amendment process described herein. Although administered concurrently, the two processes are not the same, and one cannot be substituted for the other. Different criteria apply to each process, and the reporting, notification, and approval provisions for WP amendments are very different from those governing TIP/STIP amendments. </w:t>
      </w:r>
    </w:p>
    <w:p w14:paraId="6089D73B" w14:textId="4ED932FB" w:rsidR="00CD09C3" w:rsidRPr="00CD09C3" w:rsidRDefault="00CD09C3" w:rsidP="00020D20">
      <w:pPr>
        <w:pStyle w:val="Heading3"/>
        <w:jc w:val="both"/>
      </w:pPr>
      <w:bookmarkStart w:id="275" w:name="_Ref50030445"/>
      <w:r w:rsidRPr="00CD09C3">
        <w:t xml:space="preserve">8.10.1 | Determining </w:t>
      </w:r>
      <w:r w:rsidR="00BE4038">
        <w:t xml:space="preserve">Formal </w:t>
      </w:r>
      <w:r w:rsidRPr="00CD09C3">
        <w:t>Amendment or</w:t>
      </w:r>
      <w:r w:rsidR="00BE4038">
        <w:t xml:space="preserve"> Administrative</w:t>
      </w:r>
      <w:r w:rsidRPr="00CD09C3">
        <w:t xml:space="preserve"> Modification</w:t>
      </w:r>
      <w:bookmarkEnd w:id="275"/>
    </w:p>
    <w:p w14:paraId="2312DB2F" w14:textId="77777777" w:rsidR="00CD09C3" w:rsidRPr="00CD09C3" w:rsidRDefault="00CD09C3" w:rsidP="00020D20">
      <w:pPr>
        <w:jc w:val="both"/>
        <w:rPr>
          <w:rFonts w:cstheme="minorHAnsi"/>
        </w:rPr>
      </w:pPr>
      <w:r w:rsidRPr="00CD09C3">
        <w:rPr>
          <w:rFonts w:cstheme="minorHAnsi"/>
        </w:rPr>
        <w:t>Not all changes to the TIP/STIP require state review and federal approval. Changes requiring formal state review and federal approval are referred to as “TIP/STIP amendments” and are based upon criteria established under federal law.</w:t>
      </w:r>
    </w:p>
    <w:p w14:paraId="256F715E" w14:textId="16F46E04" w:rsidR="00CD09C3" w:rsidRPr="00CD09C3" w:rsidRDefault="00CD09C3" w:rsidP="00020D20">
      <w:pPr>
        <w:jc w:val="both"/>
        <w:rPr>
          <w:rFonts w:cstheme="minorHAnsi"/>
        </w:rPr>
      </w:pPr>
      <w:bookmarkStart w:id="276" w:name="_GoBack"/>
      <w:r w:rsidRPr="00CD09C3">
        <w:rPr>
          <w:rFonts w:cstheme="minorHAnsi"/>
        </w:rPr>
        <w:t>An administrative modification</w:t>
      </w:r>
      <w:r w:rsidR="00BE4038">
        <w:rPr>
          <w:rFonts w:cstheme="minorHAnsi"/>
        </w:rPr>
        <w:t xml:space="preserve"> approved by the state</w:t>
      </w:r>
      <w:r w:rsidRPr="00CD09C3">
        <w:rPr>
          <w:rFonts w:cstheme="minorHAnsi"/>
        </w:rPr>
        <w:t xml:space="preserve"> </w:t>
      </w:r>
      <w:bookmarkEnd w:id="276"/>
      <w:r w:rsidRPr="00CD09C3">
        <w:rPr>
          <w:rFonts w:cstheme="minorHAnsi"/>
        </w:rPr>
        <w:t xml:space="preserve">is a minor revision to a TIP or STIP that includes minor changes to project/project phase costs, minor changes to funding sources of previously included projects, and minor changes to project/project phase initiation dates. An administrative modification does not require public review and comment, </w:t>
      </w:r>
      <w:r w:rsidR="00202C92">
        <w:rPr>
          <w:rFonts w:cstheme="minorHAnsi"/>
        </w:rPr>
        <w:t>d</w:t>
      </w:r>
      <w:r w:rsidRPr="00CD09C3">
        <w:rPr>
          <w:rFonts w:cstheme="minorHAnsi"/>
        </w:rPr>
        <w:t>emonstration of fiscal constraint, or a conformity determination (</w:t>
      </w:r>
      <w:hyperlink r:id="rId560" w:history="1">
        <w:r w:rsidR="001509B2" w:rsidRPr="00020D20">
          <w:rPr>
            <w:rStyle w:val="TitleChar"/>
          </w:rPr>
          <w:t>23 C.F.R. § 450.104</w:t>
        </w:r>
      </w:hyperlink>
      <w:r w:rsidRPr="00CD09C3">
        <w:rPr>
          <w:rFonts w:cstheme="minorHAnsi"/>
        </w:rPr>
        <w:t>).</w:t>
      </w:r>
    </w:p>
    <w:p w14:paraId="3F5CEE14" w14:textId="0CF14C24" w:rsidR="00CD09C3" w:rsidRPr="00CD09C3" w:rsidRDefault="00CD09C3" w:rsidP="00020D20">
      <w:pPr>
        <w:jc w:val="both"/>
        <w:rPr>
          <w:rFonts w:cstheme="minorHAnsi"/>
        </w:rPr>
      </w:pPr>
      <w:r w:rsidRPr="00CD09C3">
        <w:rPr>
          <w:rFonts w:cstheme="minorHAnsi"/>
        </w:rPr>
        <w:t>An amendment is a revision to a TIP or STIP that involves a major change to a project in a TIP or STIP, including the addition or deletion of a project; a major change in project cost, project/project phase initiation dates; or a major change in design concept or design scope (e.g., changing project termini or the number of through traffic lanes) (</w:t>
      </w:r>
      <w:hyperlink r:id="rId561" w:history="1">
        <w:r w:rsidR="001509B2" w:rsidRPr="00020D20">
          <w:rPr>
            <w:rStyle w:val="TitleChar"/>
          </w:rPr>
          <w:t>23 C.F.R. § 450.104</w:t>
        </w:r>
      </w:hyperlink>
      <w:r w:rsidRPr="00CD09C3">
        <w:rPr>
          <w:rFonts w:cstheme="minorHAnsi"/>
        </w:rPr>
        <w:t xml:space="preserve">). An amendment requires public review and comment, demonstration of </w:t>
      </w:r>
      <w:r w:rsidR="00DF4621">
        <w:rPr>
          <w:rFonts w:cstheme="minorHAnsi"/>
        </w:rPr>
        <w:t>fiscal</w:t>
      </w:r>
      <w:r w:rsidR="00DF4621" w:rsidRPr="00CD09C3">
        <w:rPr>
          <w:rFonts w:cstheme="minorHAnsi"/>
        </w:rPr>
        <w:t xml:space="preserve"> </w:t>
      </w:r>
      <w:r w:rsidRPr="00CD09C3">
        <w:rPr>
          <w:rFonts w:cstheme="minorHAnsi"/>
        </w:rPr>
        <w:t xml:space="preserve">constraint, or a conformity determination, if applicable. </w:t>
      </w:r>
    </w:p>
    <w:p w14:paraId="6B264151" w14:textId="77777777" w:rsidR="00CD09C3" w:rsidRPr="00CD09C3" w:rsidRDefault="00CD09C3" w:rsidP="00020D20">
      <w:pPr>
        <w:jc w:val="both"/>
        <w:rPr>
          <w:rFonts w:cstheme="minorHAnsi"/>
        </w:rPr>
      </w:pPr>
      <w:r w:rsidRPr="00CD09C3">
        <w:rPr>
          <w:rFonts w:cstheme="minorHAnsi"/>
        </w:rPr>
        <w:t>A TIP/STIP requires formal amendments when one or more of the following criteria are met:</w:t>
      </w:r>
    </w:p>
    <w:p w14:paraId="35A4A847" w14:textId="1B659AE9" w:rsidR="00CD09C3" w:rsidRPr="00CD09C3" w:rsidRDefault="00BE4038" w:rsidP="00020D20">
      <w:pPr>
        <w:pStyle w:val="Body-Bullets"/>
        <w:jc w:val="both"/>
      </w:pPr>
      <w:r>
        <w:t>C</w:t>
      </w:r>
      <w:r w:rsidR="00CD09C3" w:rsidRPr="00CD09C3">
        <w:t xml:space="preserve">hange </w:t>
      </w:r>
      <w:r>
        <w:t>to federally funded project or source of feder</w:t>
      </w:r>
      <w:r w:rsidR="00CD09C3" w:rsidRPr="00CD09C3">
        <w:t>al</w:t>
      </w:r>
      <w:r>
        <w:t xml:space="preserve"> funds</w:t>
      </w:r>
      <w:r w:rsidR="00CD09C3" w:rsidRPr="00CD09C3">
        <w:t>.</w:t>
      </w:r>
    </w:p>
    <w:p w14:paraId="08D87C58" w14:textId="215EDCCE" w:rsidR="00CD09C3" w:rsidRPr="00CD09C3" w:rsidRDefault="00BE4038" w:rsidP="00020D20">
      <w:pPr>
        <w:pStyle w:val="Body-Bullets"/>
        <w:jc w:val="both"/>
      </w:pPr>
      <w:r>
        <w:t>Additions or deletions of projects which will require air quality analysis</w:t>
      </w:r>
      <w:r w:rsidR="00CD09C3" w:rsidRPr="00CD09C3">
        <w:t>.</w:t>
      </w:r>
    </w:p>
    <w:p w14:paraId="7426F98F" w14:textId="04AF4752" w:rsidR="00CD09C3" w:rsidRPr="00CD09C3" w:rsidRDefault="00BE4038" w:rsidP="00020D20">
      <w:pPr>
        <w:pStyle w:val="Body-Bullets"/>
        <w:jc w:val="both"/>
      </w:pPr>
      <w:r>
        <w:t>M</w:t>
      </w:r>
      <w:r w:rsidR="00CD09C3" w:rsidRPr="00CD09C3">
        <w:t>ajor change</w:t>
      </w:r>
      <w:r>
        <w:t xml:space="preserve"> in project description, limits, scope, or project phase</w:t>
      </w:r>
      <w:r w:rsidR="00CD09C3" w:rsidRPr="00CD09C3">
        <w:t>.</w:t>
      </w:r>
    </w:p>
    <w:p w14:paraId="1640C8A1" w14:textId="38B3F401" w:rsidR="00CD09C3" w:rsidRPr="00CD09C3" w:rsidRDefault="00BE4038" w:rsidP="00020D20">
      <w:pPr>
        <w:pStyle w:val="Body-Bullets"/>
        <w:jc w:val="both"/>
      </w:pPr>
      <w:r>
        <w:t>C</w:t>
      </w:r>
      <w:r w:rsidR="00CD09C3" w:rsidRPr="00CD09C3">
        <w:t>hange</w:t>
      </w:r>
      <w:r>
        <w:t xml:space="preserve"> in project schedule over one year</w:t>
      </w:r>
      <w:r w:rsidR="00CD09C3" w:rsidRPr="00CD09C3">
        <w:t>.</w:t>
      </w:r>
    </w:p>
    <w:p w14:paraId="4E5D8EB2" w14:textId="6AA48D59" w:rsidR="00CD09C3" w:rsidRDefault="00CD09C3" w:rsidP="00020D20">
      <w:pPr>
        <w:pStyle w:val="Body-Bullets"/>
        <w:jc w:val="both"/>
      </w:pPr>
      <w:r w:rsidRPr="00CD09C3">
        <w:t xml:space="preserve">The change results in a cost increase of greater than 25 percent. </w:t>
      </w:r>
    </w:p>
    <w:p w14:paraId="3CCCC212" w14:textId="7E5064CD" w:rsidR="004B7B17" w:rsidRPr="00CD09C3" w:rsidRDefault="004B7B17" w:rsidP="00020D20">
      <w:pPr>
        <w:pStyle w:val="Body-Bullets"/>
        <w:jc w:val="both"/>
      </w:pPr>
      <w:r>
        <w:t>Adding a new federally funded project (in attainment areas).</w:t>
      </w:r>
    </w:p>
    <w:p w14:paraId="76382411" w14:textId="77777777" w:rsidR="00CD09C3" w:rsidRPr="00CD09C3" w:rsidRDefault="00CD09C3" w:rsidP="00020D20">
      <w:pPr>
        <w:pStyle w:val="Heading3"/>
        <w:jc w:val="both"/>
      </w:pPr>
      <w:bookmarkStart w:id="277" w:name="_Ref50030448"/>
      <w:r w:rsidRPr="00CD09C3">
        <w:t>8.10.2 | Change Adds a New Individual Project</w:t>
      </w:r>
      <w:bookmarkEnd w:id="277"/>
    </w:p>
    <w:p w14:paraId="681502A3" w14:textId="0DE072AF" w:rsidR="00CD09C3" w:rsidRPr="00CD09C3" w:rsidRDefault="00CD09C3" w:rsidP="00020D20">
      <w:pPr>
        <w:jc w:val="both"/>
        <w:rPr>
          <w:rFonts w:cstheme="minorHAnsi"/>
        </w:rPr>
      </w:pPr>
      <w:r w:rsidRPr="00CD09C3">
        <w:rPr>
          <w:rFonts w:cstheme="minorHAnsi"/>
        </w:rPr>
        <w:t>A</w:t>
      </w:r>
      <w:r w:rsidR="000D70F2">
        <w:rPr>
          <w:rFonts w:cstheme="minorHAnsi"/>
        </w:rPr>
        <w:t xml:space="preserve"> </w:t>
      </w:r>
      <w:r w:rsidRPr="00CD09C3">
        <w:rPr>
          <w:rFonts w:cstheme="minorHAnsi"/>
        </w:rPr>
        <w:t xml:space="preserve">new project added </w:t>
      </w:r>
      <w:r w:rsidR="000D70F2">
        <w:rPr>
          <w:rFonts w:cstheme="minorHAnsi"/>
        </w:rPr>
        <w:t xml:space="preserve">one </w:t>
      </w:r>
      <w:r w:rsidRPr="00CD09C3">
        <w:rPr>
          <w:rFonts w:cstheme="minorHAnsi"/>
        </w:rPr>
        <w:t>of the first four years of the TIP/STIP requires a</w:t>
      </w:r>
      <w:r w:rsidR="004B7B17">
        <w:rPr>
          <w:rFonts w:cstheme="minorHAnsi"/>
        </w:rPr>
        <w:t xml:space="preserve"> formal</w:t>
      </w:r>
      <w:r w:rsidRPr="00CD09C3">
        <w:rPr>
          <w:rFonts w:cstheme="minorHAnsi"/>
        </w:rPr>
        <w:t xml:space="preserve"> TIP/STIP amendment. The TIP/STIP </w:t>
      </w:r>
      <w:r w:rsidR="000D70F2">
        <w:rPr>
          <w:rFonts w:cstheme="minorHAnsi"/>
        </w:rPr>
        <w:t xml:space="preserve">must </w:t>
      </w:r>
      <w:r w:rsidRPr="00CD09C3">
        <w:rPr>
          <w:rFonts w:cstheme="minorHAnsi"/>
        </w:rPr>
        <w:t xml:space="preserve">cover a </w:t>
      </w:r>
      <w:r w:rsidR="000D70F2">
        <w:rPr>
          <w:rFonts w:cstheme="minorHAnsi"/>
        </w:rPr>
        <w:t xml:space="preserve">minimum </w:t>
      </w:r>
      <w:r w:rsidRPr="00CD09C3">
        <w:rPr>
          <w:rFonts w:cstheme="minorHAnsi"/>
        </w:rPr>
        <w:t>period of</w:t>
      </w:r>
      <w:r w:rsidR="000D70F2">
        <w:rPr>
          <w:rFonts w:cstheme="minorHAnsi"/>
        </w:rPr>
        <w:t xml:space="preserve"> at least</w:t>
      </w:r>
      <w:r w:rsidRPr="00CD09C3">
        <w:rPr>
          <w:rFonts w:cstheme="minorHAnsi"/>
        </w:rPr>
        <w:t xml:space="preserve"> five years according to state law. O</w:t>
      </w:r>
      <w:r w:rsidR="000D70F2">
        <w:rPr>
          <w:rFonts w:cstheme="minorHAnsi"/>
        </w:rPr>
        <w:t xml:space="preserve">nly </w:t>
      </w:r>
      <w:r w:rsidRPr="00CD09C3">
        <w:rPr>
          <w:rFonts w:cstheme="minorHAnsi"/>
        </w:rPr>
        <w:t xml:space="preserve">the first four are recognized by the federal government. The federal government regards the fifth year as illustrative. Any federally funded project listed in any of the first four years of the TIP/STIP may be advanced or deferred within those four years without requiring a </w:t>
      </w:r>
      <w:r w:rsidR="004B7B17">
        <w:rPr>
          <w:rFonts w:cstheme="minorHAnsi"/>
        </w:rPr>
        <w:t xml:space="preserve">formal </w:t>
      </w:r>
      <w:r w:rsidRPr="00CD09C3">
        <w:rPr>
          <w:rFonts w:cstheme="minorHAnsi"/>
        </w:rPr>
        <w:t>TIP/STIP amendment</w:t>
      </w:r>
      <w:r w:rsidR="004B7B17">
        <w:rPr>
          <w:rFonts w:cstheme="minorHAnsi"/>
        </w:rPr>
        <w:t xml:space="preserve"> if the change in project schedule is not greater than one year</w:t>
      </w:r>
      <w:r w:rsidRPr="00CD09C3">
        <w:rPr>
          <w:rFonts w:cstheme="minorHAnsi"/>
        </w:rPr>
        <w:t>.</w:t>
      </w:r>
      <w:r>
        <w:rPr>
          <w:rFonts w:cstheme="minorHAnsi"/>
        </w:rPr>
        <w:t xml:space="preserve"> </w:t>
      </w:r>
      <w:r w:rsidRPr="00CD09C3">
        <w:rPr>
          <w:rFonts w:cstheme="minorHAnsi"/>
        </w:rPr>
        <w:t xml:space="preserve">If a project is listed in the first four years of the TIP but without federal funding, and the funding is subsequently changed to add federal funds, a </w:t>
      </w:r>
      <w:r w:rsidR="004B7B17">
        <w:rPr>
          <w:rFonts w:cstheme="minorHAnsi"/>
        </w:rPr>
        <w:t xml:space="preserve">formal </w:t>
      </w:r>
      <w:r w:rsidRPr="00CD09C3">
        <w:rPr>
          <w:rFonts w:cstheme="minorHAnsi"/>
        </w:rPr>
        <w:t>TIP/STIP amendment is required.</w:t>
      </w:r>
    </w:p>
    <w:p w14:paraId="091302DB" w14:textId="6870AC1F" w:rsidR="00CD09C3" w:rsidRPr="00CD09C3" w:rsidRDefault="00CD09C3" w:rsidP="00020D20">
      <w:pPr>
        <w:jc w:val="both"/>
        <w:rPr>
          <w:rFonts w:cstheme="minorHAnsi"/>
        </w:rPr>
      </w:pPr>
      <w:r w:rsidRPr="00CD09C3">
        <w:rPr>
          <w:rFonts w:cstheme="minorHAnsi"/>
        </w:rPr>
        <w:t xml:space="preserve">A new project that is “regionally significant” as defined by </w:t>
      </w:r>
      <w:hyperlink r:id="rId562" w:history="1">
        <w:r w:rsidR="001509B2" w:rsidRPr="00020D20">
          <w:rPr>
            <w:rStyle w:val="TitleChar"/>
          </w:rPr>
          <w:t>23 C.F.R. § 450.104</w:t>
        </w:r>
      </w:hyperlink>
      <w:r w:rsidR="000D70F2" w:rsidRPr="00020D20">
        <w:rPr>
          <w:rStyle w:val="TitleChar"/>
        </w:rPr>
        <w:t xml:space="preserve"> </w:t>
      </w:r>
      <w:r w:rsidR="000D70F2">
        <w:rPr>
          <w:rFonts w:cstheme="minorHAnsi"/>
        </w:rPr>
        <w:t xml:space="preserve">or that </w:t>
      </w:r>
      <w:r w:rsidRPr="00CD09C3">
        <w:rPr>
          <w:rFonts w:cstheme="minorHAnsi"/>
        </w:rPr>
        <w:t xml:space="preserve">requires FHWA or FTA approval must have a TIP/STIP amendment regardless of the funding source. </w:t>
      </w:r>
    </w:p>
    <w:p w14:paraId="396144A8" w14:textId="77777777" w:rsidR="00CD09C3" w:rsidRPr="00CD09C3" w:rsidRDefault="00CD09C3" w:rsidP="00020D20">
      <w:pPr>
        <w:pStyle w:val="Heading3"/>
        <w:jc w:val="both"/>
      </w:pPr>
      <w:bookmarkStart w:id="278" w:name="_Ref50030452"/>
      <w:r w:rsidRPr="00CD09C3">
        <w:t>8.10.3 | Change Adversely Impacts Financial Constraint</w:t>
      </w:r>
      <w:bookmarkEnd w:id="278"/>
      <w:r w:rsidRPr="00CD09C3">
        <w:t xml:space="preserve"> </w:t>
      </w:r>
    </w:p>
    <w:p w14:paraId="6393A43D" w14:textId="77777777" w:rsidR="00CD09C3" w:rsidRPr="00CD09C3" w:rsidRDefault="00D14518" w:rsidP="00020D20">
      <w:pPr>
        <w:jc w:val="both"/>
        <w:rPr>
          <w:rFonts w:cstheme="minorHAnsi"/>
        </w:rPr>
      </w:pPr>
      <w:r>
        <w:rPr>
          <w:rFonts w:cstheme="minorHAnsi"/>
          <w:noProof/>
        </w:rPr>
        <mc:AlternateContent>
          <mc:Choice Requires="wps">
            <w:drawing>
              <wp:anchor distT="0" distB="0" distL="114300" distR="114300" simplePos="0" relativeHeight="251618449" behindDoc="1" locked="0" layoutInCell="1" allowOverlap="1" wp14:anchorId="266A2FEA" wp14:editId="70C9DB29">
                <wp:simplePos x="0" y="0"/>
                <wp:positionH relativeFrom="margin">
                  <wp:posOffset>4800600</wp:posOffset>
                </wp:positionH>
                <wp:positionV relativeFrom="paragraph">
                  <wp:posOffset>814070</wp:posOffset>
                </wp:positionV>
                <wp:extent cx="1169670" cy="1647825"/>
                <wp:effectExtent l="76200" t="95250" r="68580" b="104775"/>
                <wp:wrapTight wrapText="bothSides">
                  <wp:wrapPolygon edited="0">
                    <wp:start x="-1055" y="-1249"/>
                    <wp:lineTo x="-1407" y="-749"/>
                    <wp:lineTo x="-1407" y="22724"/>
                    <wp:lineTo x="22515" y="22724"/>
                    <wp:lineTo x="22515" y="-1249"/>
                    <wp:lineTo x="-1055" y="-1249"/>
                  </wp:wrapPolygon>
                </wp:wrapTight>
                <wp:docPr id="816286384" name="Text Box 816286384"/>
                <wp:cNvGraphicFramePr/>
                <a:graphic xmlns:a="http://schemas.openxmlformats.org/drawingml/2006/main">
                  <a:graphicData uri="http://schemas.microsoft.com/office/word/2010/wordprocessingShape">
                    <wps:wsp>
                      <wps:cNvSpPr txBox="1"/>
                      <wps:spPr>
                        <a:xfrm>
                          <a:off x="0" y="0"/>
                          <a:ext cx="1169670" cy="1647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1DB4796" w14:textId="77777777" w:rsidR="00C6444C" w:rsidRDefault="00C6444C" w:rsidP="00020D20">
                            <w:pPr>
                              <w:jc w:val="center"/>
                            </w:pPr>
                            <w:r>
                              <w:rPr>
                                <w:noProof/>
                              </w:rPr>
                              <w:drawing>
                                <wp:inline distT="0" distB="0" distL="0" distR="0" wp14:anchorId="60F4562A" wp14:editId="189A663F">
                                  <wp:extent cx="457200" cy="457200"/>
                                  <wp:effectExtent l="0" t="0" r="0" b="0"/>
                                  <wp:docPr id="1690911535" name="Picture 169091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44810B8" w14:textId="3D6CF985" w:rsidR="00C6444C" w:rsidRDefault="00C6444C" w:rsidP="00443B7F">
                            <w:pPr>
                              <w:pStyle w:val="Calloutboxes"/>
                            </w:pPr>
                            <w:r>
                              <w:t>TIP/STIP Amendment Recommendation Guidelines</w:t>
                            </w:r>
                          </w:p>
                          <w:p w14:paraId="288DBF65" w14:textId="4A6BC98E" w:rsidR="00C6444C" w:rsidRPr="00020D20" w:rsidRDefault="00202C92">
                            <w:pPr>
                              <w:pStyle w:val="Title"/>
                              <w:rPr>
                                <w:sz w:val="16"/>
                              </w:rPr>
                            </w:pPr>
                            <w:hyperlink r:id="rId563" w:history="1">
                              <w:r w:rsidR="00C6444C" w:rsidRPr="00020D20">
                                <w:rPr>
                                  <w:rStyle w:val="Hyperlink"/>
                                  <w:rFonts w:ascii="Calibri" w:hAnsi="Calibri" w:cstheme="majorBidi"/>
                                  <w:i/>
                                  <w:color w:val="CE5B18"/>
                                  <w:szCs w:val="56"/>
                                  <w:u w:val="none"/>
                                </w:rPr>
                                <w:t>https://azdot.gov/sites/default/files/media/2020/08/TIP-Amendment-Guidelines.pdf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6A2FEA" id="Text Box 816286384" o:spid="_x0000_s1165" type="#_x0000_t202" style="position:absolute;left:0;text-align:left;margin-left:378pt;margin-top:64.1pt;width:92.1pt;height:129.75pt;z-index:-2516980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" fillcolor="#f7f7f7" stroked="f" strokeweight=".5pt">
                <v:shadow on="t" type="perspective" color="black" opacity="26214f" offset="0,0" matrix="66847f,,,66847f"/>
                <v:textbox>
                  <w:txbxContent>
                    <w:p w14:paraId="31DB4796" w14:textId="77777777" w:rsidR="00C6444C" w:rsidRDefault="00C6444C" w:rsidP="00020D20">
                      <w:pPr>
                        <w:jc w:val="center"/>
                      </w:pPr>
                      <w:r>
                        <w:rPr>
                          <w:noProof/>
                        </w:rPr>
                        <w:drawing>
                          <wp:inline distT="0" distB="0" distL="0" distR="0" wp14:anchorId="60F4562A" wp14:editId="189A663F">
                            <wp:extent cx="457200" cy="457200"/>
                            <wp:effectExtent l="0" t="0" r="0" b="0"/>
                            <wp:docPr id="1690911535" name="Picture 169091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44810B8" w14:textId="3D6CF985" w:rsidR="00C6444C" w:rsidRDefault="00C6444C" w:rsidP="00443B7F">
                      <w:pPr>
                        <w:pStyle w:val="Calloutboxes"/>
                      </w:pPr>
                      <w:r>
                        <w:t>TIP/STIP Amendment Recommendation Guidelines</w:t>
                      </w:r>
                    </w:p>
                    <w:p w14:paraId="288DBF65" w14:textId="4A6BC98E" w:rsidR="00C6444C" w:rsidRPr="00020D20" w:rsidRDefault="00C6444C">
                      <w:pPr>
                        <w:pStyle w:val="Title"/>
                        <w:rPr>
                          <w:sz w:val="16"/>
                        </w:rPr>
                      </w:pPr>
                      <w:hyperlink r:id="rId564" w:history="1">
                        <w:r w:rsidRPr="00020D20">
                          <w:rPr>
                            <w:rStyle w:val="Hyperlink"/>
                            <w:rFonts w:ascii="Calibri" w:hAnsi="Calibri" w:cstheme="majorBidi"/>
                            <w:i/>
                            <w:color w:val="CE5B18"/>
                            <w:szCs w:val="56"/>
                            <w:u w:val="none"/>
                          </w:rPr>
                          <w:t>https://azdot.gov/sites/default/files/media/2020/08/TIP-Amendment-Guidelines.pdf</w:t>
                        </w:r>
                      </w:hyperlink>
                    </w:p>
                  </w:txbxContent>
                </v:textbox>
                <w10:wrap type="tight" anchorx="margin"/>
              </v:shape>
            </w:pict>
          </mc:Fallback>
        </mc:AlternateContent>
      </w:r>
      <w:r w:rsidR="00CD09C3" w:rsidRPr="00CD09C3">
        <w:rPr>
          <w:rFonts w:cstheme="minorHAnsi"/>
        </w:rPr>
        <w:t>Federal law requires that the TIP/STIP must be financially constrained to the amount of funds that have been projected to be available by year over the four-year period of the approved TIPs/STIP. This means that the cost of new projects and cost increases on existing projects must be offset by decreases in other areas of the TIP/STIP to maintain the financial constraints upon which the TIP/STIP was originally developed, unless new sources of funds are identified.</w:t>
      </w:r>
    </w:p>
    <w:p w14:paraId="3210B5BE" w14:textId="77777777" w:rsidR="00CD09C3" w:rsidRPr="00CD09C3" w:rsidRDefault="00CD09C3" w:rsidP="00020D20">
      <w:pPr>
        <w:jc w:val="both"/>
        <w:rPr>
          <w:rFonts w:cstheme="minorHAnsi"/>
        </w:rPr>
      </w:pPr>
      <w:r w:rsidRPr="00CD09C3">
        <w:rPr>
          <w:rFonts w:cstheme="minorHAnsi"/>
        </w:rPr>
        <w:t>When new projects are added to the TIP/STIP, the TIP/STIP amendment transmittal letter must identify the source of funds for the new project. Examples include the following:</w:t>
      </w:r>
    </w:p>
    <w:p w14:paraId="4618FDFC" w14:textId="1261A4F1" w:rsidR="00CD09C3" w:rsidRPr="00CD09C3" w:rsidRDefault="00CD09C3" w:rsidP="00020D20">
      <w:pPr>
        <w:pStyle w:val="Body-Bullets"/>
        <w:jc w:val="both"/>
      </w:pPr>
      <w:r w:rsidRPr="00CD09C3">
        <w:t>When the funds come from a</w:t>
      </w:r>
      <w:r w:rsidR="00EA29A7">
        <w:t>n item within</w:t>
      </w:r>
      <w:r w:rsidR="004B7B17">
        <w:t xml:space="preserve"> a</w:t>
      </w:r>
      <w:r w:rsidRPr="00CD09C3">
        <w:t xml:space="preserve"> contingency</w:t>
      </w:r>
      <w:r w:rsidR="004B7B17">
        <w:t xml:space="preserve"> source</w:t>
      </w:r>
      <w:r w:rsidR="00EA29A7">
        <w:t xml:space="preserve"> </w:t>
      </w:r>
      <w:r w:rsidRPr="00CD09C3">
        <w:t xml:space="preserve">already included in the appropriate year of the WP, the TIP/STIP amendment shows the reduction in the contingency </w:t>
      </w:r>
      <w:r w:rsidR="004B7B17">
        <w:t>source</w:t>
      </w:r>
      <w:r w:rsidR="004B7B17" w:rsidRPr="00CD09C3">
        <w:t xml:space="preserve"> </w:t>
      </w:r>
      <w:r w:rsidRPr="00CD09C3">
        <w:t>item as well as the cost of the new project addition.</w:t>
      </w:r>
    </w:p>
    <w:p w14:paraId="47D47CB8" w14:textId="77777777" w:rsidR="00CD09C3" w:rsidRPr="00CD09C3" w:rsidRDefault="00CD09C3" w:rsidP="00020D20">
      <w:pPr>
        <w:pStyle w:val="Body-Bullets"/>
        <w:jc w:val="both"/>
      </w:pPr>
      <w:r w:rsidRPr="00CD09C3">
        <w:t>When the funds come from the deletion or deferral of another individual project in the appropriate year of the TIP/STIP, the TIP/STIP amendment identifies the specific project being deleted or deferred as well as the new project addition.</w:t>
      </w:r>
    </w:p>
    <w:p w14:paraId="3DC18652" w14:textId="77777777" w:rsidR="00CD09C3" w:rsidRPr="00CD09C3" w:rsidRDefault="00CD09C3" w:rsidP="00020D20">
      <w:pPr>
        <w:pStyle w:val="Body-Bullets"/>
        <w:jc w:val="both"/>
      </w:pPr>
      <w:r w:rsidRPr="00CD09C3">
        <w:t>When the funds come from reductions of cost estimates to other projects already included in the appropriate year of the TIP/STIP, the TIP/STIP amendment identifies the specific projects where estimated costs are being reduced.</w:t>
      </w:r>
    </w:p>
    <w:p w14:paraId="444ACBB5" w14:textId="77777777" w:rsidR="00CD09C3" w:rsidRPr="00CD09C3" w:rsidRDefault="00CD09C3" w:rsidP="00020D20">
      <w:pPr>
        <w:pStyle w:val="Body-Bullets"/>
        <w:jc w:val="both"/>
      </w:pPr>
      <w:r w:rsidRPr="00CD09C3">
        <w:t>When the funds come from new appropriations or allocations of federal funds that were not available, or reasonably expected to be available, when the TIP/STIP was originally developed, the TIP/STIP amendment identifies the source and amount of the new funds.</w:t>
      </w:r>
    </w:p>
    <w:p w14:paraId="0475C961" w14:textId="77777777" w:rsidR="00CD09C3" w:rsidRPr="00CD09C3" w:rsidRDefault="00CD09C3" w:rsidP="00020D20">
      <w:pPr>
        <w:pStyle w:val="Body-Bullets"/>
        <w:jc w:val="both"/>
      </w:pPr>
      <w:r w:rsidRPr="00CD09C3">
        <w:t>For cost increases on existing projects, a TIP/STIP amendment is not required as long as all of the following statements are true:</w:t>
      </w:r>
    </w:p>
    <w:p w14:paraId="35BB53EC" w14:textId="77777777" w:rsidR="00CD09C3" w:rsidRPr="00CD09C3" w:rsidRDefault="00CD09C3" w:rsidP="00020D20">
      <w:pPr>
        <w:pStyle w:val="Body-Bullets"/>
        <w:numPr>
          <w:ilvl w:val="1"/>
          <w:numId w:val="70"/>
        </w:numPr>
        <w:jc w:val="both"/>
      </w:pPr>
      <w:r w:rsidRPr="00CD09C3">
        <w:t>The funds financing the cost increase do not come from the deletion of another project already included in the TIP/STIP (or deferral of another project beyond the four years of the TIP/STIP).</w:t>
      </w:r>
    </w:p>
    <w:p w14:paraId="6E8F5BB9" w14:textId="77777777" w:rsidR="00CD09C3" w:rsidRPr="00CD09C3" w:rsidRDefault="00CD09C3" w:rsidP="00020D20">
      <w:pPr>
        <w:pStyle w:val="Body-Bullets"/>
        <w:numPr>
          <w:ilvl w:val="1"/>
          <w:numId w:val="70"/>
        </w:numPr>
        <w:jc w:val="both"/>
      </w:pPr>
      <w:r w:rsidRPr="00CD09C3">
        <w:t>The TIP/STIP remains financially constrained after the cost adjustment.</w:t>
      </w:r>
    </w:p>
    <w:p w14:paraId="0CBEC3FE" w14:textId="77777777" w:rsidR="00CD09C3" w:rsidRPr="00CD09C3" w:rsidRDefault="00CD09C3" w:rsidP="00020D20">
      <w:pPr>
        <w:pStyle w:val="Body-Bullets"/>
        <w:numPr>
          <w:ilvl w:val="1"/>
          <w:numId w:val="70"/>
        </w:numPr>
        <w:jc w:val="both"/>
      </w:pPr>
      <w:r w:rsidRPr="00CD09C3">
        <w:t>The cost increase is not a result of a major scope change to the project, as defined below.</w:t>
      </w:r>
    </w:p>
    <w:p w14:paraId="0D719D73" w14:textId="77777777" w:rsidR="00CD09C3" w:rsidRPr="00CD09C3" w:rsidRDefault="00CD09C3" w:rsidP="00020D20">
      <w:pPr>
        <w:pStyle w:val="Heading3"/>
        <w:jc w:val="both"/>
      </w:pPr>
      <w:bookmarkStart w:id="279" w:name="_Ref50030455"/>
      <w:r w:rsidRPr="00CD09C3">
        <w:t>8.10.4 | Change Results in Major Scope Changes</w:t>
      </w:r>
      <w:bookmarkEnd w:id="279"/>
    </w:p>
    <w:p w14:paraId="5AB204C4" w14:textId="77777777" w:rsidR="00CD09C3" w:rsidRPr="00CD09C3" w:rsidRDefault="00CD09C3" w:rsidP="00020D20">
      <w:pPr>
        <w:jc w:val="both"/>
        <w:rPr>
          <w:rFonts w:cstheme="minorHAnsi"/>
        </w:rPr>
      </w:pPr>
      <w:r w:rsidRPr="00CD09C3">
        <w:rPr>
          <w:rFonts w:cstheme="minorHAnsi"/>
        </w:rPr>
        <w:t>A TIP/STIP amendment is required when there are major changes to the scope of a project. In this context a major scope change is defined to be one that changes or significantly expands the basic attributes or nature of a project (design concept). Examples include:</w:t>
      </w:r>
    </w:p>
    <w:p w14:paraId="7A6DB1AF" w14:textId="47015F2F" w:rsidR="00CD09C3" w:rsidRPr="00CD09C3" w:rsidRDefault="00BF1FF8" w:rsidP="00020D20">
      <w:pPr>
        <w:pStyle w:val="Body-Bullets"/>
        <w:jc w:val="both"/>
      </w:pPr>
      <w:r>
        <w:t>A</w:t>
      </w:r>
      <w:r w:rsidR="00CD09C3" w:rsidRPr="00CD09C3">
        <w:t>ny material changes to project limits,</w:t>
      </w:r>
    </w:p>
    <w:p w14:paraId="5D4688A6" w14:textId="1AAD594E" w:rsidR="00CD09C3" w:rsidRPr="00CD09C3" w:rsidRDefault="00BF1FF8" w:rsidP="00020D20">
      <w:pPr>
        <w:pStyle w:val="Body-Bullets"/>
        <w:jc w:val="both"/>
      </w:pPr>
      <w:r>
        <w:t>A</w:t>
      </w:r>
      <w:r w:rsidR="00CD09C3" w:rsidRPr="00CD09C3">
        <w:t>ny material changes to capacity (e.g., adding additional lanes),</w:t>
      </w:r>
    </w:p>
    <w:p w14:paraId="75F52EBB" w14:textId="0747C6E7" w:rsidR="00CD09C3" w:rsidRPr="00CD09C3" w:rsidRDefault="00BF1FF8" w:rsidP="00020D20">
      <w:pPr>
        <w:pStyle w:val="Body-Bullets"/>
        <w:jc w:val="both"/>
      </w:pPr>
      <w:r>
        <w:t>A</w:t>
      </w:r>
      <w:r w:rsidR="00CD09C3" w:rsidRPr="00CD09C3">
        <w:t>ny material changes to type of work (e.g., adding bridge repairs to resurfacing job, or changing modes from highway to transit), and</w:t>
      </w:r>
    </w:p>
    <w:p w14:paraId="68F4864A" w14:textId="67A63CEB" w:rsidR="00CD09C3" w:rsidRDefault="00BF1FF8" w:rsidP="00020D20">
      <w:pPr>
        <w:pStyle w:val="Body-Bullets"/>
        <w:jc w:val="both"/>
      </w:pPr>
      <w:r>
        <w:t>A</w:t>
      </w:r>
      <w:r w:rsidR="00CD09C3" w:rsidRPr="00CD09C3">
        <w:t>ny scope change that is significant enough to affect the priority order of projects in the TIP/STIP or to affect consistency with the MPO’s/COG’s RTP.</w:t>
      </w:r>
    </w:p>
    <w:p w14:paraId="324AD1FD" w14:textId="2FDB507F" w:rsidR="00CD09C3" w:rsidRPr="00CD09C3" w:rsidRDefault="00CD09C3" w:rsidP="00020D20">
      <w:pPr>
        <w:pStyle w:val="Heading3"/>
        <w:jc w:val="both"/>
      </w:pPr>
      <w:bookmarkStart w:id="280" w:name="_Ref50030459"/>
      <w:r w:rsidRPr="00CD09C3">
        <w:t>8.10.5 | Change Deletes an Individually Listed Project</w:t>
      </w:r>
      <w:bookmarkEnd w:id="280"/>
    </w:p>
    <w:p w14:paraId="7B66A9C7" w14:textId="77777777" w:rsidR="00CD09C3" w:rsidRPr="00CD09C3" w:rsidRDefault="00CD09C3" w:rsidP="00020D20">
      <w:pPr>
        <w:jc w:val="both"/>
        <w:rPr>
          <w:rFonts w:cstheme="minorHAnsi"/>
        </w:rPr>
      </w:pPr>
      <w:r w:rsidRPr="00CD09C3">
        <w:rPr>
          <w:rFonts w:cstheme="minorHAnsi"/>
        </w:rPr>
        <w:t>The deletion of any individually listed project in the four years of the TIP/STIP requires a TIP/STIP amendment and may also require an amendment to the RTP. When a project is listed in the first four years of the TIP with federal funding and that funding is subsequently deleted, a TIP/STIP amendment is required.</w:t>
      </w:r>
    </w:p>
    <w:p w14:paraId="2C8C3373" w14:textId="6F7BFBA1" w:rsidR="00CD09C3" w:rsidRPr="00CD09C3" w:rsidRDefault="00CD09C3" w:rsidP="00020D20">
      <w:pPr>
        <w:pStyle w:val="Heading3"/>
        <w:jc w:val="both"/>
      </w:pPr>
      <w:bookmarkStart w:id="281" w:name="_Ref50030462"/>
      <w:r w:rsidRPr="00CD09C3">
        <w:t>8.10.6 | Change Results in a Cost Increase Greater Than 25 percent</w:t>
      </w:r>
      <w:bookmarkEnd w:id="281"/>
    </w:p>
    <w:p w14:paraId="32B434F6" w14:textId="02713DC9" w:rsidR="005D4DAF" w:rsidRDefault="00CD09C3">
      <w:pPr>
        <w:jc w:val="both"/>
        <w:rPr>
          <w:rFonts w:cstheme="minorHAnsi"/>
        </w:rPr>
      </w:pPr>
      <w:r w:rsidRPr="00CD09C3">
        <w:rPr>
          <w:rFonts w:cstheme="minorHAnsi"/>
        </w:rPr>
        <w:t>This TIP/STIP amendment criterion was added in 2006 because of the frequent occurrence of cost increases on projects. The threshold of 25 percent</w:t>
      </w:r>
      <w:r w:rsidR="00443B7F">
        <w:rPr>
          <w:rFonts w:cstheme="minorHAnsi"/>
        </w:rPr>
        <w:t xml:space="preserve"> </w:t>
      </w:r>
      <w:r w:rsidRPr="00CD09C3">
        <w:rPr>
          <w:rFonts w:cstheme="minorHAnsi"/>
        </w:rPr>
        <w:t xml:space="preserve">has been adopted by ADOT, FTA, and FHWA as the guideline to determine when an amendment is required. </w:t>
      </w:r>
      <w:r w:rsidR="005D4DAF">
        <w:rPr>
          <w:rFonts w:cstheme="minorHAnsi"/>
        </w:rPr>
        <w:br w:type="page"/>
      </w:r>
    </w:p>
    <w:p w14:paraId="74CE6C5C" w14:textId="77777777" w:rsidR="00CD09C3" w:rsidRPr="00CD09C3" w:rsidRDefault="00CD09C3" w:rsidP="00020D20">
      <w:pPr>
        <w:pStyle w:val="Heading3"/>
        <w:jc w:val="both"/>
      </w:pPr>
      <w:bookmarkStart w:id="282" w:name="_Ref50030468"/>
      <w:r w:rsidRPr="00CD09C3">
        <w:t>8.10.7 | Contents of TIP/STIP Amendment Package</w:t>
      </w:r>
      <w:bookmarkEnd w:id="282"/>
    </w:p>
    <w:p w14:paraId="2E200806" w14:textId="5EF3EFFB" w:rsidR="00CD09C3" w:rsidRPr="00CD09C3" w:rsidRDefault="00CD09C3" w:rsidP="00020D20">
      <w:pPr>
        <w:jc w:val="both"/>
        <w:rPr>
          <w:rFonts w:cstheme="minorHAnsi"/>
        </w:rPr>
      </w:pPr>
      <w:r w:rsidRPr="00CD09C3">
        <w:rPr>
          <w:rFonts w:cstheme="minorHAnsi"/>
        </w:rPr>
        <w:t>TIP amendment package</w:t>
      </w:r>
      <w:r w:rsidR="00F22B75">
        <w:rPr>
          <w:rFonts w:cstheme="minorHAnsi"/>
        </w:rPr>
        <w:t xml:space="preserve">s </w:t>
      </w:r>
      <w:r w:rsidRPr="00CD09C3">
        <w:rPr>
          <w:rFonts w:cstheme="minorHAnsi"/>
        </w:rPr>
        <w:t>must include specific documents and information regarding project changes to be considered complete. The accompanying STIP amendment (prepared by the Federal Aid Office) will draw upon the contents of individual TIP amendments as the basis for its preparation. TIP amendments must contain the following information:</w:t>
      </w:r>
    </w:p>
    <w:p w14:paraId="349BEE9D" w14:textId="4F4A4899" w:rsidR="004B7B17" w:rsidRDefault="00CD09C3" w:rsidP="00020D20">
      <w:pPr>
        <w:jc w:val="both"/>
        <w:rPr>
          <w:rFonts w:cstheme="minorHAnsi"/>
        </w:rPr>
      </w:pPr>
      <w:r w:rsidRPr="00CD09C3">
        <w:rPr>
          <w:rFonts w:cstheme="minorHAnsi"/>
        </w:rPr>
        <w:t xml:space="preserve">For new projects, include the following </w:t>
      </w:r>
      <w:r w:rsidR="004B7B17">
        <w:rPr>
          <w:rFonts w:cstheme="minorHAnsi"/>
        </w:rPr>
        <w:t>11</w:t>
      </w:r>
      <w:r w:rsidR="004B7B17" w:rsidRPr="00CD09C3">
        <w:rPr>
          <w:rFonts w:cstheme="minorHAnsi"/>
        </w:rPr>
        <w:t xml:space="preserve"> </w:t>
      </w:r>
      <w:r w:rsidRPr="00CD09C3">
        <w:rPr>
          <w:rFonts w:cstheme="minorHAnsi"/>
        </w:rPr>
        <w:t>items</w:t>
      </w:r>
      <w:r w:rsidR="004B7B17">
        <w:rPr>
          <w:rFonts w:cstheme="minorHAnsi"/>
        </w:rPr>
        <w:t xml:space="preserve"> </w:t>
      </w:r>
    </w:p>
    <w:p w14:paraId="09C814AD" w14:textId="2A383DEB" w:rsidR="004B7B17" w:rsidRDefault="004B7B17" w:rsidP="00020D20">
      <w:pPr>
        <w:pStyle w:val="NumberedList"/>
        <w:numPr>
          <w:ilvl w:val="0"/>
          <w:numId w:val="330"/>
        </w:numPr>
      </w:pPr>
      <w:r>
        <w:t>Project name, limits, length, detailed description, and type of work</w:t>
      </w:r>
    </w:p>
    <w:p w14:paraId="4AAC24A1" w14:textId="0803262F" w:rsidR="004B7B17" w:rsidRDefault="004B7B17" w:rsidP="00020D20">
      <w:pPr>
        <w:pStyle w:val="NumberedList"/>
        <w:numPr>
          <w:ilvl w:val="0"/>
          <w:numId w:val="330"/>
        </w:numPr>
      </w:pPr>
      <w:r>
        <w:t>Estimated cost</w:t>
      </w:r>
    </w:p>
    <w:p w14:paraId="7BDC98AF" w14:textId="3F9F593A" w:rsidR="004B7B17" w:rsidRDefault="004B7B17" w:rsidP="00020D20">
      <w:pPr>
        <w:pStyle w:val="NumberedList"/>
        <w:numPr>
          <w:ilvl w:val="0"/>
          <w:numId w:val="330"/>
        </w:numPr>
      </w:pPr>
      <w:r>
        <w:t>Phase of work</w:t>
      </w:r>
    </w:p>
    <w:p w14:paraId="5F2EEAD9" w14:textId="2D28AAB8" w:rsidR="004B7B17" w:rsidRDefault="004B7B17" w:rsidP="00020D20">
      <w:pPr>
        <w:pStyle w:val="NumberedList"/>
        <w:numPr>
          <w:ilvl w:val="0"/>
          <w:numId w:val="330"/>
        </w:numPr>
      </w:pPr>
      <w:r>
        <w:t>State fiscal year in which work is to commen</w:t>
      </w:r>
      <w:r w:rsidR="00164ED7">
        <w:t>ce</w:t>
      </w:r>
    </w:p>
    <w:p w14:paraId="56FADE59" w14:textId="4DC089EA" w:rsidR="004B7B17" w:rsidRDefault="004B7B17" w:rsidP="00020D20">
      <w:pPr>
        <w:pStyle w:val="NumberedList"/>
        <w:numPr>
          <w:ilvl w:val="0"/>
          <w:numId w:val="330"/>
        </w:numPr>
      </w:pPr>
      <w:r>
        <w:t>Reason for the proposed change</w:t>
      </w:r>
    </w:p>
    <w:p w14:paraId="6E77BCA8" w14:textId="077DE498" w:rsidR="004B7B17" w:rsidRDefault="004B7B17" w:rsidP="00020D20">
      <w:pPr>
        <w:pStyle w:val="NumberedList"/>
        <w:numPr>
          <w:ilvl w:val="0"/>
          <w:numId w:val="330"/>
        </w:numPr>
      </w:pPr>
      <w:r>
        <w:t>Effect of the change to financial constraints</w:t>
      </w:r>
    </w:p>
    <w:p w14:paraId="03B7573E" w14:textId="172300B2" w:rsidR="004B7B17" w:rsidRDefault="004B7B17" w:rsidP="00020D20">
      <w:pPr>
        <w:pStyle w:val="NumberedList"/>
        <w:numPr>
          <w:ilvl w:val="0"/>
          <w:numId w:val="330"/>
        </w:numPr>
      </w:pPr>
      <w:r>
        <w:t>RTP page number</w:t>
      </w:r>
    </w:p>
    <w:p w14:paraId="34DE75DF" w14:textId="1044D6C0" w:rsidR="004B7B17" w:rsidRDefault="004B7B17" w:rsidP="00020D20">
      <w:pPr>
        <w:pStyle w:val="NumberedList"/>
        <w:numPr>
          <w:ilvl w:val="0"/>
          <w:numId w:val="330"/>
        </w:numPr>
      </w:pPr>
      <w:r>
        <w:t>TIP page number</w:t>
      </w:r>
    </w:p>
    <w:p w14:paraId="3BEF38F3" w14:textId="061EA981" w:rsidR="004B7B17" w:rsidRDefault="004B7B17" w:rsidP="00020D20">
      <w:pPr>
        <w:pStyle w:val="NumberedList"/>
        <w:numPr>
          <w:ilvl w:val="0"/>
          <w:numId w:val="330"/>
        </w:numPr>
      </w:pPr>
      <w:r>
        <w:t>Indication whether a formal STIP amendment or administrative modification is required</w:t>
      </w:r>
    </w:p>
    <w:p w14:paraId="61596971" w14:textId="4AD8D84C" w:rsidR="004B7B17" w:rsidRDefault="004B7B17" w:rsidP="00020D20">
      <w:pPr>
        <w:pStyle w:val="NumberedList"/>
        <w:numPr>
          <w:ilvl w:val="0"/>
          <w:numId w:val="330"/>
        </w:numPr>
      </w:pPr>
      <w:r>
        <w:t>Signature of MPO/COG chair or designee (if approval authority has been delegated to MPO/COG staff and documented)</w:t>
      </w:r>
    </w:p>
    <w:p w14:paraId="60A90746" w14:textId="67AF9744" w:rsidR="004B7B17" w:rsidRPr="004B7B17" w:rsidRDefault="004B7B17" w:rsidP="00020D20">
      <w:pPr>
        <w:pStyle w:val="NumberedList"/>
        <w:numPr>
          <w:ilvl w:val="0"/>
          <w:numId w:val="330"/>
        </w:numPr>
        <w:jc w:val="both"/>
        <w:rPr>
          <w:rFonts w:cstheme="minorHAnsi"/>
        </w:rPr>
      </w:pPr>
      <w:r>
        <w:t>Statement that the TIP amendment was developed and approved in compliance with applicable laws and procedures</w:t>
      </w:r>
    </w:p>
    <w:p w14:paraId="6CE7B0B4" w14:textId="0F2FC5CB" w:rsidR="004B7B17" w:rsidRDefault="00CD09C3" w:rsidP="00020D20">
      <w:pPr>
        <w:jc w:val="both"/>
        <w:rPr>
          <w:rFonts w:cstheme="minorHAnsi"/>
        </w:rPr>
      </w:pPr>
      <w:r w:rsidRPr="000D70F2">
        <w:rPr>
          <w:rFonts w:cstheme="minorHAnsi"/>
        </w:rPr>
        <w:t xml:space="preserve">For existing projects, include the items outlined for new projects above plus the following, for a total of </w:t>
      </w:r>
      <w:r w:rsidR="005D4DAF">
        <w:rPr>
          <w:rFonts w:cstheme="minorHAnsi"/>
        </w:rPr>
        <w:t>12</w:t>
      </w:r>
      <w:r w:rsidR="004B7B17" w:rsidRPr="000D70F2">
        <w:rPr>
          <w:rFonts w:cstheme="minorHAnsi"/>
        </w:rPr>
        <w:t xml:space="preserve"> </w:t>
      </w:r>
      <w:r w:rsidRPr="000D70F2">
        <w:rPr>
          <w:rFonts w:cstheme="minorHAnsi"/>
        </w:rPr>
        <w:t>items:</w:t>
      </w:r>
    </w:p>
    <w:p w14:paraId="7D28DAEE" w14:textId="6AEC8E6D" w:rsidR="00CD09C3" w:rsidRPr="00CD09C3" w:rsidRDefault="005D4DAF" w:rsidP="00020D20">
      <w:pPr>
        <w:pStyle w:val="NumberedList"/>
      </w:pPr>
      <w:r>
        <w:t>ESTIP project ID to locate existing project</w:t>
      </w:r>
    </w:p>
    <w:p w14:paraId="12D0B9EB" w14:textId="56DE0D6E" w:rsidR="00CD09C3" w:rsidRDefault="00CD09C3" w:rsidP="00020D20">
      <w:pPr>
        <w:jc w:val="both"/>
        <w:rPr>
          <w:rFonts w:cstheme="minorHAnsi"/>
        </w:rPr>
      </w:pPr>
      <w:r w:rsidRPr="00CD09C3">
        <w:rPr>
          <w:rFonts w:cstheme="minorHAnsi"/>
        </w:rPr>
        <w:t xml:space="preserve">The ADOT </w:t>
      </w:r>
      <w:r w:rsidR="00F22B75">
        <w:rPr>
          <w:rFonts w:cstheme="minorHAnsi"/>
        </w:rPr>
        <w:t>STIP Manager</w:t>
      </w:r>
      <w:r w:rsidRPr="00CD09C3">
        <w:rPr>
          <w:rFonts w:cstheme="minorHAnsi"/>
        </w:rPr>
        <w:t xml:space="preserve"> notifies all interested parties after the TIP/STIP amendment(s) are approved by FHWA.</w:t>
      </w:r>
    </w:p>
    <w:p w14:paraId="75AB3016" w14:textId="5E90D6F8" w:rsidR="00206E75" w:rsidRPr="00CD09C3" w:rsidRDefault="00206E75" w:rsidP="00020D20">
      <w:pPr>
        <w:pStyle w:val="Heading2"/>
      </w:pPr>
      <w:bookmarkStart w:id="283" w:name="_Ref50030977"/>
      <w:r>
        <w:t>8.11</w:t>
      </w:r>
      <w:r w:rsidRPr="00CD09C3">
        <w:t xml:space="preserve"> | </w:t>
      </w:r>
      <w:r>
        <w:t>STANDARD WORK IN ESTIP</w:t>
      </w:r>
      <w:bookmarkEnd w:id="283"/>
    </w:p>
    <w:p w14:paraId="4E2C38A0" w14:textId="68277D40" w:rsidR="00387C86" w:rsidRPr="002C1B60" w:rsidRDefault="00387C86" w:rsidP="00020D20">
      <w:pPr>
        <w:spacing w:after="240"/>
        <w:jc w:val="both"/>
      </w:pPr>
      <w:r>
        <w:rPr>
          <w:rFonts w:cstheme="minorHAnsi"/>
        </w:rPr>
        <w:t xml:space="preserve">ESTIP is the current platform used to show all pending and approved TIPs and the ADOT STIP. ESTIP can be accessed via the following link: </w:t>
      </w:r>
      <w:hyperlink r:id="rId565" w:history="1">
        <w:r w:rsidRPr="00020D20">
          <w:rPr>
            <w:rStyle w:val="TitleChar"/>
          </w:rPr>
          <w:t>ADOT ESTIP</w:t>
        </w:r>
      </w:hyperlink>
      <w:r w:rsidRPr="00020D20">
        <w:t>.</w:t>
      </w:r>
    </w:p>
    <w:p w14:paraId="28AAD9B8" w14:textId="402FF024" w:rsidR="00206E75" w:rsidRDefault="00206E75" w:rsidP="00020D20">
      <w:pPr>
        <w:spacing w:after="240"/>
        <w:jc w:val="both"/>
        <w:rPr>
          <w:rFonts w:cstheme="minorHAnsi"/>
        </w:rPr>
      </w:pPr>
      <w:r>
        <w:rPr>
          <w:rFonts w:cstheme="minorHAnsi"/>
        </w:rPr>
        <w:t xml:space="preserve">ADOT MPD has published on its </w:t>
      </w:r>
      <w:hyperlink r:id="rId566" w:history="1">
        <w:r w:rsidRPr="00020D20">
          <w:rPr>
            <w:rStyle w:val="TitleChar"/>
          </w:rPr>
          <w:t>website</w:t>
        </w:r>
        <w:r w:rsidRPr="00020D20">
          <w:t xml:space="preserve"> </w:t>
        </w:r>
      </w:hyperlink>
      <w:r>
        <w:rPr>
          <w:rFonts w:cstheme="minorHAnsi"/>
        </w:rPr>
        <w:t xml:space="preserve">step-by-step </w:t>
      </w:r>
      <w:r w:rsidR="00B82940">
        <w:rPr>
          <w:rFonts w:cstheme="minorHAnsi"/>
        </w:rPr>
        <w:t>instructions</w:t>
      </w:r>
      <w:r>
        <w:rPr>
          <w:rFonts w:cstheme="minorHAnsi"/>
        </w:rPr>
        <w:t xml:space="preserve"> for standard work flows of common procedures </w:t>
      </w:r>
      <w:r w:rsidR="00FE0062">
        <w:rPr>
          <w:rFonts w:cstheme="minorHAnsi"/>
        </w:rPr>
        <w:t>f</w:t>
      </w:r>
      <w:r w:rsidR="00B82940">
        <w:rPr>
          <w:rFonts w:cstheme="minorHAnsi"/>
        </w:rPr>
        <w:t xml:space="preserve">or MPOs and COGs to </w:t>
      </w:r>
      <w:r w:rsidR="00750E86">
        <w:rPr>
          <w:rFonts w:cstheme="minorHAnsi"/>
        </w:rPr>
        <w:t>use for</w:t>
      </w:r>
      <w:r>
        <w:rPr>
          <w:rFonts w:cstheme="minorHAnsi"/>
        </w:rPr>
        <w:t xml:space="preserve"> ESTIP</w:t>
      </w:r>
      <w:r w:rsidR="00387C86">
        <w:rPr>
          <w:rFonts w:cstheme="minorHAnsi"/>
        </w:rPr>
        <w:t>.</w:t>
      </w:r>
      <w:r w:rsidR="00B82940">
        <w:rPr>
          <w:rFonts w:cstheme="minorHAnsi"/>
        </w:rPr>
        <w:t xml:space="preserve"> Table 8-2 is a list of the links to these standard work instruction pages. </w:t>
      </w:r>
    </w:p>
    <w:p w14:paraId="7B8F3AC3" w14:textId="77777777" w:rsidR="00B82940" w:rsidRDefault="00B82940" w:rsidP="00020D20">
      <w:pPr>
        <w:jc w:val="both"/>
        <w:rPr>
          <w:rFonts w:cstheme="minorHAnsi"/>
        </w:rPr>
        <w:sectPr w:rsidR="00B82940" w:rsidSect="00020D20">
          <w:type w:val="continuous"/>
          <w:pgSz w:w="12240" w:h="15840"/>
          <w:pgMar w:top="1440" w:right="1440" w:bottom="1440" w:left="1440" w:header="720" w:footer="720" w:gutter="0"/>
          <w:pgNumType w:chapStyle="1"/>
          <w:cols w:num="2" w:space="720"/>
          <w:docGrid w:linePitch="360"/>
        </w:sectPr>
      </w:pPr>
    </w:p>
    <w:p w14:paraId="2A2CF7FC" w14:textId="6BFD592C" w:rsidR="009D4DE0" w:rsidRPr="00305187" w:rsidRDefault="009D4DE0" w:rsidP="00020D20">
      <w:pPr>
        <w:pStyle w:val="Heading4"/>
        <w:jc w:val="both"/>
      </w:pPr>
      <w:r>
        <w:t>Table 8-2 | Standard Work ESTIP</w:t>
      </w:r>
    </w:p>
    <w:tbl>
      <w:tblPr>
        <w:tblW w:w="99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950"/>
        <w:gridCol w:w="4950"/>
      </w:tblGrid>
      <w:tr w:rsidR="009D4DE0" w:rsidRPr="00BF1310" w14:paraId="17FA4573" w14:textId="77777777" w:rsidTr="001E3A51">
        <w:trPr>
          <w:trHeight w:hRule="exact" w:val="374"/>
        </w:trPr>
        <w:tc>
          <w:tcPr>
            <w:tcW w:w="9900" w:type="dxa"/>
            <w:gridSpan w:val="2"/>
            <w:shd w:val="clear" w:color="auto" w:fill="012768"/>
            <w:tcMar>
              <w:top w:w="80" w:type="dxa"/>
              <w:left w:w="80" w:type="dxa"/>
              <w:bottom w:w="80" w:type="dxa"/>
              <w:right w:w="80" w:type="dxa"/>
            </w:tcMar>
            <w:vAlign w:val="center"/>
          </w:tcPr>
          <w:p w14:paraId="50924F55" w14:textId="14CAADAA" w:rsidR="009D4DE0" w:rsidRPr="00BF1310" w:rsidRDefault="009D4DE0" w:rsidP="00020D20">
            <w:pPr>
              <w:spacing w:before="0" w:after="0" w:line="240" w:lineRule="auto"/>
              <w:jc w:val="center"/>
            </w:pPr>
            <w:r w:rsidRPr="00020D20">
              <w:rPr>
                <w:sz w:val="22"/>
                <w:shd w:val="clear" w:color="auto" w:fill="012768"/>
              </w:rPr>
              <w:t>Links for Instructions of Standard Work for ESTIP, E-Grants, and Work Programs</w:t>
            </w:r>
          </w:p>
        </w:tc>
      </w:tr>
      <w:tr w:rsidR="009D4DE0" w:rsidRPr="00BF1310" w14:paraId="7E5290A2" w14:textId="77777777" w:rsidTr="00020D20">
        <w:trPr>
          <w:trHeight w:val="153"/>
        </w:trPr>
        <w:tc>
          <w:tcPr>
            <w:tcW w:w="4950" w:type="dxa"/>
            <w:shd w:val="clear" w:color="auto" w:fill="E7E6E6" w:themeFill="background2"/>
            <w:tcMar>
              <w:top w:w="80" w:type="dxa"/>
              <w:left w:w="80" w:type="dxa"/>
              <w:bottom w:w="80" w:type="dxa"/>
              <w:right w:w="80" w:type="dxa"/>
            </w:tcMar>
            <w:vAlign w:val="center"/>
          </w:tcPr>
          <w:p w14:paraId="774710E2" w14:textId="2D75CF28" w:rsidR="009D4DE0" w:rsidRPr="00BF1310" w:rsidRDefault="00202C92">
            <w:pPr>
              <w:pStyle w:val="Title"/>
            </w:pPr>
            <w:hyperlink r:id="rId567" w:history="1">
              <w:r w:rsidR="009D4DE0" w:rsidRPr="00BF1310">
                <w:rPr>
                  <w:rStyle w:val="Hyperlink"/>
                  <w:rFonts w:ascii="Calibri" w:hAnsi="Calibri" w:cstheme="majorBidi"/>
                  <w:i/>
                  <w:iCs w:val="0"/>
                  <w:color w:val="CE5B18"/>
                  <w:sz w:val="20"/>
                  <w:szCs w:val="56"/>
                  <w:u w:val="none"/>
                </w:rPr>
                <w:t>Creating a TI</w:t>
              </w:r>
              <w:r w:rsidR="00933084">
                <w:rPr>
                  <w:rStyle w:val="Hyperlink"/>
                  <w:rFonts w:ascii="Calibri" w:hAnsi="Calibri" w:cstheme="majorBidi"/>
                  <w:i/>
                  <w:iCs w:val="0"/>
                  <w:color w:val="CE5B18"/>
                  <w:sz w:val="20"/>
                  <w:szCs w:val="56"/>
                  <w:u w:val="none"/>
                </w:rPr>
                <w:t>P</w:t>
              </w:r>
              <w:r w:rsidR="009D4DE0" w:rsidRPr="00BF1310">
                <w:rPr>
                  <w:rStyle w:val="Hyperlink"/>
                  <w:rFonts w:ascii="Calibri" w:hAnsi="Calibri" w:cstheme="majorBidi"/>
                  <w:i/>
                  <w:iCs w:val="0"/>
                  <w:color w:val="CE5B18"/>
                  <w:sz w:val="20"/>
                  <w:szCs w:val="56"/>
                  <w:u w:val="none"/>
                </w:rPr>
                <w:t xml:space="preserve"> Amendment in ESTIP</w:t>
              </w:r>
            </w:hyperlink>
          </w:p>
        </w:tc>
        <w:tc>
          <w:tcPr>
            <w:tcW w:w="4950" w:type="dxa"/>
            <w:shd w:val="clear" w:color="auto" w:fill="E7E6E6" w:themeFill="background2"/>
            <w:vAlign w:val="center"/>
          </w:tcPr>
          <w:p w14:paraId="7C5FB292" w14:textId="77777777" w:rsidR="009D4DE0" w:rsidRPr="00BF1310" w:rsidRDefault="00202C92">
            <w:pPr>
              <w:pStyle w:val="Title"/>
            </w:pPr>
            <w:hyperlink r:id="rId568" w:history="1">
              <w:r w:rsidR="009D4DE0" w:rsidRPr="00BF1310">
                <w:rPr>
                  <w:rStyle w:val="Hyperlink"/>
                  <w:rFonts w:ascii="Calibri" w:hAnsi="Calibri" w:cstheme="majorBidi"/>
                  <w:i/>
                  <w:iCs w:val="0"/>
                  <w:color w:val="CE5B18"/>
                  <w:sz w:val="20"/>
                  <w:szCs w:val="56"/>
                  <w:u w:val="none"/>
                </w:rPr>
                <w:t>TIP Amendment Guidelines</w:t>
              </w:r>
            </w:hyperlink>
          </w:p>
        </w:tc>
      </w:tr>
      <w:tr w:rsidR="009D4DE0" w:rsidRPr="00BF1310" w14:paraId="526C3C2C" w14:textId="77777777" w:rsidTr="00020D20">
        <w:trPr>
          <w:trHeight w:val="20"/>
        </w:trPr>
        <w:tc>
          <w:tcPr>
            <w:tcW w:w="4950" w:type="dxa"/>
            <w:shd w:val="clear" w:color="auto" w:fill="FFFFFF" w:themeFill="background1"/>
            <w:tcMar>
              <w:top w:w="80" w:type="dxa"/>
              <w:left w:w="80" w:type="dxa"/>
              <w:bottom w:w="80" w:type="dxa"/>
              <w:right w:w="80" w:type="dxa"/>
            </w:tcMar>
            <w:vAlign w:val="center"/>
          </w:tcPr>
          <w:p w14:paraId="408391F6" w14:textId="77777777" w:rsidR="009D4DE0" w:rsidRPr="00BF1310" w:rsidRDefault="00202C92">
            <w:pPr>
              <w:pStyle w:val="Title"/>
              <w:rPr>
                <w:rStyle w:val="Hyperlink"/>
                <w:rFonts w:ascii="Calibri" w:eastAsiaTheme="minorHAnsi" w:hAnsi="Calibri" w:cstheme="majorBidi"/>
                <w:i/>
                <w:iCs w:val="0"/>
                <w:color w:val="CE5B18"/>
                <w:spacing w:val="0"/>
                <w:kern w:val="0"/>
                <w:sz w:val="20"/>
                <w:szCs w:val="56"/>
                <w:u w:val="none"/>
              </w:rPr>
            </w:pPr>
            <w:hyperlink r:id="rId569" w:history="1">
              <w:r w:rsidR="009D4DE0">
                <w:rPr>
                  <w:rStyle w:val="Hyperlink"/>
                  <w:rFonts w:ascii="Calibri" w:hAnsi="Calibri" w:cstheme="majorBidi"/>
                  <w:i/>
                  <w:iCs w:val="0"/>
                  <w:color w:val="CE5B18"/>
                  <w:sz w:val="20"/>
                  <w:szCs w:val="56"/>
                  <w:u w:val="none"/>
                </w:rPr>
                <w:t>Adding Projects to a N</w:t>
              </w:r>
              <w:r w:rsidR="009D4DE0" w:rsidRPr="00BF1310">
                <w:rPr>
                  <w:rStyle w:val="Hyperlink"/>
                  <w:rFonts w:ascii="Calibri" w:hAnsi="Calibri" w:cstheme="majorBidi"/>
                  <w:i/>
                  <w:iCs w:val="0"/>
                  <w:color w:val="CE5B18"/>
                  <w:sz w:val="20"/>
                  <w:szCs w:val="56"/>
                  <w:u w:val="none"/>
                </w:rPr>
                <w:t xml:space="preserve">ew TIP </w:t>
              </w:r>
              <w:r w:rsidR="009D4DE0">
                <w:rPr>
                  <w:rStyle w:val="Hyperlink"/>
                  <w:rFonts w:ascii="Calibri" w:hAnsi="Calibri" w:cstheme="majorBidi"/>
                  <w:i/>
                  <w:iCs w:val="0"/>
                  <w:color w:val="CE5B18"/>
                  <w:sz w:val="20"/>
                  <w:szCs w:val="56"/>
                  <w:u w:val="none"/>
                </w:rPr>
                <w:t>C</w:t>
              </w:r>
              <w:r w:rsidR="009D4DE0" w:rsidRPr="00BF1310">
                <w:rPr>
                  <w:rStyle w:val="Hyperlink"/>
                  <w:rFonts w:ascii="Calibri" w:hAnsi="Calibri" w:cstheme="majorBidi"/>
                  <w:i/>
                  <w:iCs w:val="0"/>
                  <w:color w:val="CE5B18"/>
                  <w:sz w:val="20"/>
                  <w:szCs w:val="56"/>
                  <w:u w:val="none"/>
                </w:rPr>
                <w:t xml:space="preserve">ycle </w:t>
              </w:r>
              <w:r w:rsidR="009D4DE0">
                <w:rPr>
                  <w:rStyle w:val="Hyperlink"/>
                  <w:rFonts w:ascii="Calibri" w:hAnsi="Calibri" w:cstheme="majorBidi"/>
                  <w:i/>
                  <w:iCs w:val="0"/>
                  <w:color w:val="CE5B18"/>
                  <w:sz w:val="20"/>
                  <w:szCs w:val="56"/>
                  <w:u w:val="none"/>
                </w:rPr>
                <w:t>A</w:t>
              </w:r>
              <w:r w:rsidR="009D4DE0" w:rsidRPr="00BF1310">
                <w:rPr>
                  <w:rStyle w:val="Hyperlink"/>
                  <w:rFonts w:ascii="Calibri" w:hAnsi="Calibri" w:cstheme="majorBidi"/>
                  <w:i/>
                  <w:iCs w:val="0"/>
                  <w:color w:val="CE5B18"/>
                  <w:sz w:val="20"/>
                  <w:szCs w:val="56"/>
                  <w:u w:val="none"/>
                </w:rPr>
                <w:t>doption in ESTIP</w:t>
              </w:r>
            </w:hyperlink>
          </w:p>
        </w:tc>
        <w:tc>
          <w:tcPr>
            <w:tcW w:w="4950" w:type="dxa"/>
            <w:shd w:val="clear" w:color="auto" w:fill="FFFFFF" w:themeFill="background1"/>
            <w:vAlign w:val="center"/>
          </w:tcPr>
          <w:p w14:paraId="12834EA1" w14:textId="77777777" w:rsidR="009D4DE0" w:rsidRPr="00BF1310" w:rsidRDefault="00202C92">
            <w:pPr>
              <w:pStyle w:val="Title"/>
              <w:rPr>
                <w:rStyle w:val="Hyperlink"/>
                <w:rFonts w:ascii="Calibri" w:hAnsi="Calibri" w:cstheme="majorBidi"/>
                <w:i/>
                <w:iCs w:val="0"/>
                <w:color w:val="CE5B18"/>
                <w:sz w:val="20"/>
                <w:szCs w:val="56"/>
                <w:u w:val="none"/>
              </w:rPr>
            </w:pPr>
            <w:hyperlink r:id="rId570" w:history="1">
              <w:r w:rsidR="009D4DE0" w:rsidRPr="00BF1310">
                <w:rPr>
                  <w:rStyle w:val="Hyperlink"/>
                  <w:rFonts w:ascii="Calibri" w:hAnsi="Calibri" w:cstheme="majorBidi"/>
                  <w:i/>
                  <w:iCs w:val="0"/>
                  <w:color w:val="CE5B18"/>
                  <w:sz w:val="20"/>
                  <w:szCs w:val="56"/>
                  <w:u w:val="none"/>
                </w:rPr>
                <w:t>Submitting a Reimbursement Request in E-Grants</w:t>
              </w:r>
            </w:hyperlink>
          </w:p>
        </w:tc>
      </w:tr>
      <w:tr w:rsidR="009D4DE0" w:rsidRPr="00BF1310" w14:paraId="3F1826B2" w14:textId="77777777" w:rsidTr="00020D20">
        <w:trPr>
          <w:trHeight w:val="468"/>
        </w:trPr>
        <w:tc>
          <w:tcPr>
            <w:tcW w:w="4950" w:type="dxa"/>
            <w:tcBorders>
              <w:bottom w:val="single" w:sz="4" w:space="0" w:color="auto"/>
            </w:tcBorders>
            <w:shd w:val="clear" w:color="auto" w:fill="E7E6E6" w:themeFill="background2"/>
            <w:tcMar>
              <w:top w:w="80" w:type="dxa"/>
              <w:left w:w="80" w:type="dxa"/>
              <w:bottom w:w="80" w:type="dxa"/>
              <w:right w:w="80" w:type="dxa"/>
            </w:tcMar>
            <w:vAlign w:val="center"/>
          </w:tcPr>
          <w:p w14:paraId="1D4D3AFB" w14:textId="77777777" w:rsidR="009D4DE0" w:rsidRPr="00BF1310" w:rsidRDefault="00202C92">
            <w:pPr>
              <w:pStyle w:val="Title"/>
              <w:rPr>
                <w:rStyle w:val="Hyperlink"/>
                <w:rFonts w:ascii="Calibri" w:eastAsiaTheme="minorHAnsi" w:hAnsi="Calibri" w:cstheme="majorBidi"/>
                <w:i/>
                <w:iCs w:val="0"/>
                <w:color w:val="CE5B18"/>
                <w:spacing w:val="0"/>
                <w:kern w:val="0"/>
                <w:sz w:val="20"/>
                <w:szCs w:val="56"/>
                <w:u w:val="none"/>
              </w:rPr>
            </w:pPr>
            <w:hyperlink r:id="rId571" w:history="1">
              <w:r w:rsidR="009D4DE0">
                <w:rPr>
                  <w:rStyle w:val="Hyperlink"/>
                  <w:rFonts w:ascii="Calibri" w:hAnsi="Calibri" w:cstheme="majorBidi"/>
                  <w:i/>
                  <w:iCs w:val="0"/>
                  <w:color w:val="CE5B18"/>
                  <w:sz w:val="20"/>
                  <w:szCs w:val="56"/>
                  <w:u w:val="none"/>
                </w:rPr>
                <w:t>Un-submitting and De</w:t>
              </w:r>
              <w:r w:rsidR="009D4DE0" w:rsidRPr="00BF1310">
                <w:rPr>
                  <w:rStyle w:val="Hyperlink"/>
                  <w:rFonts w:ascii="Calibri" w:hAnsi="Calibri" w:cstheme="majorBidi"/>
                  <w:i/>
                  <w:iCs w:val="0"/>
                  <w:color w:val="CE5B18"/>
                  <w:sz w:val="20"/>
                  <w:szCs w:val="56"/>
                  <w:u w:val="none"/>
                </w:rPr>
                <w:t xml:space="preserve">leting the </w:t>
              </w:r>
              <w:r w:rsidR="009D4DE0">
                <w:rPr>
                  <w:rStyle w:val="Hyperlink"/>
                  <w:rFonts w:ascii="Calibri" w:hAnsi="Calibri" w:cstheme="majorBidi"/>
                  <w:i/>
                  <w:iCs w:val="0"/>
                  <w:color w:val="CE5B18"/>
                  <w:sz w:val="20"/>
                  <w:szCs w:val="56"/>
                  <w:u w:val="none"/>
                </w:rPr>
                <w:t>L</w:t>
              </w:r>
              <w:r w:rsidR="009D4DE0" w:rsidRPr="00BF1310">
                <w:rPr>
                  <w:rStyle w:val="Hyperlink"/>
                  <w:rFonts w:ascii="Calibri" w:hAnsi="Calibri" w:cstheme="majorBidi"/>
                  <w:i/>
                  <w:iCs w:val="0"/>
                  <w:color w:val="CE5B18"/>
                  <w:sz w:val="20"/>
                  <w:szCs w:val="56"/>
                  <w:u w:val="none"/>
                </w:rPr>
                <w:t xml:space="preserve">atest </w:t>
              </w:r>
              <w:r w:rsidR="009D4DE0">
                <w:rPr>
                  <w:rStyle w:val="Hyperlink"/>
                  <w:rFonts w:ascii="Calibri" w:hAnsi="Calibri" w:cstheme="majorBidi"/>
                  <w:i/>
                  <w:iCs w:val="0"/>
                  <w:color w:val="CE5B18"/>
                  <w:sz w:val="20"/>
                  <w:szCs w:val="56"/>
                  <w:u w:val="none"/>
                </w:rPr>
                <w:t>Project V</w:t>
              </w:r>
              <w:r w:rsidR="009D4DE0" w:rsidRPr="00BF1310">
                <w:rPr>
                  <w:rStyle w:val="Hyperlink"/>
                  <w:rFonts w:ascii="Calibri" w:hAnsi="Calibri" w:cstheme="majorBidi"/>
                  <w:i/>
                  <w:iCs w:val="0"/>
                  <w:color w:val="CE5B18"/>
                  <w:sz w:val="20"/>
                  <w:szCs w:val="56"/>
                  <w:u w:val="none"/>
                </w:rPr>
                <w:t xml:space="preserve">ersion or </w:t>
              </w:r>
              <w:r w:rsidR="009D4DE0">
                <w:rPr>
                  <w:rStyle w:val="Hyperlink"/>
                  <w:rFonts w:ascii="Calibri" w:hAnsi="Calibri" w:cstheme="majorBidi"/>
                  <w:i/>
                  <w:iCs w:val="0"/>
                  <w:color w:val="CE5B18"/>
                  <w:sz w:val="20"/>
                  <w:szCs w:val="56"/>
                  <w:u w:val="none"/>
                </w:rPr>
                <w:t>Deleting a TIP Action No Longer Re</w:t>
              </w:r>
              <w:r w:rsidR="009D4DE0" w:rsidRPr="00BF1310">
                <w:rPr>
                  <w:rStyle w:val="Hyperlink"/>
                  <w:rFonts w:ascii="Calibri" w:hAnsi="Calibri" w:cstheme="majorBidi"/>
                  <w:i/>
                  <w:iCs w:val="0"/>
                  <w:color w:val="CE5B18"/>
                  <w:sz w:val="20"/>
                  <w:szCs w:val="56"/>
                  <w:u w:val="none"/>
                </w:rPr>
                <w:t>quired in ESTIP</w:t>
              </w:r>
            </w:hyperlink>
          </w:p>
        </w:tc>
        <w:tc>
          <w:tcPr>
            <w:tcW w:w="4950" w:type="dxa"/>
            <w:tcBorders>
              <w:bottom w:val="single" w:sz="4" w:space="0" w:color="auto"/>
            </w:tcBorders>
            <w:shd w:val="clear" w:color="auto" w:fill="E7E6E6" w:themeFill="background2"/>
            <w:vAlign w:val="center"/>
          </w:tcPr>
          <w:p w14:paraId="36DC5E3D" w14:textId="77777777" w:rsidR="009D4DE0" w:rsidRPr="00BF1310" w:rsidRDefault="00202C92">
            <w:pPr>
              <w:pStyle w:val="Title"/>
              <w:rPr>
                <w:rStyle w:val="Hyperlink"/>
                <w:rFonts w:ascii="Calibri" w:hAnsi="Calibri" w:cstheme="majorBidi"/>
                <w:i/>
                <w:iCs w:val="0"/>
                <w:color w:val="CE5B18"/>
                <w:sz w:val="20"/>
                <w:szCs w:val="56"/>
                <w:u w:val="none"/>
              </w:rPr>
            </w:pPr>
            <w:hyperlink r:id="rId572" w:history="1">
              <w:r w:rsidR="009D4DE0" w:rsidRPr="00BF1310">
                <w:rPr>
                  <w:rStyle w:val="Hyperlink"/>
                  <w:rFonts w:ascii="Calibri" w:hAnsi="Calibri" w:cstheme="majorBidi"/>
                  <w:i/>
                  <w:iCs w:val="0"/>
                  <w:color w:val="CE5B18"/>
                  <w:sz w:val="20"/>
                  <w:szCs w:val="56"/>
                  <w:u w:val="none"/>
                </w:rPr>
                <w:t>COG, MPO, and TMA Two-Year Work Program Approval Process</w:t>
              </w:r>
            </w:hyperlink>
          </w:p>
        </w:tc>
      </w:tr>
      <w:tr w:rsidR="009D4DE0" w:rsidRPr="00BF1310" w14:paraId="108136E7" w14:textId="77777777" w:rsidTr="001E3A51">
        <w:trPr>
          <w:trHeight w:val="430"/>
        </w:trPr>
        <w:tc>
          <w:tcPr>
            <w:tcW w:w="4950" w:type="dxa"/>
            <w:tcBorders>
              <w:bottom w:val="single" w:sz="4" w:space="0" w:color="auto"/>
              <w:right w:val="single" w:sz="4" w:space="0" w:color="auto"/>
            </w:tcBorders>
            <w:shd w:val="clear" w:color="auto" w:fill="FFFFFF" w:themeFill="background1"/>
            <w:tcMar>
              <w:top w:w="80" w:type="dxa"/>
              <w:left w:w="80" w:type="dxa"/>
              <w:bottom w:w="80" w:type="dxa"/>
              <w:right w:w="80" w:type="dxa"/>
            </w:tcMar>
            <w:vAlign w:val="center"/>
          </w:tcPr>
          <w:p w14:paraId="1C916105" w14:textId="77777777" w:rsidR="009D4DE0" w:rsidRPr="00BF1310" w:rsidRDefault="00202C92">
            <w:pPr>
              <w:pStyle w:val="Title"/>
              <w:rPr>
                <w:rStyle w:val="Hyperlink"/>
                <w:rFonts w:ascii="Calibri" w:eastAsiaTheme="minorHAnsi" w:hAnsi="Calibri" w:cstheme="majorBidi"/>
                <w:i/>
                <w:iCs w:val="0"/>
                <w:color w:val="CE5B18"/>
                <w:spacing w:val="0"/>
                <w:kern w:val="0"/>
                <w:sz w:val="20"/>
                <w:szCs w:val="56"/>
                <w:u w:val="none"/>
              </w:rPr>
            </w:pPr>
            <w:hyperlink r:id="rId573" w:history="1">
              <w:r w:rsidR="009D4DE0" w:rsidRPr="00BF1310">
                <w:rPr>
                  <w:rStyle w:val="Hyperlink"/>
                  <w:rFonts w:ascii="Calibri" w:hAnsi="Calibri" w:cstheme="majorBidi"/>
                  <w:i/>
                  <w:iCs w:val="0"/>
                  <w:color w:val="CE5B18"/>
                  <w:sz w:val="20"/>
                  <w:szCs w:val="56"/>
                  <w:u w:val="none"/>
                </w:rPr>
                <w:t>Creating new TIP cycle numbers in ESTIP</w:t>
              </w:r>
            </w:hyperlink>
          </w:p>
        </w:tc>
        <w:tc>
          <w:tcPr>
            <w:tcW w:w="4950" w:type="dxa"/>
            <w:tcBorders>
              <w:top w:val="single" w:sz="4" w:space="0" w:color="auto"/>
              <w:left w:val="single" w:sz="4" w:space="0" w:color="auto"/>
              <w:bottom w:val="nil"/>
              <w:right w:val="nil"/>
            </w:tcBorders>
            <w:shd w:val="clear" w:color="auto" w:fill="FFFFFF" w:themeFill="background1"/>
            <w:vAlign w:val="center"/>
          </w:tcPr>
          <w:p w14:paraId="1043B4F1" w14:textId="77777777" w:rsidR="009D4DE0" w:rsidRPr="00BF1310" w:rsidRDefault="009D4DE0">
            <w:pPr>
              <w:pStyle w:val="Title"/>
              <w:rPr>
                <w:rStyle w:val="Hyperlink"/>
                <w:rFonts w:ascii="Calibri" w:hAnsi="Calibri" w:cstheme="majorBidi"/>
                <w:i/>
                <w:iCs w:val="0"/>
                <w:color w:val="CE5B18"/>
                <w:sz w:val="20"/>
                <w:szCs w:val="56"/>
                <w:u w:val="none"/>
              </w:rPr>
            </w:pPr>
          </w:p>
        </w:tc>
      </w:tr>
    </w:tbl>
    <w:p w14:paraId="2F63A743" w14:textId="570D2A57" w:rsidR="00414AE0" w:rsidRDefault="00A429CC" w:rsidP="00020D20">
      <w:pPr>
        <w:tabs>
          <w:tab w:val="clear" w:pos="180"/>
          <w:tab w:val="clear" w:pos="360"/>
          <w:tab w:val="clear" w:pos="540"/>
          <w:tab w:val="clear" w:pos="720"/>
          <w:tab w:val="left" w:pos="5205"/>
        </w:tabs>
        <w:jc w:val="both"/>
        <w:rPr>
          <w:rFonts w:cstheme="minorHAnsi"/>
        </w:rPr>
        <w:sectPr w:rsidR="00414AE0" w:rsidSect="00020D20">
          <w:type w:val="continuous"/>
          <w:pgSz w:w="12240" w:h="15840"/>
          <w:pgMar w:top="1440" w:right="1440" w:bottom="1440" w:left="1440" w:header="720" w:footer="720" w:gutter="0"/>
          <w:cols w:space="720"/>
          <w:docGrid w:linePitch="360"/>
        </w:sectPr>
      </w:pPr>
      <w:r>
        <w:rPr>
          <w:rFonts w:cstheme="minorHAnsi"/>
        </w:rPr>
        <w:br w:type="page"/>
      </w:r>
    </w:p>
    <w:p w14:paraId="5C439DDA" w14:textId="77777777" w:rsidR="00904690" w:rsidRDefault="0009703B" w:rsidP="00020D20">
      <w:pPr>
        <w:pStyle w:val="BodyTextTitle"/>
        <w:spacing w:before="0" w:after="0" w:line="240" w:lineRule="auto"/>
        <w:jc w:val="both"/>
      </w:pPr>
      <w:r>
        <w:t>9</w:t>
      </w:r>
      <w:r w:rsidR="00904690">
        <w:t xml:space="preserve"> </w:t>
      </w:r>
      <w:r>
        <w:t xml:space="preserve">| </w:t>
      </w:r>
      <w:r w:rsidR="00904690">
        <w:t>AUDIT</w:t>
      </w:r>
    </w:p>
    <w:p w14:paraId="15562DC1" w14:textId="7F43849E" w:rsidR="0009703B" w:rsidRPr="00020D20" w:rsidRDefault="0009703B" w:rsidP="00020D20">
      <w:pPr>
        <w:pStyle w:val="BodyTextTitle"/>
        <w:spacing w:before="0" w:line="240" w:lineRule="auto"/>
        <w:jc w:val="both"/>
        <w:rPr>
          <w:sz w:val="36"/>
        </w:rPr>
      </w:pPr>
      <w:r w:rsidRPr="00020D20">
        <w:rPr>
          <w:sz w:val="36"/>
        </w:rPr>
        <w:t>TABLE OF CONTENTS</w:t>
      </w:r>
    </w:p>
    <w:p w14:paraId="26260F12" w14:textId="3D5B2B1E"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_Ref50031137 \h </w:instrText>
      </w:r>
      <w:r w:rsidR="002D38FC">
        <w:instrText xml:space="preserve"> \* MERGEFORMAT </w:instrText>
      </w:r>
      <w:r>
        <w:fldChar w:fldCharType="separate"/>
      </w:r>
      <w:r>
        <w:t>9.</w:t>
      </w:r>
      <w:r w:rsidRPr="00BC19F4">
        <w:t>1 | PURPOSE</w:t>
      </w:r>
      <w:r>
        <w:fldChar w:fldCharType="end"/>
      </w:r>
    </w:p>
    <w:p w14:paraId="1D1CE3BB" w14:textId="6D91FABB"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_Ref50031397 \h </w:instrText>
      </w:r>
      <w:r w:rsidR="002D38FC">
        <w:instrText xml:space="preserve"> \* MERGEFORMAT </w:instrText>
      </w:r>
      <w:r>
        <w:fldChar w:fldCharType="separate"/>
      </w:r>
      <w:r w:rsidRPr="00BC19F4">
        <w:t>9.2 | AUTHORITY</w:t>
      </w:r>
      <w:r>
        <w:fldChar w:fldCharType="end"/>
      </w:r>
    </w:p>
    <w:p w14:paraId="78594DA1" w14:textId="144CDA29"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_Ref50031145 \h </w:instrText>
      </w:r>
      <w:r w:rsidR="002D38FC">
        <w:instrText xml:space="preserve"> \* MERGEFORMAT </w:instrText>
      </w:r>
      <w:r>
        <w:fldChar w:fldCharType="separate"/>
      </w:r>
      <w:r w:rsidRPr="00BC19F4">
        <w:t>9.3 | FEDERAL REQUIREMENTS</w:t>
      </w:r>
      <w:r>
        <w:fldChar w:fldCharType="end"/>
      </w:r>
    </w:p>
    <w:p w14:paraId="15040B62" w14:textId="635A250B"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_Ref50031151 \h </w:instrText>
      </w:r>
      <w:r w:rsidR="002D38FC">
        <w:instrText xml:space="preserve"> \* MERGEFORMAT </w:instrText>
      </w:r>
      <w:r>
        <w:fldChar w:fldCharType="separate"/>
      </w:r>
      <w:r w:rsidRPr="00BC19F4">
        <w:rPr>
          <w:rFonts w:cstheme="minorHAnsi"/>
        </w:rPr>
        <w:t>9.4 | STATE REQUIREMENTS</w:t>
      </w:r>
      <w:r>
        <w:fldChar w:fldCharType="end"/>
      </w:r>
    </w:p>
    <w:p w14:paraId="573565AC" w14:textId="144C0226"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_Ref50031155 \h </w:instrText>
      </w:r>
      <w:r w:rsidR="002D38FC">
        <w:instrText xml:space="preserve"> \* MERGEFORMAT </w:instrText>
      </w:r>
      <w:r>
        <w:fldChar w:fldCharType="separate"/>
      </w:r>
      <w:r w:rsidRPr="00BC19F4">
        <w:rPr>
          <w:rFonts w:cstheme="minorHAnsi"/>
        </w:rPr>
        <w:t>9.5 | AUDIT FINDINGS</w:t>
      </w:r>
      <w:r>
        <w:fldChar w:fldCharType="end"/>
      </w:r>
    </w:p>
    <w:p w14:paraId="368A64BB" w14:textId="42FB158A"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_Ref50031158 \h </w:instrText>
      </w:r>
      <w:r w:rsidR="002D38FC">
        <w:instrText xml:space="preserve"> \* MERGEFORMAT </w:instrText>
      </w:r>
      <w:r>
        <w:fldChar w:fldCharType="separate"/>
      </w:r>
      <w:r w:rsidRPr="00BC19F4">
        <w:rPr>
          <w:rFonts w:cstheme="minorHAnsi"/>
        </w:rPr>
        <w:t>9.6 | REPORT SUBMISSION</w:t>
      </w:r>
      <w:r>
        <w:fldChar w:fldCharType="end"/>
      </w:r>
      <w:r>
        <w:t xml:space="preserve"> </w:t>
      </w:r>
    </w:p>
    <w:p w14:paraId="76472D53" w14:textId="35762FA4"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_Ref50031172 \h </w:instrText>
      </w:r>
      <w:r w:rsidR="002D38FC">
        <w:instrText xml:space="preserve"> \* MERGEFORMAT </w:instrText>
      </w:r>
      <w:r>
        <w:fldChar w:fldCharType="separate"/>
      </w:r>
      <w:r w:rsidRPr="00BC19F4">
        <w:rPr>
          <w:rFonts w:cstheme="minorHAnsi"/>
        </w:rPr>
        <w:t>9.7 | RECORD RETENTION</w:t>
      </w:r>
      <w:r>
        <w:fldChar w:fldCharType="end"/>
      </w:r>
    </w:p>
    <w:p w14:paraId="23A2CFBA" w14:textId="120E7E9F"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_Ref50031175 \h </w:instrText>
      </w:r>
      <w:r w:rsidR="002D38FC">
        <w:instrText xml:space="preserve"> \* MERGEFORMAT </w:instrText>
      </w:r>
      <w:r>
        <w:fldChar w:fldCharType="separate"/>
      </w:r>
      <w:r w:rsidRPr="00BC19F4">
        <w:rPr>
          <w:rFonts w:cstheme="minorHAnsi"/>
        </w:rPr>
        <w:t>9.8 | REGIONAL TRANSPORTATION PLAN AUDIT</w:t>
      </w:r>
      <w:r>
        <w:fldChar w:fldCharType="end"/>
      </w:r>
    </w:p>
    <w:p w14:paraId="3807CEBD" w14:textId="511C5DA5" w:rsidR="0009703B" w:rsidRDefault="0009703B"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_Ref50031179 \h </w:instrText>
      </w:r>
      <w:r w:rsidR="002D38FC">
        <w:instrText xml:space="preserve"> \* MERGEFORMAT </w:instrText>
      </w:r>
      <w:r>
        <w:fldChar w:fldCharType="separate"/>
      </w:r>
      <w:r w:rsidRPr="00BC19F4">
        <w:rPr>
          <w:rFonts w:cstheme="minorHAnsi"/>
        </w:rPr>
        <w:t>9.9 | SUFFICIENCY OF FEDERAL AUDITS</w:t>
      </w:r>
      <w:r>
        <w:fldChar w:fldCharType="end"/>
      </w:r>
    </w:p>
    <w:p w14:paraId="64EEC185" w14:textId="77777777" w:rsidR="00492D0B" w:rsidRDefault="0009703B" w:rsidP="00020D20">
      <w:pPr>
        <w:jc w:val="both"/>
        <w:sectPr w:rsidR="00492D0B" w:rsidSect="00020D20">
          <w:footerReference w:type="default" r:id="rId574"/>
          <w:type w:val="continuous"/>
          <w:pgSz w:w="12240" w:h="15840"/>
          <w:pgMar w:top="1440" w:right="1440" w:bottom="1440" w:left="1440" w:header="720" w:footer="720" w:gutter="0"/>
          <w:pgNumType w:start="1" w:chapStyle="1"/>
          <w:cols w:space="720"/>
          <w:docGrid w:linePitch="360"/>
        </w:sectPr>
      </w:pPr>
      <w:r>
        <w:br w:type="page"/>
      </w:r>
    </w:p>
    <w:p w14:paraId="163B997F" w14:textId="28AC54EA" w:rsidR="007F2C4B" w:rsidRPr="007F2C4B" w:rsidRDefault="00A429CC" w:rsidP="00020D20">
      <w:pPr>
        <w:pStyle w:val="Heading1"/>
        <w:tabs>
          <w:tab w:val="left" w:pos="360"/>
        </w:tabs>
        <w:jc w:val="both"/>
      </w:pPr>
      <w:bookmarkStart w:id="284" w:name="_Toc50539525"/>
      <w:bookmarkStart w:id="285" w:name="_Toc50539568"/>
      <w:bookmarkStart w:id="286" w:name="_Toc50539732"/>
      <w:bookmarkStart w:id="287" w:name="_Toc50539811"/>
      <w:bookmarkStart w:id="288" w:name="_Toc50539854"/>
      <w:bookmarkStart w:id="289" w:name="_Toc50539972"/>
      <w:bookmarkStart w:id="290" w:name="_Toc50540058"/>
      <w:bookmarkStart w:id="291" w:name="_Toc50540225"/>
      <w:bookmarkStart w:id="292" w:name="_Toc50539526"/>
      <w:bookmarkStart w:id="293" w:name="_Toc50539569"/>
      <w:bookmarkStart w:id="294" w:name="_Toc50539733"/>
      <w:bookmarkStart w:id="295" w:name="_Toc50539812"/>
      <w:bookmarkStart w:id="296" w:name="_Toc50539855"/>
      <w:bookmarkStart w:id="297" w:name="_Toc50539973"/>
      <w:bookmarkStart w:id="298" w:name="_Toc50540059"/>
      <w:bookmarkStart w:id="299" w:name="_Toc50540226"/>
      <w:bookmarkStart w:id="300" w:name="_Toc50539527"/>
      <w:bookmarkStart w:id="301" w:name="_Toc50539570"/>
      <w:bookmarkStart w:id="302" w:name="_Toc50539734"/>
      <w:bookmarkStart w:id="303" w:name="_Toc50539813"/>
      <w:bookmarkStart w:id="304" w:name="_Toc50539856"/>
      <w:bookmarkStart w:id="305" w:name="_Toc50539974"/>
      <w:bookmarkStart w:id="306" w:name="_Toc50540060"/>
      <w:bookmarkStart w:id="307" w:name="_Toc50540227"/>
      <w:bookmarkStart w:id="308" w:name="_Toc50539528"/>
      <w:bookmarkStart w:id="309" w:name="_Toc50539571"/>
      <w:bookmarkStart w:id="310" w:name="_Toc50539735"/>
      <w:bookmarkStart w:id="311" w:name="_Toc50539814"/>
      <w:bookmarkStart w:id="312" w:name="_Toc50539857"/>
      <w:bookmarkStart w:id="313" w:name="_Toc50539975"/>
      <w:bookmarkStart w:id="314" w:name="_Toc50540061"/>
      <w:bookmarkStart w:id="315" w:name="_Toc50540228"/>
      <w:bookmarkStart w:id="316" w:name="_Toc50539529"/>
      <w:bookmarkStart w:id="317" w:name="_Toc50539572"/>
      <w:bookmarkStart w:id="318" w:name="_Toc50539736"/>
      <w:bookmarkStart w:id="319" w:name="_Toc50539815"/>
      <w:bookmarkStart w:id="320" w:name="_Toc50539858"/>
      <w:bookmarkStart w:id="321" w:name="_Toc50539976"/>
      <w:bookmarkStart w:id="322" w:name="_Toc50540062"/>
      <w:bookmarkStart w:id="323" w:name="_Toc50540229"/>
      <w:bookmarkStart w:id="324" w:name="_Toc50539530"/>
      <w:bookmarkStart w:id="325" w:name="_Toc50539573"/>
      <w:bookmarkStart w:id="326" w:name="_Toc50539737"/>
      <w:bookmarkStart w:id="327" w:name="_Toc50539816"/>
      <w:bookmarkStart w:id="328" w:name="_Toc50539859"/>
      <w:bookmarkStart w:id="329" w:name="_Toc50539977"/>
      <w:bookmarkStart w:id="330" w:name="_Toc50540063"/>
      <w:bookmarkStart w:id="331" w:name="_Toc50540230"/>
      <w:bookmarkStart w:id="332" w:name="_Toc50539531"/>
      <w:bookmarkStart w:id="333" w:name="_Toc50539574"/>
      <w:bookmarkStart w:id="334" w:name="_Toc50539738"/>
      <w:bookmarkStart w:id="335" w:name="_Toc50539817"/>
      <w:bookmarkStart w:id="336" w:name="_Toc50539860"/>
      <w:bookmarkStart w:id="337" w:name="_Toc50539978"/>
      <w:bookmarkStart w:id="338" w:name="_Toc50540064"/>
      <w:bookmarkStart w:id="339" w:name="_Toc50540231"/>
      <w:bookmarkStart w:id="340" w:name="_Toc50539532"/>
      <w:bookmarkStart w:id="341" w:name="_Toc50539575"/>
      <w:bookmarkStart w:id="342" w:name="_Toc50539739"/>
      <w:bookmarkStart w:id="343" w:name="_Toc50539818"/>
      <w:bookmarkStart w:id="344" w:name="_Toc50539861"/>
      <w:bookmarkStart w:id="345" w:name="_Toc50539979"/>
      <w:bookmarkStart w:id="346" w:name="_Toc50540065"/>
      <w:bookmarkStart w:id="347" w:name="_Toc50540232"/>
      <w:bookmarkStart w:id="348" w:name="_Toc50539533"/>
      <w:bookmarkStart w:id="349" w:name="_Toc50539576"/>
      <w:bookmarkStart w:id="350" w:name="_Toc50539740"/>
      <w:bookmarkStart w:id="351" w:name="_Toc50539819"/>
      <w:bookmarkStart w:id="352" w:name="_Toc50539862"/>
      <w:bookmarkStart w:id="353" w:name="_Toc50539980"/>
      <w:bookmarkStart w:id="354" w:name="_Toc50540066"/>
      <w:bookmarkStart w:id="355" w:name="_Toc50540233"/>
      <w:bookmarkStart w:id="356" w:name="_Toc50539534"/>
      <w:bookmarkStart w:id="357" w:name="_Toc50539577"/>
      <w:bookmarkStart w:id="358" w:name="_Toc50539741"/>
      <w:bookmarkStart w:id="359" w:name="_Toc50539820"/>
      <w:bookmarkStart w:id="360" w:name="_Toc50539863"/>
      <w:bookmarkStart w:id="361" w:name="_Toc50539981"/>
      <w:bookmarkStart w:id="362" w:name="_Toc50540067"/>
      <w:bookmarkStart w:id="363" w:name="_Toc50540234"/>
      <w:bookmarkStart w:id="364" w:name="_Toc50539535"/>
      <w:bookmarkStart w:id="365" w:name="_Toc50539578"/>
      <w:bookmarkStart w:id="366" w:name="_Toc50539742"/>
      <w:bookmarkStart w:id="367" w:name="_Toc50539821"/>
      <w:bookmarkStart w:id="368" w:name="_Toc50539864"/>
      <w:bookmarkStart w:id="369" w:name="_Toc50539982"/>
      <w:bookmarkStart w:id="370" w:name="_Toc50540068"/>
      <w:bookmarkStart w:id="371" w:name="_Toc50540235"/>
      <w:bookmarkStart w:id="372" w:name="_Toc49866707"/>
      <w:bookmarkStart w:id="373" w:name="_Toc49867607"/>
      <w:bookmarkStart w:id="374" w:name="_Toc49867653"/>
      <w:bookmarkStart w:id="375" w:name="_Toc49868807"/>
      <w:bookmarkStart w:id="376" w:name="_Toc49868872"/>
      <w:bookmarkStart w:id="377" w:name="_Toc49868909"/>
      <w:bookmarkStart w:id="378" w:name="_Toc49868955"/>
      <w:bookmarkStart w:id="379" w:name="_Toc49869124"/>
      <w:bookmarkStart w:id="380" w:name="_Toc49869173"/>
      <w:bookmarkStart w:id="381" w:name="_Toc49870629"/>
      <w:bookmarkStart w:id="382" w:name="_Toc49870674"/>
      <w:bookmarkStart w:id="383" w:name="_|_Audit"/>
      <w:bookmarkStart w:id="384" w:name="_Toc49870630"/>
      <w:bookmarkStart w:id="385" w:name="_Toc50540236"/>
      <w:bookmarkStart w:id="386" w:name="_Toc49862236"/>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r>
        <w:t>| Audit</w:t>
      </w:r>
      <w:bookmarkEnd w:id="384"/>
      <w:bookmarkEnd w:id="385"/>
      <w:bookmarkEnd w:id="386"/>
    </w:p>
    <w:p w14:paraId="60E926D1" w14:textId="3E705733" w:rsidR="00BC19F4" w:rsidRPr="00BC19F4" w:rsidRDefault="00BC19F4" w:rsidP="00020D20">
      <w:pPr>
        <w:pStyle w:val="Heading2"/>
      </w:pPr>
      <w:bookmarkStart w:id="387" w:name="_Ref50031137"/>
      <w:r>
        <w:t>9.</w:t>
      </w:r>
      <w:r w:rsidRPr="00BC19F4">
        <w:t>1 | PURPOSE</w:t>
      </w:r>
      <w:bookmarkEnd w:id="387"/>
    </w:p>
    <w:p w14:paraId="0FC53F7F" w14:textId="416E0A83" w:rsidR="009B0C7C" w:rsidRDefault="00BC19F4" w:rsidP="00020D20">
      <w:pPr>
        <w:jc w:val="both"/>
      </w:pPr>
      <w:r w:rsidRPr="00BC19F4">
        <w:t>This chapter explains the state and federal single audit requirements for MPOs and COGs and provides guidance for the ADOT regional planners who are involved in the single audit compliance process.</w:t>
      </w:r>
    </w:p>
    <w:p w14:paraId="1A5E69C2" w14:textId="77777777" w:rsidR="00BC19F4" w:rsidRPr="00BC19F4" w:rsidRDefault="00BC19F4" w:rsidP="00020D20">
      <w:pPr>
        <w:pStyle w:val="Heading2"/>
      </w:pPr>
      <w:bookmarkStart w:id="388" w:name="_Ref50031397"/>
      <w:r w:rsidRPr="00BC19F4">
        <w:t>9.2 | AUTHORITY</w:t>
      </w:r>
      <w:bookmarkEnd w:id="388"/>
    </w:p>
    <w:p w14:paraId="103DB507" w14:textId="4D7FD195" w:rsidR="00C36008" w:rsidRDefault="00BC19F4" w:rsidP="00020D20">
      <w:pPr>
        <w:jc w:val="both"/>
        <w:sectPr w:rsidR="00C36008" w:rsidSect="00020D20">
          <w:footerReference w:type="default" r:id="rId575"/>
          <w:type w:val="continuous"/>
          <w:pgSz w:w="12240" w:h="15840"/>
          <w:pgMar w:top="1440" w:right="1440" w:bottom="1440" w:left="1440" w:header="720" w:footer="720" w:gutter="0"/>
          <w:pgNumType w:start="1" w:chapStyle="1"/>
          <w:cols w:num="2" w:space="720"/>
          <w:docGrid w:linePitch="360"/>
        </w:sectPr>
      </w:pPr>
      <w:r w:rsidRPr="00BC19F4">
        <w:t>The federal and state authorities listed in Table 9-1 apply to the audit process</w:t>
      </w:r>
      <w:r w:rsidR="00A429CC" w:rsidRPr="00BC19F4">
        <w:t xml:space="preserve">. </w:t>
      </w:r>
      <w:r w:rsidRPr="00BC19F4">
        <w:t xml:space="preserve">The Federal requirements for Audit are provided in </w:t>
      </w:r>
      <w:hyperlink r:id="rId576" w:history="1">
        <w:r w:rsidRPr="00FA03C0">
          <w:rPr>
            <w:rStyle w:val="TitleChar"/>
          </w:rPr>
          <w:t xml:space="preserve">2 </w:t>
        </w:r>
        <w:r w:rsidR="009628C0">
          <w:rPr>
            <w:rStyle w:val="TitleChar"/>
          </w:rPr>
          <w:t xml:space="preserve">C.F.R. </w:t>
        </w:r>
        <w:r w:rsidRPr="00FA03C0">
          <w:rPr>
            <w:rStyle w:val="TitleChar"/>
          </w:rPr>
          <w:t>§ 200.</w:t>
        </w:r>
      </w:hyperlink>
    </w:p>
    <w:p w14:paraId="769C5D5A" w14:textId="6CA0F617" w:rsidR="00BC19F4" w:rsidRDefault="00BC19F4" w:rsidP="00020D20">
      <w:pPr>
        <w:pStyle w:val="Heading4"/>
        <w:jc w:val="both"/>
      </w:pPr>
      <w:r w:rsidRPr="00BC19F4">
        <w:t>Table 9-1 |</w:t>
      </w:r>
      <w:r w:rsidR="001E2867">
        <w:t xml:space="preserve"> </w:t>
      </w:r>
      <w:r w:rsidRPr="00BC19F4">
        <w:t>Authority</w:t>
      </w:r>
    </w:p>
    <w:tbl>
      <w:tblPr>
        <w:tblW w:w="10048" w:type="dxa"/>
        <w:tblInd w:w="-10" w:type="dxa"/>
        <w:tblLayout w:type="fixed"/>
        <w:tblCellMar>
          <w:left w:w="0" w:type="dxa"/>
          <w:right w:w="0" w:type="dxa"/>
        </w:tblCellMar>
        <w:tblLook w:val="0000" w:firstRow="0" w:lastRow="0" w:firstColumn="0" w:lastColumn="0" w:noHBand="0" w:noVBand="0"/>
      </w:tblPr>
      <w:tblGrid>
        <w:gridCol w:w="360"/>
        <w:gridCol w:w="4950"/>
        <w:gridCol w:w="4738"/>
      </w:tblGrid>
      <w:tr w:rsidR="00BC19F4" w:rsidRPr="00BC19F4" w14:paraId="71EE3C89" w14:textId="77777777" w:rsidTr="00020D20">
        <w:trPr>
          <w:trHeight w:val="260"/>
        </w:trPr>
        <w:tc>
          <w:tcPr>
            <w:tcW w:w="5310"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27519352" w14:textId="77777777" w:rsidR="00BC19F4" w:rsidRPr="00020D20" w:rsidRDefault="00BC19F4" w:rsidP="00020D20">
            <w:pPr>
              <w:spacing w:before="0" w:after="0" w:line="240" w:lineRule="auto"/>
              <w:jc w:val="center"/>
              <w:rPr>
                <w:sz w:val="22"/>
              </w:rPr>
            </w:pPr>
            <w:r w:rsidRPr="00020D20">
              <w:rPr>
                <w:sz w:val="22"/>
              </w:rPr>
              <w:t>Code</w:t>
            </w:r>
          </w:p>
        </w:tc>
        <w:tc>
          <w:tcPr>
            <w:tcW w:w="4738"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7F8D7C80" w14:textId="77777777" w:rsidR="00BC19F4" w:rsidRPr="00020D20" w:rsidRDefault="00BC19F4" w:rsidP="00020D20">
            <w:pPr>
              <w:spacing w:before="0" w:after="0" w:line="240" w:lineRule="auto"/>
              <w:jc w:val="center"/>
              <w:rPr>
                <w:sz w:val="22"/>
              </w:rPr>
            </w:pPr>
            <w:r w:rsidRPr="00020D20">
              <w:rPr>
                <w:sz w:val="22"/>
              </w:rPr>
              <w:t>Description</w:t>
            </w:r>
          </w:p>
        </w:tc>
      </w:tr>
      <w:tr w:rsidR="00275741" w:rsidRPr="00BC19F4" w14:paraId="6041D62F" w14:textId="77777777" w:rsidTr="00020D20">
        <w:trPr>
          <w:trHeight w:hRule="exact" w:val="370"/>
        </w:trPr>
        <w:tc>
          <w:tcPr>
            <w:tcW w:w="360"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5B9549EE" w14:textId="77777777" w:rsidR="00275741" w:rsidRPr="00020D20" w:rsidRDefault="00275741" w:rsidP="00020D20">
            <w:pPr>
              <w:spacing w:before="0" w:after="0" w:line="240" w:lineRule="auto"/>
              <w:jc w:val="center"/>
              <w:rPr>
                <w:sz w:val="22"/>
              </w:rPr>
            </w:pPr>
            <w:r w:rsidRPr="00020D20">
              <w:rPr>
                <w:sz w:val="22"/>
              </w:rPr>
              <w:t>Federal</w:t>
            </w: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9421A8A" w14:textId="6BC74392" w:rsidR="00275741" w:rsidRPr="00020D20" w:rsidRDefault="00202C92" w:rsidP="00020D20">
            <w:pPr>
              <w:pStyle w:val="BalloonText"/>
              <w:spacing w:before="0" w:after="0"/>
              <w:jc w:val="center"/>
              <w:rPr>
                <w:rFonts w:cstheme="minorHAnsi"/>
                <w:i/>
              </w:rPr>
            </w:pPr>
            <w:hyperlink r:id="rId577" w:history="1">
              <w:r w:rsidR="00275741" w:rsidRPr="00020D20">
                <w:rPr>
                  <w:rStyle w:val="Hyperlink"/>
                  <w:rFonts w:asciiTheme="minorHAnsi" w:hAnsiTheme="minorHAnsi" w:cstheme="majorBidi"/>
                  <w:color w:val="CE5B18"/>
                  <w:sz w:val="18"/>
                  <w:szCs w:val="56"/>
                  <w:u w:val="none"/>
                </w:rPr>
                <w:t>Intermodal Surface Transportation Efficiency Act of 1991 (ISTEA)</w:t>
              </w:r>
            </w:hyperlink>
          </w:p>
        </w:tc>
        <w:tc>
          <w:tcPr>
            <w:tcW w:w="4738"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7014699" w14:textId="559FEA25" w:rsidR="00275741" w:rsidRPr="00020D20" w:rsidRDefault="00275741" w:rsidP="00020D20">
            <w:pPr>
              <w:spacing w:before="0" w:after="0" w:line="240" w:lineRule="auto"/>
              <w:jc w:val="both"/>
              <w:rPr>
                <w:sz w:val="18"/>
              </w:rPr>
            </w:pPr>
            <w:r w:rsidRPr="00020D20">
              <w:rPr>
                <w:sz w:val="18"/>
              </w:rPr>
              <w:t xml:space="preserve">These </w:t>
            </w:r>
            <w:r w:rsidR="0009703B">
              <w:rPr>
                <w:sz w:val="18"/>
              </w:rPr>
              <w:t>five</w:t>
            </w:r>
            <w:r w:rsidRPr="00020D20">
              <w:rPr>
                <w:sz w:val="18"/>
              </w:rPr>
              <w:t xml:space="preserve"> federal policies specifically impact all federal, statewide and tribal transportation project development processes.</w:t>
            </w:r>
          </w:p>
          <w:p w14:paraId="4800C2E6" w14:textId="56D290A7" w:rsidR="00275741" w:rsidRPr="00020D20" w:rsidRDefault="00275741" w:rsidP="00020D20">
            <w:pPr>
              <w:spacing w:before="0" w:after="0" w:line="240" w:lineRule="auto"/>
              <w:jc w:val="both"/>
              <w:rPr>
                <w:sz w:val="18"/>
              </w:rPr>
            </w:pPr>
          </w:p>
        </w:tc>
      </w:tr>
      <w:tr w:rsidR="00275741" w:rsidRPr="00BC19F4" w14:paraId="007A244B" w14:textId="77777777" w:rsidTr="00020D20">
        <w:trPr>
          <w:trHeight w:hRule="exact" w:val="370"/>
        </w:trPr>
        <w:tc>
          <w:tcPr>
            <w:tcW w:w="360" w:type="dxa"/>
            <w:vMerge/>
            <w:tcBorders>
              <w:left w:val="single" w:sz="4" w:space="0" w:color="auto"/>
              <w:bottom w:val="single" w:sz="4" w:space="0" w:color="FFFFFF" w:themeColor="background1"/>
              <w:right w:val="single" w:sz="4" w:space="0" w:color="auto"/>
            </w:tcBorders>
            <w:shd w:val="clear" w:color="auto" w:fill="012768"/>
          </w:tcPr>
          <w:p w14:paraId="58C2A0BD" w14:textId="77777777" w:rsidR="00275741" w:rsidRPr="00020D20" w:rsidRDefault="00275741" w:rsidP="00020D20">
            <w:pPr>
              <w:spacing w:before="0" w:after="0" w:line="240" w:lineRule="auto"/>
              <w:jc w:val="center"/>
              <w:rPr>
                <w:sz w:val="22"/>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D9D606E" w14:textId="06AB9C7D" w:rsidR="00275741" w:rsidRPr="00020D20" w:rsidRDefault="00202C92" w:rsidP="00020D20">
            <w:pPr>
              <w:pStyle w:val="BalloonText"/>
              <w:spacing w:before="0" w:after="0"/>
              <w:jc w:val="center"/>
              <w:rPr>
                <w:rFonts w:cstheme="minorHAnsi"/>
                <w:i/>
              </w:rPr>
            </w:pPr>
            <w:hyperlink r:id="rId578" w:history="1">
              <w:r w:rsidR="00275741" w:rsidRPr="00020D20">
                <w:rPr>
                  <w:rStyle w:val="Hyperlink"/>
                  <w:rFonts w:asciiTheme="minorHAnsi" w:hAnsiTheme="minorHAnsi" w:cstheme="majorBidi"/>
                  <w:color w:val="CE5B18"/>
                  <w:sz w:val="18"/>
                  <w:szCs w:val="56"/>
                  <w:u w:val="none"/>
                </w:rPr>
                <w:t>Transportation Efficiency Act for the 21st Century (TEA-21)</w:t>
              </w:r>
            </w:hyperlink>
          </w:p>
        </w:tc>
        <w:tc>
          <w:tcPr>
            <w:tcW w:w="4738" w:type="dxa"/>
            <w:vMerge/>
            <w:tcBorders>
              <w:top w:val="single" w:sz="4" w:space="0" w:color="auto"/>
              <w:left w:val="single" w:sz="4" w:space="0" w:color="auto"/>
              <w:bottom w:val="single" w:sz="4" w:space="0" w:color="auto"/>
              <w:right w:val="single" w:sz="4" w:space="0" w:color="auto"/>
            </w:tcBorders>
          </w:tcPr>
          <w:p w14:paraId="598939C5" w14:textId="77777777" w:rsidR="00275741" w:rsidRPr="00020D20" w:rsidRDefault="00275741" w:rsidP="00020D20">
            <w:pPr>
              <w:spacing w:before="0" w:after="0" w:line="240" w:lineRule="auto"/>
              <w:jc w:val="both"/>
              <w:rPr>
                <w:sz w:val="18"/>
              </w:rPr>
            </w:pPr>
          </w:p>
        </w:tc>
      </w:tr>
      <w:tr w:rsidR="00275741" w:rsidRPr="00BC19F4" w14:paraId="221EF60C" w14:textId="77777777" w:rsidTr="00020D20">
        <w:trPr>
          <w:trHeight w:hRule="exact" w:val="550"/>
        </w:trPr>
        <w:tc>
          <w:tcPr>
            <w:tcW w:w="360" w:type="dxa"/>
            <w:vMerge/>
            <w:tcBorders>
              <w:left w:val="single" w:sz="4" w:space="0" w:color="auto"/>
              <w:bottom w:val="single" w:sz="4" w:space="0" w:color="FFFFFF" w:themeColor="background1"/>
              <w:right w:val="single" w:sz="4" w:space="0" w:color="auto"/>
            </w:tcBorders>
            <w:shd w:val="clear" w:color="auto" w:fill="012768"/>
          </w:tcPr>
          <w:p w14:paraId="68CF1009" w14:textId="77777777" w:rsidR="00275741" w:rsidRPr="00020D20" w:rsidRDefault="00275741" w:rsidP="00020D20">
            <w:pPr>
              <w:spacing w:before="0" w:after="0" w:line="240" w:lineRule="auto"/>
              <w:jc w:val="center"/>
              <w:rPr>
                <w:sz w:val="22"/>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AA70B59" w14:textId="0332F05D" w:rsidR="00275741" w:rsidRPr="00020D20" w:rsidRDefault="00202C92" w:rsidP="00020D20">
            <w:pPr>
              <w:pStyle w:val="BalloonText"/>
              <w:spacing w:before="0" w:after="0"/>
              <w:jc w:val="center"/>
              <w:rPr>
                <w:rFonts w:cstheme="minorHAnsi"/>
                <w:i/>
              </w:rPr>
            </w:pPr>
            <w:hyperlink r:id="rId579" w:history="1">
              <w:r w:rsidR="00275741" w:rsidRPr="00020D20">
                <w:rPr>
                  <w:rStyle w:val="Hyperlink"/>
                  <w:rFonts w:asciiTheme="minorHAnsi" w:hAnsiTheme="minorHAnsi" w:cstheme="majorBidi"/>
                  <w:color w:val="CE5B18"/>
                  <w:sz w:val="18"/>
                  <w:szCs w:val="56"/>
                  <w:u w:val="none"/>
                </w:rPr>
                <w:t>Safe, Accountable, Flexible, Efficient Transportation Equity Act: A Legacy for Users (SAFETEA-LU)</w:t>
              </w:r>
            </w:hyperlink>
          </w:p>
        </w:tc>
        <w:tc>
          <w:tcPr>
            <w:tcW w:w="4738" w:type="dxa"/>
            <w:vMerge/>
            <w:tcBorders>
              <w:top w:val="single" w:sz="4" w:space="0" w:color="auto"/>
              <w:left w:val="single" w:sz="4" w:space="0" w:color="auto"/>
              <w:bottom w:val="single" w:sz="4" w:space="0" w:color="auto"/>
              <w:right w:val="single" w:sz="4" w:space="0" w:color="auto"/>
            </w:tcBorders>
          </w:tcPr>
          <w:p w14:paraId="256B5815" w14:textId="77777777" w:rsidR="00275741" w:rsidRPr="00020D20" w:rsidRDefault="00275741" w:rsidP="00020D20">
            <w:pPr>
              <w:spacing w:before="0" w:after="0" w:line="240" w:lineRule="auto"/>
              <w:jc w:val="both"/>
              <w:rPr>
                <w:sz w:val="18"/>
              </w:rPr>
            </w:pPr>
          </w:p>
        </w:tc>
      </w:tr>
      <w:tr w:rsidR="00275741" w:rsidRPr="00BC19F4" w14:paraId="5E3DA3A7" w14:textId="77777777" w:rsidTr="00020D20">
        <w:trPr>
          <w:trHeight w:hRule="exact" w:val="352"/>
        </w:trPr>
        <w:tc>
          <w:tcPr>
            <w:tcW w:w="360" w:type="dxa"/>
            <w:vMerge/>
            <w:tcBorders>
              <w:left w:val="single" w:sz="4" w:space="0" w:color="auto"/>
              <w:bottom w:val="single" w:sz="4" w:space="0" w:color="FFFFFF" w:themeColor="background1"/>
              <w:right w:val="single" w:sz="4" w:space="0" w:color="auto"/>
            </w:tcBorders>
            <w:shd w:val="clear" w:color="auto" w:fill="012768"/>
          </w:tcPr>
          <w:p w14:paraId="18D1EABA" w14:textId="77777777" w:rsidR="00275741" w:rsidRPr="00020D20" w:rsidRDefault="00275741" w:rsidP="00020D20">
            <w:pPr>
              <w:spacing w:before="0" w:after="0" w:line="240" w:lineRule="auto"/>
              <w:jc w:val="center"/>
              <w:rPr>
                <w:sz w:val="22"/>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826962B" w14:textId="1A7F10C3" w:rsidR="00275741" w:rsidRPr="00020D20" w:rsidRDefault="00202C92" w:rsidP="00020D20">
            <w:pPr>
              <w:pStyle w:val="BalloonText"/>
              <w:spacing w:before="0" w:after="0"/>
              <w:jc w:val="center"/>
              <w:rPr>
                <w:rFonts w:cstheme="minorHAnsi"/>
                <w:i/>
              </w:rPr>
            </w:pPr>
            <w:hyperlink r:id="rId580" w:history="1">
              <w:r w:rsidR="00275741" w:rsidRPr="00020D20">
                <w:rPr>
                  <w:rStyle w:val="Hyperlink"/>
                  <w:rFonts w:asciiTheme="minorHAnsi" w:hAnsiTheme="minorHAnsi" w:cstheme="majorBidi"/>
                  <w:color w:val="CE5B18"/>
                  <w:sz w:val="18"/>
                  <w:szCs w:val="56"/>
                  <w:u w:val="none"/>
                </w:rPr>
                <w:t>Moving Ahead for Progress in the 21st Century (MAP-21)</w:t>
              </w:r>
            </w:hyperlink>
          </w:p>
        </w:tc>
        <w:tc>
          <w:tcPr>
            <w:tcW w:w="4738" w:type="dxa"/>
            <w:vMerge/>
            <w:tcBorders>
              <w:top w:val="single" w:sz="4" w:space="0" w:color="auto"/>
              <w:left w:val="single" w:sz="4" w:space="0" w:color="auto"/>
              <w:bottom w:val="single" w:sz="4" w:space="0" w:color="auto"/>
              <w:right w:val="single" w:sz="4" w:space="0" w:color="auto"/>
            </w:tcBorders>
          </w:tcPr>
          <w:p w14:paraId="0B5BDD18" w14:textId="77777777" w:rsidR="00275741" w:rsidRPr="00020D20" w:rsidRDefault="00275741" w:rsidP="00020D20">
            <w:pPr>
              <w:spacing w:before="0" w:after="0" w:line="240" w:lineRule="auto"/>
              <w:jc w:val="both"/>
              <w:rPr>
                <w:sz w:val="18"/>
              </w:rPr>
            </w:pPr>
          </w:p>
        </w:tc>
      </w:tr>
      <w:tr w:rsidR="00275741" w:rsidRPr="00BC19F4" w14:paraId="704668B7" w14:textId="77777777" w:rsidTr="00020D20">
        <w:trPr>
          <w:trHeight w:hRule="exact" w:val="370"/>
        </w:trPr>
        <w:tc>
          <w:tcPr>
            <w:tcW w:w="360" w:type="dxa"/>
            <w:vMerge/>
            <w:tcBorders>
              <w:left w:val="single" w:sz="4" w:space="0" w:color="auto"/>
              <w:bottom w:val="single" w:sz="4" w:space="0" w:color="FFFFFF" w:themeColor="background1"/>
              <w:right w:val="single" w:sz="4" w:space="0" w:color="auto"/>
            </w:tcBorders>
            <w:shd w:val="clear" w:color="auto" w:fill="012768"/>
          </w:tcPr>
          <w:p w14:paraId="567C1692" w14:textId="77777777" w:rsidR="00275741" w:rsidRPr="00020D20" w:rsidRDefault="00275741" w:rsidP="00020D20">
            <w:pPr>
              <w:spacing w:before="0" w:after="0" w:line="240" w:lineRule="auto"/>
              <w:jc w:val="center"/>
              <w:rPr>
                <w:sz w:val="22"/>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17AB8CD" w14:textId="2651F0DF" w:rsidR="00275741" w:rsidRPr="00020D20" w:rsidRDefault="00202C92" w:rsidP="00020D20">
            <w:pPr>
              <w:pStyle w:val="Title"/>
              <w:rPr>
                <w:sz w:val="18"/>
              </w:rPr>
            </w:pPr>
            <w:hyperlink r:id="rId581" w:history="1">
              <w:r w:rsidR="00275741" w:rsidRPr="00020D20">
                <w:rPr>
                  <w:rStyle w:val="Hyperlink"/>
                  <w:rFonts w:ascii="Calibri" w:hAnsi="Calibri" w:cstheme="majorBidi"/>
                  <w:iCs w:val="0"/>
                  <w:color w:val="CE5B18"/>
                  <w:sz w:val="18"/>
                  <w:szCs w:val="56"/>
                  <w:u w:val="none"/>
                </w:rPr>
                <w:t>Fixing America’s Surface Transportation Act (FAST Act)</w:t>
              </w:r>
            </w:hyperlink>
          </w:p>
        </w:tc>
        <w:tc>
          <w:tcPr>
            <w:tcW w:w="4738" w:type="dxa"/>
            <w:vMerge/>
            <w:tcBorders>
              <w:top w:val="single" w:sz="4" w:space="0" w:color="auto"/>
              <w:left w:val="single" w:sz="4" w:space="0" w:color="auto"/>
              <w:bottom w:val="single" w:sz="4" w:space="0" w:color="auto"/>
              <w:right w:val="single" w:sz="4" w:space="0" w:color="auto"/>
            </w:tcBorders>
          </w:tcPr>
          <w:p w14:paraId="0C10818B" w14:textId="27AB6FC2" w:rsidR="00275741" w:rsidRPr="00020D20" w:rsidRDefault="00275741" w:rsidP="00020D20">
            <w:pPr>
              <w:spacing w:before="0" w:after="0" w:line="240" w:lineRule="auto"/>
              <w:jc w:val="both"/>
              <w:rPr>
                <w:sz w:val="18"/>
              </w:rPr>
            </w:pPr>
          </w:p>
        </w:tc>
      </w:tr>
      <w:tr w:rsidR="00BC19F4" w:rsidRPr="00BC19F4" w14:paraId="61911104" w14:textId="77777777" w:rsidTr="00020D20">
        <w:trPr>
          <w:trHeight w:hRule="exact" w:val="568"/>
        </w:trPr>
        <w:tc>
          <w:tcPr>
            <w:tcW w:w="360" w:type="dxa"/>
            <w:vMerge/>
            <w:tcBorders>
              <w:left w:val="single" w:sz="4" w:space="0" w:color="auto"/>
              <w:bottom w:val="single" w:sz="4" w:space="0" w:color="FFFFFF" w:themeColor="background1"/>
              <w:right w:val="single" w:sz="4" w:space="0" w:color="auto"/>
            </w:tcBorders>
            <w:shd w:val="clear" w:color="auto" w:fill="012768"/>
          </w:tcPr>
          <w:p w14:paraId="7DBC37DF" w14:textId="77777777" w:rsidR="00BC19F4" w:rsidRPr="00020D20" w:rsidRDefault="00BC19F4" w:rsidP="00020D20">
            <w:pPr>
              <w:spacing w:before="0" w:after="0" w:line="240" w:lineRule="auto"/>
              <w:jc w:val="center"/>
              <w:rPr>
                <w:sz w:val="22"/>
              </w:rPr>
            </w:pPr>
          </w:p>
        </w:tc>
        <w:tc>
          <w:tcPr>
            <w:tcW w:w="495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8B87008" w14:textId="49D478F9" w:rsidR="00BC19F4" w:rsidRPr="00020D20" w:rsidRDefault="00821BF6" w:rsidP="00020D20">
            <w:pPr>
              <w:pStyle w:val="BalloonText"/>
              <w:spacing w:before="0" w:after="0"/>
              <w:jc w:val="center"/>
              <w:rPr>
                <w:rStyle w:val="Hyperlink"/>
                <w:rFonts w:asciiTheme="minorHAnsi" w:eastAsiaTheme="majorEastAsia" w:hAnsiTheme="minorHAnsi" w:cstheme="minorHAnsi"/>
                <w:color w:val="CE5B18"/>
                <w:spacing w:val="-10"/>
                <w:kern w:val="28"/>
                <w:sz w:val="18"/>
                <w:szCs w:val="18"/>
                <w:u w:val="none"/>
              </w:rPr>
            </w:pPr>
            <w:r w:rsidRPr="00020D20">
              <w:rPr>
                <w:rFonts w:asciiTheme="minorHAnsi" w:hAnsiTheme="minorHAnsi" w:cstheme="minorHAnsi"/>
                <w:i/>
                <w:color w:val="CE5B18"/>
              </w:rPr>
              <w:fldChar w:fldCharType="begin"/>
            </w:r>
            <w:r w:rsidRPr="00020D20">
              <w:rPr>
                <w:rFonts w:asciiTheme="minorHAnsi" w:eastAsiaTheme="majorEastAsia" w:hAnsiTheme="minorHAnsi" w:cstheme="minorHAnsi"/>
                <w:i/>
                <w:color w:val="CE5B18"/>
                <w:spacing w:val="-10"/>
                <w:kern w:val="28"/>
              </w:rPr>
              <w:instrText xml:space="preserve"> HYPERLINK "https://www.whitehouse.gov/omb/information-for-agencies/circulars/" </w:instrText>
            </w:r>
            <w:r w:rsidRPr="00020D20">
              <w:rPr>
                <w:rFonts w:asciiTheme="minorHAnsi" w:eastAsiaTheme="majorEastAsia" w:hAnsiTheme="minorHAnsi" w:cstheme="minorHAnsi"/>
                <w:i/>
                <w:color w:val="CE5B18"/>
                <w:spacing w:val="-10"/>
                <w:kern w:val="28"/>
              </w:rPr>
              <w:fldChar w:fldCharType="separate"/>
            </w:r>
            <w:r w:rsidR="00BC19F4" w:rsidRPr="00020D20">
              <w:rPr>
                <w:rStyle w:val="Hyperlink"/>
                <w:rFonts w:asciiTheme="minorHAnsi" w:eastAsiaTheme="majorEastAsia" w:hAnsiTheme="minorHAnsi" w:cstheme="minorHAnsi"/>
                <w:color w:val="CE5B18"/>
                <w:spacing w:val="-10"/>
                <w:kern w:val="28"/>
                <w:sz w:val="18"/>
                <w:szCs w:val="18"/>
                <w:u w:val="none"/>
              </w:rPr>
              <w:t>United States Office of Management and Budget;</w:t>
            </w:r>
          </w:p>
          <w:p w14:paraId="16AEACDD" w14:textId="167B0535" w:rsidR="00BC19F4" w:rsidRPr="00020D20" w:rsidRDefault="00BC19F4">
            <w:pPr>
              <w:pStyle w:val="Title"/>
              <w:rPr>
                <w:rFonts w:asciiTheme="minorHAnsi" w:hAnsiTheme="minorHAnsi" w:cstheme="minorHAnsi"/>
                <w:sz w:val="18"/>
                <w:szCs w:val="18"/>
              </w:rPr>
            </w:pPr>
            <w:r w:rsidRPr="00020D20">
              <w:rPr>
                <w:rStyle w:val="Hyperlink"/>
                <w:rFonts w:asciiTheme="minorHAnsi" w:hAnsiTheme="minorHAnsi" w:cstheme="majorBidi"/>
                <w:i/>
                <w:iCs w:val="0"/>
                <w:color w:val="CE5B18"/>
                <w:sz w:val="18"/>
                <w:szCs w:val="56"/>
                <w:u w:val="none"/>
              </w:rPr>
              <w:t>OMB Circular A-133</w:t>
            </w:r>
            <w:r w:rsidR="00821BF6" w:rsidRPr="00020D20">
              <w:rPr>
                <w:rFonts w:asciiTheme="minorHAnsi" w:hAnsiTheme="minorHAnsi" w:cstheme="minorHAnsi"/>
                <w:sz w:val="18"/>
                <w:szCs w:val="18"/>
              </w:rPr>
              <w:fldChar w:fldCharType="end"/>
            </w:r>
          </w:p>
        </w:tc>
        <w:tc>
          <w:tcPr>
            <w:tcW w:w="4738"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62A587A" w14:textId="77777777" w:rsidR="00BC19F4" w:rsidRPr="00020D20" w:rsidRDefault="00BC19F4" w:rsidP="00020D20">
            <w:pPr>
              <w:spacing w:before="0" w:after="0" w:line="240" w:lineRule="auto"/>
              <w:jc w:val="both"/>
              <w:rPr>
                <w:rFonts w:cstheme="minorHAnsi"/>
                <w:iCs/>
                <w:sz w:val="18"/>
              </w:rPr>
            </w:pPr>
            <w:r w:rsidRPr="00020D20">
              <w:rPr>
                <w:rStyle w:val="Heading5Char"/>
                <w:color w:val="323232"/>
                <w:sz w:val="18"/>
              </w:rPr>
              <w:t>Includes guidance and regulations for audits of states, local governments, and non-profit</w:t>
            </w:r>
            <w:r w:rsidRPr="00020D20">
              <w:rPr>
                <w:rFonts w:cstheme="minorHAnsi"/>
                <w:iCs/>
                <w:sz w:val="18"/>
              </w:rPr>
              <w:t xml:space="preserve"> organizations</w:t>
            </w:r>
          </w:p>
        </w:tc>
      </w:tr>
      <w:tr w:rsidR="00FB7E43" w:rsidRPr="00BC19F4" w14:paraId="324A8627" w14:textId="77777777" w:rsidTr="00020D20">
        <w:trPr>
          <w:trHeight w:hRule="exact" w:val="568"/>
        </w:trPr>
        <w:tc>
          <w:tcPr>
            <w:tcW w:w="360" w:type="dxa"/>
            <w:vMerge/>
            <w:tcBorders>
              <w:left w:val="single" w:sz="4" w:space="0" w:color="auto"/>
              <w:bottom w:val="single" w:sz="4" w:space="0" w:color="FFFFFF" w:themeColor="background1"/>
              <w:right w:val="single" w:sz="4" w:space="0" w:color="auto"/>
            </w:tcBorders>
            <w:shd w:val="clear" w:color="auto" w:fill="012768"/>
          </w:tcPr>
          <w:p w14:paraId="1546B859" w14:textId="77777777" w:rsidR="00BC19F4" w:rsidRPr="00020D20" w:rsidRDefault="00BC19F4" w:rsidP="00020D20">
            <w:pPr>
              <w:spacing w:before="0" w:after="0" w:line="240" w:lineRule="auto"/>
              <w:jc w:val="center"/>
              <w:rPr>
                <w:sz w:val="22"/>
              </w:rPr>
            </w:pPr>
          </w:p>
        </w:tc>
        <w:tc>
          <w:tcPr>
            <w:tcW w:w="495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51AE567" w14:textId="72E66687" w:rsidR="00BC19F4" w:rsidRPr="004D5079" w:rsidRDefault="00202C92" w:rsidP="00020D20">
            <w:pPr>
              <w:pStyle w:val="Title"/>
            </w:pPr>
            <w:hyperlink r:id="rId582" w:history="1">
              <w:r w:rsidR="00BC19F4" w:rsidRPr="00020D20">
                <w:rPr>
                  <w:i w:val="0"/>
                </w:rPr>
                <w:t xml:space="preserve">2 </w:t>
              </w:r>
              <w:r w:rsidR="009628C0">
                <w:rPr>
                  <w:i w:val="0"/>
                </w:rPr>
                <w:t xml:space="preserve">C.F.R. </w:t>
              </w:r>
              <w:r w:rsidR="00BC19F4" w:rsidRPr="00020D20">
                <w:rPr>
                  <w:i w:val="0"/>
                </w:rPr>
                <w:t>§ 200</w:t>
              </w:r>
            </w:hyperlink>
          </w:p>
        </w:tc>
        <w:tc>
          <w:tcPr>
            <w:tcW w:w="4738"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3DF8DAB" w14:textId="77777777" w:rsidR="00BC19F4" w:rsidRPr="00020D20" w:rsidRDefault="00BC19F4" w:rsidP="00020D20">
            <w:pPr>
              <w:spacing w:before="0" w:after="0" w:line="240" w:lineRule="auto"/>
              <w:jc w:val="both"/>
              <w:rPr>
                <w:rFonts w:cstheme="minorHAnsi"/>
                <w:iCs/>
                <w:sz w:val="18"/>
              </w:rPr>
            </w:pPr>
            <w:r w:rsidRPr="00020D20">
              <w:rPr>
                <w:rStyle w:val="Heading5Char"/>
                <w:color w:val="323232"/>
                <w:sz w:val="18"/>
              </w:rPr>
              <w:t>Uniform Administrative Requirements, Cost Principles, and Audit Requirements for Federal</w:t>
            </w:r>
            <w:r w:rsidRPr="00020D20">
              <w:rPr>
                <w:rFonts w:cstheme="minorHAnsi"/>
                <w:iCs/>
                <w:sz w:val="18"/>
              </w:rPr>
              <w:t xml:space="preserve"> Awards</w:t>
            </w:r>
          </w:p>
        </w:tc>
      </w:tr>
      <w:tr w:rsidR="00BC19F4" w:rsidRPr="00BC19F4" w14:paraId="2B5D2CBF" w14:textId="77777777" w:rsidTr="00020D20">
        <w:trPr>
          <w:trHeight w:hRule="exact" w:val="352"/>
        </w:trPr>
        <w:tc>
          <w:tcPr>
            <w:tcW w:w="360" w:type="dxa"/>
            <w:vMerge w:val="restart"/>
            <w:tcBorders>
              <w:top w:val="single" w:sz="4" w:space="0" w:color="FFFFFF" w:themeColor="background1"/>
              <w:left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70096660" w14:textId="77777777" w:rsidR="00BC19F4" w:rsidRPr="00020D20" w:rsidRDefault="00BC19F4" w:rsidP="00020D20">
            <w:pPr>
              <w:spacing w:before="0" w:after="0" w:line="240" w:lineRule="auto"/>
              <w:jc w:val="center"/>
              <w:rPr>
                <w:sz w:val="22"/>
              </w:rPr>
            </w:pPr>
            <w:r w:rsidRPr="00020D20">
              <w:rPr>
                <w:sz w:val="22"/>
              </w:rPr>
              <w:t>State</w:t>
            </w: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3A95368" w14:textId="38FE4C43" w:rsidR="00BC19F4" w:rsidRPr="00020D20" w:rsidRDefault="00202C92" w:rsidP="00020D20">
            <w:pPr>
              <w:pStyle w:val="BalloonText"/>
              <w:spacing w:before="0" w:after="0"/>
              <w:jc w:val="center"/>
              <w:rPr>
                <w:rFonts w:cstheme="minorHAnsi"/>
                <w:i/>
              </w:rPr>
            </w:pPr>
            <w:hyperlink r:id="rId583" w:history="1">
              <w:r w:rsidR="00BC19F4" w:rsidRPr="00020D20">
                <w:rPr>
                  <w:rStyle w:val="Hyperlink"/>
                  <w:rFonts w:asciiTheme="minorHAnsi" w:hAnsiTheme="minorHAnsi" w:cstheme="majorBidi"/>
                  <w:color w:val="CE5B18"/>
                  <w:sz w:val="18"/>
                  <w:szCs w:val="56"/>
                  <w:u w:val="none"/>
                </w:rPr>
                <w:t>A.R.S. 28-6305</w:t>
              </w:r>
            </w:hyperlink>
          </w:p>
        </w:tc>
        <w:tc>
          <w:tcPr>
            <w:tcW w:w="4738"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1F1913B" w14:textId="77777777" w:rsidR="00BC19F4" w:rsidRPr="00020D20" w:rsidRDefault="00BC19F4" w:rsidP="00020D20">
            <w:pPr>
              <w:spacing w:before="0" w:after="0" w:line="240" w:lineRule="auto"/>
              <w:jc w:val="both"/>
              <w:rPr>
                <w:sz w:val="18"/>
              </w:rPr>
            </w:pPr>
            <w:r w:rsidRPr="00020D20">
              <w:rPr>
                <w:sz w:val="18"/>
              </w:rPr>
              <w:t>Transportation Excise Tax Distribution</w:t>
            </w:r>
          </w:p>
        </w:tc>
      </w:tr>
      <w:tr w:rsidR="00BC19F4" w:rsidRPr="00BC19F4" w14:paraId="35615560" w14:textId="77777777" w:rsidTr="00020D20">
        <w:trPr>
          <w:trHeight w:hRule="exact" w:val="370"/>
        </w:trPr>
        <w:tc>
          <w:tcPr>
            <w:tcW w:w="360" w:type="dxa"/>
            <w:vMerge/>
            <w:tcBorders>
              <w:left w:val="single" w:sz="4" w:space="0" w:color="auto"/>
              <w:right w:val="single" w:sz="4" w:space="0" w:color="auto"/>
            </w:tcBorders>
            <w:shd w:val="clear" w:color="auto" w:fill="012768"/>
          </w:tcPr>
          <w:p w14:paraId="308A6A97"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927ED1C" w14:textId="348EDE58" w:rsidR="00BC19F4" w:rsidRPr="00020D20" w:rsidRDefault="00202C92">
            <w:pPr>
              <w:pStyle w:val="Title"/>
              <w:rPr>
                <w:rFonts w:asciiTheme="minorHAnsi" w:hAnsiTheme="minorHAnsi" w:cstheme="minorHAnsi"/>
                <w:sz w:val="18"/>
                <w:szCs w:val="18"/>
              </w:rPr>
            </w:pPr>
            <w:hyperlink r:id="rId584" w:history="1">
              <w:r w:rsidR="00BC19F4" w:rsidRPr="00020D20">
                <w:rPr>
                  <w:rStyle w:val="Hyperlink"/>
                  <w:rFonts w:asciiTheme="minorHAnsi" w:hAnsiTheme="minorHAnsi" w:cstheme="majorBidi"/>
                  <w:i/>
                  <w:iCs w:val="0"/>
                  <w:color w:val="CE5B18"/>
                  <w:sz w:val="18"/>
                  <w:szCs w:val="56"/>
                  <w:u w:val="none"/>
                </w:rPr>
                <w:t>A.R.S. 28-6313</w:t>
              </w:r>
            </w:hyperlink>
          </w:p>
        </w:tc>
        <w:tc>
          <w:tcPr>
            <w:tcW w:w="4738" w:type="dxa"/>
            <w:vMerge/>
            <w:tcBorders>
              <w:top w:val="single" w:sz="4" w:space="0" w:color="auto"/>
              <w:left w:val="single" w:sz="4" w:space="0" w:color="auto"/>
              <w:bottom w:val="single" w:sz="4" w:space="0" w:color="auto"/>
              <w:right w:val="single" w:sz="4" w:space="0" w:color="auto"/>
            </w:tcBorders>
          </w:tcPr>
          <w:p w14:paraId="1BC0253D" w14:textId="77777777" w:rsidR="00BC19F4" w:rsidRPr="00020D20" w:rsidRDefault="00BC19F4" w:rsidP="00020D20">
            <w:pPr>
              <w:spacing w:before="0" w:after="0" w:line="240" w:lineRule="auto"/>
              <w:jc w:val="both"/>
              <w:rPr>
                <w:sz w:val="18"/>
              </w:rPr>
            </w:pPr>
          </w:p>
        </w:tc>
      </w:tr>
      <w:tr w:rsidR="00BC19F4" w:rsidRPr="00BC19F4" w14:paraId="6DAC155F" w14:textId="77777777" w:rsidTr="00020D20">
        <w:trPr>
          <w:trHeight w:hRule="exact" w:val="370"/>
        </w:trPr>
        <w:tc>
          <w:tcPr>
            <w:tcW w:w="360" w:type="dxa"/>
            <w:vMerge/>
            <w:tcBorders>
              <w:left w:val="single" w:sz="4" w:space="0" w:color="auto"/>
              <w:right w:val="single" w:sz="4" w:space="0" w:color="auto"/>
            </w:tcBorders>
            <w:shd w:val="clear" w:color="auto" w:fill="012768"/>
          </w:tcPr>
          <w:p w14:paraId="721510E6"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D363D45" w14:textId="0D84268B" w:rsidR="00BC19F4" w:rsidRPr="00020D20" w:rsidRDefault="00202C92">
            <w:pPr>
              <w:pStyle w:val="Title"/>
              <w:rPr>
                <w:rFonts w:asciiTheme="minorHAnsi" w:hAnsiTheme="minorHAnsi" w:cstheme="minorHAnsi"/>
                <w:sz w:val="18"/>
                <w:szCs w:val="18"/>
              </w:rPr>
            </w:pPr>
            <w:hyperlink r:id="rId585" w:history="1">
              <w:r w:rsidR="00BC19F4" w:rsidRPr="00020D20">
                <w:rPr>
                  <w:rStyle w:val="Hyperlink"/>
                  <w:rFonts w:asciiTheme="minorHAnsi" w:hAnsiTheme="minorHAnsi" w:cstheme="majorBidi"/>
                  <w:i/>
                  <w:iCs w:val="0"/>
                  <w:color w:val="CE5B18"/>
                  <w:sz w:val="18"/>
                  <w:szCs w:val="56"/>
                  <w:u w:val="none"/>
                </w:rPr>
                <w:t>A.R.S. 28-6353</w:t>
              </w:r>
            </w:hyperlink>
          </w:p>
        </w:tc>
        <w:tc>
          <w:tcPr>
            <w:tcW w:w="4738" w:type="dxa"/>
            <w:vMerge/>
            <w:tcBorders>
              <w:top w:val="single" w:sz="4" w:space="0" w:color="auto"/>
              <w:left w:val="single" w:sz="4" w:space="0" w:color="auto"/>
              <w:bottom w:val="single" w:sz="4" w:space="0" w:color="auto"/>
              <w:right w:val="single" w:sz="4" w:space="0" w:color="auto"/>
            </w:tcBorders>
          </w:tcPr>
          <w:p w14:paraId="14D94155" w14:textId="77777777" w:rsidR="00BC19F4" w:rsidRPr="00020D20" w:rsidRDefault="00BC19F4" w:rsidP="00020D20">
            <w:pPr>
              <w:spacing w:before="0" w:after="0" w:line="240" w:lineRule="auto"/>
              <w:jc w:val="both"/>
              <w:rPr>
                <w:sz w:val="18"/>
              </w:rPr>
            </w:pPr>
          </w:p>
        </w:tc>
      </w:tr>
      <w:tr w:rsidR="00BC19F4" w:rsidRPr="00BC19F4" w14:paraId="1CBC6BFA" w14:textId="77777777" w:rsidTr="00020D20">
        <w:trPr>
          <w:trHeight w:hRule="exact" w:val="370"/>
        </w:trPr>
        <w:tc>
          <w:tcPr>
            <w:tcW w:w="360" w:type="dxa"/>
            <w:vMerge/>
            <w:tcBorders>
              <w:left w:val="single" w:sz="4" w:space="0" w:color="auto"/>
              <w:right w:val="single" w:sz="4" w:space="0" w:color="auto"/>
            </w:tcBorders>
            <w:shd w:val="clear" w:color="auto" w:fill="012768"/>
          </w:tcPr>
          <w:p w14:paraId="229DD756"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C5ABE4F" w14:textId="0B9C16D0" w:rsidR="00BC19F4" w:rsidRPr="00020D20" w:rsidRDefault="00202C92">
            <w:pPr>
              <w:pStyle w:val="Title"/>
              <w:rPr>
                <w:rFonts w:asciiTheme="minorHAnsi" w:hAnsiTheme="minorHAnsi" w:cstheme="minorHAnsi"/>
                <w:sz w:val="18"/>
                <w:szCs w:val="18"/>
              </w:rPr>
            </w:pPr>
            <w:hyperlink r:id="rId586" w:history="1">
              <w:r w:rsidR="00BC19F4" w:rsidRPr="00020D20">
                <w:rPr>
                  <w:rStyle w:val="Hyperlink"/>
                  <w:rFonts w:asciiTheme="minorHAnsi" w:hAnsiTheme="minorHAnsi" w:cstheme="majorBidi"/>
                  <w:i/>
                  <w:iCs w:val="0"/>
                  <w:color w:val="CE5B18"/>
                  <w:sz w:val="18"/>
                  <w:szCs w:val="56"/>
                  <w:u w:val="none"/>
                </w:rPr>
                <w:t>A.R.S. 28-6392</w:t>
              </w:r>
            </w:hyperlink>
          </w:p>
        </w:tc>
        <w:tc>
          <w:tcPr>
            <w:tcW w:w="4738" w:type="dxa"/>
            <w:vMerge/>
            <w:tcBorders>
              <w:top w:val="single" w:sz="4" w:space="0" w:color="auto"/>
              <w:left w:val="single" w:sz="4" w:space="0" w:color="auto"/>
              <w:bottom w:val="single" w:sz="4" w:space="0" w:color="auto"/>
              <w:right w:val="single" w:sz="4" w:space="0" w:color="auto"/>
            </w:tcBorders>
          </w:tcPr>
          <w:p w14:paraId="60439BCA" w14:textId="77777777" w:rsidR="00BC19F4" w:rsidRPr="00020D20" w:rsidRDefault="00BC19F4" w:rsidP="00020D20">
            <w:pPr>
              <w:spacing w:before="0" w:after="0" w:line="240" w:lineRule="auto"/>
              <w:jc w:val="both"/>
              <w:rPr>
                <w:sz w:val="18"/>
              </w:rPr>
            </w:pPr>
          </w:p>
        </w:tc>
      </w:tr>
      <w:tr w:rsidR="00BC19F4" w:rsidRPr="00BC19F4" w14:paraId="5B49FD50" w14:textId="77777777" w:rsidTr="00020D20">
        <w:trPr>
          <w:trHeight w:hRule="exact" w:val="370"/>
        </w:trPr>
        <w:tc>
          <w:tcPr>
            <w:tcW w:w="360" w:type="dxa"/>
            <w:vMerge/>
            <w:tcBorders>
              <w:left w:val="single" w:sz="4" w:space="0" w:color="auto"/>
              <w:right w:val="single" w:sz="4" w:space="0" w:color="auto"/>
            </w:tcBorders>
            <w:shd w:val="clear" w:color="auto" w:fill="012768"/>
          </w:tcPr>
          <w:p w14:paraId="03871643"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06DC3E8" w14:textId="233A2A18" w:rsidR="00BC19F4" w:rsidRPr="00020D20" w:rsidRDefault="00202C92">
            <w:pPr>
              <w:pStyle w:val="Title"/>
              <w:rPr>
                <w:rFonts w:asciiTheme="minorHAnsi" w:hAnsiTheme="minorHAnsi" w:cstheme="minorHAnsi"/>
                <w:sz w:val="18"/>
                <w:szCs w:val="18"/>
              </w:rPr>
            </w:pPr>
            <w:hyperlink r:id="rId587" w:history="1">
              <w:r w:rsidR="00BC19F4" w:rsidRPr="00020D20">
                <w:rPr>
                  <w:rStyle w:val="Hyperlink"/>
                  <w:rFonts w:asciiTheme="minorHAnsi" w:hAnsiTheme="minorHAnsi" w:cstheme="majorBidi"/>
                  <w:i/>
                  <w:iCs w:val="0"/>
                  <w:color w:val="CE5B18"/>
                  <w:sz w:val="18"/>
                  <w:szCs w:val="56"/>
                  <w:u w:val="none"/>
                </w:rPr>
                <w:t>A.R.S. 28-6533</w:t>
              </w:r>
            </w:hyperlink>
          </w:p>
        </w:tc>
        <w:tc>
          <w:tcPr>
            <w:tcW w:w="4738"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E0184A2" w14:textId="77777777" w:rsidR="00BC19F4" w:rsidRPr="00020D20" w:rsidRDefault="00BC19F4" w:rsidP="00020D20">
            <w:pPr>
              <w:spacing w:before="0" w:after="0" w:line="240" w:lineRule="auto"/>
              <w:jc w:val="both"/>
              <w:rPr>
                <w:sz w:val="18"/>
              </w:rPr>
            </w:pPr>
            <w:r w:rsidRPr="00020D20">
              <w:rPr>
                <w:sz w:val="18"/>
              </w:rPr>
              <w:t>Distribution of Highway User Revenues</w:t>
            </w:r>
          </w:p>
        </w:tc>
      </w:tr>
      <w:tr w:rsidR="00BC19F4" w:rsidRPr="00BC19F4" w14:paraId="68BBEF13" w14:textId="77777777" w:rsidTr="00020D20">
        <w:trPr>
          <w:trHeight w:hRule="exact" w:val="370"/>
        </w:trPr>
        <w:tc>
          <w:tcPr>
            <w:tcW w:w="360" w:type="dxa"/>
            <w:vMerge/>
            <w:tcBorders>
              <w:left w:val="single" w:sz="4" w:space="0" w:color="auto"/>
              <w:right w:val="single" w:sz="4" w:space="0" w:color="auto"/>
            </w:tcBorders>
            <w:shd w:val="clear" w:color="auto" w:fill="012768"/>
          </w:tcPr>
          <w:p w14:paraId="4087C453"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3836AF6" w14:textId="4AD0F549" w:rsidR="00BC19F4" w:rsidRPr="00020D20" w:rsidRDefault="00202C92">
            <w:pPr>
              <w:pStyle w:val="Title"/>
              <w:rPr>
                <w:rFonts w:asciiTheme="minorHAnsi" w:hAnsiTheme="minorHAnsi" w:cstheme="minorHAnsi"/>
                <w:sz w:val="18"/>
                <w:szCs w:val="18"/>
              </w:rPr>
            </w:pPr>
            <w:hyperlink r:id="rId588" w:history="1">
              <w:r w:rsidR="00BC19F4" w:rsidRPr="00020D20">
                <w:rPr>
                  <w:rStyle w:val="Hyperlink"/>
                  <w:rFonts w:asciiTheme="minorHAnsi" w:hAnsiTheme="minorHAnsi" w:cstheme="majorBidi"/>
                  <w:i/>
                  <w:iCs w:val="0"/>
                  <w:color w:val="CE5B18"/>
                  <w:sz w:val="18"/>
                  <w:szCs w:val="56"/>
                  <w:u w:val="none"/>
                </w:rPr>
                <w:t>A.R.S. 28-7675</w:t>
              </w:r>
            </w:hyperlink>
          </w:p>
        </w:tc>
        <w:tc>
          <w:tcPr>
            <w:tcW w:w="473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3AB2BCB" w14:textId="77777777" w:rsidR="00BC19F4" w:rsidRPr="00020D20" w:rsidRDefault="00BC19F4" w:rsidP="00020D20">
            <w:pPr>
              <w:spacing w:before="0" w:after="0" w:line="240" w:lineRule="auto"/>
              <w:jc w:val="both"/>
              <w:rPr>
                <w:sz w:val="18"/>
              </w:rPr>
            </w:pPr>
            <w:r w:rsidRPr="00020D20">
              <w:rPr>
                <w:sz w:val="18"/>
              </w:rPr>
              <w:t>State Highway Financing and Bonding</w:t>
            </w:r>
          </w:p>
        </w:tc>
      </w:tr>
      <w:tr w:rsidR="00BC19F4" w:rsidRPr="00BC19F4" w14:paraId="48680ED1" w14:textId="77777777" w:rsidTr="00020D20">
        <w:trPr>
          <w:trHeight w:hRule="exact" w:val="550"/>
        </w:trPr>
        <w:tc>
          <w:tcPr>
            <w:tcW w:w="360" w:type="dxa"/>
            <w:vMerge/>
            <w:tcBorders>
              <w:left w:val="single" w:sz="4" w:space="0" w:color="auto"/>
              <w:right w:val="single" w:sz="4" w:space="0" w:color="auto"/>
            </w:tcBorders>
            <w:shd w:val="clear" w:color="auto" w:fill="012768"/>
          </w:tcPr>
          <w:p w14:paraId="0CCF8E10"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189AD58" w14:textId="7E43A780" w:rsidR="00BC19F4" w:rsidRPr="00020D20" w:rsidRDefault="00202C92">
            <w:pPr>
              <w:pStyle w:val="Title"/>
              <w:rPr>
                <w:rFonts w:asciiTheme="minorHAnsi" w:hAnsiTheme="minorHAnsi" w:cstheme="minorHAnsi"/>
                <w:sz w:val="18"/>
                <w:szCs w:val="18"/>
              </w:rPr>
            </w:pPr>
            <w:hyperlink r:id="rId589" w:history="1">
              <w:r w:rsidR="00BC19F4" w:rsidRPr="00020D20">
                <w:rPr>
                  <w:rStyle w:val="Hyperlink"/>
                  <w:rFonts w:asciiTheme="minorHAnsi" w:hAnsiTheme="minorHAnsi" w:cstheme="majorBidi"/>
                  <w:i/>
                  <w:iCs w:val="0"/>
                  <w:color w:val="CE5B18"/>
                  <w:sz w:val="18"/>
                  <w:szCs w:val="56"/>
                  <w:u w:val="none"/>
                </w:rPr>
                <w:t>A.R.S. 28-9142</w:t>
              </w:r>
            </w:hyperlink>
          </w:p>
        </w:tc>
        <w:tc>
          <w:tcPr>
            <w:tcW w:w="4738"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9CBBEEA" w14:textId="77777777" w:rsidR="00BC19F4" w:rsidRPr="00020D20" w:rsidRDefault="00BC19F4" w:rsidP="00020D20">
            <w:pPr>
              <w:spacing w:before="0" w:after="0" w:line="240" w:lineRule="auto"/>
              <w:jc w:val="both"/>
              <w:rPr>
                <w:sz w:val="18"/>
              </w:rPr>
            </w:pPr>
            <w:r w:rsidRPr="00020D20">
              <w:rPr>
                <w:sz w:val="18"/>
              </w:rPr>
              <w:t>Intergovernmental Public Transportation Authorities - Public Transportation Authority Fund</w:t>
            </w:r>
          </w:p>
        </w:tc>
      </w:tr>
      <w:tr w:rsidR="00BC19F4" w:rsidRPr="00BC19F4" w14:paraId="4A07C275" w14:textId="77777777" w:rsidTr="00020D20">
        <w:trPr>
          <w:trHeight w:hRule="exact" w:val="550"/>
        </w:trPr>
        <w:tc>
          <w:tcPr>
            <w:tcW w:w="360" w:type="dxa"/>
            <w:vMerge/>
            <w:tcBorders>
              <w:left w:val="single" w:sz="4" w:space="0" w:color="auto"/>
              <w:right w:val="single" w:sz="4" w:space="0" w:color="auto"/>
            </w:tcBorders>
            <w:shd w:val="clear" w:color="auto" w:fill="012768"/>
          </w:tcPr>
          <w:p w14:paraId="5B0D52C6"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92D5085" w14:textId="59B12718" w:rsidR="00BC19F4" w:rsidRPr="00020D20" w:rsidRDefault="00202C92">
            <w:pPr>
              <w:pStyle w:val="Title"/>
              <w:rPr>
                <w:rFonts w:asciiTheme="minorHAnsi" w:hAnsiTheme="minorHAnsi" w:cstheme="minorHAnsi"/>
                <w:sz w:val="18"/>
                <w:szCs w:val="18"/>
              </w:rPr>
            </w:pPr>
            <w:hyperlink r:id="rId590" w:history="1">
              <w:r w:rsidR="00BC19F4" w:rsidRPr="00020D20">
                <w:rPr>
                  <w:rStyle w:val="Hyperlink"/>
                  <w:rFonts w:asciiTheme="minorHAnsi" w:hAnsiTheme="minorHAnsi" w:cstheme="majorBidi"/>
                  <w:i/>
                  <w:iCs w:val="0"/>
                  <w:color w:val="CE5B18"/>
                  <w:sz w:val="18"/>
                  <w:szCs w:val="56"/>
                  <w:u w:val="none"/>
                </w:rPr>
                <w:t>A.R.S. 41-1278</w:t>
              </w:r>
            </w:hyperlink>
          </w:p>
        </w:tc>
        <w:tc>
          <w:tcPr>
            <w:tcW w:w="473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A76C8F2" w14:textId="77777777" w:rsidR="00BC19F4" w:rsidRPr="00020D20" w:rsidRDefault="00BC19F4" w:rsidP="00020D20">
            <w:pPr>
              <w:spacing w:before="0" w:after="0" w:line="240" w:lineRule="auto"/>
              <w:jc w:val="both"/>
              <w:rPr>
                <w:sz w:val="18"/>
              </w:rPr>
            </w:pPr>
            <w:r w:rsidRPr="00020D20">
              <w:rPr>
                <w:sz w:val="18"/>
              </w:rPr>
              <w:t>Joint Legislative Audit Committee and Auditor General (Definitions)</w:t>
            </w:r>
          </w:p>
        </w:tc>
      </w:tr>
      <w:tr w:rsidR="00BC19F4" w:rsidRPr="00BC19F4" w14:paraId="3E386407" w14:textId="77777777" w:rsidTr="00020D20">
        <w:trPr>
          <w:trHeight w:hRule="exact" w:val="370"/>
        </w:trPr>
        <w:tc>
          <w:tcPr>
            <w:tcW w:w="360" w:type="dxa"/>
            <w:vMerge/>
            <w:tcBorders>
              <w:left w:val="single" w:sz="4" w:space="0" w:color="auto"/>
              <w:right w:val="single" w:sz="4" w:space="0" w:color="auto"/>
            </w:tcBorders>
            <w:shd w:val="clear" w:color="auto" w:fill="012768"/>
          </w:tcPr>
          <w:p w14:paraId="26BBD47A" w14:textId="77777777" w:rsidR="00BC19F4" w:rsidRPr="00BC19F4" w:rsidRDefault="00BC19F4" w:rsidP="00020D20">
            <w:pPr>
              <w:spacing w:before="0" w:after="0" w:line="240" w:lineRule="auto"/>
              <w:jc w:val="center"/>
              <w:rPr>
                <w:rFonts w:cstheme="minorHAnsi"/>
              </w:rPr>
            </w:pPr>
          </w:p>
        </w:tc>
        <w:tc>
          <w:tcPr>
            <w:tcW w:w="495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ED31B39" w14:textId="517A55EF" w:rsidR="00BC19F4" w:rsidRPr="00020D20" w:rsidRDefault="00202C92">
            <w:pPr>
              <w:pStyle w:val="Title"/>
              <w:rPr>
                <w:rFonts w:asciiTheme="minorHAnsi" w:hAnsiTheme="minorHAnsi" w:cstheme="minorHAnsi"/>
                <w:sz w:val="18"/>
                <w:szCs w:val="18"/>
              </w:rPr>
            </w:pPr>
            <w:hyperlink r:id="rId591" w:history="1">
              <w:r w:rsidR="00BC19F4" w:rsidRPr="00020D20">
                <w:rPr>
                  <w:rStyle w:val="Hyperlink"/>
                  <w:rFonts w:asciiTheme="minorHAnsi" w:hAnsiTheme="minorHAnsi" w:cstheme="majorBidi"/>
                  <w:i/>
                  <w:iCs w:val="0"/>
                  <w:color w:val="CE5B18"/>
                  <w:sz w:val="18"/>
                  <w:szCs w:val="56"/>
                  <w:u w:val="none"/>
                </w:rPr>
                <w:t>A.R.S. 42-6105</w:t>
              </w:r>
            </w:hyperlink>
          </w:p>
        </w:tc>
        <w:tc>
          <w:tcPr>
            <w:tcW w:w="4738" w:type="dxa"/>
            <w:vMerge w:val="restart"/>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3C81772" w14:textId="77777777" w:rsidR="00BC19F4" w:rsidRPr="00020D20" w:rsidRDefault="00BC19F4" w:rsidP="00020D20">
            <w:pPr>
              <w:spacing w:before="0" w:after="0" w:line="240" w:lineRule="auto"/>
              <w:jc w:val="both"/>
              <w:rPr>
                <w:sz w:val="18"/>
              </w:rPr>
            </w:pPr>
            <w:r w:rsidRPr="00020D20">
              <w:rPr>
                <w:sz w:val="18"/>
              </w:rPr>
              <w:t>Local Excise Taxes</w:t>
            </w:r>
          </w:p>
        </w:tc>
      </w:tr>
      <w:tr w:rsidR="00BC19F4" w:rsidRPr="00BC19F4" w14:paraId="7AEA7BB2" w14:textId="77777777" w:rsidTr="00020D20">
        <w:trPr>
          <w:trHeight w:hRule="exact" w:val="370"/>
        </w:trPr>
        <w:tc>
          <w:tcPr>
            <w:tcW w:w="360" w:type="dxa"/>
            <w:vMerge/>
            <w:tcBorders>
              <w:left w:val="single" w:sz="4" w:space="0" w:color="auto"/>
              <w:right w:val="single" w:sz="4" w:space="0" w:color="auto"/>
            </w:tcBorders>
            <w:shd w:val="clear" w:color="auto" w:fill="012768"/>
          </w:tcPr>
          <w:p w14:paraId="146244CD" w14:textId="77777777" w:rsidR="00BC19F4" w:rsidRPr="00BC19F4" w:rsidRDefault="00BC19F4" w:rsidP="00020D20">
            <w:pPr>
              <w:jc w:val="center"/>
            </w:pPr>
          </w:p>
        </w:tc>
        <w:tc>
          <w:tcPr>
            <w:tcW w:w="495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8F6214D" w14:textId="1F330012" w:rsidR="00BC19F4" w:rsidRPr="00020D20" w:rsidRDefault="00202C92">
            <w:pPr>
              <w:pStyle w:val="Title"/>
              <w:rPr>
                <w:rFonts w:asciiTheme="minorHAnsi" w:hAnsiTheme="minorHAnsi" w:cstheme="minorHAnsi"/>
                <w:sz w:val="18"/>
                <w:szCs w:val="18"/>
              </w:rPr>
            </w:pPr>
            <w:hyperlink r:id="rId592" w:history="1">
              <w:r w:rsidR="00BC19F4" w:rsidRPr="00020D20">
                <w:rPr>
                  <w:rStyle w:val="Hyperlink"/>
                  <w:rFonts w:asciiTheme="minorHAnsi" w:hAnsiTheme="minorHAnsi" w:cstheme="majorBidi"/>
                  <w:i/>
                  <w:iCs w:val="0"/>
                  <w:color w:val="CE5B18"/>
                  <w:sz w:val="18"/>
                  <w:szCs w:val="56"/>
                  <w:u w:val="none"/>
                </w:rPr>
                <w:t>A.R.S. 42-6106</w:t>
              </w:r>
            </w:hyperlink>
          </w:p>
        </w:tc>
        <w:tc>
          <w:tcPr>
            <w:tcW w:w="4738" w:type="dxa"/>
            <w:vMerge/>
            <w:tcBorders>
              <w:top w:val="single" w:sz="4" w:space="0" w:color="auto"/>
              <w:left w:val="single" w:sz="4" w:space="0" w:color="auto"/>
              <w:bottom w:val="single" w:sz="4" w:space="0" w:color="auto"/>
              <w:right w:val="single" w:sz="4" w:space="0" w:color="auto"/>
            </w:tcBorders>
          </w:tcPr>
          <w:p w14:paraId="35683C9F" w14:textId="77777777" w:rsidR="00BC19F4" w:rsidRPr="00BC19F4" w:rsidRDefault="00BC19F4" w:rsidP="00020D20">
            <w:pPr>
              <w:jc w:val="both"/>
            </w:pPr>
          </w:p>
        </w:tc>
      </w:tr>
    </w:tbl>
    <w:p w14:paraId="196FB135" w14:textId="77777777" w:rsidR="006F68FE" w:rsidRDefault="006F68FE" w:rsidP="00020D20">
      <w:pPr>
        <w:pStyle w:val="SectionHeadersADOTText"/>
        <w:jc w:val="both"/>
        <w:sectPr w:rsidR="006F68FE" w:rsidSect="008E695B">
          <w:type w:val="continuous"/>
          <w:pgSz w:w="12240" w:h="15840"/>
          <w:pgMar w:top="1440" w:right="1440" w:bottom="1440" w:left="1440" w:header="720" w:footer="720" w:gutter="0"/>
          <w:cols w:space="720"/>
          <w:docGrid w:linePitch="360"/>
        </w:sectPr>
      </w:pPr>
    </w:p>
    <w:p w14:paraId="6C77D658" w14:textId="77777777" w:rsidR="00BC19F4" w:rsidRPr="00BC19F4" w:rsidRDefault="00BC19F4" w:rsidP="00020D20">
      <w:pPr>
        <w:pStyle w:val="Heading2"/>
      </w:pPr>
      <w:bookmarkStart w:id="389" w:name="_Ref50031145"/>
      <w:r w:rsidRPr="00BC19F4">
        <w:t>9.3 | FEDERAL REQUIREMENTS</w:t>
      </w:r>
      <w:bookmarkEnd w:id="389"/>
    </w:p>
    <w:p w14:paraId="4C66D6A5" w14:textId="057367E5" w:rsidR="00BC19F4" w:rsidRPr="00BC19F4" w:rsidRDefault="00BC19F4" w:rsidP="00020D20">
      <w:pPr>
        <w:jc w:val="both"/>
      </w:pPr>
      <w:r w:rsidRPr="00BC19F4">
        <w:t xml:space="preserve">Any MPO and COG that expends $750,000 or more of federal financial assistance in a fiscal year is required to have a single audit conducted by an independent CPA for that year in accordance with </w:t>
      </w:r>
      <w:hyperlink r:id="rId593" w:history="1">
        <w:r w:rsidRPr="00FA03C0">
          <w:rPr>
            <w:rStyle w:val="TitleChar"/>
          </w:rPr>
          <w:t xml:space="preserve">2 </w:t>
        </w:r>
        <w:r w:rsidR="009628C0">
          <w:rPr>
            <w:rStyle w:val="TitleChar"/>
          </w:rPr>
          <w:t xml:space="preserve">C.F.R. </w:t>
        </w:r>
        <w:r w:rsidRPr="00FA03C0">
          <w:rPr>
            <w:rStyle w:val="TitleChar"/>
          </w:rPr>
          <w:t>§ 200.</w:t>
        </w:r>
      </w:hyperlink>
    </w:p>
    <w:p w14:paraId="068877D0" w14:textId="487CD02C" w:rsidR="00BC19F4" w:rsidRPr="00BC19F4" w:rsidRDefault="005E2BAA" w:rsidP="00020D20">
      <w:pPr>
        <w:jc w:val="both"/>
      </w:pPr>
      <w:r>
        <w:rPr>
          <w:rFonts w:cstheme="minorHAnsi"/>
          <w:noProof/>
        </w:rPr>
        <mc:AlternateContent>
          <mc:Choice Requires="wps">
            <w:drawing>
              <wp:anchor distT="0" distB="0" distL="114300" distR="114300" simplePos="0" relativeHeight="251618331" behindDoc="1" locked="0" layoutInCell="1" allowOverlap="1" wp14:anchorId="05D6FB9F" wp14:editId="0AE99B86">
                <wp:simplePos x="0" y="0"/>
                <wp:positionH relativeFrom="column">
                  <wp:posOffset>3179445</wp:posOffset>
                </wp:positionH>
                <wp:positionV relativeFrom="paragraph">
                  <wp:posOffset>810895</wp:posOffset>
                </wp:positionV>
                <wp:extent cx="1169670" cy="1254125"/>
                <wp:effectExtent l="76200" t="76200" r="68580" b="79375"/>
                <wp:wrapTight wrapText="bothSides">
                  <wp:wrapPolygon edited="0">
                    <wp:start x="-1055" y="-1312"/>
                    <wp:lineTo x="-1407" y="-984"/>
                    <wp:lineTo x="-1407" y="21327"/>
                    <wp:lineTo x="-1055" y="22639"/>
                    <wp:lineTo x="22515" y="22639"/>
                    <wp:lineTo x="22515" y="4265"/>
                    <wp:lineTo x="22163" y="-656"/>
                    <wp:lineTo x="22163" y="-1312"/>
                    <wp:lineTo x="-1055" y="-1312"/>
                  </wp:wrapPolygon>
                </wp:wrapTight>
                <wp:docPr id="201" name="Text Box 201"/>
                <wp:cNvGraphicFramePr/>
                <a:graphic xmlns:a="http://schemas.openxmlformats.org/drawingml/2006/main">
                  <a:graphicData uri="http://schemas.microsoft.com/office/word/2010/wordprocessingShape">
                    <wps:wsp>
                      <wps:cNvSpPr txBox="1"/>
                      <wps:spPr>
                        <a:xfrm>
                          <a:off x="0" y="0"/>
                          <a:ext cx="1169670" cy="12541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8194ED5" w14:textId="77777777" w:rsidR="00C6444C" w:rsidRDefault="00C6444C" w:rsidP="00020D20">
                            <w:pPr>
                              <w:jc w:val="center"/>
                            </w:pPr>
                            <w:r>
                              <w:rPr>
                                <w:noProof/>
                              </w:rPr>
                              <w:drawing>
                                <wp:inline distT="0" distB="0" distL="0" distR="0" wp14:anchorId="2AA62880" wp14:editId="23CABA10">
                                  <wp:extent cx="457200" cy="457200"/>
                                  <wp:effectExtent l="0" t="0" r="0" b="0"/>
                                  <wp:docPr id="1690911536" name="Picture 169091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13939BA" w14:textId="2EEAA713" w:rsidR="00C6444C" w:rsidRPr="00954116" w:rsidRDefault="00C6444C" w:rsidP="00020D20">
                            <w:pPr>
                              <w:pStyle w:val="Calloutboxes"/>
                            </w:pPr>
                            <w:r w:rsidRPr="00394A74">
                              <w:t>ADOT</w:t>
                            </w:r>
                          </w:p>
                          <w:p w14:paraId="4A9F21CE" w14:textId="28063558" w:rsidR="00C6444C" w:rsidRDefault="00C6444C">
                            <w:pPr>
                              <w:pStyle w:val="Calloutboxes"/>
                            </w:pPr>
                            <w:r>
                              <w:t>Audit &amp; Analysis:</w:t>
                            </w:r>
                          </w:p>
                          <w:p w14:paraId="56FA5989" w14:textId="35D33591" w:rsidR="00C6444C" w:rsidRPr="00020D20" w:rsidRDefault="00202C92">
                            <w:pPr>
                              <w:pStyle w:val="Title"/>
                              <w:rPr>
                                <w:sz w:val="16"/>
                                <w:szCs w:val="16"/>
                              </w:rPr>
                            </w:pPr>
                            <w:hyperlink r:id="rId594" w:history="1">
                              <w:r w:rsidR="00C6444C" w:rsidRPr="00347D6E">
                                <w:rPr>
                                  <w:rStyle w:val="Hyperlink"/>
                                  <w:rFonts w:asciiTheme="minorHAnsi" w:hAnsiTheme="minorHAnsi" w:cstheme="majorBidi"/>
                                  <w:i/>
                                  <w:color w:val="CE5B18"/>
                                  <w:u w:val="none"/>
                                </w:rPr>
                                <w:t>https://azdot.gov/about/audit-and-analysis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D6FB9F" id="Text Box 201" o:spid="_x0000_s1166" type="#_x0000_t202" style="position:absolute;left:0;text-align:left;margin-left:250.35pt;margin-top:63.85pt;width:92.1pt;height:98.75pt;z-index:-251698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" fillcolor="#f7f7f7" stroked="f" strokeweight=".5pt">
                <v:shadow on="t" type="perspective" color="black" opacity="26214f" offset="0,0" matrix="66847f,,,66847f"/>
                <v:textbox>
                  <w:txbxContent>
                    <w:p w14:paraId="78194ED5" w14:textId="77777777" w:rsidR="00C6444C" w:rsidRDefault="00C6444C" w:rsidP="00020D20">
                      <w:pPr>
                        <w:jc w:val="center"/>
                      </w:pPr>
                      <w:r>
                        <w:rPr>
                          <w:noProof/>
                        </w:rPr>
                        <w:drawing>
                          <wp:inline distT="0" distB="0" distL="0" distR="0" wp14:anchorId="2AA62880" wp14:editId="23CABA10">
                            <wp:extent cx="457200" cy="457200"/>
                            <wp:effectExtent l="0" t="0" r="0" b="0"/>
                            <wp:docPr id="1690911536" name="Picture 169091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13939BA" w14:textId="2EEAA713" w:rsidR="00C6444C" w:rsidRPr="00954116" w:rsidRDefault="00C6444C" w:rsidP="00020D20">
                      <w:pPr>
                        <w:pStyle w:val="Calloutboxes"/>
                      </w:pPr>
                      <w:r w:rsidRPr="00394A74">
                        <w:t>ADOT</w:t>
                      </w:r>
                    </w:p>
                    <w:p w14:paraId="4A9F21CE" w14:textId="28063558" w:rsidR="00C6444C" w:rsidRDefault="00C6444C">
                      <w:pPr>
                        <w:pStyle w:val="Calloutboxes"/>
                      </w:pPr>
                      <w:r>
                        <w:t>Audit &amp; Analysis:</w:t>
                      </w:r>
                    </w:p>
                    <w:p w14:paraId="56FA5989" w14:textId="35D33591" w:rsidR="00C6444C" w:rsidRPr="00020D20" w:rsidRDefault="00C6444C">
                      <w:pPr>
                        <w:pStyle w:val="Title"/>
                        <w:rPr>
                          <w:sz w:val="16"/>
                          <w:szCs w:val="16"/>
                        </w:rPr>
                      </w:pPr>
                      <w:hyperlink r:id="rId595" w:history="1">
                        <w:r w:rsidRPr="00347D6E">
                          <w:rPr>
                            <w:rStyle w:val="Hyperlink"/>
                            <w:rFonts w:asciiTheme="minorHAnsi" w:hAnsiTheme="minorHAnsi" w:cstheme="majorBidi"/>
                            <w:i/>
                            <w:color w:val="CE5B18"/>
                            <w:u w:val="none"/>
                          </w:rPr>
                          <w:t>https://azdot.gov/about/audit-and-analysis</w:t>
                        </w:r>
                      </w:hyperlink>
                    </w:p>
                  </w:txbxContent>
                </v:textbox>
                <w10:wrap type="tight"/>
              </v:shape>
            </w:pict>
          </mc:Fallback>
        </mc:AlternateContent>
      </w:r>
      <w:r w:rsidR="00BC19F4" w:rsidRPr="00BC19F4">
        <w:t xml:space="preserve">In determining the federal awards expended in its fiscal year, the MPO and subrecipient shall consider all sources of federal awards, including federal resources received from ADOT. The determination of amounts of federal awards expended should be in accordance with the guidelines established by </w:t>
      </w:r>
      <w:hyperlink r:id="rId596" w:history="1">
        <w:r w:rsidR="00BC19F4" w:rsidRPr="00FA03C0">
          <w:rPr>
            <w:rStyle w:val="TitleChar"/>
          </w:rPr>
          <w:t xml:space="preserve">2 </w:t>
        </w:r>
        <w:r w:rsidR="009628C0">
          <w:rPr>
            <w:rStyle w:val="TitleChar"/>
          </w:rPr>
          <w:t xml:space="preserve">C.F.R. </w:t>
        </w:r>
        <w:r w:rsidR="00BC19F4" w:rsidRPr="00FA03C0">
          <w:rPr>
            <w:rStyle w:val="TitleChar"/>
          </w:rPr>
          <w:t>§ 200 .502.</w:t>
        </w:r>
      </w:hyperlink>
      <w:r w:rsidR="00BC19F4" w:rsidRPr="00BC19F4">
        <w:t xml:space="preserve"> An audit of the MPO conducted by the Arizona auditor general or an independent auditor in accordance with the provisions in </w:t>
      </w:r>
      <w:hyperlink r:id="rId597" w:history="1">
        <w:r w:rsidR="00BC19F4" w:rsidRPr="00FA03C0">
          <w:rPr>
            <w:rStyle w:val="TitleChar"/>
          </w:rPr>
          <w:t xml:space="preserve">2 </w:t>
        </w:r>
        <w:r w:rsidR="009628C0">
          <w:rPr>
            <w:rStyle w:val="TitleChar"/>
          </w:rPr>
          <w:t xml:space="preserve">C.F.R. </w:t>
        </w:r>
        <w:r w:rsidR="00BC19F4" w:rsidRPr="00FA03C0">
          <w:rPr>
            <w:rStyle w:val="TitleChar"/>
          </w:rPr>
          <w:t>§ 200</w:t>
        </w:r>
      </w:hyperlink>
      <w:r w:rsidR="00BC19F4" w:rsidRPr="00BC19F4">
        <w:t xml:space="preserve">, will meet the requirements of this part. </w:t>
      </w:r>
    </w:p>
    <w:p w14:paraId="3C692115" w14:textId="35A83DD5" w:rsidR="00BC19F4" w:rsidRPr="00BC19F4" w:rsidRDefault="00BC19F4" w:rsidP="00020D20">
      <w:pPr>
        <w:jc w:val="both"/>
      </w:pPr>
      <w:r w:rsidRPr="00BC19F4">
        <w:t xml:space="preserve">The MPO shall fulfill the requirements relative to auditee responsibilities as provided in </w:t>
      </w:r>
      <w:hyperlink r:id="rId598" w:history="1">
        <w:r w:rsidRPr="000E5D53">
          <w:rPr>
            <w:rStyle w:val="TitleChar"/>
          </w:rPr>
          <w:t xml:space="preserve">2 </w:t>
        </w:r>
        <w:r w:rsidR="009628C0">
          <w:rPr>
            <w:rStyle w:val="TitleChar"/>
          </w:rPr>
          <w:t xml:space="preserve">C.F.R. </w:t>
        </w:r>
        <w:r w:rsidRPr="000E5D53">
          <w:rPr>
            <w:rStyle w:val="TitleChar"/>
          </w:rPr>
          <w:t>§ 200.508</w:t>
        </w:r>
      </w:hyperlink>
      <w:r w:rsidRPr="00BC19F4">
        <w:t>. If the MPO expends less than $750,000 in federal awards in its fiscal year, an audit conducted in accordance wit</w:t>
      </w:r>
      <w:r w:rsidR="000E5D53">
        <w:t xml:space="preserve">h the provisions of </w:t>
      </w:r>
      <w:hyperlink r:id="rId599" w:history="1">
        <w:r w:rsidR="000E5D53" w:rsidRPr="00FA03C0">
          <w:rPr>
            <w:rStyle w:val="TitleChar"/>
          </w:rPr>
          <w:t xml:space="preserve">2 </w:t>
        </w:r>
        <w:r w:rsidR="009628C0">
          <w:rPr>
            <w:rStyle w:val="TitleChar"/>
          </w:rPr>
          <w:t xml:space="preserve">C.F.R. </w:t>
        </w:r>
        <w:r w:rsidR="000E5D53" w:rsidRPr="00FA03C0">
          <w:rPr>
            <w:rStyle w:val="TitleChar"/>
          </w:rPr>
          <w:t>§ 200</w:t>
        </w:r>
      </w:hyperlink>
      <w:r w:rsidR="000E5D53" w:rsidRPr="007B6EEE">
        <w:rPr>
          <w:rStyle w:val="TitleChar"/>
        </w:rPr>
        <w:t xml:space="preserve"> </w:t>
      </w:r>
      <w:r w:rsidRPr="00BC19F4">
        <w:t xml:space="preserve">is not required. However, if the MPO elects to have an audit conducted in accordance with the provisions of </w:t>
      </w:r>
      <w:hyperlink r:id="rId600" w:history="1">
        <w:r w:rsidR="000E5D53" w:rsidRPr="00FA03C0">
          <w:rPr>
            <w:rStyle w:val="TitleChar"/>
          </w:rPr>
          <w:t xml:space="preserve">2 </w:t>
        </w:r>
        <w:r w:rsidR="009628C0">
          <w:rPr>
            <w:rStyle w:val="TitleChar"/>
          </w:rPr>
          <w:t xml:space="preserve">C.F.R. </w:t>
        </w:r>
        <w:r w:rsidR="000E5D53" w:rsidRPr="00FA03C0">
          <w:rPr>
            <w:rStyle w:val="TitleChar"/>
          </w:rPr>
          <w:t>§ 200</w:t>
        </w:r>
      </w:hyperlink>
      <w:r w:rsidRPr="00BC19F4">
        <w:t>, the cost of the audit must be paid from non-federal resources (i.e., the cost of such an audit must be paid from MPO resources obtained from other than federal entities).</w:t>
      </w:r>
    </w:p>
    <w:p w14:paraId="2826F726" w14:textId="49091577" w:rsidR="00BC19F4" w:rsidRPr="00BC19F4" w:rsidRDefault="00BC19F4" w:rsidP="00020D20">
      <w:pPr>
        <w:jc w:val="both"/>
      </w:pPr>
      <w:r w:rsidRPr="00BC19F4">
        <w:t xml:space="preserve">Federal awards are to be identified using the </w:t>
      </w:r>
      <w:hyperlink r:id="rId601" w:history="1">
        <w:r w:rsidRPr="00CE4AE0">
          <w:rPr>
            <w:rStyle w:val="TitleChar"/>
          </w:rPr>
          <w:t>Catalog of Federal Domestic Assistance</w:t>
        </w:r>
      </w:hyperlink>
      <w:r w:rsidRPr="00BC19F4">
        <w:t xml:space="preserve"> (CFDA) title and number, award number and year, and name of the awarding federal agency.</w:t>
      </w:r>
    </w:p>
    <w:p w14:paraId="79E44272" w14:textId="1258EA8D" w:rsidR="00BC19F4" w:rsidRPr="00BC19F4" w:rsidRDefault="00BC19F4" w:rsidP="00020D20">
      <w:pPr>
        <w:jc w:val="both"/>
      </w:pPr>
      <w:r w:rsidRPr="00BC19F4">
        <w:t xml:space="preserve">In compliance with </w:t>
      </w:r>
      <w:hyperlink r:id="rId602" w:history="1">
        <w:r w:rsidRPr="00CE4AE0">
          <w:rPr>
            <w:rStyle w:val="TitleChar"/>
          </w:rPr>
          <w:t xml:space="preserve">2 </w:t>
        </w:r>
        <w:r w:rsidR="009628C0">
          <w:rPr>
            <w:rStyle w:val="TitleChar"/>
          </w:rPr>
          <w:t xml:space="preserve">C.F.R. </w:t>
        </w:r>
        <w:r w:rsidRPr="00CE4AE0">
          <w:rPr>
            <w:rStyle w:val="TitleChar"/>
          </w:rPr>
          <w:t>§ 200.512</w:t>
        </w:r>
      </w:hyperlink>
      <w:r w:rsidRPr="00BC19F4">
        <w:t xml:space="preserve">, the audit must be completed and the report must be submitted </w:t>
      </w:r>
      <w:r w:rsidRPr="008D38D8">
        <w:t>“within the earlier of 30 days after receipt of the auditor’s report(s), or nine months after the end of the audit period.”</w:t>
      </w:r>
    </w:p>
    <w:p w14:paraId="44D600DB" w14:textId="77777777" w:rsidR="00BC19F4" w:rsidRPr="00BC19F4" w:rsidRDefault="00BC19F4" w:rsidP="00020D20">
      <w:pPr>
        <w:pStyle w:val="Heading2"/>
      </w:pPr>
      <w:bookmarkStart w:id="390" w:name="_Ref50031151"/>
      <w:r w:rsidRPr="00BC19F4">
        <w:t>9.4 | STATE REQUIREMENTS</w:t>
      </w:r>
      <w:bookmarkEnd w:id="390"/>
      <w:r w:rsidRPr="00BC19F4">
        <w:t xml:space="preserve"> </w:t>
      </w:r>
    </w:p>
    <w:p w14:paraId="60EBABB2" w14:textId="0C2F1B27" w:rsidR="00BC19F4" w:rsidRPr="00BC19F4" w:rsidRDefault="00BC19F4" w:rsidP="00020D20">
      <w:pPr>
        <w:jc w:val="both"/>
        <w:rPr>
          <w:rFonts w:cstheme="minorHAnsi"/>
        </w:rPr>
      </w:pPr>
      <w:r w:rsidRPr="00BC19F4">
        <w:rPr>
          <w:rFonts w:cstheme="minorHAnsi"/>
        </w:rPr>
        <w:t xml:space="preserve">In addition to reviews of audits in accordance with   </w:t>
      </w:r>
      <w:hyperlink r:id="rId603" w:history="1">
        <w:r w:rsidR="00F235C2" w:rsidRPr="00CE4AE0">
          <w:rPr>
            <w:rStyle w:val="TitleChar"/>
          </w:rPr>
          <w:t xml:space="preserve">2 </w:t>
        </w:r>
        <w:r w:rsidR="009628C0">
          <w:rPr>
            <w:rStyle w:val="TitleChar"/>
          </w:rPr>
          <w:t xml:space="preserve">C.F.R. </w:t>
        </w:r>
        <w:r w:rsidR="00F235C2" w:rsidRPr="00CE4AE0">
          <w:rPr>
            <w:rStyle w:val="TitleChar"/>
          </w:rPr>
          <w:t>§ 200.512</w:t>
        </w:r>
      </w:hyperlink>
      <w:r w:rsidR="001C1D9B" w:rsidRPr="007B6EEE">
        <w:rPr>
          <w:rStyle w:val="TitleChar"/>
        </w:rPr>
        <w:t>(b)</w:t>
      </w:r>
      <w:r w:rsidRPr="00BC19F4">
        <w:rPr>
          <w:rFonts w:cstheme="minorHAnsi"/>
        </w:rPr>
        <w:t xml:space="preserve">, monitoring procedures may include, but are not limited to, on-site visits by ADOT staff or designees; limited in scope audits as defined </w:t>
      </w:r>
      <w:r w:rsidR="009255F7">
        <w:rPr>
          <w:rFonts w:cstheme="minorHAnsi"/>
          <w:noProof/>
        </w:rPr>
        <mc:AlternateContent>
          <mc:Choice Requires="wps">
            <w:drawing>
              <wp:anchor distT="0" distB="0" distL="114300" distR="114300" simplePos="0" relativeHeight="251618330" behindDoc="1" locked="0" layoutInCell="1" allowOverlap="1" wp14:anchorId="3848754A" wp14:editId="3F001F40">
                <wp:simplePos x="0" y="0"/>
                <wp:positionH relativeFrom="column">
                  <wp:posOffset>0</wp:posOffset>
                </wp:positionH>
                <wp:positionV relativeFrom="paragraph">
                  <wp:posOffset>95456</wp:posOffset>
                </wp:positionV>
                <wp:extent cx="1169670" cy="1532890"/>
                <wp:effectExtent l="76200" t="95250" r="68580" b="86360"/>
                <wp:wrapTight wrapText="bothSides">
                  <wp:wrapPolygon edited="0">
                    <wp:start x="-1055" y="-1342"/>
                    <wp:lineTo x="-1407" y="-805"/>
                    <wp:lineTo x="-1407" y="22548"/>
                    <wp:lineTo x="22515" y="22548"/>
                    <wp:lineTo x="22515" y="-1342"/>
                    <wp:lineTo x="-1055" y="-1342"/>
                  </wp:wrapPolygon>
                </wp:wrapTight>
                <wp:docPr id="197" name="Text Box 197"/>
                <wp:cNvGraphicFramePr/>
                <a:graphic xmlns:a="http://schemas.openxmlformats.org/drawingml/2006/main">
                  <a:graphicData uri="http://schemas.microsoft.com/office/word/2010/wordprocessingShape">
                    <wps:wsp>
                      <wps:cNvSpPr txBox="1"/>
                      <wps:spPr>
                        <a:xfrm>
                          <a:off x="0" y="0"/>
                          <a:ext cx="1169670" cy="153289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A6A8976" w14:textId="183F4E20" w:rsidR="00C6444C" w:rsidRDefault="00C6444C" w:rsidP="00020D20">
                            <w:pPr>
                              <w:jc w:val="center"/>
                            </w:pPr>
                            <w:r>
                              <w:rPr>
                                <w:noProof/>
                              </w:rPr>
                              <w:drawing>
                                <wp:inline distT="0" distB="0" distL="0" distR="0" wp14:anchorId="4FA4D7F3" wp14:editId="4D473F2F">
                                  <wp:extent cx="457200" cy="457200"/>
                                  <wp:effectExtent l="0" t="0" r="0" b="0"/>
                                  <wp:docPr id="1690911537" name="Picture 1690911537"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F5609AA" w14:textId="11129520" w:rsidR="00C6444C" w:rsidRPr="00954116" w:rsidRDefault="00C6444C" w:rsidP="00020D20">
                            <w:pPr>
                              <w:pStyle w:val="Calloutboxes"/>
                            </w:pPr>
                            <w:r w:rsidRPr="00394A74">
                              <w:t>FEDERAL AUDIT CLEARINGHOUSE Bureau of the Census</w:t>
                            </w:r>
                          </w:p>
                          <w:p w14:paraId="53EA2665" w14:textId="557DE47C" w:rsidR="00C6444C" w:rsidRDefault="00C6444C">
                            <w:pPr>
                              <w:pStyle w:val="Calloutboxes"/>
                            </w:pPr>
                            <w:r w:rsidRPr="00347D6E">
                              <w:t>1201 East 10th St. Jeffersonville, IN 47132</w:t>
                            </w:r>
                          </w:p>
                          <w:p w14:paraId="7B207EAC" w14:textId="7455A131" w:rsidR="00C6444C" w:rsidRPr="00020D20" w:rsidRDefault="00202C92">
                            <w:pPr>
                              <w:pStyle w:val="Title"/>
                              <w:rPr>
                                <w:sz w:val="16"/>
                                <w:szCs w:val="16"/>
                              </w:rPr>
                            </w:pPr>
                            <w:hyperlink r:id="rId604" w:history="1">
                              <w:r w:rsidR="00C6444C" w:rsidRPr="00347D6E">
                                <w:rPr>
                                  <w:rStyle w:val="Hyperlink"/>
                                  <w:rFonts w:asciiTheme="minorHAnsi" w:hAnsiTheme="minorHAnsi" w:cstheme="majorBidi"/>
                                  <w:i/>
                                  <w:color w:val="CE5B18"/>
                                  <w:u w:val="none"/>
                                </w:rPr>
                                <w:t>https://facweb.census.gov/</w:t>
                              </w:r>
                            </w:hyperlink>
                          </w:p>
                          <w:p w14:paraId="7EAC8550" w14:textId="77777777" w:rsidR="00C6444C" w:rsidRPr="00020D20" w:rsidRDefault="00C6444C" w:rsidP="00020D20">
                            <w:pPr>
                              <w:jc w:val="cente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48754A" id="Text Box 197" o:spid="_x0000_s1167" type="#_x0000_t202" style="position:absolute;left:0;text-align:left;margin-left:0;margin-top:7.5pt;width:92.1pt;height:120.7pt;z-index:-251698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" fillcolor="#f7f7f7" stroked="f" strokeweight=".5pt">
                <v:shadow on="t" type="perspective" color="black" opacity="26214f" offset="0,0" matrix="66847f,,,66847f"/>
                <v:textbox>
                  <w:txbxContent>
                    <w:p w14:paraId="3A6A8976" w14:textId="183F4E20" w:rsidR="00C6444C" w:rsidRDefault="00C6444C" w:rsidP="00020D20">
                      <w:pPr>
                        <w:jc w:val="center"/>
                      </w:pPr>
                      <w:r>
                        <w:rPr>
                          <w:noProof/>
                        </w:rPr>
                        <w:drawing>
                          <wp:inline distT="0" distB="0" distL="0" distR="0" wp14:anchorId="4FA4D7F3" wp14:editId="4D473F2F">
                            <wp:extent cx="457200" cy="457200"/>
                            <wp:effectExtent l="0" t="0" r="0" b="0"/>
                            <wp:docPr id="1690911537" name="Picture 1690911537"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F5609AA" w14:textId="11129520" w:rsidR="00C6444C" w:rsidRPr="00954116" w:rsidRDefault="00C6444C" w:rsidP="00020D20">
                      <w:pPr>
                        <w:pStyle w:val="Calloutboxes"/>
                      </w:pPr>
                      <w:r w:rsidRPr="00394A74">
                        <w:t>FEDERAL AUDIT CLEARINGHOUSE Bureau of the Census</w:t>
                      </w:r>
                    </w:p>
                    <w:p w14:paraId="53EA2665" w14:textId="557DE47C" w:rsidR="00C6444C" w:rsidRDefault="00C6444C">
                      <w:pPr>
                        <w:pStyle w:val="Calloutboxes"/>
                      </w:pPr>
                      <w:r w:rsidRPr="00347D6E">
                        <w:t>1201 East 10th St. Jeffersonville, IN 47132</w:t>
                      </w:r>
                    </w:p>
                    <w:p w14:paraId="7B207EAC" w14:textId="7455A131" w:rsidR="00C6444C" w:rsidRPr="00020D20" w:rsidRDefault="00C6444C">
                      <w:pPr>
                        <w:pStyle w:val="Title"/>
                        <w:rPr>
                          <w:sz w:val="16"/>
                          <w:szCs w:val="16"/>
                        </w:rPr>
                      </w:pPr>
                      <w:hyperlink r:id="rId605" w:history="1">
                        <w:r w:rsidRPr="00347D6E">
                          <w:rPr>
                            <w:rStyle w:val="Hyperlink"/>
                            <w:rFonts w:asciiTheme="minorHAnsi" w:hAnsiTheme="minorHAnsi" w:cstheme="majorBidi"/>
                            <w:i/>
                            <w:color w:val="CE5B18"/>
                            <w:u w:val="none"/>
                          </w:rPr>
                          <w:t>https://facweb.census.gov/</w:t>
                        </w:r>
                      </w:hyperlink>
                    </w:p>
                    <w:p w14:paraId="7EAC8550" w14:textId="77777777" w:rsidR="00C6444C" w:rsidRPr="00020D20" w:rsidRDefault="00C6444C" w:rsidP="00020D20">
                      <w:pPr>
                        <w:jc w:val="center"/>
                        <w:rPr>
                          <w:sz w:val="16"/>
                          <w:szCs w:val="16"/>
                        </w:rPr>
                      </w:pPr>
                    </w:p>
                  </w:txbxContent>
                </v:textbox>
                <w10:wrap type="tight"/>
              </v:shape>
            </w:pict>
          </mc:Fallback>
        </mc:AlternateContent>
      </w:r>
      <w:r w:rsidRPr="00BC19F4">
        <w:rPr>
          <w:rFonts w:cstheme="minorHAnsi"/>
        </w:rPr>
        <w:t xml:space="preserve">by </w:t>
      </w:r>
      <w:hyperlink r:id="rId606" w:history="1">
        <w:r w:rsidRPr="001C1D9B">
          <w:rPr>
            <w:rStyle w:val="TitleChar"/>
          </w:rPr>
          <w:t xml:space="preserve">2 </w:t>
        </w:r>
        <w:r w:rsidR="009628C0">
          <w:rPr>
            <w:rStyle w:val="TitleChar"/>
          </w:rPr>
          <w:t xml:space="preserve">C.F.R. </w:t>
        </w:r>
        <w:r w:rsidRPr="001C1D9B">
          <w:rPr>
            <w:rStyle w:val="TitleChar"/>
          </w:rPr>
          <w:t>§ 200.425</w:t>
        </w:r>
      </w:hyperlink>
      <w:r w:rsidRPr="00BC19F4">
        <w:rPr>
          <w:rFonts w:cstheme="minorHAnsi"/>
        </w:rPr>
        <w:t xml:space="preserve">, as revised; and/or other procedures. Relating to federal financial assistance from ADOT, the MPO agrees to comply and cooperate fully with any monitoring procedures and processes deemed appropriate by ADOT. In the event ADOT determines that a limited scope audit of the MPO is appropriate, the MPO agrees to comply with any additional instructions provided by ADOT staff to the MPO regarding such audit. The MPO further agrees to comply and cooperate with any inspections, reviews, investigations, or audits deemed necessary by the ADOT Office of Audit and Analysis, ADOT </w:t>
      </w:r>
      <w:r w:rsidRPr="001C1D9B">
        <w:rPr>
          <w:rStyle w:val="Heading5Char"/>
        </w:rPr>
        <w:t>Office of the Inspector General</w:t>
      </w:r>
      <w:r w:rsidRPr="00BC19F4">
        <w:rPr>
          <w:rFonts w:cstheme="minorHAnsi"/>
        </w:rPr>
        <w:t xml:space="preserve"> (OIG), and ADOT FMS. ADOT will allow the MPO the right to inspect ADOT records applicable to an agreement associated with federal financial assistance.</w:t>
      </w:r>
    </w:p>
    <w:p w14:paraId="144102D2" w14:textId="61081BDF" w:rsidR="005B4117" w:rsidRDefault="00BC19F4" w:rsidP="00020D20">
      <w:pPr>
        <w:jc w:val="both"/>
        <w:rPr>
          <w:rFonts w:cstheme="minorHAnsi"/>
        </w:rPr>
      </w:pPr>
      <w:r w:rsidRPr="00BC19F4">
        <w:rPr>
          <w:rFonts w:cstheme="minorHAnsi"/>
        </w:rPr>
        <w:t>It is the responsibility of the MPO to monitor its subrecipients.</w:t>
      </w:r>
      <w:r>
        <w:rPr>
          <w:rFonts w:cstheme="minorHAnsi"/>
        </w:rPr>
        <w:t xml:space="preserve"> </w:t>
      </w:r>
    </w:p>
    <w:p w14:paraId="049C1587" w14:textId="77777777" w:rsidR="00BC19F4" w:rsidRPr="00BC19F4" w:rsidRDefault="00BC19F4" w:rsidP="00020D20">
      <w:pPr>
        <w:pStyle w:val="Heading2"/>
      </w:pPr>
      <w:bookmarkStart w:id="391" w:name="_Ref50031155"/>
      <w:r w:rsidRPr="00BC19F4">
        <w:t>9.5 | AUDIT FINDINGS</w:t>
      </w:r>
      <w:bookmarkEnd w:id="391"/>
    </w:p>
    <w:p w14:paraId="72F28567" w14:textId="77777777" w:rsidR="00BC19F4" w:rsidRPr="00BC19F4" w:rsidRDefault="00BC19F4" w:rsidP="00020D20">
      <w:pPr>
        <w:jc w:val="both"/>
        <w:rPr>
          <w:rFonts w:cstheme="minorHAnsi"/>
        </w:rPr>
      </w:pPr>
      <w:r w:rsidRPr="00BC19F4">
        <w:rPr>
          <w:rFonts w:cstheme="minorHAnsi"/>
        </w:rPr>
        <w:t>The MPO shall follow up and take corrective action on audit findings. A summary schedule of prior year audit findings, including corrective action, a timetable for resolution, and current status of the audit findings must be submitted to ADOT. Current year audit findings requiring corrective action, a timetable for resolution, and status of findings will also be reported to ADOT.</w:t>
      </w:r>
    </w:p>
    <w:p w14:paraId="745116A1" w14:textId="2F1BB5DB" w:rsidR="00155227" w:rsidRDefault="00BC19F4" w:rsidP="00020D20">
      <w:pPr>
        <w:jc w:val="both"/>
      </w:pPr>
      <w:r w:rsidRPr="00BC19F4">
        <w:rPr>
          <w:rFonts w:cstheme="minorHAnsi"/>
        </w:rPr>
        <w:t>If the MPO fails to take corrective action, ADOT will make a determination to make financial adjustments to the allocated federal funding as determined appropriate, up to and including repayment by the MPO of disallowed costs, or ADOT may take other action as determined appropriate. If the MPO has not completed corrective action, a timetable for follow-up should be provided.</w:t>
      </w:r>
    </w:p>
    <w:p w14:paraId="30559623" w14:textId="30C7994E" w:rsidR="00BC19F4" w:rsidRPr="00BC19F4" w:rsidRDefault="00BC19F4" w:rsidP="00020D20">
      <w:pPr>
        <w:pStyle w:val="Heading2"/>
      </w:pPr>
      <w:bookmarkStart w:id="392" w:name="_Ref50031158"/>
      <w:r w:rsidRPr="00BC19F4">
        <w:t>9.6 | REPORT SUBMISSION</w:t>
      </w:r>
      <w:bookmarkEnd w:id="392"/>
    </w:p>
    <w:p w14:paraId="532908C6" w14:textId="3BD6B4FD" w:rsidR="00BC19F4" w:rsidRPr="00BC19F4" w:rsidRDefault="00BC19F4" w:rsidP="00020D20">
      <w:pPr>
        <w:jc w:val="both"/>
        <w:rPr>
          <w:rFonts w:cstheme="minorHAnsi"/>
        </w:rPr>
      </w:pPr>
      <w:r w:rsidRPr="00BC19F4">
        <w:rPr>
          <w:rFonts w:cstheme="minorHAnsi"/>
        </w:rPr>
        <w:t xml:space="preserve">Copies of reporting packages for audits conducted in accordance with </w:t>
      </w:r>
      <w:hyperlink r:id="rId607" w:history="1">
        <w:r w:rsidR="00C263FE" w:rsidRPr="00CE4AE0">
          <w:rPr>
            <w:rStyle w:val="TitleChar"/>
          </w:rPr>
          <w:t xml:space="preserve">2 </w:t>
        </w:r>
        <w:r w:rsidR="009628C0">
          <w:rPr>
            <w:rStyle w:val="TitleChar"/>
          </w:rPr>
          <w:t xml:space="preserve">C.F.R. </w:t>
        </w:r>
        <w:r w:rsidR="00C263FE" w:rsidRPr="00CE4AE0">
          <w:rPr>
            <w:rStyle w:val="TitleChar"/>
          </w:rPr>
          <w:t>§ 200.512</w:t>
        </w:r>
      </w:hyperlink>
      <w:r w:rsidR="00C263FE" w:rsidRPr="007B6EEE">
        <w:rPr>
          <w:rStyle w:val="TitleChar"/>
        </w:rPr>
        <w:t xml:space="preserve"> </w:t>
      </w:r>
      <w:r w:rsidRPr="00BC19F4">
        <w:rPr>
          <w:rFonts w:cstheme="minorHAnsi"/>
        </w:rPr>
        <w:t xml:space="preserve">must be submitted when required by </w:t>
      </w:r>
      <w:hyperlink r:id="rId608" w:history="1">
        <w:r w:rsidR="00C263FE" w:rsidRPr="00CE4AE0">
          <w:rPr>
            <w:rStyle w:val="TitleChar"/>
          </w:rPr>
          <w:t xml:space="preserve">2 </w:t>
        </w:r>
        <w:r w:rsidR="009628C0">
          <w:rPr>
            <w:rStyle w:val="TitleChar"/>
          </w:rPr>
          <w:t xml:space="preserve">C.F.R. </w:t>
        </w:r>
        <w:r w:rsidR="00C263FE" w:rsidRPr="00CE4AE0">
          <w:rPr>
            <w:rStyle w:val="TitleChar"/>
          </w:rPr>
          <w:t>§ 200.512</w:t>
        </w:r>
      </w:hyperlink>
      <w:r w:rsidR="00C263FE" w:rsidRPr="007B6EEE">
        <w:rPr>
          <w:rStyle w:val="TitleChar"/>
        </w:rPr>
        <w:t xml:space="preserve"> </w:t>
      </w:r>
      <w:r w:rsidRPr="00BC19F4">
        <w:rPr>
          <w:rFonts w:cstheme="minorHAnsi"/>
        </w:rPr>
        <w:t>directly to each of</w:t>
      </w:r>
      <w:r>
        <w:rPr>
          <w:rFonts w:cstheme="minorHAnsi"/>
        </w:rPr>
        <w:t xml:space="preserve"> </w:t>
      </w:r>
      <w:r w:rsidRPr="00BC19F4">
        <w:rPr>
          <w:rFonts w:cstheme="minorHAnsi"/>
        </w:rPr>
        <w:t>the following agencies at the addresses provided in Table 9-2.</w:t>
      </w:r>
    </w:p>
    <w:p w14:paraId="684277A8" w14:textId="36EA2C8C" w:rsidR="00BC19F4" w:rsidRPr="00BC19F4" w:rsidRDefault="00BC19F4" w:rsidP="00020D20">
      <w:pPr>
        <w:jc w:val="both"/>
        <w:rPr>
          <w:rFonts w:cstheme="minorHAnsi"/>
        </w:rPr>
      </w:pPr>
      <w:r w:rsidRPr="00BC19F4">
        <w:rPr>
          <w:rFonts w:cstheme="minorHAnsi"/>
        </w:rPr>
        <w:t>The audit must be completed and the data collection form and reporting packag</w:t>
      </w:r>
      <w:r w:rsidR="002D0D34" w:rsidRPr="00BC19F4">
        <w:rPr>
          <w:rFonts w:cstheme="minorHAnsi"/>
        </w:rPr>
        <w:t xml:space="preserve">e described in </w:t>
      </w:r>
      <w:hyperlink r:id="rId609" w:history="1">
        <w:r w:rsidR="00C263FE" w:rsidRPr="00CE4AE0">
          <w:rPr>
            <w:rStyle w:val="TitleChar"/>
          </w:rPr>
          <w:t xml:space="preserve">2 </w:t>
        </w:r>
        <w:r w:rsidR="009628C0">
          <w:rPr>
            <w:rStyle w:val="TitleChar"/>
          </w:rPr>
          <w:t xml:space="preserve">C.F.R. </w:t>
        </w:r>
        <w:r w:rsidR="00C263FE" w:rsidRPr="00CE4AE0">
          <w:rPr>
            <w:rStyle w:val="TitleChar"/>
          </w:rPr>
          <w:t>§ 200.512</w:t>
        </w:r>
      </w:hyperlink>
      <w:r w:rsidR="002D0D34" w:rsidRPr="00BC19F4">
        <w:rPr>
          <w:rFonts w:cstheme="minorHAnsi"/>
        </w:rPr>
        <w:t xml:space="preserve"> </w:t>
      </w:r>
      <w:r w:rsidRPr="00BC19F4">
        <w:rPr>
          <w:rFonts w:cstheme="minorHAnsi"/>
        </w:rPr>
        <w:t xml:space="preserve">must be submitted within the earlier of 30 calendar days after receipt of the auditor’s report(s), or nine months after the end of the audit period. If the due date falls on a </w:t>
      </w:r>
      <w:r w:rsidR="002D0D34" w:rsidRPr="00BC19F4">
        <w:t>Saturday</w:t>
      </w:r>
      <w:r w:rsidRPr="00BC19F4">
        <w:rPr>
          <w:rFonts w:cstheme="minorHAnsi"/>
        </w:rPr>
        <w:t xml:space="preserve">, Sunday, or Federal holiday, the reporting package is due the next business day. </w:t>
      </w:r>
    </w:p>
    <w:p w14:paraId="58F55F2B" w14:textId="50BBBA25" w:rsidR="00BC19F4" w:rsidRPr="00BC19F4" w:rsidRDefault="00BC19F4" w:rsidP="00020D20">
      <w:pPr>
        <w:jc w:val="both"/>
        <w:rPr>
          <w:rFonts w:cstheme="minorHAnsi"/>
        </w:rPr>
      </w:pPr>
      <w:r w:rsidRPr="00BC19F4">
        <w:rPr>
          <w:rFonts w:cstheme="minorHAnsi"/>
        </w:rPr>
        <w:t xml:space="preserve">Copies of written communication between the MPO and the independent auditor in compliance with the </w:t>
      </w:r>
      <w:r w:rsidRPr="00C263FE">
        <w:rPr>
          <w:rStyle w:val="Heading5Char"/>
        </w:rPr>
        <w:t>Statement on Auditing Standards No. 114</w:t>
      </w:r>
      <w:r w:rsidRPr="00BC19F4">
        <w:rPr>
          <w:rFonts w:cstheme="minorHAnsi"/>
        </w:rPr>
        <w:t xml:space="preserve"> must be submitted by or on behalf of the MPO directly to the ADOT. Any written communication required to be submitted to ADOT shall be submitted timely in accordance with </w:t>
      </w:r>
      <w:hyperlink r:id="rId610" w:history="1">
        <w:r w:rsidR="00C263FE" w:rsidRPr="00FA03C0">
          <w:rPr>
            <w:rStyle w:val="TitleChar"/>
          </w:rPr>
          <w:t xml:space="preserve">2 </w:t>
        </w:r>
        <w:r w:rsidR="009628C0">
          <w:rPr>
            <w:rStyle w:val="TitleChar"/>
          </w:rPr>
          <w:t xml:space="preserve">C.F.R. </w:t>
        </w:r>
        <w:r w:rsidR="00C263FE" w:rsidRPr="00FA03C0">
          <w:rPr>
            <w:rStyle w:val="TitleChar"/>
          </w:rPr>
          <w:t>§ 200.</w:t>
        </w:r>
      </w:hyperlink>
    </w:p>
    <w:p w14:paraId="5850C71E" w14:textId="77777777" w:rsidR="00BC19F4" w:rsidRPr="00BC19F4" w:rsidRDefault="00BC19F4" w:rsidP="00020D20">
      <w:pPr>
        <w:jc w:val="both"/>
        <w:rPr>
          <w:rFonts w:cstheme="minorHAnsi"/>
        </w:rPr>
      </w:pPr>
      <w:r w:rsidRPr="00BC19F4">
        <w:rPr>
          <w:rFonts w:cstheme="minorHAnsi"/>
        </w:rPr>
        <w:t>When submitting financial reporting packages to ADOT for audits, MPOs should include correspondence that indicates the delivery date of the reporting package.</w:t>
      </w:r>
    </w:p>
    <w:p w14:paraId="2DF3A337" w14:textId="77777777" w:rsidR="00BC19F4" w:rsidRPr="00BC19F4" w:rsidRDefault="00BC19F4" w:rsidP="00020D20">
      <w:pPr>
        <w:pStyle w:val="Heading2"/>
      </w:pPr>
      <w:bookmarkStart w:id="393" w:name="_Ref50031172"/>
      <w:r w:rsidRPr="00BC19F4">
        <w:t>9.7 | RECORD RETENTION</w:t>
      </w:r>
      <w:bookmarkEnd w:id="393"/>
    </w:p>
    <w:p w14:paraId="49CD9AD5" w14:textId="0FFA69A5" w:rsidR="00565E61" w:rsidRDefault="00BC19F4" w:rsidP="00020D20">
      <w:pPr>
        <w:jc w:val="both"/>
        <w:rPr>
          <w:rFonts w:cstheme="minorHAnsi"/>
        </w:rPr>
      </w:pPr>
      <w:r w:rsidRPr="00BC19F4">
        <w:rPr>
          <w:rFonts w:cstheme="minorHAnsi"/>
        </w:rPr>
        <w:t>The MPO, along with its subrecipients, shall retain sufficient records for a period of at least five years from the date the audit report is issued and shall allow ADOT, FHWA, and the FTA access to such records upon request. The MPO shall ensure that audit working papers are made available to ADOT, FHWA, and the FTA upon request for a period of at least five years from the date the audit report is issued, unless extended in writing by ADOT.</w:t>
      </w:r>
    </w:p>
    <w:p w14:paraId="14B3AA19" w14:textId="77777777" w:rsidR="00565E61" w:rsidRDefault="00565E61"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cstheme="minorHAnsi"/>
        </w:rPr>
      </w:pPr>
      <w:r>
        <w:rPr>
          <w:rFonts w:cstheme="minorHAnsi"/>
        </w:rPr>
        <w:br w:type="page"/>
      </w:r>
    </w:p>
    <w:p w14:paraId="374C94EF" w14:textId="77777777" w:rsidR="003F53CA" w:rsidRDefault="003F53CA" w:rsidP="00020D20">
      <w:pPr>
        <w:jc w:val="both"/>
        <w:rPr>
          <w:rFonts w:cstheme="minorHAnsi"/>
        </w:rPr>
        <w:sectPr w:rsidR="003F53CA" w:rsidSect="00020D20">
          <w:type w:val="continuous"/>
          <w:pgSz w:w="12240" w:h="15840"/>
          <w:pgMar w:top="1440" w:right="1440" w:bottom="1440" w:left="1440" w:header="720" w:footer="720" w:gutter="0"/>
          <w:pgNumType w:chapStyle="1"/>
          <w:cols w:num="2" w:space="720"/>
          <w:docGrid w:linePitch="360"/>
        </w:sectPr>
      </w:pPr>
    </w:p>
    <w:p w14:paraId="1C637398" w14:textId="68D3BC11" w:rsidR="00BC19F4" w:rsidRDefault="00BC19F4" w:rsidP="00020D20">
      <w:pPr>
        <w:pStyle w:val="Heading4"/>
        <w:jc w:val="both"/>
        <w:rPr>
          <w:rFonts w:cstheme="minorHAnsi"/>
        </w:rPr>
      </w:pPr>
      <w:r w:rsidRPr="00BC19F4">
        <w:rPr>
          <w:rFonts w:cstheme="minorHAnsi"/>
        </w:rPr>
        <w:t>Table 9-2 | Audit Contact Information</w:t>
      </w:r>
    </w:p>
    <w:tbl>
      <w:tblPr>
        <w:tblW w:w="9358" w:type="dxa"/>
        <w:tblInd w:w="-8" w:type="dxa"/>
        <w:tblLayout w:type="fixed"/>
        <w:tblCellMar>
          <w:left w:w="0" w:type="dxa"/>
          <w:right w:w="0" w:type="dxa"/>
        </w:tblCellMar>
        <w:tblLook w:val="0000" w:firstRow="0" w:lastRow="0" w:firstColumn="0" w:lastColumn="0" w:noHBand="0" w:noVBand="0"/>
      </w:tblPr>
      <w:tblGrid>
        <w:gridCol w:w="358"/>
        <w:gridCol w:w="360"/>
        <w:gridCol w:w="2610"/>
        <w:gridCol w:w="2520"/>
        <w:gridCol w:w="3510"/>
      </w:tblGrid>
      <w:tr w:rsidR="00BC19F4" w:rsidRPr="00BC19F4" w14:paraId="16F99D48" w14:textId="77777777" w:rsidTr="00020D20">
        <w:trPr>
          <w:trHeight w:val="20"/>
        </w:trPr>
        <w:tc>
          <w:tcPr>
            <w:tcW w:w="3328" w:type="dxa"/>
            <w:gridSpan w:val="3"/>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28DA637D" w14:textId="77777777" w:rsidR="00BC19F4" w:rsidRPr="00020D20" w:rsidRDefault="00BC19F4" w:rsidP="00020D20">
            <w:pPr>
              <w:spacing w:before="0" w:after="0" w:line="240" w:lineRule="auto"/>
              <w:jc w:val="center"/>
              <w:rPr>
                <w:sz w:val="22"/>
              </w:rPr>
            </w:pPr>
            <w:r w:rsidRPr="00020D20">
              <w:rPr>
                <w:sz w:val="22"/>
              </w:rPr>
              <w:t>Organization</w:t>
            </w:r>
          </w:p>
        </w:tc>
        <w:tc>
          <w:tcPr>
            <w:tcW w:w="2520" w:type="dxa"/>
            <w:tcBorders>
              <w:top w:val="single" w:sz="4" w:space="0" w:color="auto"/>
              <w:left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5D276882" w14:textId="77777777" w:rsidR="00BC19F4" w:rsidRPr="00020D20" w:rsidRDefault="00BC19F4" w:rsidP="00020D20">
            <w:pPr>
              <w:spacing w:before="0" w:after="0" w:line="240" w:lineRule="auto"/>
              <w:jc w:val="center"/>
              <w:rPr>
                <w:sz w:val="22"/>
              </w:rPr>
            </w:pPr>
            <w:r w:rsidRPr="00020D20">
              <w:rPr>
                <w:sz w:val="22"/>
              </w:rPr>
              <w:t>Contact Information</w:t>
            </w:r>
          </w:p>
        </w:tc>
        <w:tc>
          <w:tcPr>
            <w:tcW w:w="3510"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4BE1229C" w14:textId="77777777" w:rsidR="00BC19F4" w:rsidRPr="00020D20" w:rsidRDefault="00BC19F4" w:rsidP="00020D20">
            <w:pPr>
              <w:spacing w:before="0" w:after="0" w:line="240" w:lineRule="auto"/>
              <w:jc w:val="center"/>
              <w:rPr>
                <w:sz w:val="22"/>
              </w:rPr>
            </w:pPr>
            <w:r w:rsidRPr="00020D20">
              <w:rPr>
                <w:sz w:val="22"/>
              </w:rPr>
              <w:t>Website</w:t>
            </w:r>
          </w:p>
        </w:tc>
      </w:tr>
      <w:tr w:rsidR="00BC19F4" w:rsidRPr="00BC19F4" w14:paraId="4483C02E" w14:textId="77777777" w:rsidTr="00020D20">
        <w:trPr>
          <w:trHeight w:val="647"/>
        </w:trPr>
        <w:tc>
          <w:tcPr>
            <w:tcW w:w="358"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textDirection w:val="btLr"/>
            <w:vAlign w:val="center"/>
          </w:tcPr>
          <w:p w14:paraId="01138822" w14:textId="77777777" w:rsidR="00BC19F4" w:rsidRPr="00020D20" w:rsidRDefault="00BC19F4" w:rsidP="00020D20">
            <w:pPr>
              <w:spacing w:before="0" w:after="0" w:line="240" w:lineRule="auto"/>
              <w:jc w:val="center"/>
              <w:rPr>
                <w:sz w:val="22"/>
              </w:rPr>
            </w:pPr>
            <w:r w:rsidRPr="00020D20">
              <w:rPr>
                <w:sz w:val="22"/>
              </w:rPr>
              <w:t>State</w:t>
            </w: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655A43EF" w14:textId="77777777" w:rsidR="00BC19F4" w:rsidRPr="00020D20" w:rsidRDefault="00BC19F4" w:rsidP="00020D20">
            <w:pPr>
              <w:spacing w:before="0" w:after="0" w:line="240" w:lineRule="auto"/>
              <w:jc w:val="center"/>
              <w:rPr>
                <w:sz w:val="22"/>
              </w:rPr>
            </w:pPr>
            <w:r w:rsidRPr="00020D20">
              <w:rPr>
                <w:sz w:val="22"/>
              </w:rPr>
              <w:t>ADOT</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2ED21E2" w14:textId="77777777" w:rsidR="00BC19F4" w:rsidRPr="00020D20" w:rsidRDefault="00BC19F4" w:rsidP="00020D20">
            <w:pPr>
              <w:spacing w:before="0" w:after="0" w:line="240" w:lineRule="auto"/>
              <w:jc w:val="center"/>
              <w:rPr>
                <w:sz w:val="18"/>
                <w:szCs w:val="18"/>
              </w:rPr>
            </w:pPr>
            <w:r w:rsidRPr="00020D20">
              <w:rPr>
                <w:sz w:val="18"/>
                <w:szCs w:val="18"/>
              </w:rPr>
              <w:t>Arizona Department of Transportation</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7F9068D" w14:textId="4CE0FBA0" w:rsidR="00BC19F4" w:rsidRPr="00020D20" w:rsidRDefault="00BC19F4" w:rsidP="00020D20">
            <w:pPr>
              <w:spacing w:before="0" w:after="0" w:line="240" w:lineRule="auto"/>
              <w:jc w:val="center"/>
              <w:rPr>
                <w:sz w:val="18"/>
                <w:szCs w:val="18"/>
              </w:rPr>
            </w:pPr>
            <w:r w:rsidRPr="00020D20">
              <w:rPr>
                <w:sz w:val="18"/>
                <w:szCs w:val="18"/>
              </w:rPr>
              <w:t>206 S. 17th Ave., MD310BPhoenix, AZ 85007</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77D1461" w14:textId="65AF9D3D" w:rsidR="00BC19F4" w:rsidRPr="004D5079" w:rsidRDefault="00202C92" w:rsidP="00020D20">
            <w:pPr>
              <w:pStyle w:val="BalloonText"/>
              <w:jc w:val="center"/>
            </w:pPr>
            <w:hyperlink r:id="rId611" w:history="1">
              <w:r w:rsidR="005D3546" w:rsidRPr="00020D20">
                <w:rPr>
                  <w:rStyle w:val="Hyperlink"/>
                  <w:rFonts w:asciiTheme="minorHAnsi" w:hAnsiTheme="minorHAnsi" w:cstheme="majorBidi"/>
                  <w:color w:val="CE5B18"/>
                  <w:sz w:val="18"/>
                  <w:szCs w:val="18"/>
                  <w:u w:val="none"/>
                </w:rPr>
                <w:t>https://azdot.gov/about/audit-and-analysis</w:t>
              </w:r>
            </w:hyperlink>
          </w:p>
        </w:tc>
      </w:tr>
      <w:tr w:rsidR="00BC19F4" w:rsidRPr="00BC19F4" w14:paraId="206E54CA" w14:textId="77777777" w:rsidTr="00020D20">
        <w:trPr>
          <w:trHeight w:val="20"/>
        </w:trPr>
        <w:tc>
          <w:tcPr>
            <w:tcW w:w="358" w:type="dxa"/>
            <w:vMerge w:val="restart"/>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textDirection w:val="btLr"/>
            <w:vAlign w:val="center"/>
          </w:tcPr>
          <w:p w14:paraId="0D70709E" w14:textId="77777777" w:rsidR="00BC19F4" w:rsidRPr="00020D20" w:rsidRDefault="00BC19F4" w:rsidP="00020D20">
            <w:pPr>
              <w:spacing w:before="0" w:after="0" w:line="240" w:lineRule="auto"/>
              <w:jc w:val="center"/>
              <w:rPr>
                <w:sz w:val="22"/>
              </w:rPr>
            </w:pPr>
            <w:r w:rsidRPr="00020D20">
              <w:rPr>
                <w:sz w:val="22"/>
              </w:rPr>
              <w:t>Federal</w:t>
            </w: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2D9D10F3" w14:textId="77777777" w:rsidR="00BC19F4" w:rsidRPr="00020D20" w:rsidRDefault="00BC19F4" w:rsidP="00020D20">
            <w:pPr>
              <w:spacing w:before="0" w:after="0" w:line="240" w:lineRule="auto"/>
              <w:jc w:val="center"/>
              <w:rPr>
                <w:sz w:val="22"/>
              </w:rPr>
            </w:pPr>
            <w:r w:rsidRPr="00020D20">
              <w:rPr>
                <w:sz w:val="22"/>
              </w:rPr>
              <w:t>FAC</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DA012EA" w14:textId="77777777" w:rsidR="00BC19F4" w:rsidRPr="00020D20" w:rsidRDefault="00BC19F4" w:rsidP="00020D20">
            <w:pPr>
              <w:spacing w:before="0" w:after="0" w:line="240" w:lineRule="auto"/>
              <w:jc w:val="center"/>
              <w:rPr>
                <w:sz w:val="18"/>
                <w:szCs w:val="18"/>
              </w:rPr>
            </w:pPr>
            <w:r w:rsidRPr="00020D20">
              <w:rPr>
                <w:sz w:val="18"/>
                <w:szCs w:val="18"/>
              </w:rPr>
              <w:t>Federal Audit Clearinghouse</w:t>
            </w:r>
          </w:p>
          <w:p w14:paraId="5B59E054" w14:textId="6E220F53" w:rsidR="00BC19F4" w:rsidRPr="00020D20" w:rsidRDefault="00BC19F4" w:rsidP="00020D20">
            <w:pPr>
              <w:spacing w:before="0" w:after="0" w:line="240" w:lineRule="auto"/>
              <w:jc w:val="center"/>
              <w:rPr>
                <w:sz w:val="18"/>
                <w:szCs w:val="18"/>
              </w:rPr>
            </w:pPr>
            <w:r w:rsidRPr="00020D20">
              <w:rPr>
                <w:sz w:val="18"/>
                <w:szCs w:val="18"/>
              </w:rPr>
              <w:t>Bureau of the Census</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D5C3687" w14:textId="2BB2DA11" w:rsidR="00BC19F4" w:rsidRPr="00020D20" w:rsidRDefault="00BC19F4" w:rsidP="00020D20">
            <w:pPr>
              <w:spacing w:before="0" w:after="0" w:line="240" w:lineRule="auto"/>
              <w:jc w:val="center"/>
              <w:rPr>
                <w:sz w:val="18"/>
                <w:szCs w:val="18"/>
              </w:rPr>
            </w:pPr>
            <w:r w:rsidRPr="00020D20">
              <w:rPr>
                <w:sz w:val="18"/>
                <w:szCs w:val="18"/>
              </w:rPr>
              <w:t>1201 East 10th St.Jeffersonville, IN 47132</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5A4DAE6" w14:textId="03FE7D5F" w:rsidR="00BC19F4" w:rsidRPr="004D5079" w:rsidRDefault="00202C92" w:rsidP="00020D20">
            <w:pPr>
              <w:pStyle w:val="BalloonText"/>
              <w:jc w:val="center"/>
            </w:pPr>
            <w:hyperlink r:id="rId612" w:history="1">
              <w:r w:rsidR="00C276A9" w:rsidRPr="00020D20">
                <w:rPr>
                  <w:rStyle w:val="Hyperlink"/>
                  <w:rFonts w:asciiTheme="minorHAnsi" w:hAnsiTheme="minorHAnsi" w:cstheme="majorBidi"/>
                  <w:color w:val="CE5B18"/>
                  <w:sz w:val="18"/>
                  <w:szCs w:val="18"/>
                  <w:u w:val="none"/>
                </w:rPr>
                <w:t>https://facweb.census.gov/</w:t>
              </w:r>
            </w:hyperlink>
          </w:p>
        </w:tc>
      </w:tr>
      <w:tr w:rsidR="00BC19F4" w:rsidRPr="00BC19F4" w14:paraId="238F99EE" w14:textId="77777777" w:rsidTr="00020D20">
        <w:trPr>
          <w:trHeight w:val="287"/>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43B79BCE"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75E1002E" w14:textId="77777777" w:rsidR="00BC19F4" w:rsidRPr="00020D20" w:rsidRDefault="00BC19F4" w:rsidP="00020D20">
            <w:pPr>
              <w:spacing w:before="0" w:after="0" w:line="240" w:lineRule="auto"/>
              <w:jc w:val="center"/>
              <w:rPr>
                <w:sz w:val="22"/>
              </w:rPr>
            </w:pPr>
            <w:r w:rsidRPr="00020D20">
              <w:rPr>
                <w:sz w:val="22"/>
              </w:rPr>
              <w:t>FHWA</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3D0D674" w14:textId="77777777" w:rsidR="00BC19F4" w:rsidRPr="00020D20" w:rsidRDefault="00BC19F4" w:rsidP="00020D20">
            <w:pPr>
              <w:spacing w:before="0" w:after="0" w:line="240" w:lineRule="auto"/>
              <w:jc w:val="center"/>
              <w:rPr>
                <w:sz w:val="18"/>
                <w:szCs w:val="18"/>
              </w:rPr>
            </w:pPr>
            <w:r w:rsidRPr="00020D20">
              <w:rPr>
                <w:sz w:val="18"/>
                <w:szCs w:val="18"/>
              </w:rPr>
              <w:t>Federal Highway Administration, Arizona Division</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75EF572" w14:textId="07647BD8" w:rsidR="00BC19F4" w:rsidRPr="00020D20" w:rsidRDefault="00BC19F4" w:rsidP="00020D20">
            <w:pPr>
              <w:spacing w:before="0" w:after="0" w:line="240" w:lineRule="auto"/>
              <w:jc w:val="center"/>
              <w:rPr>
                <w:sz w:val="18"/>
                <w:szCs w:val="18"/>
              </w:rPr>
            </w:pPr>
            <w:r w:rsidRPr="00020D20">
              <w:rPr>
                <w:sz w:val="18"/>
                <w:szCs w:val="18"/>
              </w:rPr>
              <w:t>4000 North Central Ave., Suite 1500Phoenix, AZ 85012-1906</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0FAE0D2" w14:textId="5866489A" w:rsidR="00BC19F4" w:rsidRPr="004D5079" w:rsidRDefault="00202C92" w:rsidP="00020D20">
            <w:pPr>
              <w:pStyle w:val="BalloonText"/>
              <w:jc w:val="center"/>
            </w:pPr>
            <w:hyperlink r:id="rId613" w:history="1">
              <w:r w:rsidR="00C276A9" w:rsidRPr="00020D20">
                <w:rPr>
                  <w:rStyle w:val="Hyperlink"/>
                  <w:rFonts w:asciiTheme="minorHAnsi" w:hAnsiTheme="minorHAnsi" w:cstheme="majorBidi"/>
                  <w:color w:val="CE5B18"/>
                  <w:sz w:val="18"/>
                  <w:szCs w:val="18"/>
                  <w:u w:val="none"/>
                </w:rPr>
                <w:t>https://www.fhwa.dot.gov/azdiv/</w:t>
              </w:r>
            </w:hyperlink>
          </w:p>
        </w:tc>
      </w:tr>
      <w:tr w:rsidR="00BC19F4" w:rsidRPr="00BC19F4" w14:paraId="416ACAF3" w14:textId="77777777" w:rsidTr="00020D20">
        <w:trPr>
          <w:trHeight w:val="20"/>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5710F76E"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40F12B1A" w14:textId="77777777" w:rsidR="00BC19F4" w:rsidRPr="00020D20" w:rsidRDefault="00BC19F4" w:rsidP="00020D20">
            <w:pPr>
              <w:spacing w:before="0" w:after="0" w:line="240" w:lineRule="auto"/>
              <w:jc w:val="center"/>
              <w:rPr>
                <w:sz w:val="22"/>
              </w:rPr>
            </w:pPr>
            <w:r w:rsidRPr="00020D20">
              <w:rPr>
                <w:sz w:val="22"/>
              </w:rPr>
              <w:t>BIA</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F0F4CBF" w14:textId="34EFD3C1" w:rsidR="00BC19F4" w:rsidRPr="00020D20" w:rsidRDefault="00BC19F4" w:rsidP="00020D20">
            <w:pPr>
              <w:spacing w:before="0" w:after="0" w:line="240" w:lineRule="auto"/>
              <w:jc w:val="center"/>
              <w:rPr>
                <w:sz w:val="18"/>
                <w:szCs w:val="18"/>
              </w:rPr>
            </w:pPr>
            <w:r w:rsidRPr="00020D20">
              <w:rPr>
                <w:sz w:val="18"/>
                <w:szCs w:val="18"/>
              </w:rPr>
              <w:t xml:space="preserve">Bureau </w:t>
            </w:r>
            <w:r w:rsidR="00F021BB" w:rsidRPr="00510056">
              <w:rPr>
                <w:sz w:val="18"/>
                <w:szCs w:val="18"/>
              </w:rPr>
              <w:t>of</w:t>
            </w:r>
            <w:r w:rsidRPr="00020D20">
              <w:rPr>
                <w:sz w:val="18"/>
                <w:szCs w:val="18"/>
              </w:rPr>
              <w:t xml:space="preserve"> Indian Affairs</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A9BAEC6" w14:textId="6F9B551F" w:rsidR="00BC19F4" w:rsidRPr="00020D20" w:rsidRDefault="00BC19F4" w:rsidP="00020D20">
            <w:pPr>
              <w:spacing w:before="0" w:after="0" w:line="240" w:lineRule="auto"/>
              <w:jc w:val="center"/>
              <w:rPr>
                <w:sz w:val="18"/>
                <w:szCs w:val="18"/>
              </w:rPr>
            </w:pPr>
            <w:r w:rsidRPr="00020D20">
              <w:rPr>
                <w:sz w:val="18"/>
                <w:szCs w:val="18"/>
              </w:rPr>
              <w:t>2600 N. Central Ave., 4th Floor MailroomPhoenix, AZ 85004-3050</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18CCB93" w14:textId="4D0E14E1" w:rsidR="00BC19F4" w:rsidRPr="004D5079" w:rsidRDefault="00202C92" w:rsidP="00020D20">
            <w:pPr>
              <w:pStyle w:val="BalloonText"/>
              <w:jc w:val="center"/>
            </w:pPr>
            <w:hyperlink r:id="rId614" w:history="1">
              <w:r w:rsidR="00C276A9" w:rsidRPr="00020D20">
                <w:rPr>
                  <w:rStyle w:val="Hyperlink"/>
                  <w:rFonts w:asciiTheme="minorHAnsi" w:hAnsiTheme="minorHAnsi" w:cstheme="majorBidi"/>
                  <w:color w:val="CE5B18"/>
                  <w:sz w:val="18"/>
                  <w:szCs w:val="18"/>
                  <w:u w:val="none"/>
                </w:rPr>
                <w:t>https://www.bia.gov/knowledge-base/audit-financial</w:t>
              </w:r>
            </w:hyperlink>
          </w:p>
        </w:tc>
      </w:tr>
      <w:tr w:rsidR="00BC19F4" w:rsidRPr="00BC19F4" w14:paraId="481E3AD1" w14:textId="77777777" w:rsidTr="00020D20">
        <w:trPr>
          <w:trHeight w:val="518"/>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38F8B28E"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37E6C91A" w14:textId="77777777" w:rsidR="00BC19F4" w:rsidRPr="00020D20" w:rsidRDefault="00BC19F4" w:rsidP="00020D20">
            <w:pPr>
              <w:spacing w:before="0" w:after="0" w:line="240" w:lineRule="auto"/>
              <w:jc w:val="center"/>
              <w:rPr>
                <w:sz w:val="22"/>
              </w:rPr>
            </w:pPr>
            <w:r w:rsidRPr="00020D20">
              <w:rPr>
                <w:sz w:val="22"/>
              </w:rPr>
              <w:t>EPA</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BBDCA48" w14:textId="77777777" w:rsidR="00BC19F4" w:rsidRPr="00020D20" w:rsidRDefault="00BC19F4" w:rsidP="00020D20">
            <w:pPr>
              <w:spacing w:before="0" w:after="0" w:line="240" w:lineRule="auto"/>
              <w:jc w:val="center"/>
              <w:rPr>
                <w:sz w:val="18"/>
                <w:szCs w:val="18"/>
              </w:rPr>
            </w:pPr>
            <w:r w:rsidRPr="00020D20">
              <w:rPr>
                <w:sz w:val="18"/>
                <w:szCs w:val="18"/>
              </w:rPr>
              <w:t>Environmental Protection Agency</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D35A672" w14:textId="351D8770" w:rsidR="00BC19F4" w:rsidRPr="00020D20" w:rsidRDefault="00BC19F4" w:rsidP="00020D20">
            <w:pPr>
              <w:spacing w:before="0" w:after="0" w:line="240" w:lineRule="auto"/>
              <w:jc w:val="center"/>
              <w:rPr>
                <w:sz w:val="18"/>
                <w:szCs w:val="18"/>
              </w:rPr>
            </w:pPr>
            <w:r w:rsidRPr="00020D20">
              <w:rPr>
                <w:sz w:val="18"/>
                <w:szCs w:val="18"/>
              </w:rPr>
              <w:t>75 Hawthorne St.San Francisco, CA 94105</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E3F2940" w14:textId="4387822A" w:rsidR="00BC19F4" w:rsidRPr="004D5079" w:rsidRDefault="00202C92" w:rsidP="00020D20">
            <w:pPr>
              <w:pStyle w:val="BalloonText"/>
              <w:jc w:val="center"/>
            </w:pPr>
            <w:hyperlink r:id="rId615" w:history="1">
              <w:r w:rsidR="00C276A9" w:rsidRPr="00020D20">
                <w:rPr>
                  <w:rStyle w:val="Hyperlink"/>
                  <w:rFonts w:asciiTheme="minorHAnsi" w:hAnsiTheme="minorHAnsi" w:cstheme="majorBidi"/>
                  <w:color w:val="CE5B18"/>
                  <w:sz w:val="18"/>
                  <w:szCs w:val="18"/>
                  <w:u w:val="none"/>
                </w:rPr>
                <w:t>https://www.epa.gov/compliance/epas-audit-policy</w:t>
              </w:r>
            </w:hyperlink>
          </w:p>
        </w:tc>
      </w:tr>
      <w:tr w:rsidR="00BC19F4" w:rsidRPr="00BC19F4" w14:paraId="21347649" w14:textId="77777777" w:rsidTr="00020D20">
        <w:trPr>
          <w:trHeight w:val="20"/>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4AC3311A"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3D3F8FBB" w14:textId="77777777" w:rsidR="00BC19F4" w:rsidRPr="00020D20" w:rsidRDefault="00BC19F4" w:rsidP="00020D20">
            <w:pPr>
              <w:spacing w:before="0" w:after="0" w:line="240" w:lineRule="auto"/>
              <w:jc w:val="center"/>
              <w:rPr>
                <w:sz w:val="22"/>
              </w:rPr>
            </w:pPr>
            <w:r w:rsidRPr="00020D20">
              <w:rPr>
                <w:sz w:val="22"/>
              </w:rPr>
              <w:t>HUD</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A79D83E" w14:textId="15A55BE4" w:rsidR="00BC19F4" w:rsidRPr="00020D20" w:rsidRDefault="00BC19F4" w:rsidP="00020D20">
            <w:pPr>
              <w:spacing w:before="0" w:after="0" w:line="240" w:lineRule="auto"/>
              <w:jc w:val="center"/>
              <w:rPr>
                <w:sz w:val="18"/>
                <w:szCs w:val="18"/>
              </w:rPr>
            </w:pPr>
            <w:r w:rsidRPr="00020D20">
              <w:rPr>
                <w:sz w:val="18"/>
                <w:szCs w:val="18"/>
              </w:rPr>
              <w:t xml:space="preserve">Department </w:t>
            </w:r>
            <w:r w:rsidR="00F021BB" w:rsidRPr="00510056">
              <w:rPr>
                <w:sz w:val="18"/>
                <w:szCs w:val="18"/>
              </w:rPr>
              <w:t>of</w:t>
            </w:r>
            <w:r w:rsidRPr="00020D20">
              <w:rPr>
                <w:sz w:val="18"/>
                <w:szCs w:val="18"/>
              </w:rPr>
              <w:t xml:space="preserve"> Housing </w:t>
            </w:r>
            <w:r w:rsidR="00F021BB" w:rsidRPr="00510056">
              <w:rPr>
                <w:sz w:val="18"/>
                <w:szCs w:val="18"/>
              </w:rPr>
              <w:t>and</w:t>
            </w:r>
            <w:r w:rsidRPr="00020D20">
              <w:rPr>
                <w:sz w:val="18"/>
                <w:szCs w:val="18"/>
              </w:rPr>
              <w:t xml:space="preserve"> Urban Development</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1E56A5A" w14:textId="03C2E690" w:rsidR="00BC19F4" w:rsidRPr="00020D20" w:rsidRDefault="00BC19F4" w:rsidP="00020D20">
            <w:pPr>
              <w:spacing w:before="0" w:after="0" w:line="240" w:lineRule="auto"/>
              <w:jc w:val="center"/>
              <w:rPr>
                <w:sz w:val="18"/>
                <w:szCs w:val="18"/>
              </w:rPr>
            </w:pPr>
            <w:r w:rsidRPr="00020D20">
              <w:rPr>
                <w:sz w:val="18"/>
                <w:szCs w:val="18"/>
              </w:rPr>
              <w:t>One North Central Ave., Ste. 600Phoenix, AZ 85004</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92DE844" w14:textId="35DDD6CC" w:rsidR="00BC19F4" w:rsidRPr="004D5079" w:rsidRDefault="00202C92" w:rsidP="00020D20">
            <w:pPr>
              <w:pStyle w:val="BalloonText"/>
              <w:jc w:val="center"/>
            </w:pPr>
            <w:hyperlink r:id="rId616" w:history="1">
              <w:r w:rsidR="00C276A9" w:rsidRPr="00020D20">
                <w:rPr>
                  <w:rStyle w:val="Hyperlink"/>
                  <w:rFonts w:asciiTheme="minorHAnsi" w:hAnsiTheme="minorHAnsi" w:cstheme="majorBidi"/>
                  <w:color w:val="CE5B18"/>
                  <w:sz w:val="18"/>
                  <w:szCs w:val="18"/>
                  <w:u w:val="none"/>
                </w:rPr>
                <w:t>https://www.aicpa.org/interestareas/governmentalauditquality/resources/hudinformation/hudinformationhudconsolidatedauditguide.html</w:t>
              </w:r>
            </w:hyperlink>
          </w:p>
        </w:tc>
      </w:tr>
      <w:tr w:rsidR="00BC19F4" w:rsidRPr="00BC19F4" w14:paraId="2AAABADE" w14:textId="77777777" w:rsidTr="00020D20">
        <w:trPr>
          <w:trHeight w:val="20"/>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74AA927A"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4EC248DB" w14:textId="77777777" w:rsidR="00BC19F4" w:rsidRPr="00020D20" w:rsidRDefault="00BC19F4" w:rsidP="00020D20">
            <w:pPr>
              <w:spacing w:before="0" w:after="0" w:line="240" w:lineRule="auto"/>
              <w:jc w:val="center"/>
              <w:rPr>
                <w:sz w:val="22"/>
              </w:rPr>
            </w:pPr>
            <w:r w:rsidRPr="00020D20">
              <w:rPr>
                <w:sz w:val="22"/>
              </w:rPr>
              <w:t>FAA</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E71E130" w14:textId="77777777" w:rsidR="00BC19F4" w:rsidRPr="00020D20" w:rsidRDefault="00BC19F4" w:rsidP="00020D20">
            <w:pPr>
              <w:spacing w:before="0" w:after="0" w:line="240" w:lineRule="auto"/>
              <w:jc w:val="center"/>
              <w:rPr>
                <w:sz w:val="18"/>
                <w:szCs w:val="18"/>
              </w:rPr>
            </w:pPr>
            <w:r w:rsidRPr="00020D20">
              <w:rPr>
                <w:sz w:val="18"/>
                <w:szCs w:val="18"/>
              </w:rPr>
              <w:t>Federal Aviation Administration</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FFBF1D8" w14:textId="6713E6A5" w:rsidR="00BC19F4" w:rsidRPr="00020D20" w:rsidRDefault="00BC19F4" w:rsidP="00020D20">
            <w:pPr>
              <w:spacing w:before="0" w:after="0" w:line="240" w:lineRule="auto"/>
              <w:jc w:val="center"/>
              <w:rPr>
                <w:sz w:val="18"/>
                <w:szCs w:val="18"/>
              </w:rPr>
            </w:pPr>
            <w:r w:rsidRPr="00020D20">
              <w:rPr>
                <w:sz w:val="18"/>
                <w:szCs w:val="18"/>
              </w:rPr>
              <w:t>801 I St., Ste. 466Sacramento, CA 95814</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F79B1E6" w14:textId="357F9477" w:rsidR="00BC19F4" w:rsidRPr="004D5079" w:rsidRDefault="00202C92" w:rsidP="00020D20">
            <w:pPr>
              <w:pStyle w:val="BalloonText"/>
              <w:jc w:val="center"/>
            </w:pPr>
            <w:hyperlink r:id="rId617" w:history="1">
              <w:r w:rsidR="00C276A9" w:rsidRPr="00020D20">
                <w:rPr>
                  <w:rStyle w:val="Hyperlink"/>
                  <w:rFonts w:asciiTheme="minorHAnsi" w:hAnsiTheme="minorHAnsi" w:cstheme="majorBidi"/>
                  <w:color w:val="CE5B18"/>
                  <w:sz w:val="18"/>
                  <w:szCs w:val="18"/>
                  <w:u w:val="none"/>
                </w:rPr>
                <w:t>https://www.faa.gov/about/office_org/headquarters_offices/aae/</w:t>
              </w:r>
            </w:hyperlink>
          </w:p>
        </w:tc>
      </w:tr>
      <w:tr w:rsidR="00BC19F4" w:rsidRPr="00BC19F4" w14:paraId="53EE543C" w14:textId="77777777" w:rsidTr="00020D20">
        <w:trPr>
          <w:trHeight w:val="20"/>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72CFA94B"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239E8980" w14:textId="77777777" w:rsidR="00BC19F4" w:rsidRPr="00020D20" w:rsidRDefault="00BC19F4" w:rsidP="00020D20">
            <w:pPr>
              <w:spacing w:before="0" w:after="0" w:line="240" w:lineRule="auto"/>
              <w:jc w:val="center"/>
              <w:rPr>
                <w:sz w:val="22"/>
              </w:rPr>
            </w:pPr>
            <w:r w:rsidRPr="00020D20">
              <w:rPr>
                <w:sz w:val="22"/>
              </w:rPr>
              <w:t>FTA</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40DB2AB" w14:textId="77777777" w:rsidR="00BC19F4" w:rsidRPr="00020D20" w:rsidRDefault="00BC19F4" w:rsidP="00020D20">
            <w:pPr>
              <w:spacing w:before="0" w:after="0" w:line="240" w:lineRule="auto"/>
              <w:jc w:val="center"/>
              <w:rPr>
                <w:sz w:val="18"/>
                <w:szCs w:val="18"/>
              </w:rPr>
            </w:pPr>
            <w:r w:rsidRPr="00020D20">
              <w:rPr>
                <w:sz w:val="18"/>
                <w:szCs w:val="18"/>
              </w:rPr>
              <w:t>Federal Transit Administration</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241C01B" w14:textId="01843AF6" w:rsidR="00BC19F4" w:rsidRPr="00020D20" w:rsidRDefault="00BC19F4" w:rsidP="00020D20">
            <w:pPr>
              <w:spacing w:before="0" w:after="0" w:line="240" w:lineRule="auto"/>
              <w:jc w:val="center"/>
              <w:rPr>
                <w:sz w:val="18"/>
                <w:szCs w:val="18"/>
              </w:rPr>
            </w:pPr>
            <w:r w:rsidRPr="00020D20">
              <w:rPr>
                <w:sz w:val="18"/>
                <w:szCs w:val="18"/>
              </w:rPr>
              <w:t>801 I St., Ste. 466Sacramento, CA 95814</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F73AE31" w14:textId="65BCBF0C" w:rsidR="00BC19F4" w:rsidRPr="004D5079" w:rsidRDefault="00202C92" w:rsidP="00020D20">
            <w:pPr>
              <w:pStyle w:val="BalloonText"/>
              <w:jc w:val="center"/>
            </w:pPr>
            <w:hyperlink r:id="rId618" w:history="1">
              <w:r w:rsidR="00C276A9" w:rsidRPr="00020D20">
                <w:rPr>
                  <w:rStyle w:val="Hyperlink"/>
                  <w:rFonts w:asciiTheme="minorHAnsi" w:hAnsiTheme="minorHAnsi" w:cstheme="majorBidi"/>
                  <w:color w:val="CE5B18"/>
                  <w:sz w:val="18"/>
                  <w:szCs w:val="18"/>
                  <w:u w:val="none"/>
                </w:rPr>
                <w:t>https://www.transit.dot.gov/region9/about</w:t>
              </w:r>
            </w:hyperlink>
          </w:p>
        </w:tc>
      </w:tr>
      <w:tr w:rsidR="00BC19F4" w:rsidRPr="00BC19F4" w14:paraId="029913B2" w14:textId="77777777" w:rsidTr="00020D20">
        <w:trPr>
          <w:trHeight w:val="20"/>
        </w:trPr>
        <w:tc>
          <w:tcPr>
            <w:tcW w:w="358"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Pr>
          <w:p w14:paraId="792251BE" w14:textId="77777777" w:rsidR="00BC19F4" w:rsidRPr="00020D20" w:rsidRDefault="00BC19F4" w:rsidP="00020D20">
            <w:pPr>
              <w:spacing w:before="0" w:after="0" w:line="240" w:lineRule="auto"/>
              <w:jc w:val="center"/>
              <w:rPr>
                <w:sz w:val="22"/>
              </w:rPr>
            </w:pPr>
          </w:p>
        </w:tc>
        <w:tc>
          <w:tcPr>
            <w:tcW w:w="360" w:type="dxa"/>
            <w:tcBorders>
              <w:top w:val="single" w:sz="4" w:space="0" w:color="FFFFFF" w:themeColor="background1"/>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34A6DEF5" w14:textId="77777777" w:rsidR="00BC19F4" w:rsidRPr="00020D20" w:rsidRDefault="00BC19F4" w:rsidP="00020D20">
            <w:pPr>
              <w:spacing w:before="0" w:after="0" w:line="240" w:lineRule="auto"/>
              <w:jc w:val="center"/>
              <w:rPr>
                <w:sz w:val="22"/>
              </w:rPr>
            </w:pPr>
            <w:r w:rsidRPr="00020D20">
              <w:rPr>
                <w:sz w:val="22"/>
              </w:rPr>
              <w:t>FRA</w:t>
            </w:r>
          </w:p>
        </w:tc>
        <w:tc>
          <w:tcPr>
            <w:tcW w:w="26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0C43D71" w14:textId="77777777" w:rsidR="00BC19F4" w:rsidRPr="00020D20" w:rsidRDefault="00BC19F4" w:rsidP="00020D20">
            <w:pPr>
              <w:spacing w:before="0" w:after="0" w:line="240" w:lineRule="auto"/>
              <w:jc w:val="center"/>
              <w:rPr>
                <w:sz w:val="18"/>
                <w:szCs w:val="18"/>
              </w:rPr>
            </w:pPr>
            <w:r w:rsidRPr="00020D20">
              <w:rPr>
                <w:sz w:val="18"/>
                <w:szCs w:val="18"/>
              </w:rPr>
              <w:t>Federal Railroad Administration</w:t>
            </w: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7BD7AD9" w14:textId="48D69BE0" w:rsidR="00BC19F4" w:rsidRPr="00020D20" w:rsidRDefault="00BC19F4" w:rsidP="00020D20">
            <w:pPr>
              <w:spacing w:before="0" w:after="0" w:line="240" w:lineRule="auto"/>
              <w:jc w:val="center"/>
              <w:rPr>
                <w:sz w:val="18"/>
                <w:szCs w:val="18"/>
              </w:rPr>
            </w:pPr>
            <w:r w:rsidRPr="00020D20">
              <w:rPr>
                <w:sz w:val="18"/>
                <w:szCs w:val="18"/>
              </w:rPr>
              <w:t>801 I St., Ste. 466Sacramento, CA 95814</w:t>
            </w:r>
          </w:p>
        </w:tc>
        <w:tc>
          <w:tcPr>
            <w:tcW w:w="351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B1EAB29" w14:textId="71E57454" w:rsidR="00BC19F4" w:rsidRPr="004D5079" w:rsidRDefault="00202C92" w:rsidP="00020D20">
            <w:pPr>
              <w:pStyle w:val="BalloonText"/>
              <w:jc w:val="center"/>
            </w:pPr>
            <w:hyperlink r:id="rId619" w:history="1">
              <w:r w:rsidR="00D97D53" w:rsidRPr="00020D20">
                <w:rPr>
                  <w:rStyle w:val="Hyperlink"/>
                  <w:rFonts w:asciiTheme="minorHAnsi" w:hAnsiTheme="minorHAnsi" w:cstheme="majorBidi"/>
                  <w:color w:val="CE5B18"/>
                  <w:sz w:val="18"/>
                  <w:szCs w:val="18"/>
                  <w:u w:val="none"/>
                </w:rPr>
                <w:t>https://railroads.dot.gov/</w:t>
              </w:r>
            </w:hyperlink>
          </w:p>
        </w:tc>
      </w:tr>
    </w:tbl>
    <w:p w14:paraId="746235D3" w14:textId="45DB63DE" w:rsidR="003F53CA" w:rsidRDefault="003F53CA" w:rsidP="00020D20">
      <w:pPr>
        <w:jc w:val="both"/>
        <w:sectPr w:rsidR="003F53CA" w:rsidSect="00020D20">
          <w:type w:val="continuous"/>
          <w:pgSz w:w="12240" w:h="15840"/>
          <w:pgMar w:top="1440" w:right="1440" w:bottom="1440" w:left="1440" w:header="720" w:footer="720" w:gutter="0"/>
          <w:pgNumType w:chapStyle="1"/>
          <w:cols w:space="720"/>
          <w:docGrid w:linePitch="360"/>
        </w:sectPr>
      </w:pPr>
    </w:p>
    <w:p w14:paraId="2A040361" w14:textId="77777777" w:rsidR="009563A9" w:rsidRDefault="009563A9" w:rsidP="00020D20">
      <w:pPr>
        <w:jc w:val="both"/>
      </w:pPr>
      <w:r>
        <w:br w:type="page"/>
      </w:r>
    </w:p>
    <w:p w14:paraId="67C794F9" w14:textId="77777777" w:rsidR="00F110A6" w:rsidRDefault="00F110A6" w:rsidP="00020D20">
      <w:pPr>
        <w:jc w:val="both"/>
        <w:sectPr w:rsidR="00F110A6" w:rsidSect="008E695B">
          <w:type w:val="continuous"/>
          <w:pgSz w:w="12240" w:h="15840"/>
          <w:pgMar w:top="1440" w:right="1440" w:bottom="1440" w:left="1440" w:header="720" w:footer="720" w:gutter="0"/>
          <w:cols w:space="720"/>
          <w:docGrid w:linePitch="360"/>
        </w:sectPr>
      </w:pPr>
    </w:p>
    <w:p w14:paraId="51332ACE" w14:textId="2427741A" w:rsidR="00BC19F4" w:rsidRDefault="0023351C" w:rsidP="00020D20">
      <w:pPr>
        <w:pStyle w:val="Heading4"/>
        <w:jc w:val="both"/>
      </w:pPr>
      <w:r>
        <w:rPr>
          <w:noProof/>
        </w:rPr>
        <mc:AlternateContent>
          <mc:Choice Requires="wps">
            <w:drawing>
              <wp:anchor distT="0" distB="0" distL="114300" distR="114300" simplePos="0" relativeHeight="251618547" behindDoc="0" locked="0" layoutInCell="1" allowOverlap="1" wp14:anchorId="0F846158" wp14:editId="02BB9D3D">
                <wp:simplePos x="0" y="0"/>
                <wp:positionH relativeFrom="column">
                  <wp:posOffset>0</wp:posOffset>
                </wp:positionH>
                <wp:positionV relativeFrom="paragraph">
                  <wp:posOffset>408195</wp:posOffset>
                </wp:positionV>
                <wp:extent cx="5943600" cy="7056755"/>
                <wp:effectExtent l="114300" t="152400" r="133350" b="144145"/>
                <wp:wrapSquare wrapText="bothSides"/>
                <wp:docPr id="1690911491" name="Text Box 1690911491"/>
                <wp:cNvGraphicFramePr/>
                <a:graphic xmlns:a="http://schemas.openxmlformats.org/drawingml/2006/main">
                  <a:graphicData uri="http://schemas.microsoft.com/office/word/2010/wordprocessingShape">
                    <wps:wsp>
                      <wps:cNvSpPr txBox="1"/>
                      <wps:spPr>
                        <a:xfrm>
                          <a:off x="0" y="0"/>
                          <a:ext cx="5943600" cy="7056755"/>
                        </a:xfrm>
                        <a:prstGeom prst="rect">
                          <a:avLst/>
                        </a:prstGeom>
                        <a:solidFill>
                          <a:schemeClr val="accent1">
                            <a:lumMod val="20000"/>
                            <a:lumOff val="80000"/>
                          </a:schemeClr>
                        </a:solidFill>
                        <a:ln w="6350">
                          <a:noFill/>
                        </a:ln>
                        <a:effectLst>
                          <a:outerShdw blurRad="63500" sx="102000" sy="102000" algn="ctr" rotWithShape="0">
                            <a:srgbClr val="012768">
                              <a:alpha val="40000"/>
                            </a:srgbClr>
                          </a:outerShdw>
                        </a:effectLst>
                      </wps:spPr>
                      <wps:txbx>
                        <w:txbxContent>
                          <w:p w14:paraId="38B57059" w14:textId="75EB9914" w:rsidR="00C6444C" w:rsidRPr="004B2F2E" w:rsidRDefault="00C6444C" w:rsidP="00F94A3C">
                            <w:pPr>
                              <w:spacing w:before="0" w:afterLines="60" w:after="144" w:line="240" w:lineRule="auto"/>
                              <w:ind w:left="360" w:hanging="360"/>
                              <w:rPr>
                                <w:sz w:val="17"/>
                                <w:szCs w:val="17"/>
                              </w:rPr>
                            </w:pPr>
                            <w:r w:rsidRPr="004B2F2E">
                              <w:rPr>
                                <w:sz w:val="17"/>
                                <w:szCs w:val="17"/>
                              </w:rPr>
                              <w:t xml:space="preserve">A. </w:t>
                            </w:r>
                            <w:r>
                              <w:rPr>
                                <w:sz w:val="17"/>
                                <w:szCs w:val="17"/>
                              </w:rPr>
                              <w:tab/>
                            </w:r>
                            <w:r w:rsidRPr="004B2F2E">
                              <w:rPr>
                                <w:sz w:val="17"/>
                                <w:szCs w:val="17"/>
                              </w:rPr>
                              <w:tab/>
                              <w:t xml:space="preserve">Beginning in 2010 and every fifth year thereafter, the auditor general shall contract with a nationally recognized independent auditor with expertise in evaluating multimodal transportation systems and in regional transportation planning to conduct a performance audit, as defined in </w:t>
                            </w:r>
                            <w:hyperlink r:id="rId620" w:history="1">
                              <w:r w:rsidRPr="00020D20">
                                <w:rPr>
                                  <w:rStyle w:val="TitleChar"/>
                                  <w:sz w:val="17"/>
                                  <w:szCs w:val="17"/>
                                </w:rPr>
                                <w:t>A.R.S. § 41-1278</w:t>
                              </w:r>
                            </w:hyperlink>
                            <w:r w:rsidRPr="004B2F2E">
                              <w:rPr>
                                <w:sz w:val="17"/>
                                <w:szCs w:val="17"/>
                              </w:rPr>
                              <w:t>, of the regional transportation plan and projects scheduled for funding during the next five years.</w:t>
                            </w:r>
                            <w:r w:rsidRPr="005869BD">
                              <w:rPr>
                                <w:rFonts w:cstheme="minorHAnsi"/>
                                <w:noProof/>
                              </w:rPr>
                              <w:t xml:space="preserve"> </w:t>
                            </w:r>
                          </w:p>
                          <w:p w14:paraId="23A3DD2D" w14:textId="77777777" w:rsidR="00C6444C" w:rsidRPr="004B2F2E" w:rsidRDefault="00C6444C" w:rsidP="00F94A3C">
                            <w:pPr>
                              <w:spacing w:before="0" w:afterLines="60" w:after="144" w:line="240" w:lineRule="auto"/>
                              <w:ind w:left="360" w:hanging="360"/>
                              <w:rPr>
                                <w:sz w:val="17"/>
                                <w:szCs w:val="17"/>
                              </w:rPr>
                            </w:pPr>
                            <w:r w:rsidRPr="004B2F2E">
                              <w:rPr>
                                <w:sz w:val="17"/>
                                <w:szCs w:val="17"/>
                              </w:rPr>
                              <w:t>B.</w:t>
                            </w:r>
                            <w:r w:rsidRPr="004B2F2E">
                              <w:rPr>
                                <w:sz w:val="17"/>
                                <w:szCs w:val="17"/>
                              </w:rPr>
                              <w:tab/>
                            </w:r>
                            <w:r w:rsidRPr="004B2F2E">
                              <w:rPr>
                                <w:sz w:val="17"/>
                                <w:szCs w:val="17"/>
                              </w:rPr>
                              <w:tab/>
                              <w:t>With respect to light rail systems, the audit shall consider the criteria used by the federal transit administration pursuant to 49 United States Code section 5309(e)(1)(B) and the interrelationship among the criteria to provide federal funding for light rail systems. For light rail systems, the audit shall also consider:</w:t>
                            </w:r>
                          </w:p>
                          <w:p w14:paraId="6068CED4"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 xml:space="preserve">1. Service levels. </w:t>
                            </w:r>
                          </w:p>
                          <w:p w14:paraId="2FD37FCC"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2. Capital costs.</w:t>
                            </w:r>
                          </w:p>
                          <w:p w14:paraId="5FDA7459"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3. Operation and maintenance costs.</w:t>
                            </w:r>
                          </w:p>
                          <w:p w14:paraId="5AAE5FDC"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4. Transit ridership.</w:t>
                            </w:r>
                          </w:p>
                          <w:p w14:paraId="6EA0597B" w14:textId="77777777" w:rsidR="00C6444C" w:rsidRPr="004B2F2E" w:rsidRDefault="00C6444C" w:rsidP="00F94A3C">
                            <w:pPr>
                              <w:spacing w:before="0" w:afterLines="60" w:after="144" w:line="240" w:lineRule="auto"/>
                              <w:rPr>
                                <w:sz w:val="17"/>
                                <w:szCs w:val="17"/>
                              </w:rPr>
                            </w:pPr>
                            <w:r w:rsidRPr="004B2F2E">
                              <w:rPr>
                                <w:sz w:val="17"/>
                                <w:szCs w:val="17"/>
                              </w:rPr>
                              <w:tab/>
                            </w:r>
                            <w:r w:rsidRPr="004B2F2E">
                              <w:rPr>
                                <w:sz w:val="17"/>
                                <w:szCs w:val="17"/>
                              </w:rPr>
                              <w:tab/>
                            </w:r>
                            <w:r w:rsidRPr="004B2F2E">
                              <w:rPr>
                                <w:sz w:val="17"/>
                                <w:szCs w:val="17"/>
                              </w:rPr>
                              <w:tab/>
                              <w:t>5. Farebox revenues.</w:t>
                            </w:r>
                          </w:p>
                          <w:p w14:paraId="1895A65E" w14:textId="54B9BE53" w:rsidR="00C6444C" w:rsidRPr="004B2F2E" w:rsidRDefault="00C6444C" w:rsidP="00F94A3C">
                            <w:pPr>
                              <w:spacing w:before="0" w:afterLines="60" w:after="144" w:line="240" w:lineRule="auto"/>
                              <w:rPr>
                                <w:sz w:val="17"/>
                                <w:szCs w:val="17"/>
                              </w:rPr>
                            </w:pPr>
                            <w:r w:rsidRPr="004B2F2E">
                              <w:rPr>
                                <w:sz w:val="17"/>
                                <w:szCs w:val="17"/>
                              </w:rPr>
                              <w:t xml:space="preserve">C. </w:t>
                            </w:r>
                            <w:r w:rsidRPr="004B2F2E">
                              <w:rPr>
                                <w:sz w:val="17"/>
                                <w:szCs w:val="17"/>
                              </w:rPr>
                              <w:tab/>
                            </w:r>
                            <w:r>
                              <w:rPr>
                                <w:sz w:val="17"/>
                                <w:szCs w:val="17"/>
                              </w:rPr>
                              <w:tab/>
                            </w:r>
                            <w:r w:rsidRPr="004B2F2E">
                              <w:rPr>
                                <w:sz w:val="17"/>
                                <w:szCs w:val="17"/>
                              </w:rPr>
                              <w:t>The audit shall:</w:t>
                            </w:r>
                          </w:p>
                          <w:p w14:paraId="401C202B" w14:textId="77777777" w:rsidR="00C6444C" w:rsidRPr="004B2F2E" w:rsidRDefault="00C6444C" w:rsidP="00F94A3C">
                            <w:pPr>
                              <w:spacing w:before="0" w:afterLines="60" w:after="144" w:line="240" w:lineRule="auto"/>
                              <w:ind w:left="540"/>
                              <w:rPr>
                                <w:sz w:val="17"/>
                                <w:szCs w:val="17"/>
                              </w:rPr>
                            </w:pPr>
                            <w:r w:rsidRPr="004B2F2E">
                              <w:rPr>
                                <w:sz w:val="17"/>
                                <w:szCs w:val="17"/>
                              </w:rPr>
                              <w:t>1. Examine the regional transportation plan and projects scheduled for funding within each transportation mode based on the performance factors established in Section 28-505, Subsection A, in the context of the transportation system.</w:t>
                            </w:r>
                          </w:p>
                          <w:p w14:paraId="120AD80F" w14:textId="77777777" w:rsidR="00C6444C" w:rsidRPr="004B2F2E" w:rsidRDefault="00C6444C" w:rsidP="00F94A3C">
                            <w:pPr>
                              <w:spacing w:before="0" w:afterLines="60" w:after="144" w:line="240" w:lineRule="auto"/>
                              <w:ind w:left="540"/>
                              <w:rPr>
                                <w:sz w:val="17"/>
                                <w:szCs w:val="17"/>
                              </w:rPr>
                            </w:pPr>
                            <w:r w:rsidRPr="004B2F2E">
                              <w:rPr>
                                <w:sz w:val="17"/>
                                <w:szCs w:val="17"/>
                              </w:rPr>
                              <w:t>2. Review past expenditures of the regional transportation plan and examine the performance of the system in relieving congestion and improving mobility.</w:t>
                            </w:r>
                          </w:p>
                          <w:p w14:paraId="450F6109" w14:textId="77777777" w:rsidR="00C6444C" w:rsidRPr="004B2F2E" w:rsidRDefault="00C6444C" w:rsidP="00F94A3C">
                            <w:pPr>
                              <w:spacing w:before="0" w:afterLines="60" w:after="144" w:line="240" w:lineRule="auto"/>
                              <w:ind w:left="540"/>
                              <w:rPr>
                                <w:sz w:val="17"/>
                                <w:szCs w:val="17"/>
                              </w:rPr>
                            </w:pPr>
                            <w:r w:rsidRPr="004B2F2E">
                              <w:rPr>
                                <w:sz w:val="17"/>
                                <w:szCs w:val="17"/>
                              </w:rPr>
                              <w:t>3. Make recommendations regarding whether further implementation of a project or transportation system is warranted, warranted with modifications, or not warranted.</w:t>
                            </w:r>
                          </w:p>
                          <w:p w14:paraId="7A0A68D6" w14:textId="77777777" w:rsidR="00C6444C" w:rsidRPr="004B2F2E" w:rsidRDefault="00C6444C" w:rsidP="00F94A3C">
                            <w:pPr>
                              <w:spacing w:before="0" w:afterLines="60" w:after="144" w:line="240" w:lineRule="auto"/>
                              <w:ind w:left="360" w:hanging="360"/>
                              <w:rPr>
                                <w:sz w:val="17"/>
                                <w:szCs w:val="17"/>
                              </w:rPr>
                            </w:pPr>
                            <w:r w:rsidRPr="004B2F2E">
                              <w:rPr>
                                <w:sz w:val="17"/>
                                <w:szCs w:val="17"/>
                              </w:rPr>
                              <w:t>D.</w:t>
                            </w:r>
                            <w:r w:rsidRPr="004B2F2E">
                              <w:rPr>
                                <w:sz w:val="17"/>
                                <w:szCs w:val="17"/>
                              </w:rPr>
                              <w:tab/>
                            </w:r>
                            <w:r w:rsidRPr="004B2F2E">
                              <w:rPr>
                                <w:sz w:val="17"/>
                                <w:szCs w:val="17"/>
                              </w:rPr>
                              <w:tab/>
                              <w:t>The auditor general or the auditors contracted to conduct the audit shall periodically update the transportation policy committee regarding the progress of the audit.</w:t>
                            </w:r>
                          </w:p>
                          <w:p w14:paraId="7C64E063" w14:textId="77777777" w:rsidR="00C6444C" w:rsidRPr="004B2F2E" w:rsidRDefault="00C6444C" w:rsidP="00F94A3C">
                            <w:pPr>
                              <w:spacing w:before="0" w:afterLines="60" w:after="144" w:line="240" w:lineRule="auto"/>
                              <w:ind w:left="360" w:hanging="360"/>
                              <w:rPr>
                                <w:sz w:val="17"/>
                                <w:szCs w:val="17"/>
                              </w:rPr>
                            </w:pPr>
                            <w:r w:rsidRPr="004B2F2E">
                              <w:rPr>
                                <w:sz w:val="17"/>
                                <w:szCs w:val="17"/>
                              </w:rPr>
                              <w:t>E.</w:t>
                            </w:r>
                            <w:r w:rsidRPr="004B2F2E">
                              <w:rPr>
                                <w:sz w:val="17"/>
                                <w:szCs w:val="17"/>
                              </w:rPr>
                              <w:tab/>
                            </w:r>
                            <w:r w:rsidRPr="004B2F2E">
                              <w:rPr>
                                <w:sz w:val="17"/>
                                <w:szCs w:val="17"/>
                              </w:rPr>
                              <w:tab/>
                              <w:t>Within 45 days after the release of the audit, the regional public transportation authority, the citizens transportation oversight committee, the state transportation board, and the county board of supervisors, by a majority vote of each entity, shall submit written recommendations to the transportation policy committee that the findings are agreed to or disagreed with and the recommendations should be implemented, implemented with modification, or not be implemented.</w:t>
                            </w:r>
                          </w:p>
                          <w:p w14:paraId="45011F8A" w14:textId="77777777" w:rsidR="00C6444C" w:rsidRPr="004B2F2E" w:rsidRDefault="00C6444C" w:rsidP="00F94A3C">
                            <w:pPr>
                              <w:spacing w:before="0" w:afterLines="60" w:after="144" w:line="240" w:lineRule="auto"/>
                              <w:ind w:left="360" w:hanging="360"/>
                              <w:rPr>
                                <w:sz w:val="17"/>
                                <w:szCs w:val="17"/>
                              </w:rPr>
                            </w:pPr>
                            <w:r w:rsidRPr="004B2F2E">
                              <w:rPr>
                                <w:sz w:val="17"/>
                                <w:szCs w:val="17"/>
                              </w:rPr>
                              <w:t>F.</w:t>
                            </w:r>
                            <w:r w:rsidRPr="004B2F2E">
                              <w:rPr>
                                <w:sz w:val="17"/>
                                <w:szCs w:val="17"/>
                              </w:rPr>
                              <w:tab/>
                            </w:r>
                            <w:r w:rsidRPr="004B2F2E">
                              <w:rPr>
                                <w:sz w:val="17"/>
                                <w:szCs w:val="17"/>
                              </w:rPr>
                              <w:tab/>
                              <w:t>Within 45 days after the audit’s release, the regional planning agency shall hold a public hearing on the audit findings and recommendations.</w:t>
                            </w:r>
                          </w:p>
                          <w:p w14:paraId="5723C86C" w14:textId="77777777" w:rsidR="00C6444C" w:rsidRPr="004B2F2E" w:rsidRDefault="00C6444C" w:rsidP="00F94A3C">
                            <w:pPr>
                              <w:spacing w:before="0" w:afterLines="60" w:after="144" w:line="240" w:lineRule="auto"/>
                              <w:rPr>
                                <w:sz w:val="17"/>
                                <w:szCs w:val="17"/>
                              </w:rPr>
                            </w:pPr>
                            <w:r w:rsidRPr="004B2F2E">
                              <w:rPr>
                                <w:sz w:val="17"/>
                                <w:szCs w:val="17"/>
                              </w:rPr>
                              <w:t>G.</w:t>
                            </w:r>
                            <w:r w:rsidRPr="004B2F2E">
                              <w:rPr>
                                <w:sz w:val="17"/>
                                <w:szCs w:val="17"/>
                              </w:rPr>
                              <w:tab/>
                            </w:r>
                            <w:r w:rsidRPr="004B2F2E">
                              <w:rPr>
                                <w:sz w:val="17"/>
                                <w:szCs w:val="17"/>
                              </w:rPr>
                              <w:tab/>
                              <w:t>The auditor general shall distribute copies of the audit to:</w:t>
                            </w:r>
                            <w:r w:rsidRPr="004B2F2E">
                              <w:rPr>
                                <w:sz w:val="17"/>
                                <w:szCs w:val="17"/>
                              </w:rPr>
                              <w:tab/>
                            </w:r>
                          </w:p>
                          <w:p w14:paraId="12CCC887"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1. The regional planning agency.</w:t>
                            </w:r>
                          </w:p>
                          <w:p w14:paraId="5535AF18"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2. The transportation policy committee.</w:t>
                            </w:r>
                          </w:p>
                          <w:p w14:paraId="078B1393"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3. The citizen’s transportation oversight committee.</w:t>
                            </w:r>
                          </w:p>
                          <w:p w14:paraId="7D7A986F"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4. The regional public transportation authority in the county.</w:t>
                            </w:r>
                          </w:p>
                          <w:p w14:paraId="6336D6B4"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5. The county board of supervisors.</w:t>
                            </w:r>
                          </w:p>
                          <w:p w14:paraId="49D7A54F"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6. The state transportation board.</w:t>
                            </w:r>
                          </w:p>
                          <w:p w14:paraId="70EDB372"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7. The governor, secretary of state, president of the Senate, and speaker of the House of Representatives.</w:t>
                            </w:r>
                          </w:p>
                          <w:p w14:paraId="6A09FDE5"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8. The Arizona state library, archives and public records.</w:t>
                            </w:r>
                          </w:p>
                          <w:p w14:paraId="1C5E202C" w14:textId="77777777" w:rsidR="00C6444C" w:rsidRPr="004B2F2E" w:rsidRDefault="00C6444C" w:rsidP="00F94A3C">
                            <w:pPr>
                              <w:spacing w:before="0" w:after="60" w:line="240" w:lineRule="auto"/>
                              <w:rPr>
                                <w:sz w:val="17"/>
                                <w:szCs w:val="17"/>
                              </w:rPr>
                            </w:pPr>
                            <w:r w:rsidRPr="004B2F2E">
                              <w:rPr>
                                <w:sz w:val="17"/>
                                <w:szCs w:val="17"/>
                              </w:rPr>
                              <w:tab/>
                            </w:r>
                            <w:r w:rsidRPr="004B2F2E">
                              <w:rPr>
                                <w:sz w:val="17"/>
                                <w:szCs w:val="17"/>
                              </w:rPr>
                              <w:tab/>
                            </w:r>
                            <w:r w:rsidRPr="004B2F2E">
                              <w:rPr>
                                <w:sz w:val="17"/>
                                <w:szCs w:val="17"/>
                              </w:rPr>
                              <w:tab/>
                              <w:t>9. Any other person who requests a copy pursuant to Title 39, Article 2.</w:t>
                            </w:r>
                          </w:p>
                          <w:p w14:paraId="6204F3A0" w14:textId="77777777" w:rsidR="00C6444C" w:rsidRPr="004B2F2E" w:rsidRDefault="00C6444C" w:rsidP="00F94A3C">
                            <w:pPr>
                              <w:spacing w:before="0" w:afterLines="60" w:after="144" w:line="240" w:lineRule="auto"/>
                              <w:ind w:left="360" w:hanging="360"/>
                              <w:rPr>
                                <w:sz w:val="17"/>
                                <w:szCs w:val="17"/>
                              </w:rPr>
                            </w:pPr>
                            <w:r w:rsidRPr="004B2F2E">
                              <w:rPr>
                                <w:sz w:val="17"/>
                                <w:szCs w:val="17"/>
                              </w:rPr>
                              <w:t>H.</w:t>
                            </w:r>
                            <w:r w:rsidRPr="004B2F2E">
                              <w:rPr>
                                <w:sz w:val="17"/>
                                <w:szCs w:val="17"/>
                              </w:rPr>
                              <w:tab/>
                            </w:r>
                            <w:r w:rsidRPr="004B2F2E">
                              <w:rPr>
                                <w:sz w:val="17"/>
                                <w:szCs w:val="17"/>
                              </w:rPr>
                              <w:tab/>
                              <w:t>The state transportation board, regional planning agency, regional public transportation authority, and county board of supervisors shall cooperate with and submit to the auditor general and the auditors contracted to conduct the audit information necessary to conduct the audits under this section.</w:t>
                            </w:r>
                          </w:p>
                          <w:p w14:paraId="73033171" w14:textId="77777777" w:rsidR="00C6444C" w:rsidRPr="004B2F2E" w:rsidRDefault="00C6444C" w:rsidP="00F94A3C">
                            <w:pPr>
                              <w:spacing w:before="0" w:afterLines="60" w:after="144" w:line="240" w:lineRule="auto"/>
                              <w:ind w:left="360" w:hanging="360"/>
                              <w:rPr>
                                <w:sz w:val="17"/>
                                <w:szCs w:val="17"/>
                              </w:rPr>
                            </w:pPr>
                            <w:r w:rsidRPr="004B2F2E">
                              <w:rPr>
                                <w:sz w:val="17"/>
                                <w:szCs w:val="17"/>
                              </w:rPr>
                              <w:t>I.</w:t>
                            </w:r>
                            <w:r w:rsidRPr="004B2F2E">
                              <w:rPr>
                                <w:sz w:val="17"/>
                                <w:szCs w:val="17"/>
                              </w:rPr>
                              <w:tab/>
                            </w:r>
                            <w:r w:rsidRPr="004B2F2E">
                              <w:rPr>
                                <w:sz w:val="17"/>
                                <w:szCs w:val="17"/>
                              </w:rPr>
                              <w:tab/>
                              <w:t xml:space="preserve">The cost incurred by the auditor general in contracting with independent auditors for conducting performance audits under Subsection A of this section shall be paid from revenues of the county transportation excise tax under Section 42-6105. When due, the payments have priority over any other distribution authorized by Section 42-6105. The auditor general shall deposit the payments in the audit services revolving fund established by Section 41-1279.06. </w:t>
                            </w:r>
                          </w:p>
                          <w:p w14:paraId="5D54ED4C"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46158" id="Text Box 1690911491" o:spid="_x0000_s1168" type="#_x0000_t202" style="position:absolute;left:0;text-align:left;margin-left:0;margin-top:32.15pt;width:468pt;height:555.65pt;z-index:251618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" fillcolor="#deeaf6 [660]" stroked="f" strokeweight=".5pt">
                <v:shadow on="t" type="perspective" color="#012768" opacity="26214f" offset="0,0" matrix="66847f,,,66847f"/>
                <v:textbox>
                  <w:txbxContent>
                    <w:p w14:paraId="38B57059" w14:textId="75EB9914" w:rsidR="00C6444C" w:rsidRPr="004B2F2E" w:rsidRDefault="00C6444C" w:rsidP="00F94A3C">
                      <w:pPr>
                        <w:spacing w:before="0" w:afterLines="60" w:after="144" w:line="240" w:lineRule="auto"/>
                        <w:ind w:left="360" w:hanging="360"/>
                        <w:rPr>
                          <w:sz w:val="17"/>
                          <w:szCs w:val="17"/>
                        </w:rPr>
                      </w:pPr>
                      <w:r w:rsidRPr="004B2F2E">
                        <w:rPr>
                          <w:sz w:val="17"/>
                          <w:szCs w:val="17"/>
                        </w:rPr>
                        <w:t xml:space="preserve">A. </w:t>
                      </w:r>
                      <w:r>
                        <w:rPr>
                          <w:sz w:val="17"/>
                          <w:szCs w:val="17"/>
                        </w:rPr>
                        <w:tab/>
                      </w:r>
                      <w:r w:rsidRPr="004B2F2E">
                        <w:rPr>
                          <w:sz w:val="17"/>
                          <w:szCs w:val="17"/>
                        </w:rPr>
                        <w:tab/>
                        <w:t xml:space="preserve">Beginning in 2010 and every fifth year thereafter, the auditor general shall contract with a nationally recognized independent auditor with expertise in evaluating multimodal transportation systems and in regional transportation planning to conduct a performance audit, as defined in </w:t>
                      </w:r>
                      <w:hyperlink r:id="rId621" w:history="1">
                        <w:r w:rsidRPr="00020D20">
                          <w:rPr>
                            <w:rStyle w:val="TitleChar"/>
                            <w:sz w:val="17"/>
                            <w:szCs w:val="17"/>
                          </w:rPr>
                          <w:t>A.R.S. § 41-1278</w:t>
                        </w:r>
                      </w:hyperlink>
                      <w:r w:rsidRPr="004B2F2E">
                        <w:rPr>
                          <w:sz w:val="17"/>
                          <w:szCs w:val="17"/>
                        </w:rPr>
                        <w:t>, of the regional transportation plan and projects scheduled for funding during the next five years.</w:t>
                      </w:r>
                      <w:r w:rsidRPr="005869BD">
                        <w:rPr>
                          <w:rFonts w:cstheme="minorHAnsi"/>
                          <w:noProof/>
                        </w:rPr>
                        <w:t xml:space="preserve"> </w:t>
                      </w:r>
                    </w:p>
                    <w:p w14:paraId="23A3DD2D" w14:textId="77777777" w:rsidR="00C6444C" w:rsidRPr="004B2F2E" w:rsidRDefault="00C6444C" w:rsidP="00F94A3C">
                      <w:pPr>
                        <w:spacing w:before="0" w:afterLines="60" w:after="144" w:line="240" w:lineRule="auto"/>
                        <w:ind w:left="360" w:hanging="360"/>
                        <w:rPr>
                          <w:sz w:val="17"/>
                          <w:szCs w:val="17"/>
                        </w:rPr>
                      </w:pPr>
                      <w:r w:rsidRPr="004B2F2E">
                        <w:rPr>
                          <w:sz w:val="17"/>
                          <w:szCs w:val="17"/>
                        </w:rPr>
                        <w:t>B.</w:t>
                      </w:r>
                      <w:r w:rsidRPr="004B2F2E">
                        <w:rPr>
                          <w:sz w:val="17"/>
                          <w:szCs w:val="17"/>
                        </w:rPr>
                        <w:tab/>
                      </w:r>
                      <w:r w:rsidRPr="004B2F2E">
                        <w:rPr>
                          <w:sz w:val="17"/>
                          <w:szCs w:val="17"/>
                        </w:rPr>
                        <w:tab/>
                        <w:t>With respect to light rail systems, the audit shall consider the criteria used by the federal transit administration pursuant to 49 United States Code section 5309(e)(1)(B) and the interrelationship among the criteria to provide federal funding for light rail systems. For light rail systems, the audit shall also consider:</w:t>
                      </w:r>
                    </w:p>
                    <w:p w14:paraId="6068CED4"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 xml:space="preserve">1. Service levels. </w:t>
                      </w:r>
                    </w:p>
                    <w:p w14:paraId="2FD37FCC"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2. Capital costs.</w:t>
                      </w:r>
                    </w:p>
                    <w:p w14:paraId="5FDA7459"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3. Operation and maintenance costs.</w:t>
                      </w:r>
                    </w:p>
                    <w:p w14:paraId="5AAE5FDC"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4. Transit ridership.</w:t>
                      </w:r>
                    </w:p>
                    <w:p w14:paraId="6EA0597B" w14:textId="77777777" w:rsidR="00C6444C" w:rsidRPr="004B2F2E" w:rsidRDefault="00C6444C" w:rsidP="00F94A3C">
                      <w:pPr>
                        <w:spacing w:before="0" w:afterLines="60" w:after="144" w:line="240" w:lineRule="auto"/>
                        <w:rPr>
                          <w:sz w:val="17"/>
                          <w:szCs w:val="17"/>
                        </w:rPr>
                      </w:pPr>
                      <w:r w:rsidRPr="004B2F2E">
                        <w:rPr>
                          <w:sz w:val="17"/>
                          <w:szCs w:val="17"/>
                        </w:rPr>
                        <w:tab/>
                      </w:r>
                      <w:r w:rsidRPr="004B2F2E">
                        <w:rPr>
                          <w:sz w:val="17"/>
                          <w:szCs w:val="17"/>
                        </w:rPr>
                        <w:tab/>
                      </w:r>
                      <w:r w:rsidRPr="004B2F2E">
                        <w:rPr>
                          <w:sz w:val="17"/>
                          <w:szCs w:val="17"/>
                        </w:rPr>
                        <w:tab/>
                        <w:t>5. Farebox revenues.</w:t>
                      </w:r>
                    </w:p>
                    <w:p w14:paraId="1895A65E" w14:textId="54B9BE53" w:rsidR="00C6444C" w:rsidRPr="004B2F2E" w:rsidRDefault="00C6444C" w:rsidP="00F94A3C">
                      <w:pPr>
                        <w:spacing w:before="0" w:afterLines="60" w:after="144" w:line="240" w:lineRule="auto"/>
                        <w:rPr>
                          <w:sz w:val="17"/>
                          <w:szCs w:val="17"/>
                        </w:rPr>
                      </w:pPr>
                      <w:r w:rsidRPr="004B2F2E">
                        <w:rPr>
                          <w:sz w:val="17"/>
                          <w:szCs w:val="17"/>
                        </w:rPr>
                        <w:t xml:space="preserve">C. </w:t>
                      </w:r>
                      <w:r w:rsidRPr="004B2F2E">
                        <w:rPr>
                          <w:sz w:val="17"/>
                          <w:szCs w:val="17"/>
                        </w:rPr>
                        <w:tab/>
                      </w:r>
                      <w:r>
                        <w:rPr>
                          <w:sz w:val="17"/>
                          <w:szCs w:val="17"/>
                        </w:rPr>
                        <w:tab/>
                      </w:r>
                      <w:r w:rsidRPr="004B2F2E">
                        <w:rPr>
                          <w:sz w:val="17"/>
                          <w:szCs w:val="17"/>
                        </w:rPr>
                        <w:t>The audit shall:</w:t>
                      </w:r>
                    </w:p>
                    <w:p w14:paraId="401C202B" w14:textId="77777777" w:rsidR="00C6444C" w:rsidRPr="004B2F2E" w:rsidRDefault="00C6444C" w:rsidP="00F94A3C">
                      <w:pPr>
                        <w:spacing w:before="0" w:afterLines="60" w:after="144" w:line="240" w:lineRule="auto"/>
                        <w:ind w:left="540"/>
                        <w:rPr>
                          <w:sz w:val="17"/>
                          <w:szCs w:val="17"/>
                        </w:rPr>
                      </w:pPr>
                      <w:r w:rsidRPr="004B2F2E">
                        <w:rPr>
                          <w:sz w:val="17"/>
                          <w:szCs w:val="17"/>
                        </w:rPr>
                        <w:t>1. Examine the regional transportation plan and projects scheduled for funding within each transportation mode based on the performance factors established in Section 28-505, Subsection A, in the context of the transportation system.</w:t>
                      </w:r>
                    </w:p>
                    <w:p w14:paraId="120AD80F" w14:textId="77777777" w:rsidR="00C6444C" w:rsidRPr="004B2F2E" w:rsidRDefault="00C6444C" w:rsidP="00F94A3C">
                      <w:pPr>
                        <w:spacing w:before="0" w:afterLines="60" w:after="144" w:line="240" w:lineRule="auto"/>
                        <w:ind w:left="540"/>
                        <w:rPr>
                          <w:sz w:val="17"/>
                          <w:szCs w:val="17"/>
                        </w:rPr>
                      </w:pPr>
                      <w:r w:rsidRPr="004B2F2E">
                        <w:rPr>
                          <w:sz w:val="17"/>
                          <w:szCs w:val="17"/>
                        </w:rPr>
                        <w:t>2. Review past expenditures of the regional transportation plan and examine the performance of the system in relieving congestion and improving mobility.</w:t>
                      </w:r>
                    </w:p>
                    <w:p w14:paraId="450F6109" w14:textId="77777777" w:rsidR="00C6444C" w:rsidRPr="004B2F2E" w:rsidRDefault="00C6444C" w:rsidP="00F94A3C">
                      <w:pPr>
                        <w:spacing w:before="0" w:afterLines="60" w:after="144" w:line="240" w:lineRule="auto"/>
                        <w:ind w:left="540"/>
                        <w:rPr>
                          <w:sz w:val="17"/>
                          <w:szCs w:val="17"/>
                        </w:rPr>
                      </w:pPr>
                      <w:r w:rsidRPr="004B2F2E">
                        <w:rPr>
                          <w:sz w:val="17"/>
                          <w:szCs w:val="17"/>
                        </w:rPr>
                        <w:t>3. Make recommendations regarding whether further implementation of a project or transportation system is warranted, warranted with modifications, or not warranted.</w:t>
                      </w:r>
                    </w:p>
                    <w:p w14:paraId="7A0A68D6" w14:textId="77777777" w:rsidR="00C6444C" w:rsidRPr="004B2F2E" w:rsidRDefault="00C6444C" w:rsidP="00F94A3C">
                      <w:pPr>
                        <w:spacing w:before="0" w:afterLines="60" w:after="144" w:line="240" w:lineRule="auto"/>
                        <w:ind w:left="360" w:hanging="360"/>
                        <w:rPr>
                          <w:sz w:val="17"/>
                          <w:szCs w:val="17"/>
                        </w:rPr>
                      </w:pPr>
                      <w:r w:rsidRPr="004B2F2E">
                        <w:rPr>
                          <w:sz w:val="17"/>
                          <w:szCs w:val="17"/>
                        </w:rPr>
                        <w:t>D.</w:t>
                      </w:r>
                      <w:r w:rsidRPr="004B2F2E">
                        <w:rPr>
                          <w:sz w:val="17"/>
                          <w:szCs w:val="17"/>
                        </w:rPr>
                        <w:tab/>
                      </w:r>
                      <w:r w:rsidRPr="004B2F2E">
                        <w:rPr>
                          <w:sz w:val="17"/>
                          <w:szCs w:val="17"/>
                        </w:rPr>
                        <w:tab/>
                        <w:t>The auditor general or the auditors contracted to conduct the audit shall periodically update the transportation policy committee regarding the progress of the audit.</w:t>
                      </w:r>
                    </w:p>
                    <w:p w14:paraId="7C64E063" w14:textId="77777777" w:rsidR="00C6444C" w:rsidRPr="004B2F2E" w:rsidRDefault="00C6444C" w:rsidP="00F94A3C">
                      <w:pPr>
                        <w:spacing w:before="0" w:afterLines="60" w:after="144" w:line="240" w:lineRule="auto"/>
                        <w:ind w:left="360" w:hanging="360"/>
                        <w:rPr>
                          <w:sz w:val="17"/>
                          <w:szCs w:val="17"/>
                        </w:rPr>
                      </w:pPr>
                      <w:r w:rsidRPr="004B2F2E">
                        <w:rPr>
                          <w:sz w:val="17"/>
                          <w:szCs w:val="17"/>
                        </w:rPr>
                        <w:t>E.</w:t>
                      </w:r>
                      <w:r w:rsidRPr="004B2F2E">
                        <w:rPr>
                          <w:sz w:val="17"/>
                          <w:szCs w:val="17"/>
                        </w:rPr>
                        <w:tab/>
                      </w:r>
                      <w:r w:rsidRPr="004B2F2E">
                        <w:rPr>
                          <w:sz w:val="17"/>
                          <w:szCs w:val="17"/>
                        </w:rPr>
                        <w:tab/>
                        <w:t>Within 45 days after the release of the audit, the regional public transportation authority, the citizens transportation oversight committee, the state transportation board, and the county board of supervisors, by a majority vote of each entity, shall submit written recommendations to the transportation policy committee that the findings are agreed to or disagreed with and the recommendations should be implemented, implemented with modification, or not be implemented.</w:t>
                      </w:r>
                    </w:p>
                    <w:p w14:paraId="45011F8A" w14:textId="77777777" w:rsidR="00C6444C" w:rsidRPr="004B2F2E" w:rsidRDefault="00C6444C" w:rsidP="00F94A3C">
                      <w:pPr>
                        <w:spacing w:before="0" w:afterLines="60" w:after="144" w:line="240" w:lineRule="auto"/>
                        <w:ind w:left="360" w:hanging="360"/>
                        <w:rPr>
                          <w:sz w:val="17"/>
                          <w:szCs w:val="17"/>
                        </w:rPr>
                      </w:pPr>
                      <w:r w:rsidRPr="004B2F2E">
                        <w:rPr>
                          <w:sz w:val="17"/>
                          <w:szCs w:val="17"/>
                        </w:rPr>
                        <w:t>F.</w:t>
                      </w:r>
                      <w:r w:rsidRPr="004B2F2E">
                        <w:rPr>
                          <w:sz w:val="17"/>
                          <w:szCs w:val="17"/>
                        </w:rPr>
                        <w:tab/>
                      </w:r>
                      <w:r w:rsidRPr="004B2F2E">
                        <w:rPr>
                          <w:sz w:val="17"/>
                          <w:szCs w:val="17"/>
                        </w:rPr>
                        <w:tab/>
                        <w:t>Within 45 days after the audit’s release, the regional planning agency shall hold a public hearing on the audit findings and recommendations.</w:t>
                      </w:r>
                    </w:p>
                    <w:p w14:paraId="5723C86C" w14:textId="77777777" w:rsidR="00C6444C" w:rsidRPr="004B2F2E" w:rsidRDefault="00C6444C" w:rsidP="00F94A3C">
                      <w:pPr>
                        <w:spacing w:before="0" w:afterLines="60" w:after="144" w:line="240" w:lineRule="auto"/>
                        <w:rPr>
                          <w:sz w:val="17"/>
                          <w:szCs w:val="17"/>
                        </w:rPr>
                      </w:pPr>
                      <w:r w:rsidRPr="004B2F2E">
                        <w:rPr>
                          <w:sz w:val="17"/>
                          <w:szCs w:val="17"/>
                        </w:rPr>
                        <w:t>G.</w:t>
                      </w:r>
                      <w:r w:rsidRPr="004B2F2E">
                        <w:rPr>
                          <w:sz w:val="17"/>
                          <w:szCs w:val="17"/>
                        </w:rPr>
                        <w:tab/>
                      </w:r>
                      <w:r w:rsidRPr="004B2F2E">
                        <w:rPr>
                          <w:sz w:val="17"/>
                          <w:szCs w:val="17"/>
                        </w:rPr>
                        <w:tab/>
                        <w:t>The auditor general shall distribute copies of the audit to:</w:t>
                      </w:r>
                      <w:r w:rsidRPr="004B2F2E">
                        <w:rPr>
                          <w:sz w:val="17"/>
                          <w:szCs w:val="17"/>
                        </w:rPr>
                        <w:tab/>
                      </w:r>
                    </w:p>
                    <w:p w14:paraId="12CCC887"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1. The regional planning agency.</w:t>
                      </w:r>
                    </w:p>
                    <w:p w14:paraId="5535AF18"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2. The transportation policy committee.</w:t>
                      </w:r>
                    </w:p>
                    <w:p w14:paraId="078B1393"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3. The citizen’s transportation oversight committee.</w:t>
                      </w:r>
                    </w:p>
                    <w:p w14:paraId="7D7A986F"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4. The regional public transportation authority in the county.</w:t>
                      </w:r>
                    </w:p>
                    <w:p w14:paraId="6336D6B4"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5. The county board of supervisors.</w:t>
                      </w:r>
                    </w:p>
                    <w:p w14:paraId="49D7A54F"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6. The state transportation board.</w:t>
                      </w:r>
                    </w:p>
                    <w:p w14:paraId="70EDB372"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7. The governor, secretary of state, president of the Senate, and speaker of the House of Representatives.</w:t>
                      </w:r>
                    </w:p>
                    <w:p w14:paraId="6A09FDE5" w14:textId="77777777" w:rsidR="00C6444C" w:rsidRPr="004B2F2E" w:rsidRDefault="00C6444C" w:rsidP="00F94A3C">
                      <w:pPr>
                        <w:spacing w:before="0" w:after="0" w:line="240" w:lineRule="auto"/>
                        <w:rPr>
                          <w:sz w:val="17"/>
                          <w:szCs w:val="17"/>
                        </w:rPr>
                      </w:pPr>
                      <w:r w:rsidRPr="004B2F2E">
                        <w:rPr>
                          <w:sz w:val="17"/>
                          <w:szCs w:val="17"/>
                        </w:rPr>
                        <w:tab/>
                      </w:r>
                      <w:r w:rsidRPr="004B2F2E">
                        <w:rPr>
                          <w:sz w:val="17"/>
                          <w:szCs w:val="17"/>
                        </w:rPr>
                        <w:tab/>
                      </w:r>
                      <w:r w:rsidRPr="004B2F2E">
                        <w:rPr>
                          <w:sz w:val="17"/>
                          <w:szCs w:val="17"/>
                        </w:rPr>
                        <w:tab/>
                        <w:t>8. The Arizona state library, archives and public records.</w:t>
                      </w:r>
                    </w:p>
                    <w:p w14:paraId="1C5E202C" w14:textId="77777777" w:rsidR="00C6444C" w:rsidRPr="004B2F2E" w:rsidRDefault="00C6444C" w:rsidP="00F94A3C">
                      <w:pPr>
                        <w:spacing w:before="0" w:after="60" w:line="240" w:lineRule="auto"/>
                        <w:rPr>
                          <w:sz w:val="17"/>
                          <w:szCs w:val="17"/>
                        </w:rPr>
                      </w:pPr>
                      <w:r w:rsidRPr="004B2F2E">
                        <w:rPr>
                          <w:sz w:val="17"/>
                          <w:szCs w:val="17"/>
                        </w:rPr>
                        <w:tab/>
                      </w:r>
                      <w:r w:rsidRPr="004B2F2E">
                        <w:rPr>
                          <w:sz w:val="17"/>
                          <w:szCs w:val="17"/>
                        </w:rPr>
                        <w:tab/>
                      </w:r>
                      <w:r w:rsidRPr="004B2F2E">
                        <w:rPr>
                          <w:sz w:val="17"/>
                          <w:szCs w:val="17"/>
                        </w:rPr>
                        <w:tab/>
                        <w:t>9. Any other person who requests a copy pursuant to Title 39, Article 2.</w:t>
                      </w:r>
                    </w:p>
                    <w:p w14:paraId="6204F3A0" w14:textId="77777777" w:rsidR="00C6444C" w:rsidRPr="004B2F2E" w:rsidRDefault="00C6444C" w:rsidP="00F94A3C">
                      <w:pPr>
                        <w:spacing w:before="0" w:afterLines="60" w:after="144" w:line="240" w:lineRule="auto"/>
                        <w:ind w:left="360" w:hanging="360"/>
                        <w:rPr>
                          <w:sz w:val="17"/>
                          <w:szCs w:val="17"/>
                        </w:rPr>
                      </w:pPr>
                      <w:r w:rsidRPr="004B2F2E">
                        <w:rPr>
                          <w:sz w:val="17"/>
                          <w:szCs w:val="17"/>
                        </w:rPr>
                        <w:t>H.</w:t>
                      </w:r>
                      <w:r w:rsidRPr="004B2F2E">
                        <w:rPr>
                          <w:sz w:val="17"/>
                          <w:szCs w:val="17"/>
                        </w:rPr>
                        <w:tab/>
                      </w:r>
                      <w:r w:rsidRPr="004B2F2E">
                        <w:rPr>
                          <w:sz w:val="17"/>
                          <w:szCs w:val="17"/>
                        </w:rPr>
                        <w:tab/>
                        <w:t>The state transportation board, regional planning agency, regional public transportation authority, and county board of supervisors shall cooperate with and submit to the auditor general and the auditors contracted to conduct the audit information necessary to conduct the audits under this section.</w:t>
                      </w:r>
                    </w:p>
                    <w:p w14:paraId="73033171" w14:textId="77777777" w:rsidR="00C6444C" w:rsidRPr="004B2F2E" w:rsidRDefault="00C6444C" w:rsidP="00F94A3C">
                      <w:pPr>
                        <w:spacing w:before="0" w:afterLines="60" w:after="144" w:line="240" w:lineRule="auto"/>
                        <w:ind w:left="360" w:hanging="360"/>
                        <w:rPr>
                          <w:sz w:val="17"/>
                          <w:szCs w:val="17"/>
                        </w:rPr>
                      </w:pPr>
                      <w:r w:rsidRPr="004B2F2E">
                        <w:rPr>
                          <w:sz w:val="17"/>
                          <w:szCs w:val="17"/>
                        </w:rPr>
                        <w:t>I.</w:t>
                      </w:r>
                      <w:r w:rsidRPr="004B2F2E">
                        <w:rPr>
                          <w:sz w:val="17"/>
                          <w:szCs w:val="17"/>
                        </w:rPr>
                        <w:tab/>
                      </w:r>
                      <w:r w:rsidRPr="004B2F2E">
                        <w:rPr>
                          <w:sz w:val="17"/>
                          <w:szCs w:val="17"/>
                        </w:rPr>
                        <w:tab/>
                        <w:t xml:space="preserve">The cost incurred by the auditor general in contracting with independent auditors for conducting performance audits under Subsection A of this section shall be paid from revenues of the county transportation excise tax under Section 42-6105. When due, the payments have priority over any other distribution authorized by Section 42-6105. The auditor general shall deposit the payments in the audit services revolving fund established by Section 41-1279.06. </w:t>
                      </w:r>
                    </w:p>
                    <w:p w14:paraId="5D54ED4C" w14:textId="77777777" w:rsidR="00C6444C" w:rsidRPr="00347D6E" w:rsidRDefault="00C6444C" w:rsidP="00020D20"/>
                  </w:txbxContent>
                </v:textbox>
                <w10:wrap type="square"/>
              </v:shape>
            </w:pict>
          </mc:Fallback>
        </mc:AlternateContent>
      </w:r>
      <w:r w:rsidR="00BC19F4" w:rsidRPr="00BC19F4">
        <w:t xml:space="preserve">Figure 9-1 </w:t>
      </w:r>
      <w:r w:rsidR="00C4225B">
        <w:t>|</w:t>
      </w:r>
      <w:r w:rsidR="00BC19F4">
        <w:t xml:space="preserve"> </w:t>
      </w:r>
      <w:r w:rsidR="00BC19F4" w:rsidRPr="00BC19F4">
        <w:t>Regio</w:t>
      </w:r>
      <w:r w:rsidR="00BC19F4" w:rsidRPr="00C4225B">
        <w:t>n</w:t>
      </w:r>
      <w:r w:rsidR="00BC19F4" w:rsidRPr="00BC19F4">
        <w:t>al Transportation Plan Audits</w:t>
      </w:r>
    </w:p>
    <w:p w14:paraId="34024C0B" w14:textId="77777777" w:rsidR="00F110A6" w:rsidRDefault="00F110A6" w:rsidP="00020D20">
      <w:pPr>
        <w:jc w:val="both"/>
        <w:sectPr w:rsidR="00F110A6" w:rsidSect="00020D20">
          <w:type w:val="continuous"/>
          <w:pgSz w:w="12240" w:h="15840"/>
          <w:pgMar w:top="1440" w:right="1440" w:bottom="1440" w:left="1440" w:header="720" w:footer="720" w:gutter="0"/>
          <w:pgNumType w:chapStyle="1"/>
          <w:cols w:space="720"/>
          <w:docGrid w:linePitch="360"/>
        </w:sectPr>
      </w:pPr>
    </w:p>
    <w:p w14:paraId="65076407" w14:textId="11D52B20" w:rsidR="00BC19F4" w:rsidRPr="00BC19F4" w:rsidRDefault="00BC19F4" w:rsidP="00020D20">
      <w:pPr>
        <w:pStyle w:val="Heading2"/>
      </w:pPr>
      <w:bookmarkStart w:id="394" w:name="_Ref50031175"/>
      <w:r w:rsidRPr="00BC19F4">
        <w:t>9.8 | REGIONAL TRANSPORTATION PLAN AUDIT</w:t>
      </w:r>
      <w:bookmarkEnd w:id="394"/>
    </w:p>
    <w:p w14:paraId="67955C06" w14:textId="67090FAF" w:rsidR="00BC19F4" w:rsidRPr="00BC19F4" w:rsidRDefault="00E25F89" w:rsidP="00020D20">
      <w:pPr>
        <w:jc w:val="both"/>
        <w:rPr>
          <w:rFonts w:cstheme="minorHAnsi"/>
        </w:rPr>
      </w:pPr>
      <w:r>
        <w:rPr>
          <w:rFonts w:cstheme="minorHAnsi"/>
          <w:noProof/>
        </w:rPr>
        <mc:AlternateContent>
          <mc:Choice Requires="wpg">
            <w:drawing>
              <wp:anchor distT="0" distB="0" distL="114300" distR="114300" simplePos="0" relativeHeight="251618621" behindDoc="0" locked="0" layoutInCell="1" allowOverlap="1" wp14:anchorId="2365DCD0" wp14:editId="7D6EC547">
                <wp:simplePos x="0" y="0"/>
                <wp:positionH relativeFrom="column">
                  <wp:posOffset>3188143</wp:posOffset>
                </wp:positionH>
                <wp:positionV relativeFrom="paragraph">
                  <wp:posOffset>448711</wp:posOffset>
                </wp:positionV>
                <wp:extent cx="2783840" cy="3526790"/>
                <wp:effectExtent l="76200" t="76200" r="92710" b="111760"/>
                <wp:wrapSquare wrapText="bothSides"/>
                <wp:docPr id="816286007" name="Group 816286007"/>
                <wp:cNvGraphicFramePr/>
                <a:graphic xmlns:a="http://schemas.openxmlformats.org/drawingml/2006/main">
                  <a:graphicData uri="http://schemas.microsoft.com/office/word/2010/wordprocessingGroup">
                    <wpg:wgp>
                      <wpg:cNvGrpSpPr/>
                      <wpg:grpSpPr>
                        <a:xfrm>
                          <a:off x="0" y="0"/>
                          <a:ext cx="2783840" cy="3526790"/>
                          <a:chOff x="0" y="0"/>
                          <a:chExt cx="2784285" cy="3571083"/>
                        </a:xfrm>
                      </wpg:grpSpPr>
                      <wps:wsp>
                        <wps:cNvPr id="203" name="Text Box 203"/>
                        <wps:cNvSpPr txBox="1"/>
                        <wps:spPr>
                          <a:xfrm>
                            <a:off x="11875" y="29688"/>
                            <a:ext cx="2772410" cy="3541395"/>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1116"/>
                                <w:gridCol w:w="3384"/>
                              </w:tblGrid>
                              <w:tr w:rsidR="00C6444C" w14:paraId="3A2F7141" w14:textId="77777777" w:rsidTr="00020D20">
                                <w:trPr>
                                  <w:trHeight w:val="904"/>
                                </w:trPr>
                                <w:tc>
                                  <w:tcPr>
                                    <w:tcW w:w="1116" w:type="dxa"/>
                                    <w:shd w:val="clear" w:color="auto" w:fill="auto"/>
                                  </w:tcPr>
                                  <w:p w14:paraId="77DA4533" w14:textId="46D4B966" w:rsidR="00C6444C" w:rsidRPr="00020D20" w:rsidRDefault="00C6444C">
                                    <w:pPr>
                                      <w:pStyle w:val="Calloutboxes"/>
                                      <w:rPr>
                                        <w:color w:val="012768"/>
                                      </w:rPr>
                                    </w:pPr>
                                  </w:p>
                                </w:tc>
                                <w:tc>
                                  <w:tcPr>
                                    <w:tcW w:w="3384" w:type="dxa"/>
                                    <w:shd w:val="clear" w:color="auto" w:fill="auto"/>
                                  </w:tcPr>
                                  <w:p w14:paraId="0B9DA77F" w14:textId="16A158B4" w:rsidR="00C6444C" w:rsidRPr="00020D20" w:rsidRDefault="00C6444C" w:rsidP="00D30138">
                                    <w:pPr>
                                      <w:pStyle w:val="Calloutboxes"/>
                                      <w:jc w:val="left"/>
                                      <w:rPr>
                                        <w:color w:val="FFFFFF" w:themeColor="background1"/>
                                        <w:sz w:val="24"/>
                                        <w:szCs w:val="24"/>
                                      </w:rPr>
                                    </w:pPr>
                                  </w:p>
                                </w:tc>
                              </w:tr>
                              <w:tr w:rsidR="00C6444C" w14:paraId="6509653A" w14:textId="77777777" w:rsidTr="00020D20">
                                <w:trPr>
                                  <w:trHeight w:val="803"/>
                                </w:trPr>
                                <w:tc>
                                  <w:tcPr>
                                    <w:tcW w:w="1116" w:type="dxa"/>
                                    <w:tcBorders>
                                      <w:bottom w:val="single" w:sz="4" w:space="0" w:color="auto"/>
                                    </w:tcBorders>
                                    <w:vAlign w:val="center"/>
                                  </w:tcPr>
                                  <w:p w14:paraId="65AC9480" w14:textId="5F67E9BC" w:rsidR="00C6444C" w:rsidRDefault="00C6444C">
                                    <w:pPr>
                                      <w:pStyle w:val="Calloutboxes"/>
                                    </w:pPr>
                                    <w:r w:rsidRPr="00484631">
                                      <w:rPr>
                                        <w:noProof/>
                                      </w:rPr>
                                      <w:drawing>
                                        <wp:inline distT="0" distB="0" distL="0" distR="0" wp14:anchorId="632ADFFC" wp14:editId="7FD25970">
                                          <wp:extent cx="91440" cy="91440"/>
                                          <wp:effectExtent l="0" t="0" r="3810" b="3810"/>
                                          <wp:docPr id="1690911538" name="Picture 169091153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bottom w:val="single" w:sz="4" w:space="0" w:color="auto"/>
                                    </w:tcBorders>
                                  </w:tcPr>
                                  <w:p w14:paraId="28C9E957" w14:textId="7AD3E496" w:rsidR="00C6444C" w:rsidRPr="00D30138" w:rsidRDefault="00C6444C">
                                    <w:pPr>
                                      <w:pStyle w:val="Calloutboxes"/>
                                      <w:jc w:val="left"/>
                                    </w:pPr>
                                    <w:r w:rsidRPr="00D30138">
                                      <w:t xml:space="preserve">Determine whether the MPO’s or COG’s financial statements are presented fairly in all material respects in </w:t>
                                    </w:r>
                                    <w:r w:rsidRPr="00020D20">
                                      <w:rPr>
                                        <w:rStyle w:val="Emphasis"/>
                                      </w:rPr>
                                      <w:t>conformity</w:t>
                                    </w:r>
                                    <w:r w:rsidRPr="00D30138">
                                      <w:t xml:space="preserve"> with generally accepted accounting principles.</w:t>
                                    </w:r>
                                  </w:p>
                                </w:tc>
                              </w:tr>
                              <w:tr w:rsidR="00C6444C" w14:paraId="01D0B688" w14:textId="77777777" w:rsidTr="00020D20">
                                <w:trPr>
                                  <w:trHeight w:val="1434"/>
                                </w:trPr>
                                <w:tc>
                                  <w:tcPr>
                                    <w:tcW w:w="1116" w:type="dxa"/>
                                    <w:tcBorders>
                                      <w:top w:val="single" w:sz="4" w:space="0" w:color="auto"/>
                                      <w:bottom w:val="single" w:sz="4" w:space="0" w:color="auto"/>
                                    </w:tcBorders>
                                    <w:vAlign w:val="center"/>
                                  </w:tcPr>
                                  <w:p w14:paraId="347D4BDF" w14:textId="46B5CE4A" w:rsidR="00C6444C" w:rsidRDefault="00202C92">
                                    <w:pPr>
                                      <w:pStyle w:val="Calloutboxes"/>
                                    </w:pPr>
                                    <w:r>
                                      <w:pict w14:anchorId="6E6DB4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A close up of a logo&#10;&#10;Description generated with very high confidence" style="width:7.45pt;height:7.45pt;visibility:visible" o:ole="">
                                          <v:imagedata r:id="rId622" o:title="A close up of a logo&#10;&#10;Description generated with very high confidence"/>
                                        </v:shape>
                                      </w:pict>
                                    </w:r>
                                  </w:p>
                                </w:tc>
                                <w:tc>
                                  <w:tcPr>
                                    <w:tcW w:w="3384" w:type="dxa"/>
                                    <w:tcBorders>
                                      <w:top w:val="single" w:sz="4" w:space="0" w:color="auto"/>
                                      <w:bottom w:val="single" w:sz="4" w:space="0" w:color="auto"/>
                                    </w:tcBorders>
                                  </w:tcPr>
                                  <w:p w14:paraId="45D46FC5" w14:textId="7EFEBA5C" w:rsidR="00C6444C" w:rsidRPr="00D30138" w:rsidRDefault="00C6444C">
                                    <w:pPr>
                                      <w:pStyle w:val="Calloutboxes"/>
                                      <w:jc w:val="left"/>
                                    </w:pPr>
                                    <w:r w:rsidRPr="00D30138">
                                      <w:t>Determine whether state financial assistance shown on the Schedule of Expenditures of Federal Awards and State Financial Assistance and/or the Schedule of Expenditures of Federal Awards are presented fairly in all material respects in relation to the MPO’s or COG’s financial statements taken as a whole.</w:t>
                                    </w:r>
                                  </w:p>
                                </w:tc>
                              </w:tr>
                              <w:tr w:rsidR="00C6444C" w14:paraId="0BBF49CA" w14:textId="77777777" w:rsidTr="00020D20">
                                <w:trPr>
                                  <w:trHeight w:val="534"/>
                                </w:trPr>
                                <w:tc>
                                  <w:tcPr>
                                    <w:tcW w:w="1116" w:type="dxa"/>
                                    <w:tcBorders>
                                      <w:top w:val="single" w:sz="4" w:space="0" w:color="auto"/>
                                      <w:bottom w:val="single" w:sz="4" w:space="0" w:color="auto"/>
                                    </w:tcBorders>
                                    <w:vAlign w:val="center"/>
                                  </w:tcPr>
                                  <w:p w14:paraId="3EF72A57" w14:textId="14DA0913" w:rsidR="00C6444C" w:rsidRDefault="00C6444C">
                                    <w:pPr>
                                      <w:pStyle w:val="Calloutboxes"/>
                                    </w:pPr>
                                    <w:r w:rsidRPr="00484631">
                                      <w:rPr>
                                        <w:noProof/>
                                      </w:rPr>
                                      <w:drawing>
                                        <wp:inline distT="0" distB="0" distL="0" distR="0" wp14:anchorId="20110D1A" wp14:editId="493058BD">
                                          <wp:extent cx="91440" cy="91440"/>
                                          <wp:effectExtent l="0" t="0" r="3810" b="3810"/>
                                          <wp:docPr id="1690911539" name="Picture 169091153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top w:val="single" w:sz="4" w:space="0" w:color="auto"/>
                                      <w:bottom w:val="single" w:sz="4" w:space="0" w:color="auto"/>
                                    </w:tcBorders>
                                  </w:tcPr>
                                  <w:p w14:paraId="2B202885" w14:textId="0134067F" w:rsidR="00C6444C" w:rsidRPr="00D30138" w:rsidRDefault="00C6444C">
                                    <w:pPr>
                                      <w:pStyle w:val="Calloutboxes"/>
                                      <w:jc w:val="left"/>
                                    </w:pPr>
                                    <w:r w:rsidRPr="00D30138">
                                      <w:t>Obtain an understanding of the MPO’s or COG’s internal financial controls by assessing risk and performing tests of control.</w:t>
                                    </w:r>
                                  </w:p>
                                </w:tc>
                              </w:tr>
                              <w:tr w:rsidR="00C6444C" w14:paraId="602A6B25" w14:textId="77777777" w:rsidTr="00020D20">
                                <w:trPr>
                                  <w:trHeight w:val="794"/>
                                </w:trPr>
                                <w:tc>
                                  <w:tcPr>
                                    <w:tcW w:w="1116" w:type="dxa"/>
                                    <w:tcBorders>
                                      <w:top w:val="single" w:sz="4" w:space="0" w:color="auto"/>
                                      <w:bottom w:val="single" w:sz="4" w:space="0" w:color="auto"/>
                                    </w:tcBorders>
                                    <w:vAlign w:val="center"/>
                                  </w:tcPr>
                                  <w:p w14:paraId="447E8B32" w14:textId="2B283878" w:rsidR="00C6444C" w:rsidRDefault="00C6444C">
                                    <w:pPr>
                                      <w:pStyle w:val="Calloutboxes"/>
                                    </w:pPr>
                                    <w:r w:rsidRPr="00484631">
                                      <w:rPr>
                                        <w:noProof/>
                                      </w:rPr>
                                      <w:drawing>
                                        <wp:inline distT="0" distB="0" distL="0" distR="0" wp14:anchorId="297BA341" wp14:editId="0732C7A3">
                                          <wp:extent cx="91440" cy="91440"/>
                                          <wp:effectExtent l="0" t="0" r="3810" b="3810"/>
                                          <wp:docPr id="1690911540" name="Picture 169091154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top w:val="single" w:sz="4" w:space="0" w:color="auto"/>
                                      <w:bottom w:val="single" w:sz="4" w:space="0" w:color="auto"/>
                                    </w:tcBorders>
                                  </w:tcPr>
                                  <w:p w14:paraId="45AEDB93" w14:textId="41990C81" w:rsidR="00C6444C" w:rsidRPr="00D30138" w:rsidRDefault="00C6444C">
                                    <w:pPr>
                                      <w:pStyle w:val="Calloutboxes"/>
                                      <w:jc w:val="left"/>
                                    </w:pPr>
                                    <w:r w:rsidRPr="00D30138">
                                      <w:t>Determine whether the MPO or COG has complied with applicable state and/or federal laws, rules, regulations, and contracts and/or agreements.</w:t>
                                    </w:r>
                                  </w:p>
                                </w:tc>
                              </w:tr>
                              <w:tr w:rsidR="00C6444C" w14:paraId="69868F05" w14:textId="77777777" w:rsidTr="00020D20">
                                <w:trPr>
                                  <w:trHeight w:val="893"/>
                                </w:trPr>
                                <w:tc>
                                  <w:tcPr>
                                    <w:tcW w:w="1116" w:type="dxa"/>
                                    <w:tcBorders>
                                      <w:top w:val="single" w:sz="4" w:space="0" w:color="auto"/>
                                    </w:tcBorders>
                                    <w:vAlign w:val="center"/>
                                  </w:tcPr>
                                  <w:p w14:paraId="565D54FD" w14:textId="1FAF80CB" w:rsidR="00C6444C" w:rsidRDefault="00C6444C">
                                    <w:pPr>
                                      <w:pStyle w:val="Calloutboxes"/>
                                    </w:pPr>
                                    <w:r w:rsidRPr="00484631">
                                      <w:rPr>
                                        <w:noProof/>
                                      </w:rPr>
                                      <w:drawing>
                                        <wp:inline distT="0" distB="0" distL="0" distR="0" wp14:anchorId="2AECB6E7" wp14:editId="56317683">
                                          <wp:extent cx="91440" cy="91440"/>
                                          <wp:effectExtent l="0" t="0" r="3810" b="3810"/>
                                          <wp:docPr id="1690911541" name="Picture 169091154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top w:val="single" w:sz="4" w:space="0" w:color="auto"/>
                                    </w:tcBorders>
                                  </w:tcPr>
                                  <w:p w14:paraId="559252FD" w14:textId="7658D539" w:rsidR="00C6444C" w:rsidRPr="00D30138" w:rsidRDefault="00C6444C">
                                    <w:pPr>
                                      <w:pStyle w:val="Calloutboxes"/>
                                      <w:jc w:val="left"/>
                                    </w:pPr>
                                    <w:r w:rsidRPr="00D30138">
                                      <w:t>Determine whether the MPO or COG has internal controls in place to provide reasonable assurance of compliance with the provisions of laws and rules pertaining to financial assistance.</w:t>
                                    </w:r>
                                  </w:p>
                                </w:tc>
                              </w:tr>
                            </w:tbl>
                            <w:p w14:paraId="40988B3D" w14:textId="0266BA31"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003" name="Group 816286003"/>
                        <wpg:cNvGrpSpPr/>
                        <wpg:grpSpPr>
                          <a:xfrm>
                            <a:off x="0" y="0"/>
                            <a:ext cx="2784285" cy="684316"/>
                            <a:chOff x="0" y="0"/>
                            <a:chExt cx="2784285" cy="684316"/>
                          </a:xfrm>
                        </wpg:grpSpPr>
                        <wps:wsp>
                          <wps:cNvPr id="213" name="Rectangle 213"/>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0" y="0"/>
                              <a:ext cx="684316" cy="684316"/>
                            </a:xfrm>
                            <a:prstGeom prst="rect">
                              <a:avLst/>
                            </a:prstGeom>
                            <a:noFill/>
                            <a:ln w="6350">
                              <a:noFill/>
                            </a:ln>
                            <a:effectLst/>
                          </wps:spPr>
                          <wps:txbx>
                            <w:txbxContent>
                              <w:p w14:paraId="4FEA1DD2" w14:textId="36C5977F" w:rsidR="00C6444C" w:rsidRDefault="00C6444C">
                                <w:r>
                                  <w:rPr>
                                    <w:noProof/>
                                  </w:rPr>
                                  <w:drawing>
                                    <wp:inline distT="0" distB="0" distL="0" distR="0" wp14:anchorId="5551ADB0" wp14:editId="54DD6367">
                                      <wp:extent cx="457200" cy="457200"/>
                                      <wp:effectExtent l="0" t="0" r="0" b="0"/>
                                      <wp:docPr id="1690911547" name="Picture 169091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581891" y="142504"/>
                              <a:ext cx="2198131" cy="403225"/>
                            </a:xfrm>
                            <a:prstGeom prst="rect">
                              <a:avLst/>
                            </a:prstGeom>
                            <a:noFill/>
                            <a:ln w="6350">
                              <a:noFill/>
                            </a:ln>
                            <a:effectLst/>
                          </wps:spPr>
                          <wps:txbx>
                            <w:txbxContent>
                              <w:p w14:paraId="7C1F43D4" w14:textId="5C235B97" w:rsidR="00C6444C" w:rsidRPr="00020D20" w:rsidRDefault="00C6444C">
                                <w:pPr>
                                  <w:rPr>
                                    <w:color w:val="FFFFFF" w:themeColor="background1"/>
                                  </w:rPr>
                                </w:pPr>
                                <w:r w:rsidRPr="00020D20">
                                  <w:rPr>
                                    <w:color w:val="FFFFFF" w:themeColor="background1"/>
                                  </w:rPr>
                                  <w:t>SINGLE AUDIT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365DCD0" id="Group 816286007" o:spid="_x0000_s1169" style="position:absolute;left:0;text-align:left;margin-left:251.05pt;margin-top:35.35pt;width:219.2pt;height:277.7pt;z-index:251618621;mso-height-relative:margin" coordsize="27842,3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">
                <v:shape id="Text Box 203" o:spid="_x0000_s1170" type="#_x0000_t202" style="position:absolute;left:118;top:296;width:27724;height:35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1116"/>
                          <w:gridCol w:w="3384"/>
                        </w:tblGrid>
                        <w:tr w:rsidR="00C6444C" w14:paraId="3A2F7141" w14:textId="77777777" w:rsidTr="00020D20">
                          <w:trPr>
                            <w:trHeight w:val="904"/>
                          </w:trPr>
                          <w:tc>
                            <w:tcPr>
                              <w:tcW w:w="1116" w:type="dxa"/>
                              <w:shd w:val="clear" w:color="auto" w:fill="auto"/>
                            </w:tcPr>
                            <w:p w14:paraId="77DA4533" w14:textId="46D4B966" w:rsidR="00C6444C" w:rsidRPr="00020D20" w:rsidRDefault="00C6444C">
                              <w:pPr>
                                <w:pStyle w:val="Calloutboxes"/>
                                <w:rPr>
                                  <w:color w:val="012768"/>
                                </w:rPr>
                              </w:pPr>
                            </w:p>
                          </w:tc>
                          <w:tc>
                            <w:tcPr>
                              <w:tcW w:w="3384" w:type="dxa"/>
                              <w:shd w:val="clear" w:color="auto" w:fill="auto"/>
                            </w:tcPr>
                            <w:p w14:paraId="0B9DA77F" w14:textId="16A158B4" w:rsidR="00C6444C" w:rsidRPr="00020D20" w:rsidRDefault="00C6444C" w:rsidP="00D30138">
                              <w:pPr>
                                <w:pStyle w:val="Calloutboxes"/>
                                <w:jc w:val="left"/>
                                <w:rPr>
                                  <w:color w:val="FFFFFF" w:themeColor="background1"/>
                                  <w:sz w:val="24"/>
                                  <w:szCs w:val="24"/>
                                </w:rPr>
                              </w:pPr>
                            </w:p>
                          </w:tc>
                        </w:tr>
                        <w:tr w:rsidR="00C6444C" w14:paraId="6509653A" w14:textId="77777777" w:rsidTr="00020D20">
                          <w:trPr>
                            <w:trHeight w:val="803"/>
                          </w:trPr>
                          <w:tc>
                            <w:tcPr>
                              <w:tcW w:w="1116" w:type="dxa"/>
                              <w:tcBorders>
                                <w:bottom w:val="single" w:sz="4" w:space="0" w:color="auto"/>
                              </w:tcBorders>
                              <w:vAlign w:val="center"/>
                            </w:tcPr>
                            <w:p w14:paraId="65AC9480" w14:textId="5F67E9BC" w:rsidR="00C6444C" w:rsidRDefault="00C6444C">
                              <w:pPr>
                                <w:pStyle w:val="Calloutboxes"/>
                              </w:pPr>
                              <w:r w:rsidRPr="00484631">
                                <w:rPr>
                                  <w:noProof/>
                                </w:rPr>
                                <w:drawing>
                                  <wp:inline distT="0" distB="0" distL="0" distR="0" wp14:anchorId="632ADFFC" wp14:editId="7FD25970">
                                    <wp:extent cx="91440" cy="91440"/>
                                    <wp:effectExtent l="0" t="0" r="3810" b="3810"/>
                                    <wp:docPr id="1690911538" name="Picture 169091153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bottom w:val="single" w:sz="4" w:space="0" w:color="auto"/>
                              </w:tcBorders>
                            </w:tcPr>
                            <w:p w14:paraId="28C9E957" w14:textId="7AD3E496" w:rsidR="00C6444C" w:rsidRPr="00D30138" w:rsidRDefault="00C6444C">
                              <w:pPr>
                                <w:pStyle w:val="Calloutboxes"/>
                                <w:jc w:val="left"/>
                              </w:pPr>
                              <w:r w:rsidRPr="00D30138">
                                <w:t xml:space="preserve">Determine whether the MPO’s or COG’s financial statements are presented fairly in all material respects in </w:t>
                              </w:r>
                              <w:r w:rsidRPr="00020D20">
                                <w:rPr>
                                  <w:rStyle w:val="Emphasis"/>
                                </w:rPr>
                                <w:t>conformity</w:t>
                              </w:r>
                              <w:r w:rsidRPr="00D30138">
                                <w:t xml:space="preserve"> with generally accepted accounting principles.</w:t>
                              </w:r>
                            </w:p>
                          </w:tc>
                        </w:tr>
                        <w:tr w:rsidR="00C6444C" w14:paraId="01D0B688" w14:textId="77777777" w:rsidTr="00020D20">
                          <w:trPr>
                            <w:trHeight w:val="1434"/>
                          </w:trPr>
                          <w:tc>
                            <w:tcPr>
                              <w:tcW w:w="1116" w:type="dxa"/>
                              <w:tcBorders>
                                <w:top w:val="single" w:sz="4" w:space="0" w:color="auto"/>
                                <w:bottom w:val="single" w:sz="4" w:space="0" w:color="auto"/>
                              </w:tcBorders>
                              <w:vAlign w:val="center"/>
                            </w:tcPr>
                            <w:p w14:paraId="347D4BDF" w14:textId="46B5CE4A" w:rsidR="00C6444C" w:rsidRDefault="00202C92">
                              <w:pPr>
                                <w:pStyle w:val="Calloutboxes"/>
                              </w:pPr>
                              <w:r>
                                <w:pict w14:anchorId="6E6DB42B">
                                  <v:shape id="_x0000_i1026" type="#_x0000_t75" alt="A close up of a logo&#10;&#10;Description generated with very high confidence" style="width:7.45pt;height:7.45pt;visibility:visible" o:ole="">
                                    <v:imagedata r:id="rId622" o:title="A close up of a logo&#10;&#10;Description generated with very high confidence"/>
                                  </v:shape>
                                </w:pict>
                              </w:r>
                            </w:p>
                          </w:tc>
                          <w:tc>
                            <w:tcPr>
                              <w:tcW w:w="3384" w:type="dxa"/>
                              <w:tcBorders>
                                <w:top w:val="single" w:sz="4" w:space="0" w:color="auto"/>
                                <w:bottom w:val="single" w:sz="4" w:space="0" w:color="auto"/>
                              </w:tcBorders>
                            </w:tcPr>
                            <w:p w14:paraId="45D46FC5" w14:textId="7EFEBA5C" w:rsidR="00C6444C" w:rsidRPr="00D30138" w:rsidRDefault="00C6444C">
                              <w:pPr>
                                <w:pStyle w:val="Calloutboxes"/>
                                <w:jc w:val="left"/>
                              </w:pPr>
                              <w:r w:rsidRPr="00D30138">
                                <w:t>Determine whether state financial assistance shown on the Schedule of Expenditures of Federal Awards and State Financial Assistance and/or the Schedule of Expenditures of Federal Awards are presented fairly in all material respects in relation to the MPO’s or COG’s financial statements taken as a whole.</w:t>
                              </w:r>
                            </w:p>
                          </w:tc>
                        </w:tr>
                        <w:tr w:rsidR="00C6444C" w14:paraId="0BBF49CA" w14:textId="77777777" w:rsidTr="00020D20">
                          <w:trPr>
                            <w:trHeight w:val="534"/>
                          </w:trPr>
                          <w:tc>
                            <w:tcPr>
                              <w:tcW w:w="1116" w:type="dxa"/>
                              <w:tcBorders>
                                <w:top w:val="single" w:sz="4" w:space="0" w:color="auto"/>
                                <w:bottom w:val="single" w:sz="4" w:space="0" w:color="auto"/>
                              </w:tcBorders>
                              <w:vAlign w:val="center"/>
                            </w:tcPr>
                            <w:p w14:paraId="3EF72A57" w14:textId="14DA0913" w:rsidR="00C6444C" w:rsidRDefault="00C6444C">
                              <w:pPr>
                                <w:pStyle w:val="Calloutboxes"/>
                              </w:pPr>
                              <w:r w:rsidRPr="00484631">
                                <w:rPr>
                                  <w:noProof/>
                                </w:rPr>
                                <w:drawing>
                                  <wp:inline distT="0" distB="0" distL="0" distR="0" wp14:anchorId="20110D1A" wp14:editId="493058BD">
                                    <wp:extent cx="91440" cy="91440"/>
                                    <wp:effectExtent l="0" t="0" r="3810" b="3810"/>
                                    <wp:docPr id="1690911539" name="Picture 169091153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top w:val="single" w:sz="4" w:space="0" w:color="auto"/>
                                <w:bottom w:val="single" w:sz="4" w:space="0" w:color="auto"/>
                              </w:tcBorders>
                            </w:tcPr>
                            <w:p w14:paraId="2B202885" w14:textId="0134067F" w:rsidR="00C6444C" w:rsidRPr="00D30138" w:rsidRDefault="00C6444C">
                              <w:pPr>
                                <w:pStyle w:val="Calloutboxes"/>
                                <w:jc w:val="left"/>
                              </w:pPr>
                              <w:r w:rsidRPr="00D30138">
                                <w:t>Obtain an understanding of the MPO’s or COG’s internal financial controls by assessing risk and performing tests of control.</w:t>
                              </w:r>
                            </w:p>
                          </w:tc>
                        </w:tr>
                        <w:tr w:rsidR="00C6444C" w14:paraId="602A6B25" w14:textId="77777777" w:rsidTr="00020D20">
                          <w:trPr>
                            <w:trHeight w:val="794"/>
                          </w:trPr>
                          <w:tc>
                            <w:tcPr>
                              <w:tcW w:w="1116" w:type="dxa"/>
                              <w:tcBorders>
                                <w:top w:val="single" w:sz="4" w:space="0" w:color="auto"/>
                                <w:bottom w:val="single" w:sz="4" w:space="0" w:color="auto"/>
                              </w:tcBorders>
                              <w:vAlign w:val="center"/>
                            </w:tcPr>
                            <w:p w14:paraId="447E8B32" w14:textId="2B283878" w:rsidR="00C6444C" w:rsidRDefault="00C6444C">
                              <w:pPr>
                                <w:pStyle w:val="Calloutboxes"/>
                              </w:pPr>
                              <w:r w:rsidRPr="00484631">
                                <w:rPr>
                                  <w:noProof/>
                                </w:rPr>
                                <w:drawing>
                                  <wp:inline distT="0" distB="0" distL="0" distR="0" wp14:anchorId="297BA341" wp14:editId="0732C7A3">
                                    <wp:extent cx="91440" cy="91440"/>
                                    <wp:effectExtent l="0" t="0" r="3810" b="3810"/>
                                    <wp:docPr id="1690911540" name="Picture 169091154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top w:val="single" w:sz="4" w:space="0" w:color="auto"/>
                                <w:bottom w:val="single" w:sz="4" w:space="0" w:color="auto"/>
                              </w:tcBorders>
                            </w:tcPr>
                            <w:p w14:paraId="45AEDB93" w14:textId="41990C81" w:rsidR="00C6444C" w:rsidRPr="00D30138" w:rsidRDefault="00C6444C">
                              <w:pPr>
                                <w:pStyle w:val="Calloutboxes"/>
                                <w:jc w:val="left"/>
                              </w:pPr>
                              <w:r w:rsidRPr="00D30138">
                                <w:t>Determine whether the MPO or COG has complied with applicable state and/or federal laws, rules, regulations, and contracts and/or agreements.</w:t>
                              </w:r>
                            </w:p>
                          </w:tc>
                        </w:tr>
                        <w:tr w:rsidR="00C6444C" w14:paraId="69868F05" w14:textId="77777777" w:rsidTr="00020D20">
                          <w:trPr>
                            <w:trHeight w:val="893"/>
                          </w:trPr>
                          <w:tc>
                            <w:tcPr>
                              <w:tcW w:w="1116" w:type="dxa"/>
                              <w:tcBorders>
                                <w:top w:val="single" w:sz="4" w:space="0" w:color="auto"/>
                              </w:tcBorders>
                              <w:vAlign w:val="center"/>
                            </w:tcPr>
                            <w:p w14:paraId="565D54FD" w14:textId="1FAF80CB" w:rsidR="00C6444C" w:rsidRDefault="00C6444C">
                              <w:pPr>
                                <w:pStyle w:val="Calloutboxes"/>
                              </w:pPr>
                              <w:r w:rsidRPr="00484631">
                                <w:rPr>
                                  <w:noProof/>
                                </w:rPr>
                                <w:drawing>
                                  <wp:inline distT="0" distB="0" distL="0" distR="0" wp14:anchorId="2AECB6E7" wp14:editId="56317683">
                                    <wp:extent cx="91440" cy="91440"/>
                                    <wp:effectExtent l="0" t="0" r="3810" b="3810"/>
                                    <wp:docPr id="1690911541" name="Picture 169091154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384" w:type="dxa"/>
                              <w:tcBorders>
                                <w:top w:val="single" w:sz="4" w:space="0" w:color="auto"/>
                              </w:tcBorders>
                            </w:tcPr>
                            <w:p w14:paraId="559252FD" w14:textId="7658D539" w:rsidR="00C6444C" w:rsidRPr="00D30138" w:rsidRDefault="00C6444C">
                              <w:pPr>
                                <w:pStyle w:val="Calloutboxes"/>
                                <w:jc w:val="left"/>
                              </w:pPr>
                              <w:r w:rsidRPr="00D30138">
                                <w:t>Determine whether the MPO or COG has internal controls in place to provide reasonable assurance of compliance with the provisions of laws and rules pertaining to financial assistance.</w:t>
                              </w:r>
                            </w:p>
                          </w:tc>
                        </w:tr>
                      </w:tbl>
                      <w:p w14:paraId="40988B3D" w14:textId="0266BA31" w:rsidR="00C6444C" w:rsidRPr="00347D6E" w:rsidRDefault="00C6444C" w:rsidP="00020D20"/>
                    </w:txbxContent>
                  </v:textbox>
                </v:shape>
                <v:group id="Group 816286003" o:spid="_x0000_s1171" style="position:absolute;width:27842;height:6843" coordsize="27842,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">
                  <v:rect id="Rectangle 213" o:spid="_x0000_s1172"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" fillcolor="#012768" strokecolor="#1f4d78 [1604]" strokeweight="1pt"/>
                  <v:shape id="Text Box 215" o:spid="_x0000_s1173" type="#_x0000_t202" style="position:absolute;width:6843;height:6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4FEA1DD2" w14:textId="36C5977F" w:rsidR="00C6444C" w:rsidRDefault="00C6444C">
                          <w:r>
                            <w:rPr>
                              <w:noProof/>
                            </w:rPr>
                            <w:drawing>
                              <wp:inline distT="0" distB="0" distL="0" distR="0" wp14:anchorId="5551ADB0" wp14:editId="54DD6367">
                                <wp:extent cx="457200" cy="457200"/>
                                <wp:effectExtent l="0" t="0" r="0" b="0"/>
                                <wp:docPr id="1690911547" name="Picture 169091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xbxContent>
                    </v:textbox>
                  </v:shape>
                  <v:shape id="Text Box 218" o:spid="_x0000_s1174" type="#_x0000_t202" style="position:absolute;left:5818;top:1425;width:21982;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14:paraId="7C1F43D4" w14:textId="5C235B97" w:rsidR="00C6444C" w:rsidRPr="00020D20" w:rsidRDefault="00C6444C">
                          <w:pPr>
                            <w:rPr>
                              <w:color w:val="FFFFFF" w:themeColor="background1"/>
                            </w:rPr>
                          </w:pPr>
                          <w:r w:rsidRPr="00020D20">
                            <w:rPr>
                              <w:color w:val="FFFFFF" w:themeColor="background1"/>
                            </w:rPr>
                            <w:t>SINGLE AUDIT REQUIREMENTS</w:t>
                          </w:r>
                        </w:p>
                      </w:txbxContent>
                    </v:textbox>
                  </v:shape>
                </v:group>
                <w10:wrap type="square"/>
              </v:group>
            </w:pict>
          </mc:Fallback>
        </mc:AlternateContent>
      </w:r>
      <w:r w:rsidR="00BC19F4" w:rsidRPr="00BC19F4">
        <w:rPr>
          <w:rFonts w:cstheme="minorHAnsi"/>
        </w:rPr>
        <w:t>Re</w:t>
      </w:r>
      <w:r w:rsidR="00BC19F4" w:rsidRPr="00281860">
        <w:t>gional transportation plan (RTP) audits in accordance with</w:t>
      </w:r>
      <w:r w:rsidR="00BC19F4" w:rsidRPr="00020D20">
        <w:rPr>
          <w:rStyle w:val="TitleChar"/>
        </w:rPr>
        <w:t xml:space="preserve"> </w:t>
      </w:r>
      <w:hyperlink r:id="rId623" w:history="1">
        <w:r w:rsidR="006207F1" w:rsidRPr="00020D20">
          <w:rPr>
            <w:rStyle w:val="TitleChar"/>
          </w:rPr>
          <w:t>A.R.S. § 28-6313</w:t>
        </w:r>
      </w:hyperlink>
      <w:r w:rsidR="006207F1" w:rsidRPr="00281860">
        <w:t xml:space="preserve"> </w:t>
      </w:r>
      <w:r w:rsidR="00BC19F4" w:rsidRPr="00281860">
        <w:t>are shown in Figure 9-1</w:t>
      </w:r>
      <w:r w:rsidR="00BC19F4" w:rsidRPr="00BC19F4">
        <w:rPr>
          <w:rFonts w:cstheme="minorHAnsi"/>
        </w:rPr>
        <w:t xml:space="preserve">. </w:t>
      </w:r>
    </w:p>
    <w:p w14:paraId="67F83934" w14:textId="5A4AA41C" w:rsidR="00BC19F4" w:rsidRPr="00BC19F4" w:rsidRDefault="00BC19F4" w:rsidP="00020D20">
      <w:pPr>
        <w:pStyle w:val="Heading2"/>
      </w:pPr>
      <w:bookmarkStart w:id="395" w:name="_Ref50031179"/>
      <w:r w:rsidRPr="00BC19F4">
        <w:t>9.9 | SUFFICIENCY OF FEDERAL AUDITS</w:t>
      </w:r>
      <w:bookmarkEnd w:id="395"/>
    </w:p>
    <w:p w14:paraId="38B776BA" w14:textId="25BA3C72" w:rsidR="00BC19F4" w:rsidRPr="00BC19F4" w:rsidRDefault="00BC19F4" w:rsidP="00020D20">
      <w:pPr>
        <w:jc w:val="both"/>
        <w:rPr>
          <w:rFonts w:cstheme="minorHAnsi"/>
        </w:rPr>
      </w:pPr>
      <w:r w:rsidRPr="00BC19F4">
        <w:rPr>
          <w:rFonts w:cstheme="minorHAnsi"/>
        </w:rPr>
        <w:t>The audit required by Arizona law is in addition to any single audit of federal requir</w:t>
      </w:r>
      <w:r w:rsidR="002D0D34" w:rsidRPr="00BC19F4">
        <w:rPr>
          <w:rFonts w:cstheme="minorHAnsi"/>
        </w:rPr>
        <w:t xml:space="preserve">ements mandated by </w:t>
      </w:r>
      <w:hyperlink r:id="rId624" w:history="1">
        <w:r w:rsidR="00E23E02" w:rsidRPr="00FA03C0">
          <w:rPr>
            <w:rStyle w:val="TitleChar"/>
          </w:rPr>
          <w:t xml:space="preserve">2 </w:t>
        </w:r>
        <w:r w:rsidR="009628C0">
          <w:rPr>
            <w:rStyle w:val="TitleChar"/>
          </w:rPr>
          <w:t xml:space="preserve">C.F.R. </w:t>
        </w:r>
        <w:r w:rsidR="00E23E02" w:rsidRPr="00FA03C0">
          <w:rPr>
            <w:rStyle w:val="TitleChar"/>
          </w:rPr>
          <w:t>§ 200</w:t>
        </w:r>
      </w:hyperlink>
      <w:r w:rsidR="002D0D34" w:rsidRPr="00BC19F4">
        <w:rPr>
          <w:rFonts w:cstheme="minorHAnsi"/>
        </w:rPr>
        <w:t xml:space="preserve"> </w:t>
      </w:r>
      <w:r w:rsidRPr="00BC19F4">
        <w:rPr>
          <w:rFonts w:cstheme="minorHAnsi"/>
        </w:rPr>
        <w:t>and other federal laws and regulations. However, to the extent that the federal single audit provides ADOT with information it needs to carry out its responsibilities under Arizona law, ADOT shall rely upon and use that information.</w:t>
      </w:r>
    </w:p>
    <w:p w14:paraId="71529A8E" w14:textId="74AD9CC1" w:rsidR="00BC19F4" w:rsidRPr="00BC19F4" w:rsidRDefault="00BC19F4" w:rsidP="00020D20">
      <w:pPr>
        <w:jc w:val="both"/>
        <w:rPr>
          <w:rFonts w:cstheme="minorHAnsi"/>
        </w:rPr>
      </w:pPr>
      <w:r w:rsidRPr="00BC19F4">
        <w:rPr>
          <w:rFonts w:cstheme="minorHAnsi"/>
        </w:rPr>
        <w:t xml:space="preserve">Federal and state governments require that the single audit be performed by an independent auditor in accordance with generally accepted government auditing standards </w:t>
      </w:r>
      <w:r w:rsidRPr="00BC19F4">
        <w:t>(</w:t>
      </w:r>
      <w:hyperlink r:id="rId625" w:history="1">
        <w:r w:rsidR="00E23E02" w:rsidRPr="00FA03C0">
          <w:rPr>
            <w:rStyle w:val="TitleChar"/>
          </w:rPr>
          <w:t xml:space="preserve">2 </w:t>
        </w:r>
        <w:r w:rsidR="009628C0">
          <w:rPr>
            <w:rStyle w:val="TitleChar"/>
          </w:rPr>
          <w:t xml:space="preserve">C.F.R. </w:t>
        </w:r>
        <w:r w:rsidR="00E23E02" w:rsidRPr="00FA03C0">
          <w:rPr>
            <w:rStyle w:val="TitleChar"/>
          </w:rPr>
          <w:t>§ 200</w:t>
        </w:r>
      </w:hyperlink>
      <w:r w:rsidRPr="00BC19F4">
        <w:t>;</w:t>
      </w:r>
      <w:r w:rsidRPr="00BC19F4">
        <w:rPr>
          <w:rFonts w:cstheme="minorHAnsi"/>
        </w:rPr>
        <w:t xml:space="preserve"> </w:t>
      </w:r>
      <w:hyperlink r:id="rId626" w:history="1">
        <w:r w:rsidRPr="00020D20">
          <w:rPr>
            <w:rStyle w:val="TitleChar"/>
          </w:rPr>
          <w:t>A.R.S. § 28-6313</w:t>
        </w:r>
      </w:hyperlink>
      <w:r w:rsidRPr="00876961">
        <w:t>). Each</w:t>
      </w:r>
      <w:r w:rsidRPr="00BC19F4">
        <w:rPr>
          <w:rFonts w:cstheme="minorHAnsi"/>
        </w:rPr>
        <w:t xml:space="preserve"> federal and state single audit of an MPO or COG shall meet the requirements listed on the right.</w:t>
      </w:r>
    </w:p>
    <w:p w14:paraId="43387CC2" w14:textId="7C1F0936" w:rsidR="00BC19F4" w:rsidRDefault="00BC19F4" w:rsidP="00020D20">
      <w:pPr>
        <w:jc w:val="both"/>
        <w:rPr>
          <w:rFonts w:cstheme="minorHAnsi"/>
          <w:b/>
        </w:rPr>
      </w:pPr>
      <w:r w:rsidRPr="00BC19F4">
        <w:rPr>
          <w:rFonts w:cstheme="minorHAnsi"/>
        </w:rPr>
        <w:t>The federal single audit must cover the operations of the entire nonfederal entity, (e.g., if an MPO or COG is under a county government or regional planning council) or at the discretion of the nonfederal entity, be a series of audits of those specific departments and/or units that expended federal funds during the fiscal year.</w:t>
      </w:r>
      <w:r>
        <w:rPr>
          <w:rFonts w:cstheme="minorHAnsi"/>
        </w:rPr>
        <w:t xml:space="preserve"> </w:t>
      </w:r>
    </w:p>
    <w:p w14:paraId="1ADF1C78" w14:textId="77777777" w:rsidR="00187D2D" w:rsidRDefault="00187D2D" w:rsidP="00020D20">
      <w:pPr>
        <w:jc w:val="both"/>
        <w:sectPr w:rsidR="00187D2D" w:rsidSect="00020D20">
          <w:type w:val="continuous"/>
          <w:pgSz w:w="12240" w:h="15840"/>
          <w:pgMar w:top="1440" w:right="1440" w:bottom="1440" w:left="1440" w:header="720" w:footer="720" w:gutter="0"/>
          <w:pgNumType w:chapStyle="1"/>
          <w:cols w:num="2" w:space="720"/>
          <w:docGrid w:linePitch="360"/>
        </w:sectPr>
      </w:pPr>
    </w:p>
    <w:p w14:paraId="7FB86D7B" w14:textId="28914742" w:rsidR="00187D2D" w:rsidRDefault="00187D2D" w:rsidP="00020D20">
      <w:pPr>
        <w:jc w:val="both"/>
        <w:sectPr w:rsidR="00187D2D" w:rsidSect="008E695B">
          <w:type w:val="continuous"/>
          <w:pgSz w:w="12240" w:h="15840"/>
          <w:pgMar w:top="1440" w:right="1440" w:bottom="1440" w:left="1440" w:header="720" w:footer="720" w:gutter="0"/>
          <w:cols w:space="720"/>
          <w:docGrid w:linePitch="360"/>
        </w:sectPr>
      </w:pPr>
    </w:p>
    <w:p w14:paraId="4719B1DB" w14:textId="4DB15879" w:rsidR="00904690" w:rsidRDefault="00904690" w:rsidP="00020D20">
      <w:pPr>
        <w:pStyle w:val="BodyTextTitle"/>
        <w:spacing w:before="0" w:after="0" w:line="240" w:lineRule="auto"/>
        <w:jc w:val="both"/>
      </w:pPr>
      <w:r w:rsidRPr="00FE3DA2">
        <w:t>10</w:t>
      </w:r>
      <w:r>
        <w:t xml:space="preserve"> </w:t>
      </w:r>
      <w:r w:rsidR="00DC5228">
        <w:t xml:space="preserve">| </w:t>
      </w:r>
      <w:r>
        <w:t>FINANCIAL PLANNING AND PROGRAMMING</w:t>
      </w:r>
    </w:p>
    <w:p w14:paraId="0FC0BCE9" w14:textId="36787B29" w:rsidR="00383603" w:rsidRPr="00020D20" w:rsidRDefault="00DC5228" w:rsidP="00020D20">
      <w:pPr>
        <w:pStyle w:val="BodyTextTitle"/>
        <w:spacing w:before="0" w:line="240" w:lineRule="auto"/>
        <w:jc w:val="both"/>
        <w:rPr>
          <w:sz w:val="36"/>
        </w:rPr>
      </w:pPr>
      <w:r w:rsidRPr="00020D20">
        <w:rPr>
          <w:sz w:val="36"/>
        </w:rPr>
        <w:t>TABLE OF CONTENTS</w:t>
      </w:r>
    </w:p>
    <w:p w14:paraId="6CE9EE6E" w14:textId="48417282" w:rsidR="00383603" w:rsidRDefault="00DC5228"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_Ref50032958 \h </w:instrText>
      </w:r>
      <w:r w:rsidR="002D38FC">
        <w:instrText xml:space="preserve"> \* MERGEFORMAT </w:instrText>
      </w:r>
      <w:r>
        <w:fldChar w:fldCharType="separate"/>
      </w:r>
      <w:r w:rsidRPr="003B4E48">
        <w:rPr>
          <w:rFonts w:cstheme="minorHAnsi"/>
        </w:rPr>
        <w:t>10.1 | PURPOSE</w:t>
      </w:r>
      <w:r>
        <w:fldChar w:fldCharType="end"/>
      </w:r>
    </w:p>
    <w:p w14:paraId="58F9E8C8" w14:textId="11D2D0D4"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_Ref50032963 \h </w:instrText>
      </w:r>
      <w:r w:rsidR="002D38FC">
        <w:instrText xml:space="preserve"> \* MERGEFORMAT </w:instrText>
      </w:r>
      <w:r>
        <w:fldChar w:fldCharType="separate"/>
      </w:r>
      <w:r w:rsidRPr="003B4E48">
        <w:rPr>
          <w:rFonts w:cstheme="minorHAnsi"/>
        </w:rPr>
        <w:t>10.2 | AUTHORITY</w:t>
      </w:r>
      <w:r>
        <w:fldChar w:fldCharType="end"/>
      </w:r>
    </w:p>
    <w:p w14:paraId="7B1A5F9F" w14:textId="5FA20232"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_Ref50032966 \h </w:instrText>
      </w:r>
      <w:r w:rsidR="002D38FC">
        <w:instrText xml:space="preserve"> \* MERGEFORMAT </w:instrText>
      </w:r>
      <w:r>
        <w:fldChar w:fldCharType="separate"/>
      </w:r>
      <w:r w:rsidRPr="003B4E48">
        <w:rPr>
          <w:rFonts w:cstheme="minorHAnsi"/>
        </w:rPr>
        <w:t>10.3 | SCOPE</w:t>
      </w:r>
      <w:r>
        <w:fldChar w:fldCharType="end"/>
      </w:r>
    </w:p>
    <w:p w14:paraId="0D7D8F23" w14:textId="653B264F"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_Ref50032970 \h </w:instrText>
      </w:r>
      <w:r w:rsidR="002D38FC">
        <w:instrText xml:space="preserve"> \* MERGEFORMAT </w:instrText>
      </w:r>
      <w:r>
        <w:fldChar w:fldCharType="separate"/>
      </w:r>
      <w:r w:rsidRPr="003B4E48">
        <w:rPr>
          <w:rFonts w:cstheme="minorHAnsi"/>
        </w:rPr>
        <w:t>10.4 | FUNDING PROGRAMS</w:t>
      </w:r>
      <w:r>
        <w:fldChar w:fldCharType="end"/>
      </w:r>
    </w:p>
    <w:p w14:paraId="39FB479F" w14:textId="29397EFD"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_Ref50032991 \h </w:instrText>
      </w:r>
      <w:r w:rsidR="002D38FC">
        <w:instrText xml:space="preserve"> \* MERGEFORMAT </w:instrText>
      </w:r>
      <w:r>
        <w:fldChar w:fldCharType="separate"/>
      </w:r>
      <w:r w:rsidRPr="003B4E48">
        <w:rPr>
          <w:rFonts w:cstheme="minorHAnsi"/>
        </w:rPr>
        <w:t>10.4.1 | Transportation Planning Funds</w:t>
      </w:r>
      <w:r>
        <w:fldChar w:fldCharType="end"/>
      </w:r>
      <w:r>
        <w:t xml:space="preserve"> </w:t>
      </w:r>
    </w:p>
    <w:p w14:paraId="439D78E2" w14:textId="1DC98508"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_Ref50033359 \h </w:instrText>
      </w:r>
      <w:r w:rsidR="002D38FC">
        <w:instrText xml:space="preserve"> \* MERGEFORMAT </w:instrText>
      </w:r>
      <w:r>
        <w:fldChar w:fldCharType="separate"/>
      </w:r>
      <w:r w:rsidRPr="003B4E48">
        <w:t>Metropolitan Planning</w:t>
      </w:r>
      <w:r>
        <w:fldChar w:fldCharType="end"/>
      </w:r>
    </w:p>
    <w:p w14:paraId="176F6DD2" w14:textId="57014491"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_Ref50033362 \h </w:instrText>
      </w:r>
      <w:r w:rsidR="002D38FC">
        <w:instrText xml:space="preserve"> \* MERGEFORMAT </w:instrText>
      </w:r>
      <w:r>
        <w:fldChar w:fldCharType="separate"/>
      </w:r>
      <w:r w:rsidR="00A304F3" w:rsidRPr="003B4E48">
        <w:t>State Planning and Research</w:t>
      </w:r>
      <w:r>
        <w:fldChar w:fldCharType="end"/>
      </w:r>
    </w:p>
    <w:p w14:paraId="2744E8FC" w14:textId="66B06583" w:rsidR="00FD1E63" w:rsidRDefault="00FD1E63"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_Ref50101027 \h </w:instrText>
      </w:r>
      <w:r w:rsidR="002D38FC">
        <w:instrText xml:space="preserve"> \* MERGEFORMAT </w:instrText>
      </w:r>
      <w:r>
        <w:fldChar w:fldCharType="separate"/>
      </w:r>
      <w:r>
        <w:t>In-Kind Match</w:t>
      </w:r>
      <w:r>
        <w:fldChar w:fldCharType="end"/>
      </w:r>
    </w:p>
    <w:p w14:paraId="0085E177" w14:textId="18332F94"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_Ref50033021 \h </w:instrText>
      </w:r>
      <w:r w:rsidR="002D38FC">
        <w:instrText xml:space="preserve"> \* MERGEFORMAT </w:instrText>
      </w:r>
      <w:r>
        <w:fldChar w:fldCharType="separate"/>
      </w:r>
      <w:r w:rsidRPr="003B4E48">
        <w:rPr>
          <w:rFonts w:cstheme="minorHAnsi"/>
        </w:rPr>
        <w:t>10.4.2 | Federal Capital Improvement Funds</w:t>
      </w:r>
      <w:r>
        <w:fldChar w:fldCharType="end"/>
      </w:r>
    </w:p>
    <w:p w14:paraId="2D9722DE" w14:textId="7EB50433"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_Ref50033366 \h </w:instrText>
      </w:r>
      <w:r w:rsidR="002D38FC">
        <w:instrText xml:space="preserve"> \* MERGEFORMAT </w:instrText>
      </w:r>
      <w:r>
        <w:fldChar w:fldCharType="separate"/>
      </w:r>
      <w:r w:rsidRPr="003B4E48">
        <w:t>Cooperative Agreements</w:t>
      </w:r>
      <w:r>
        <w:fldChar w:fldCharType="end"/>
      </w:r>
    </w:p>
    <w:p w14:paraId="56670FB8" w14:textId="016F04A7"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_Ref50033370 \h </w:instrText>
      </w:r>
      <w:r w:rsidR="002D38FC">
        <w:instrText xml:space="preserve"> \* MERGEFORMAT </w:instrText>
      </w:r>
      <w:r>
        <w:fldChar w:fldCharType="separate"/>
      </w:r>
      <w:r w:rsidRPr="003B4E48">
        <w:t>Funding for MPO/COG Areas</w:t>
      </w:r>
      <w:r>
        <w:fldChar w:fldCharType="end"/>
      </w:r>
    </w:p>
    <w:p w14:paraId="229CBF4D" w14:textId="1B123258"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_Ref50033374 \h </w:instrText>
      </w:r>
      <w:r w:rsidR="002D38FC">
        <w:instrText xml:space="preserve"> \* MERGEFORMAT </w:instrText>
      </w:r>
      <w:r>
        <w:fldChar w:fldCharType="separate"/>
      </w:r>
      <w:r w:rsidRPr="003B4E48">
        <w:t>National Highway System Funding</w:t>
      </w:r>
      <w:r>
        <w:fldChar w:fldCharType="end"/>
      </w:r>
    </w:p>
    <w:p w14:paraId="7E7C0E7D" w14:textId="24220BE0"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_Ref50033378 \h </w:instrText>
      </w:r>
      <w:r w:rsidR="002D38FC">
        <w:instrText xml:space="preserve"> \* MERGEFORMAT </w:instrText>
      </w:r>
      <w:r>
        <w:fldChar w:fldCharType="separate"/>
      </w:r>
      <w:r w:rsidRPr="003B4E48">
        <w:t>Surface Transportation</w:t>
      </w:r>
      <w:r>
        <w:t xml:space="preserve"> Block Grant</w:t>
      </w:r>
      <w:r w:rsidRPr="003B4E48">
        <w:t xml:space="preserve"> Program Funding</w:t>
      </w:r>
      <w:r>
        <w:fldChar w:fldCharType="end"/>
      </w:r>
    </w:p>
    <w:p w14:paraId="225150AC" w14:textId="492E4E4E" w:rsidR="00DC5228" w:rsidRDefault="00002CDC"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_Ref50033382 \h </w:instrText>
      </w:r>
      <w:r w:rsidR="002D38FC">
        <w:instrText xml:space="preserve"> \* MERGEFORMAT </w:instrText>
      </w:r>
      <w:r>
        <w:fldChar w:fldCharType="separate"/>
      </w:r>
      <w:r w:rsidRPr="007668B2">
        <w:t>Federal Transit Funds</w:t>
      </w:r>
      <w:r>
        <w:fldChar w:fldCharType="end"/>
      </w:r>
    </w:p>
    <w:p w14:paraId="7B0F29BE" w14:textId="107ED1D4" w:rsidR="00DC5228" w:rsidRDefault="00A01F85"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_Ref50033390 \h </w:instrText>
      </w:r>
      <w:r w:rsidR="002D38FC">
        <w:instrText xml:space="preserve"> \* MERGEFORMAT </w:instrText>
      </w:r>
      <w:r>
        <w:fldChar w:fldCharType="separate"/>
      </w:r>
      <w:r w:rsidRPr="007668B2">
        <w:t>FTA Section 5303 Funding: Metropolitan Transportation Planning Program</w:t>
      </w:r>
      <w:r>
        <w:fldChar w:fldCharType="end"/>
      </w:r>
    </w:p>
    <w:p w14:paraId="2EB008E6" w14:textId="6C4478BF" w:rsidR="00DC5228" w:rsidRDefault="00A01F85" w:rsidP="00020D20">
      <w:pPr>
        <w:tabs>
          <w:tab w:val="clear" w:pos="180"/>
          <w:tab w:val="clear" w:pos="360"/>
          <w:tab w:val="clear" w:pos="540"/>
          <w:tab w:val="clear" w:pos="720"/>
        </w:tabs>
        <w:suppressAutoHyphens w:val="0"/>
        <w:autoSpaceDE/>
        <w:autoSpaceDN/>
        <w:adjustRightInd/>
        <w:spacing w:before="0" w:after="60" w:line="240" w:lineRule="auto"/>
        <w:ind w:left="1008"/>
        <w:jc w:val="both"/>
        <w:textAlignment w:val="auto"/>
      </w:pPr>
      <w:r>
        <w:fldChar w:fldCharType="begin"/>
      </w:r>
      <w:r>
        <w:instrText xml:space="preserve"> REF _Ref50033394 \h </w:instrText>
      </w:r>
      <w:r w:rsidR="002D38FC">
        <w:instrText xml:space="preserve"> \* MERGEFORMAT </w:instrText>
      </w:r>
      <w:r>
        <w:fldChar w:fldCharType="separate"/>
      </w:r>
      <w:r w:rsidRPr="007668B2">
        <w:t>FTA Section 5307 Funding: Urbanized Area Formula Program—Designated Recipient</w:t>
      </w:r>
      <w:r>
        <w:fldChar w:fldCharType="end"/>
      </w:r>
    </w:p>
    <w:p w14:paraId="293C8DAB" w14:textId="19D92336"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_Ref50033034 \h </w:instrText>
      </w:r>
      <w:r w:rsidR="002D38FC">
        <w:instrText xml:space="preserve"> \* MERGEFORMAT </w:instrText>
      </w:r>
      <w:r>
        <w:fldChar w:fldCharType="separate"/>
      </w:r>
      <w:r w:rsidRPr="00062AC1">
        <w:rPr>
          <w:rFonts w:cstheme="minorHAnsi"/>
        </w:rPr>
        <w:t>10.5 | INNOVATIVE FUNDING – FEDERAL ASSISTANCE</w:t>
      </w:r>
      <w:r>
        <w:fldChar w:fldCharType="end"/>
      </w:r>
    </w:p>
    <w:p w14:paraId="6A30E48C" w14:textId="3A2890C8"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_Ref50033039 \h </w:instrText>
      </w:r>
      <w:r w:rsidR="002D38FC">
        <w:instrText xml:space="preserve"> \* MERGEFORMAT </w:instrText>
      </w:r>
      <w:r>
        <w:fldChar w:fldCharType="separate"/>
      </w:r>
      <w:r w:rsidRPr="00062AC1">
        <w:rPr>
          <w:rFonts w:cstheme="minorHAnsi"/>
        </w:rPr>
        <w:t>10.5.1 | Federal Debt Financing Tools</w:t>
      </w:r>
      <w:r>
        <w:fldChar w:fldCharType="end"/>
      </w:r>
    </w:p>
    <w:p w14:paraId="5109A556" w14:textId="41470B0B"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_Ref50033042 \h </w:instrText>
      </w:r>
      <w:r w:rsidR="002D38FC">
        <w:instrText xml:space="preserve"> \* MERGEFORMAT </w:instrText>
      </w:r>
      <w:r>
        <w:fldChar w:fldCharType="separate"/>
      </w:r>
      <w:r w:rsidRPr="00062AC1">
        <w:rPr>
          <w:rFonts w:cstheme="minorHAnsi"/>
        </w:rPr>
        <w:t>10.5.2 | Federal Credit Assistance Tools</w:t>
      </w:r>
      <w:r>
        <w:fldChar w:fldCharType="end"/>
      </w:r>
    </w:p>
    <w:p w14:paraId="476F2A87" w14:textId="265A59F9"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jc w:val="both"/>
        <w:textAlignment w:val="auto"/>
      </w:pPr>
      <w:r>
        <w:fldChar w:fldCharType="begin"/>
      </w:r>
      <w:r>
        <w:instrText xml:space="preserve"> REF _Ref50033072 \h </w:instrText>
      </w:r>
      <w:r w:rsidR="002D38FC">
        <w:instrText xml:space="preserve"> \* MERGEFORMAT </w:instrText>
      </w:r>
      <w:r>
        <w:fldChar w:fldCharType="separate"/>
      </w:r>
      <w:r w:rsidRPr="00062AC1">
        <w:rPr>
          <w:rFonts w:cstheme="minorHAnsi"/>
        </w:rPr>
        <w:t xml:space="preserve">10.6 | INNOVATIVE STATE </w:t>
      </w:r>
      <w:r w:rsidR="00957F47">
        <w:rPr>
          <w:rFonts w:cstheme="minorHAnsi"/>
        </w:rPr>
        <w:t>AND</w:t>
      </w:r>
      <w:r w:rsidRPr="00062AC1">
        <w:rPr>
          <w:rFonts w:cstheme="minorHAnsi"/>
        </w:rPr>
        <w:t xml:space="preserve"> LOCAL FUNDING</w:t>
      </w:r>
      <w:r>
        <w:fldChar w:fldCharType="end"/>
      </w:r>
    </w:p>
    <w:p w14:paraId="7B8BC3CF" w14:textId="7ECFEDCF"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_Ref50033077 \h </w:instrText>
      </w:r>
      <w:r w:rsidR="002D38FC">
        <w:instrText xml:space="preserve"> \* MERGEFORMAT </w:instrText>
      </w:r>
      <w:r>
        <w:fldChar w:fldCharType="separate"/>
      </w:r>
      <w:r w:rsidRPr="00062AC1">
        <w:rPr>
          <w:rFonts w:cstheme="minorHAnsi"/>
        </w:rPr>
        <w:t>10.6.1 | Current Local Revenue Sources</w:t>
      </w:r>
      <w:r>
        <w:fldChar w:fldCharType="end"/>
      </w:r>
    </w:p>
    <w:p w14:paraId="735E08E0" w14:textId="733A59D4"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_Ref50033080 \h </w:instrText>
      </w:r>
      <w:r w:rsidR="002D38FC">
        <w:instrText xml:space="preserve"> \* MERGEFORMAT </w:instrText>
      </w:r>
      <w:r>
        <w:fldChar w:fldCharType="separate"/>
      </w:r>
      <w:r w:rsidRPr="00062AC1">
        <w:rPr>
          <w:rFonts w:cstheme="minorHAnsi"/>
        </w:rPr>
        <w:t xml:space="preserve">10.6.2 | Potential Funding Sources Already Allowed </w:t>
      </w:r>
      <w:r w:rsidR="005070BF">
        <w:rPr>
          <w:rFonts w:cstheme="minorHAnsi"/>
        </w:rPr>
        <w:t>b</w:t>
      </w:r>
      <w:r w:rsidRPr="00062AC1">
        <w:rPr>
          <w:rFonts w:cstheme="minorHAnsi"/>
        </w:rPr>
        <w:t>y Statutes</w:t>
      </w:r>
      <w:r>
        <w:fldChar w:fldCharType="end"/>
      </w:r>
    </w:p>
    <w:p w14:paraId="2BD964E6" w14:textId="67013EF5"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_Ref50033095 \h </w:instrText>
      </w:r>
      <w:r w:rsidR="002D38FC">
        <w:instrText xml:space="preserve"> \* MERGEFORMAT </w:instrText>
      </w:r>
      <w:r>
        <w:fldChar w:fldCharType="separate"/>
      </w:r>
      <w:r w:rsidRPr="00062AC1">
        <w:rPr>
          <w:rFonts w:cstheme="minorHAnsi"/>
        </w:rPr>
        <w:t>10.6.3 | New Legislation for Local Option Revenue Sources</w:t>
      </w:r>
      <w:r>
        <w:fldChar w:fldCharType="end"/>
      </w:r>
    </w:p>
    <w:p w14:paraId="10D98048" w14:textId="35D93ABC"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_Ref50033099 \h </w:instrText>
      </w:r>
      <w:r w:rsidR="002D38FC">
        <w:instrText xml:space="preserve"> \* MERGEFORMAT </w:instrText>
      </w:r>
      <w:r>
        <w:fldChar w:fldCharType="separate"/>
      </w:r>
      <w:r w:rsidRPr="00062AC1">
        <w:rPr>
          <w:rFonts w:cstheme="minorHAnsi"/>
        </w:rPr>
        <w:t>10.6.4 | New Shared Revenue Sources</w:t>
      </w:r>
      <w:r>
        <w:fldChar w:fldCharType="end"/>
      </w:r>
    </w:p>
    <w:p w14:paraId="6190563D" w14:textId="69AF1031" w:rsidR="00DC5228" w:rsidRDefault="00DC5228" w:rsidP="00020D20">
      <w:pPr>
        <w:tabs>
          <w:tab w:val="clear" w:pos="180"/>
          <w:tab w:val="clear" w:pos="360"/>
          <w:tab w:val="clear" w:pos="540"/>
          <w:tab w:val="clear" w:pos="720"/>
        </w:tabs>
        <w:suppressAutoHyphens w:val="0"/>
        <w:autoSpaceDE/>
        <w:autoSpaceDN/>
        <w:adjustRightInd/>
        <w:spacing w:before="0" w:after="60" w:line="240" w:lineRule="auto"/>
        <w:ind w:left="504"/>
        <w:jc w:val="both"/>
        <w:textAlignment w:val="auto"/>
      </w:pPr>
      <w:r>
        <w:fldChar w:fldCharType="begin"/>
      </w:r>
      <w:r>
        <w:instrText xml:space="preserve"> REF _Ref50033103 \h </w:instrText>
      </w:r>
      <w:r w:rsidR="002D38FC">
        <w:instrText xml:space="preserve"> \* MERGEFORMAT </w:instrText>
      </w:r>
      <w:r>
        <w:fldChar w:fldCharType="separate"/>
      </w:r>
      <w:r w:rsidRPr="00062AC1">
        <w:rPr>
          <w:rFonts w:cstheme="minorHAnsi"/>
        </w:rPr>
        <w:t>10.6.5 | Road-Use-Based Revenue Sources</w:t>
      </w:r>
      <w:r>
        <w:fldChar w:fldCharType="end"/>
      </w:r>
    </w:p>
    <w:p w14:paraId="36A6649C" w14:textId="77777777" w:rsidR="00492D0B" w:rsidRDefault="00383603"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A429CC">
          <w:footerReference w:type="default" r:id="rId627"/>
          <w:pgSz w:w="12240" w:h="15840"/>
          <w:pgMar w:top="1440" w:right="1440" w:bottom="1440" w:left="1440" w:header="720" w:footer="720" w:gutter="0"/>
          <w:pgNumType w:start="1" w:chapStyle="1"/>
          <w:cols w:space="720"/>
          <w:docGrid w:linePitch="360"/>
        </w:sectPr>
      </w:pPr>
      <w:r>
        <w:br w:type="page"/>
      </w:r>
    </w:p>
    <w:p w14:paraId="0CAF98AD" w14:textId="00AE0710" w:rsidR="00976038" w:rsidRPr="00976038" w:rsidRDefault="00976038" w:rsidP="00020D20">
      <w:pPr>
        <w:pStyle w:val="Heading1"/>
        <w:tabs>
          <w:tab w:val="left" w:pos="360"/>
        </w:tabs>
        <w:jc w:val="both"/>
        <w:rPr>
          <w:rFonts w:ascii="Myriad Pro Condensed" w:hAnsi="Myriad Pro Condensed" w:cs="Myriad Pro Condensed"/>
          <w:bCs/>
          <w:color w:val="006B64"/>
          <w:sz w:val="18"/>
          <w:szCs w:val="18"/>
        </w:rPr>
      </w:pPr>
      <w:bookmarkStart w:id="396" w:name="_|_Financial_Planning"/>
      <w:bookmarkStart w:id="397" w:name="_Toc49862237"/>
      <w:bookmarkStart w:id="398" w:name="_Toc49870631"/>
      <w:bookmarkStart w:id="399" w:name="_Toc50540237"/>
      <w:bookmarkEnd w:id="396"/>
      <w:r w:rsidRPr="00976038">
        <w:t>|</w:t>
      </w:r>
      <w:r w:rsidR="000E518A">
        <w:t xml:space="preserve"> </w:t>
      </w:r>
      <w:r w:rsidRPr="007D34CB">
        <w:t>Financial</w:t>
      </w:r>
      <w:r w:rsidRPr="00976038">
        <w:t xml:space="preserve"> Planning </w:t>
      </w:r>
      <w:r w:rsidR="00904690">
        <w:t>and</w:t>
      </w:r>
      <w:r w:rsidRPr="00976038">
        <w:t xml:space="preserve"> Programming</w:t>
      </w:r>
      <w:bookmarkEnd w:id="397"/>
      <w:bookmarkEnd w:id="398"/>
      <w:bookmarkEnd w:id="399"/>
    </w:p>
    <w:p w14:paraId="18331184" w14:textId="77777777" w:rsidR="00187D2D" w:rsidRDefault="00187D2D" w:rsidP="00020D20">
      <w:pPr>
        <w:jc w:val="both"/>
        <w:rPr>
          <w:rFonts w:cstheme="minorHAnsi"/>
        </w:rPr>
        <w:sectPr w:rsidR="00187D2D" w:rsidSect="00020D20">
          <w:footerReference w:type="default" r:id="rId628"/>
          <w:type w:val="continuous"/>
          <w:pgSz w:w="12240" w:h="15840"/>
          <w:pgMar w:top="1440" w:right="1440" w:bottom="1440" w:left="1440" w:header="720" w:footer="720" w:gutter="0"/>
          <w:pgNumType w:start="1" w:chapStyle="1"/>
          <w:cols w:space="720"/>
          <w:docGrid w:linePitch="360"/>
        </w:sectPr>
      </w:pPr>
    </w:p>
    <w:p w14:paraId="1FA8AE51" w14:textId="033209EE" w:rsidR="003B4E48" w:rsidRPr="003B4E48" w:rsidRDefault="003B4E48" w:rsidP="00020D20">
      <w:pPr>
        <w:pStyle w:val="Heading2"/>
      </w:pPr>
      <w:bookmarkStart w:id="400" w:name="_Ref50032958"/>
      <w:r w:rsidRPr="003B4E48">
        <w:t>10.1 | PURPOSE</w:t>
      </w:r>
      <w:bookmarkEnd w:id="400"/>
    </w:p>
    <w:p w14:paraId="25341BD0" w14:textId="4FBCBDA3"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 xml:space="preserve">This chapter provides information on the available funding programs for regional planning activities. The chapter is intended to be used by MPO/COG staff as well as ADOT officials to understand appropriate guidelines for using various federal and local funding programs. </w:t>
      </w:r>
    </w:p>
    <w:p w14:paraId="5B1BD1DA" w14:textId="1D63AC30" w:rsidR="003B4E48" w:rsidRPr="003B4E48" w:rsidRDefault="003B4E48" w:rsidP="00020D20">
      <w:pPr>
        <w:pStyle w:val="Heading2"/>
      </w:pPr>
      <w:bookmarkStart w:id="401" w:name="_Ref50032963"/>
      <w:r w:rsidRPr="003B4E48">
        <w:t>10.2 | AUTHORITY</w:t>
      </w:r>
      <w:bookmarkEnd w:id="401"/>
    </w:p>
    <w:p w14:paraId="554E897C" w14:textId="77777777"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 xml:space="preserve">This section provides the historical basis and authority for financial planning and programming. The authority lies in various Federal laws and regulations. The laws are described in table 10-1. </w:t>
      </w:r>
    </w:p>
    <w:p w14:paraId="40FD4C76" w14:textId="77777777" w:rsidR="003B4E48" w:rsidRPr="003B4E48" w:rsidRDefault="003B4E48" w:rsidP="00020D20">
      <w:pPr>
        <w:pStyle w:val="Heading2"/>
      </w:pPr>
      <w:bookmarkStart w:id="402" w:name="_Ref50032966"/>
      <w:r w:rsidRPr="003B4E48">
        <w:t>10.3 | SCOPE</w:t>
      </w:r>
      <w:bookmarkEnd w:id="402"/>
    </w:p>
    <w:p w14:paraId="506B32B8" w14:textId="77777777"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 xml:space="preserve">It is the policy of ADOT to distribute and allocate federal-aid funds between ADOT and local governments in a fair and equitable manner consistent with federal laws, guidelines, and regulations. Funding sources available to local jurisdictions, as well as anticipated project costs to local jurisdictions, are detailed in the following sections. </w:t>
      </w:r>
    </w:p>
    <w:p w14:paraId="3B858D3E" w14:textId="77777777"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MPO/COG internal distributions are consistent with federal directives and guidelines. The COGs/MPOs are responsible for management of both the federal funding apportionments and the funding obligation authority in the execution of their approved TIP. Distribution of apportionments and obligation authority within each region is determined by ADOT and shared annually with the MPOs/COGs based on current legislation, formulas, and other funds that ADOT chooses to distribute.</w:t>
      </w:r>
    </w:p>
    <w:p w14:paraId="3C2A8A82" w14:textId="45DB345C" w:rsidR="00994C0E" w:rsidRDefault="00B448A1" w:rsidP="00020D20">
      <w:pPr>
        <w:pStyle w:val="NoSpacing"/>
        <w:tabs>
          <w:tab w:val="left" w:pos="180"/>
          <w:tab w:val="left" w:pos="360"/>
          <w:tab w:val="left" w:pos="540"/>
          <w:tab w:val="left" w:pos="720"/>
        </w:tabs>
        <w:spacing w:before="120" w:after="120" w:line="288" w:lineRule="auto"/>
        <w:jc w:val="both"/>
        <w:rPr>
          <w:b/>
        </w:rPr>
        <w:sectPr w:rsidR="00994C0E" w:rsidSect="00F43B1D">
          <w:type w:val="continuous"/>
          <w:pgSz w:w="12240" w:h="15840"/>
          <w:pgMar w:top="1440" w:right="1440" w:bottom="1440" w:left="1440" w:header="720" w:footer="720" w:gutter="0"/>
          <w:cols w:num="2" w:space="720"/>
          <w:docGrid w:linePitch="360"/>
        </w:sectPr>
      </w:pPr>
      <w:r>
        <w:rPr>
          <w:rFonts w:cstheme="minorHAnsi"/>
          <w:noProof/>
          <w:szCs w:val="20"/>
        </w:rPr>
        <mc:AlternateContent>
          <mc:Choice Requires="wps">
            <w:drawing>
              <wp:anchor distT="0" distB="0" distL="114300" distR="114300" simplePos="0" relativeHeight="251618340" behindDoc="1" locked="0" layoutInCell="1" allowOverlap="1" wp14:anchorId="21519EC8" wp14:editId="1D934149">
                <wp:simplePos x="0" y="0"/>
                <wp:positionH relativeFrom="column">
                  <wp:posOffset>1566048</wp:posOffset>
                </wp:positionH>
                <wp:positionV relativeFrom="paragraph">
                  <wp:posOffset>445963</wp:posOffset>
                </wp:positionV>
                <wp:extent cx="1169670" cy="1713865"/>
                <wp:effectExtent l="76200" t="95250" r="68580" b="95885"/>
                <wp:wrapTight wrapText="bothSides">
                  <wp:wrapPolygon edited="0">
                    <wp:start x="-1055" y="-1200"/>
                    <wp:lineTo x="-1407" y="-720"/>
                    <wp:lineTo x="-1407" y="22568"/>
                    <wp:lineTo x="22515" y="22568"/>
                    <wp:lineTo x="22515" y="-1200"/>
                    <wp:lineTo x="-1055" y="-1200"/>
                  </wp:wrapPolygon>
                </wp:wrapTight>
                <wp:docPr id="816286034" name="Text Box 816286034"/>
                <wp:cNvGraphicFramePr/>
                <a:graphic xmlns:a="http://schemas.openxmlformats.org/drawingml/2006/main">
                  <a:graphicData uri="http://schemas.microsoft.com/office/word/2010/wordprocessingShape">
                    <wps:wsp>
                      <wps:cNvSpPr txBox="1"/>
                      <wps:spPr>
                        <a:xfrm>
                          <a:off x="0" y="0"/>
                          <a:ext cx="1169670" cy="171386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64F91B6" w14:textId="77777777" w:rsidR="00C6444C" w:rsidRDefault="00C6444C" w:rsidP="00020D20">
                            <w:pPr>
                              <w:jc w:val="center"/>
                            </w:pPr>
                            <w:r>
                              <w:rPr>
                                <w:noProof/>
                              </w:rPr>
                              <w:drawing>
                                <wp:inline distT="0" distB="0" distL="0" distR="0" wp14:anchorId="1911427C" wp14:editId="46304D03">
                                  <wp:extent cx="457200" cy="457200"/>
                                  <wp:effectExtent l="0" t="0" r="0" b="0"/>
                                  <wp:docPr id="816286048" name="Picture 816286048"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6EEF750" w14:textId="0A381C00" w:rsidR="00C6444C" w:rsidRPr="005A6734" w:rsidRDefault="00C6444C" w:rsidP="00020D20">
                            <w:pPr>
                              <w:pStyle w:val="Calloutboxes"/>
                            </w:pPr>
                            <w:r w:rsidRPr="00394A74">
                              <w:t>FHWA’s policy for the eligibility, use and transfer of funds is outlined in the G</w:t>
                            </w:r>
                            <w:r w:rsidRPr="00954116">
                              <w:t>uide to Federal Aid Programs and Projects</w:t>
                            </w:r>
                            <w:r w:rsidRPr="0052715B">
                              <w:t>.</w:t>
                            </w:r>
                          </w:p>
                          <w:p w14:paraId="5A11F07D" w14:textId="3630AD4F" w:rsidR="00C6444C" w:rsidRPr="006E25AB" w:rsidRDefault="00202C92">
                            <w:pPr>
                              <w:pStyle w:val="Title"/>
                            </w:pPr>
                            <w:hyperlink r:id="rId629" w:history="1">
                              <w:r w:rsidR="00C6444C" w:rsidRPr="00347D6E">
                                <w:rPr>
                                  <w:rStyle w:val="Hyperlink"/>
                                  <w:rFonts w:asciiTheme="minorHAnsi" w:hAnsiTheme="minorHAnsi" w:cstheme="majorBidi"/>
                                  <w:i/>
                                  <w:color w:val="CE5B18"/>
                                  <w:u w:val="none"/>
                                </w:rPr>
                                <w:t>https://www.fhwa.dot.gov/federalaid/projects.cfm</w:t>
                              </w:r>
                            </w:hyperlink>
                          </w:p>
                          <w:p w14:paraId="4892BD82" w14:textId="77777777" w:rsidR="00C6444C" w:rsidRPr="006E25AB" w:rsidRDefault="00C6444C">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519EC8" id="Text Box 816286034" o:spid="_x0000_s1175" type="#_x0000_t202" style="position:absolute;left:0;text-align:left;margin-left:123.3pt;margin-top:35.1pt;width:92.1pt;height:134.95pt;z-index:-251698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" fillcolor="#f7f7f7" stroked="f" strokeweight=".5pt">
                <v:shadow on="t" type="perspective" color="black" opacity="26214f" offset="0,0" matrix="66847f,,,66847f"/>
                <v:textbox>
                  <w:txbxContent>
                    <w:p w14:paraId="664F91B6" w14:textId="77777777" w:rsidR="00C6444C" w:rsidRDefault="00C6444C" w:rsidP="00020D20">
                      <w:pPr>
                        <w:jc w:val="center"/>
                      </w:pPr>
                      <w:r>
                        <w:rPr>
                          <w:noProof/>
                        </w:rPr>
                        <w:drawing>
                          <wp:inline distT="0" distB="0" distL="0" distR="0" wp14:anchorId="1911427C" wp14:editId="46304D03">
                            <wp:extent cx="457200" cy="457200"/>
                            <wp:effectExtent l="0" t="0" r="0" b="0"/>
                            <wp:docPr id="816286048" name="Picture 816286048"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6EEF750" w14:textId="0A381C00" w:rsidR="00C6444C" w:rsidRPr="005A6734" w:rsidRDefault="00C6444C" w:rsidP="00020D20">
                      <w:pPr>
                        <w:pStyle w:val="Calloutboxes"/>
                      </w:pPr>
                      <w:r w:rsidRPr="00394A74">
                        <w:t>FHWA’s policy for the eligibility, use and transfer of funds is outlined in the G</w:t>
                      </w:r>
                      <w:r w:rsidRPr="00954116">
                        <w:t>uide to Federal Aid Programs and Projects</w:t>
                      </w:r>
                      <w:r w:rsidRPr="0052715B">
                        <w:t>.</w:t>
                      </w:r>
                    </w:p>
                    <w:p w14:paraId="5A11F07D" w14:textId="3630AD4F" w:rsidR="00C6444C" w:rsidRPr="006E25AB" w:rsidRDefault="00C6444C">
                      <w:pPr>
                        <w:pStyle w:val="Title"/>
                      </w:pPr>
                      <w:hyperlink r:id="rId630" w:history="1">
                        <w:r w:rsidRPr="00347D6E">
                          <w:rPr>
                            <w:rStyle w:val="Hyperlink"/>
                            <w:rFonts w:asciiTheme="minorHAnsi" w:hAnsiTheme="minorHAnsi" w:cstheme="majorBidi"/>
                            <w:i/>
                            <w:color w:val="CE5B18"/>
                            <w:u w:val="none"/>
                          </w:rPr>
                          <w:t>https://www.fhwa.dot.gov/federalaid/projects.cfm</w:t>
                        </w:r>
                      </w:hyperlink>
                    </w:p>
                    <w:p w14:paraId="4892BD82" w14:textId="77777777" w:rsidR="00C6444C" w:rsidRPr="006E25AB" w:rsidRDefault="00C6444C">
                      <w:pPr>
                        <w:pStyle w:val="Title"/>
                      </w:pPr>
                    </w:p>
                  </w:txbxContent>
                </v:textbox>
                <w10:wrap type="tight"/>
              </v:shape>
            </w:pict>
          </mc:Fallback>
        </mc:AlternateContent>
      </w:r>
      <w:r w:rsidR="003B4E48" w:rsidRPr="003B4E48">
        <w:t>ADOT may transfer apportionments among program categories if shown to be beneficial to the state in meeting the objectives of the state or local transportation plans. However, there are limitations that ADOT must follow in transferring funds based on the federal guidelines established by FHWA.</w:t>
      </w:r>
    </w:p>
    <w:p w14:paraId="06CE6AE8" w14:textId="77777777" w:rsidR="006F1A94" w:rsidRDefault="006F1A94" w:rsidP="00020D20">
      <w:pPr>
        <w:jc w:val="both"/>
        <w:rPr>
          <w:rFonts w:cstheme="minorHAnsi"/>
          <w:color w:val="767171" w:themeColor="background2" w:themeShade="80"/>
        </w:rPr>
      </w:pPr>
      <w:r>
        <w:rPr>
          <w:rFonts w:cstheme="minorHAnsi"/>
        </w:rPr>
        <w:br w:type="page"/>
      </w:r>
    </w:p>
    <w:p w14:paraId="1CE8E267" w14:textId="47BBB2FD" w:rsidR="003B4E48" w:rsidRDefault="003B4E48" w:rsidP="00020D20">
      <w:pPr>
        <w:pStyle w:val="Heading4"/>
        <w:jc w:val="both"/>
        <w:rPr>
          <w:rFonts w:cstheme="minorHAnsi"/>
        </w:rPr>
      </w:pPr>
      <w:r w:rsidRPr="003B4E48">
        <w:rPr>
          <w:rFonts w:cstheme="minorHAnsi"/>
        </w:rPr>
        <w:t>Table 10-1 | Authority</w:t>
      </w:r>
    </w:p>
    <w:tbl>
      <w:tblPr>
        <w:tblW w:w="9360" w:type="dxa"/>
        <w:tblInd w:w="-10" w:type="dxa"/>
        <w:tblLayout w:type="fixed"/>
        <w:tblCellMar>
          <w:left w:w="0" w:type="dxa"/>
          <w:right w:w="0" w:type="dxa"/>
        </w:tblCellMar>
        <w:tblLook w:val="0000" w:firstRow="0" w:lastRow="0" w:firstColumn="0" w:lastColumn="0" w:noHBand="0" w:noVBand="0"/>
      </w:tblPr>
      <w:tblGrid>
        <w:gridCol w:w="360"/>
        <w:gridCol w:w="1980"/>
        <w:gridCol w:w="7020"/>
      </w:tblGrid>
      <w:tr w:rsidR="003B4E48" w:rsidRPr="003B4E48" w14:paraId="4CF8A26B" w14:textId="77777777" w:rsidTr="00020D20">
        <w:trPr>
          <w:trHeight w:val="125"/>
        </w:trPr>
        <w:tc>
          <w:tcPr>
            <w:tcW w:w="2340"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6BC19643" w14:textId="77777777" w:rsidR="003B4E48" w:rsidRPr="00020D20" w:rsidRDefault="003B4E48" w:rsidP="00020D20">
            <w:pPr>
              <w:spacing w:before="0" w:after="0" w:line="240" w:lineRule="auto"/>
              <w:jc w:val="center"/>
              <w:rPr>
                <w:sz w:val="22"/>
              </w:rPr>
            </w:pPr>
            <w:r w:rsidRPr="00020D20">
              <w:rPr>
                <w:sz w:val="22"/>
              </w:rPr>
              <w:t>Code</w:t>
            </w:r>
          </w:p>
        </w:tc>
        <w:tc>
          <w:tcPr>
            <w:tcW w:w="7020"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7CAE7CDA" w14:textId="77777777" w:rsidR="003B4E48" w:rsidRPr="00020D20" w:rsidRDefault="003B4E48" w:rsidP="00020D20">
            <w:pPr>
              <w:spacing w:before="0" w:after="0" w:line="240" w:lineRule="auto"/>
              <w:jc w:val="center"/>
              <w:rPr>
                <w:sz w:val="22"/>
              </w:rPr>
            </w:pPr>
            <w:r w:rsidRPr="00020D20">
              <w:rPr>
                <w:sz w:val="22"/>
              </w:rPr>
              <w:t>Description</w:t>
            </w:r>
          </w:p>
        </w:tc>
      </w:tr>
      <w:tr w:rsidR="003B4E48" w:rsidRPr="003B4E48" w14:paraId="06F523C9" w14:textId="77777777" w:rsidTr="00020D20">
        <w:trPr>
          <w:trHeight w:val="233"/>
        </w:trPr>
        <w:tc>
          <w:tcPr>
            <w:tcW w:w="360"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797BBA02" w14:textId="77777777" w:rsidR="003B4E48" w:rsidRPr="00020D20" w:rsidRDefault="003B4E48" w:rsidP="00020D20">
            <w:pPr>
              <w:spacing w:before="0" w:after="0" w:line="240" w:lineRule="auto"/>
              <w:jc w:val="center"/>
              <w:rPr>
                <w:sz w:val="22"/>
              </w:rPr>
            </w:pPr>
            <w:r w:rsidRPr="00020D20">
              <w:rPr>
                <w:sz w:val="22"/>
              </w:rPr>
              <w:t>Federal</w:t>
            </w:r>
          </w:p>
          <w:p w14:paraId="1A9BE873" w14:textId="77777777" w:rsidR="003B4E48" w:rsidRPr="003B4E48" w:rsidRDefault="003B4E48" w:rsidP="00020D20">
            <w:pPr>
              <w:spacing w:before="0" w:after="0" w:line="240" w:lineRule="auto"/>
              <w:jc w:val="center"/>
            </w:pPr>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A3131DB" w14:textId="13CF7978" w:rsidR="003B4E48" w:rsidRPr="00126FDC" w:rsidRDefault="00202C92">
            <w:pPr>
              <w:pStyle w:val="Title"/>
            </w:pPr>
            <w:hyperlink r:id="rId631" w:history="1">
              <w:r w:rsidR="003B4E48" w:rsidRPr="00126FDC">
                <w:t>23 U.S.C. § 101</w:t>
              </w:r>
            </w:hyperlink>
          </w:p>
        </w:tc>
        <w:tc>
          <w:tcPr>
            <w:tcW w:w="70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C529398" w14:textId="77777777" w:rsidR="003B4E48" w:rsidRPr="00EE1741" w:rsidRDefault="003B4E48" w:rsidP="00020D20">
            <w:pPr>
              <w:spacing w:before="0" w:after="0" w:line="240" w:lineRule="auto"/>
              <w:jc w:val="both"/>
            </w:pPr>
            <w:r w:rsidRPr="00EE1741">
              <w:t>Declaration of Policy</w:t>
            </w:r>
          </w:p>
        </w:tc>
      </w:tr>
      <w:tr w:rsidR="003B4E48" w:rsidRPr="003B4E48" w14:paraId="6DC182AC" w14:textId="77777777" w:rsidTr="00020D20">
        <w:trPr>
          <w:trHeight w:val="152"/>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056A8959"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323DF11" w14:textId="42F4545E" w:rsidR="003B4E48" w:rsidRPr="002322F9" w:rsidRDefault="00202C92">
            <w:pPr>
              <w:pStyle w:val="Title"/>
            </w:pPr>
            <w:hyperlink r:id="rId632" w:history="1">
              <w:r w:rsidR="003B4E48" w:rsidRPr="002322F9">
                <w:rPr>
                  <w:rStyle w:val="Hyperlink"/>
                  <w:rFonts w:asciiTheme="minorHAnsi" w:hAnsiTheme="minorHAnsi" w:cstheme="majorBidi"/>
                  <w:i/>
                  <w:iCs w:val="0"/>
                  <w:color w:val="CE5B18"/>
                  <w:sz w:val="20"/>
                  <w:szCs w:val="56"/>
                  <w:u w:val="none"/>
                </w:rPr>
                <w:t>23 U.S.C. § 102</w:t>
              </w:r>
            </w:hyperlink>
          </w:p>
        </w:tc>
        <w:tc>
          <w:tcPr>
            <w:tcW w:w="70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23170CE" w14:textId="77777777" w:rsidR="003B4E48" w:rsidRPr="00EE1741" w:rsidRDefault="003B4E48" w:rsidP="00020D20">
            <w:pPr>
              <w:spacing w:before="0" w:after="0" w:line="240" w:lineRule="auto"/>
              <w:jc w:val="both"/>
            </w:pPr>
            <w:r w:rsidRPr="00EE1741">
              <w:t>Program Efficiencies</w:t>
            </w:r>
          </w:p>
        </w:tc>
      </w:tr>
      <w:tr w:rsidR="003B4E48" w:rsidRPr="003B4E48" w14:paraId="215B5647"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33BEF9CB"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081BD95" w14:textId="31FF4747" w:rsidR="003B4E48" w:rsidRPr="00563E50" w:rsidRDefault="00202C92">
            <w:pPr>
              <w:pStyle w:val="Title"/>
            </w:pPr>
            <w:hyperlink r:id="rId633" w:history="1">
              <w:r w:rsidR="003B4E48" w:rsidRPr="00563E50">
                <w:rPr>
                  <w:rStyle w:val="Hyperlink"/>
                  <w:rFonts w:asciiTheme="minorHAnsi" w:hAnsiTheme="minorHAnsi" w:cstheme="majorBidi"/>
                  <w:i/>
                  <w:iCs w:val="0"/>
                  <w:color w:val="CE5B18"/>
                  <w:sz w:val="20"/>
                  <w:szCs w:val="56"/>
                  <w:u w:val="none"/>
                </w:rPr>
                <w:t>23 U.S.C. § 104</w:t>
              </w:r>
            </w:hyperlink>
          </w:p>
        </w:tc>
        <w:tc>
          <w:tcPr>
            <w:tcW w:w="70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C52D8FE" w14:textId="77777777" w:rsidR="003B4E48" w:rsidRPr="00EE1741" w:rsidRDefault="003B4E48" w:rsidP="00020D20">
            <w:pPr>
              <w:spacing w:before="0" w:after="0" w:line="240" w:lineRule="auto"/>
              <w:jc w:val="both"/>
            </w:pPr>
            <w:r w:rsidRPr="00EE1741">
              <w:t>Calculation of State Amounts; (d): Metropolitan Planning; (f)(1) (Transfer of Highway and Transit Funds; and (f)(3)(c) Funds Suballocated to Urbanized Areas</w:t>
            </w:r>
          </w:p>
        </w:tc>
      </w:tr>
      <w:tr w:rsidR="003B4E48" w:rsidRPr="003B4E48" w14:paraId="13442713"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480998A4"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331A3EB" w14:textId="674AC07B" w:rsidR="003B4E48" w:rsidRPr="009E1056" w:rsidRDefault="00202C92">
            <w:pPr>
              <w:pStyle w:val="Title"/>
            </w:pPr>
            <w:hyperlink r:id="rId634" w:history="1">
              <w:r w:rsidR="003B4E48" w:rsidRPr="009E1056">
                <w:rPr>
                  <w:rStyle w:val="Hyperlink"/>
                  <w:rFonts w:asciiTheme="minorHAnsi" w:hAnsiTheme="minorHAnsi" w:cstheme="majorBidi"/>
                  <w:i/>
                  <w:iCs w:val="0"/>
                  <w:color w:val="CE5B18"/>
                  <w:sz w:val="20"/>
                  <w:szCs w:val="56"/>
                  <w:u w:val="none"/>
                </w:rPr>
                <w:t>23 U.S.C. § 120</w:t>
              </w:r>
            </w:hyperlink>
          </w:p>
        </w:tc>
        <w:tc>
          <w:tcPr>
            <w:tcW w:w="70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26A4E22" w14:textId="77777777" w:rsidR="003B4E48" w:rsidRPr="00EE1741" w:rsidRDefault="003B4E48" w:rsidP="00020D20">
            <w:pPr>
              <w:spacing w:before="0" w:after="0" w:line="240" w:lineRule="auto"/>
              <w:jc w:val="both"/>
            </w:pPr>
            <w:r w:rsidRPr="00EE1741">
              <w:t xml:space="preserve">Federal share payable </w:t>
            </w:r>
          </w:p>
        </w:tc>
      </w:tr>
      <w:tr w:rsidR="003B4E48" w:rsidRPr="003B4E48" w14:paraId="190B1C9C"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389BCAA3"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BB994AC" w14:textId="11EF79A1" w:rsidR="003B4E48" w:rsidRPr="0068321E" w:rsidRDefault="00202C92">
            <w:pPr>
              <w:pStyle w:val="Title"/>
            </w:pPr>
            <w:hyperlink r:id="rId635" w:history="1">
              <w:r w:rsidR="003B4E48" w:rsidRPr="0068321E">
                <w:rPr>
                  <w:rStyle w:val="Hyperlink"/>
                  <w:rFonts w:asciiTheme="minorHAnsi" w:hAnsiTheme="minorHAnsi" w:cstheme="majorBidi"/>
                  <w:i/>
                  <w:iCs w:val="0"/>
                  <w:color w:val="CE5B18"/>
                  <w:sz w:val="20"/>
                  <w:szCs w:val="56"/>
                  <w:u w:val="none"/>
                </w:rPr>
                <w:t>23 U.S.C. §§ 134</w:t>
              </w:r>
            </w:hyperlink>
            <w:r w:rsidR="003B4E48" w:rsidRPr="0068321E">
              <w:t xml:space="preserve">, </w:t>
            </w:r>
            <w:hyperlink r:id="rId636" w:history="1">
              <w:r w:rsidR="003B4E48" w:rsidRPr="0068321E">
                <w:rPr>
                  <w:rStyle w:val="Hyperlink"/>
                  <w:rFonts w:asciiTheme="minorHAnsi" w:hAnsiTheme="minorHAnsi" w:cstheme="majorBidi"/>
                  <w:i/>
                  <w:iCs w:val="0"/>
                  <w:color w:val="CE5B18"/>
                  <w:sz w:val="20"/>
                  <w:szCs w:val="56"/>
                  <w:u w:val="none"/>
                </w:rPr>
                <w:t>135</w:t>
              </w:r>
            </w:hyperlink>
            <w:r w:rsidR="003B4E48" w:rsidRPr="0068321E">
              <w:t xml:space="preserve">, and </w:t>
            </w:r>
            <w:hyperlink r:id="rId637" w:history="1">
              <w:r w:rsidR="003B4E48" w:rsidRPr="0068321E">
                <w:rPr>
                  <w:rStyle w:val="Hyperlink"/>
                  <w:rFonts w:asciiTheme="minorHAnsi" w:hAnsiTheme="minorHAnsi" w:cstheme="majorBidi"/>
                  <w:i/>
                  <w:iCs w:val="0"/>
                  <w:color w:val="CE5B18"/>
                  <w:sz w:val="20"/>
                  <w:szCs w:val="56"/>
                  <w:u w:val="none"/>
                </w:rPr>
                <w:t>139</w:t>
              </w:r>
            </w:hyperlink>
          </w:p>
        </w:tc>
        <w:tc>
          <w:tcPr>
            <w:tcW w:w="70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98972F0" w14:textId="77777777" w:rsidR="003B4E48" w:rsidRPr="00EE1741" w:rsidRDefault="003B4E48" w:rsidP="00020D20">
            <w:pPr>
              <w:spacing w:before="0" w:after="0" w:line="240" w:lineRule="auto"/>
              <w:jc w:val="both"/>
            </w:pPr>
            <w:r w:rsidRPr="00EE1741">
              <w:t>Metropolitan Transportation Planning, Statewide and Nonmetropolitan Transportation Planning, and Efficient Environmental Reviews for Project Decision Making, respectively</w:t>
            </w:r>
          </w:p>
        </w:tc>
      </w:tr>
      <w:tr w:rsidR="003B4E48" w:rsidRPr="003B4E48" w14:paraId="2089C09A"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5A5541B8"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3C720C4" w14:textId="408FE48A" w:rsidR="003B4E48" w:rsidRPr="003E3153" w:rsidRDefault="00202C92">
            <w:pPr>
              <w:pStyle w:val="Title"/>
            </w:pPr>
            <w:hyperlink r:id="rId638" w:history="1">
              <w:r w:rsidR="003B4E48" w:rsidRPr="003E3153">
                <w:rPr>
                  <w:rStyle w:val="Hyperlink"/>
                  <w:rFonts w:asciiTheme="minorHAnsi" w:hAnsiTheme="minorHAnsi" w:cstheme="majorBidi"/>
                  <w:i/>
                  <w:iCs w:val="0"/>
                  <w:color w:val="CE5B18"/>
                  <w:sz w:val="20"/>
                  <w:szCs w:val="56"/>
                  <w:u w:val="none"/>
                </w:rPr>
                <w:t>23 U.S.C. § 150</w:t>
              </w:r>
            </w:hyperlink>
          </w:p>
        </w:tc>
        <w:tc>
          <w:tcPr>
            <w:tcW w:w="70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940A86A" w14:textId="77777777" w:rsidR="003B4E48" w:rsidRPr="00EE1741" w:rsidRDefault="003B4E48" w:rsidP="00020D20">
            <w:pPr>
              <w:spacing w:before="0" w:after="0" w:line="240" w:lineRule="auto"/>
              <w:jc w:val="both"/>
            </w:pPr>
            <w:r w:rsidRPr="00EE1741">
              <w:t>National goals and performance management measures</w:t>
            </w:r>
          </w:p>
        </w:tc>
      </w:tr>
      <w:tr w:rsidR="003B4E48" w:rsidRPr="003B4E48" w14:paraId="630359E8"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5FAEA278"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99BBD38" w14:textId="2205285F" w:rsidR="003B4E48" w:rsidRPr="003E3153" w:rsidRDefault="00202C92">
            <w:pPr>
              <w:pStyle w:val="Title"/>
            </w:pPr>
            <w:hyperlink r:id="rId639" w:history="1">
              <w:r w:rsidR="003B4E48" w:rsidRPr="003E3153">
                <w:rPr>
                  <w:rStyle w:val="Hyperlink"/>
                  <w:rFonts w:asciiTheme="minorHAnsi" w:hAnsiTheme="minorHAnsi" w:cstheme="majorBidi"/>
                  <w:i/>
                  <w:iCs w:val="0"/>
                  <w:color w:val="CE5B18"/>
                  <w:sz w:val="20"/>
                  <w:szCs w:val="56"/>
                  <w:u w:val="none"/>
                </w:rPr>
                <w:t>23 U.S.C. § 168</w:t>
              </w:r>
            </w:hyperlink>
          </w:p>
        </w:tc>
        <w:tc>
          <w:tcPr>
            <w:tcW w:w="70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6B6EF32" w14:textId="77777777" w:rsidR="003B4E48" w:rsidRPr="00EE1741" w:rsidRDefault="003B4E48" w:rsidP="00020D20">
            <w:pPr>
              <w:spacing w:before="0" w:after="0" w:line="240" w:lineRule="auto"/>
              <w:jc w:val="both"/>
            </w:pPr>
            <w:r w:rsidRPr="00EE1741">
              <w:t>Integration of planning and environment</w:t>
            </w:r>
          </w:p>
        </w:tc>
      </w:tr>
      <w:tr w:rsidR="003B4E48" w:rsidRPr="003B4E48" w14:paraId="6D72C6B5" w14:textId="77777777" w:rsidTr="00020D20">
        <w:trPr>
          <w:trHeight w:val="315"/>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129D0628"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D01DD16" w14:textId="360C2F58" w:rsidR="003B4E48" w:rsidRPr="00953858" w:rsidRDefault="00202C92">
            <w:pPr>
              <w:pStyle w:val="Title"/>
            </w:pPr>
            <w:hyperlink r:id="rId640" w:history="1">
              <w:r w:rsidR="003B4E48" w:rsidRPr="00953858">
                <w:rPr>
                  <w:rStyle w:val="Hyperlink"/>
                  <w:rFonts w:asciiTheme="minorHAnsi" w:hAnsiTheme="minorHAnsi" w:cstheme="majorBidi"/>
                  <w:i/>
                  <w:iCs w:val="0"/>
                  <w:color w:val="CE5B18"/>
                  <w:sz w:val="20"/>
                  <w:szCs w:val="56"/>
                  <w:u w:val="none"/>
                </w:rPr>
                <w:t>23 U.S.C. § 201</w:t>
              </w:r>
            </w:hyperlink>
          </w:p>
        </w:tc>
        <w:tc>
          <w:tcPr>
            <w:tcW w:w="70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B8B6371" w14:textId="77777777" w:rsidR="003B4E48" w:rsidRPr="00EE1741" w:rsidRDefault="003B4E48" w:rsidP="00020D20">
            <w:pPr>
              <w:spacing w:before="0" w:after="0" w:line="240" w:lineRule="auto"/>
              <w:jc w:val="both"/>
            </w:pPr>
            <w:r w:rsidRPr="00EE1741">
              <w:t>Roads on federal lands to be included in the TIP (where applicable)</w:t>
            </w:r>
          </w:p>
        </w:tc>
      </w:tr>
      <w:tr w:rsidR="003B4E48" w:rsidRPr="003B4E48" w14:paraId="3E2AAC4F"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673DF3BB"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EBC2F04" w14:textId="027E2251" w:rsidR="003B4E48" w:rsidRPr="00852284" w:rsidRDefault="00202C92">
            <w:pPr>
              <w:pStyle w:val="Title"/>
            </w:pPr>
            <w:hyperlink r:id="rId641" w:history="1">
              <w:r w:rsidR="003B4E48" w:rsidRPr="00852284">
                <w:rPr>
                  <w:rStyle w:val="Hyperlink"/>
                  <w:rFonts w:asciiTheme="minorHAnsi" w:hAnsiTheme="minorHAnsi" w:cstheme="majorBidi"/>
                  <w:i/>
                  <w:iCs w:val="0"/>
                  <w:color w:val="CE5B18"/>
                  <w:sz w:val="20"/>
                  <w:szCs w:val="56"/>
                  <w:u w:val="none"/>
                </w:rPr>
                <w:t>49 U.S.C § 5304 (g)</w:t>
              </w:r>
            </w:hyperlink>
          </w:p>
        </w:tc>
        <w:tc>
          <w:tcPr>
            <w:tcW w:w="70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4647D61" w14:textId="77777777" w:rsidR="003B4E48" w:rsidRPr="00EE1741" w:rsidRDefault="003B4E48" w:rsidP="00020D20">
            <w:pPr>
              <w:spacing w:before="0" w:after="0" w:line="240" w:lineRule="auto"/>
              <w:jc w:val="both"/>
            </w:pPr>
            <w:r w:rsidRPr="00EE1741">
              <w:t>Statewide Transportation Improvement Program</w:t>
            </w:r>
          </w:p>
        </w:tc>
      </w:tr>
      <w:tr w:rsidR="003B4E48" w:rsidRPr="003B4E48" w14:paraId="0B7C4293"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062123C7"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0662AF0" w14:textId="0574761B" w:rsidR="003B4E48" w:rsidRPr="00E2261B" w:rsidRDefault="00202C92">
            <w:pPr>
              <w:pStyle w:val="Title"/>
            </w:pPr>
            <w:hyperlink r:id="rId642" w:history="1">
              <w:r w:rsidR="003B4E48" w:rsidRPr="00E2261B">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3B4E48" w:rsidRPr="00E2261B">
                <w:rPr>
                  <w:rStyle w:val="Hyperlink"/>
                  <w:rFonts w:asciiTheme="minorHAnsi" w:hAnsiTheme="minorHAnsi" w:cstheme="majorBidi"/>
                  <w:i/>
                  <w:iCs w:val="0"/>
                  <w:color w:val="CE5B18"/>
                  <w:sz w:val="20"/>
                  <w:szCs w:val="56"/>
                  <w:u w:val="none"/>
                </w:rPr>
                <w:t>Part 450 §§</w:t>
              </w:r>
            </w:hyperlink>
            <w:r w:rsidR="003B4E48" w:rsidRPr="00E2261B">
              <w:t xml:space="preserve"> </w:t>
            </w:r>
            <w:hyperlink r:id="rId643" w:history="1">
              <w:r w:rsidR="003B4E48" w:rsidRPr="00E2261B">
                <w:rPr>
                  <w:rStyle w:val="Hyperlink"/>
                  <w:rFonts w:asciiTheme="minorHAnsi" w:hAnsiTheme="minorHAnsi" w:cstheme="majorBidi"/>
                  <w:i/>
                  <w:iCs w:val="0"/>
                  <w:color w:val="CE5B18"/>
                  <w:sz w:val="20"/>
                  <w:szCs w:val="56"/>
                  <w:u w:val="none"/>
                </w:rPr>
                <w:t>320,</w:t>
              </w:r>
            </w:hyperlink>
            <w:r w:rsidR="003B4E48" w:rsidRPr="00E2261B">
              <w:t xml:space="preserve"> </w:t>
            </w:r>
            <w:hyperlink r:id="rId644" w:history="1">
              <w:r w:rsidR="003B4E48" w:rsidRPr="00E2261B">
                <w:rPr>
                  <w:rStyle w:val="Hyperlink"/>
                  <w:rFonts w:asciiTheme="minorHAnsi" w:hAnsiTheme="minorHAnsi" w:cstheme="majorBidi"/>
                  <w:i/>
                  <w:iCs w:val="0"/>
                  <w:color w:val="CE5B18"/>
                  <w:sz w:val="20"/>
                  <w:szCs w:val="56"/>
                  <w:u w:val="none"/>
                </w:rPr>
                <w:t>324,</w:t>
              </w:r>
            </w:hyperlink>
            <w:r w:rsidR="003B4E48" w:rsidRPr="00E2261B">
              <w:t xml:space="preserve"> </w:t>
            </w:r>
            <w:hyperlink r:id="rId645" w:history="1">
              <w:r w:rsidR="003B4E48" w:rsidRPr="00E2261B">
                <w:rPr>
                  <w:rStyle w:val="Hyperlink"/>
                  <w:rFonts w:asciiTheme="minorHAnsi" w:hAnsiTheme="minorHAnsi" w:cstheme="majorBidi"/>
                  <w:i/>
                  <w:iCs w:val="0"/>
                  <w:color w:val="CE5B18"/>
                  <w:sz w:val="20"/>
                  <w:szCs w:val="56"/>
                  <w:u w:val="none"/>
                </w:rPr>
                <w:t>326,</w:t>
              </w:r>
            </w:hyperlink>
            <w:r w:rsidR="003B4E48" w:rsidRPr="00E2261B">
              <w:t xml:space="preserve"> </w:t>
            </w:r>
            <w:hyperlink r:id="rId646" w:history="1">
              <w:r w:rsidR="003B4E48" w:rsidRPr="00E2261B">
                <w:rPr>
                  <w:rStyle w:val="Hyperlink"/>
                  <w:rFonts w:asciiTheme="minorHAnsi" w:hAnsiTheme="minorHAnsi" w:cstheme="majorBidi"/>
                  <w:i/>
                  <w:iCs w:val="0"/>
                  <w:color w:val="CE5B18"/>
                  <w:sz w:val="20"/>
                  <w:szCs w:val="56"/>
                  <w:u w:val="none"/>
                </w:rPr>
                <w:t>328,</w:t>
              </w:r>
            </w:hyperlink>
            <w:r w:rsidR="003B4E48" w:rsidRPr="00E2261B">
              <w:t xml:space="preserve"> </w:t>
            </w:r>
            <w:hyperlink r:id="rId647" w:history="1">
              <w:r w:rsidR="003B4E48" w:rsidRPr="00E2261B">
                <w:rPr>
                  <w:rStyle w:val="Hyperlink"/>
                  <w:rFonts w:asciiTheme="minorHAnsi" w:hAnsiTheme="minorHAnsi" w:cstheme="majorBidi"/>
                  <w:i/>
                  <w:iCs w:val="0"/>
                  <w:color w:val="CE5B18"/>
                  <w:sz w:val="20"/>
                  <w:szCs w:val="56"/>
                  <w:u w:val="none"/>
                </w:rPr>
                <w:t>330,</w:t>
              </w:r>
            </w:hyperlink>
            <w:r w:rsidR="003B4E48" w:rsidRPr="00E2261B">
              <w:t xml:space="preserve"> and </w:t>
            </w:r>
            <w:hyperlink r:id="rId648" w:history="1">
              <w:r w:rsidR="003B4E48" w:rsidRPr="00E2261B">
                <w:rPr>
                  <w:rStyle w:val="Hyperlink"/>
                  <w:rFonts w:asciiTheme="minorHAnsi" w:hAnsiTheme="minorHAnsi" w:cstheme="majorBidi"/>
                  <w:i/>
                  <w:iCs w:val="0"/>
                  <w:color w:val="CE5B18"/>
                  <w:sz w:val="20"/>
                  <w:szCs w:val="56"/>
                  <w:u w:val="none"/>
                </w:rPr>
                <w:t>332</w:t>
              </w:r>
            </w:hyperlink>
          </w:p>
        </w:tc>
        <w:tc>
          <w:tcPr>
            <w:tcW w:w="70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A8A0205" w14:textId="77777777" w:rsidR="003B4E48" w:rsidRPr="00EE1741" w:rsidRDefault="003B4E48" w:rsidP="00020D20">
            <w:pPr>
              <w:spacing w:before="0" w:after="0" w:line="240" w:lineRule="auto"/>
              <w:jc w:val="both"/>
            </w:pPr>
            <w:r w:rsidRPr="00EE1741">
              <w:t>Transportation Improvement Program</w:t>
            </w:r>
          </w:p>
        </w:tc>
      </w:tr>
      <w:tr w:rsidR="003B4E48" w:rsidRPr="003B4E48" w14:paraId="283D62BA" w14:textId="77777777" w:rsidTr="00020D20">
        <w:trPr>
          <w:trHeight w:val="316"/>
        </w:trPr>
        <w:tc>
          <w:tcPr>
            <w:tcW w:w="360" w:type="dxa"/>
            <w:vMerge/>
            <w:tcBorders>
              <w:top w:val="single" w:sz="4" w:space="0" w:color="auto"/>
              <w:left w:val="single" w:sz="4" w:space="0" w:color="auto"/>
              <w:bottom w:val="single" w:sz="4" w:space="0" w:color="auto"/>
              <w:right w:val="single" w:sz="4" w:space="0" w:color="auto"/>
            </w:tcBorders>
            <w:shd w:val="clear" w:color="auto" w:fill="012768"/>
          </w:tcPr>
          <w:p w14:paraId="3912C331" w14:textId="77777777" w:rsidR="003B4E48" w:rsidRPr="003B4E48" w:rsidRDefault="003B4E48" w:rsidP="00020D20">
            <w:pPr>
              <w:spacing w:before="0" w:after="0" w:line="240" w:lineRule="auto"/>
              <w:jc w:val="center"/>
              <w:rPr>
                <w:rFonts w:cstheme="minorHAnsi"/>
              </w:rPr>
            </w:pPr>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FD6F4B6" w14:textId="5FE3A4A0" w:rsidR="003B4E48" w:rsidRPr="001B0E2C" w:rsidRDefault="00202C92">
            <w:pPr>
              <w:pStyle w:val="Title"/>
            </w:pPr>
            <w:hyperlink r:id="rId649" w:anchor="se23.1.500_1109" w:history="1">
              <w:r w:rsidR="003B4E48" w:rsidRPr="001B0E2C">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3B4E48" w:rsidRPr="001B0E2C">
                <w:rPr>
                  <w:rStyle w:val="Hyperlink"/>
                  <w:rFonts w:asciiTheme="minorHAnsi" w:hAnsiTheme="minorHAnsi" w:cstheme="majorBidi"/>
                  <w:i/>
                  <w:iCs w:val="0"/>
                  <w:color w:val="CE5B18"/>
                  <w:sz w:val="20"/>
                  <w:szCs w:val="56"/>
                  <w:u w:val="none"/>
                </w:rPr>
                <w:t>§§ 500.109,</w:t>
              </w:r>
            </w:hyperlink>
            <w:r w:rsidR="003B4E48" w:rsidRPr="001B0E2C">
              <w:t xml:space="preserve"> </w:t>
            </w:r>
            <w:hyperlink r:id="rId650" w:anchor="se23.1.500_1110" w:history="1">
              <w:r w:rsidR="003B4E48" w:rsidRPr="001B0E2C">
                <w:rPr>
                  <w:rStyle w:val="Hyperlink"/>
                  <w:rFonts w:asciiTheme="minorHAnsi" w:hAnsiTheme="minorHAnsi" w:cstheme="majorBidi"/>
                  <w:i/>
                  <w:iCs w:val="0"/>
                  <w:color w:val="CE5B18"/>
                  <w:sz w:val="20"/>
                  <w:szCs w:val="56"/>
                  <w:u w:val="none"/>
                </w:rPr>
                <w:t>500.110,</w:t>
              </w:r>
            </w:hyperlink>
            <w:r w:rsidR="003B4E48" w:rsidRPr="001B0E2C">
              <w:t xml:space="preserve"> and </w:t>
            </w:r>
            <w:hyperlink r:id="rId651" w:anchor="se23.1.500_1111" w:history="1">
              <w:r w:rsidR="003B4E48" w:rsidRPr="001B0E2C">
                <w:rPr>
                  <w:rStyle w:val="Hyperlink"/>
                  <w:rFonts w:asciiTheme="minorHAnsi" w:hAnsiTheme="minorHAnsi" w:cstheme="majorBidi"/>
                  <w:i/>
                  <w:iCs w:val="0"/>
                  <w:color w:val="CE5B18"/>
                  <w:sz w:val="20"/>
                  <w:szCs w:val="56"/>
                  <w:u w:val="none"/>
                </w:rPr>
                <w:t>500.111</w:t>
              </w:r>
            </w:hyperlink>
          </w:p>
        </w:tc>
        <w:tc>
          <w:tcPr>
            <w:tcW w:w="70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476AFA7" w14:textId="77777777" w:rsidR="003B4E48" w:rsidRPr="00EE1741" w:rsidRDefault="003B4E48" w:rsidP="00020D20">
            <w:pPr>
              <w:spacing w:before="0" w:after="0" w:line="240" w:lineRule="auto"/>
              <w:jc w:val="both"/>
            </w:pPr>
            <w:r w:rsidRPr="00EE1741">
              <w:t>CMS (Congestion Management System), PTMS (Public Transportation Management System), and IMS (Intermodal Management System), respectively</w:t>
            </w:r>
          </w:p>
        </w:tc>
      </w:tr>
    </w:tbl>
    <w:p w14:paraId="3110E74E" w14:textId="77777777" w:rsidR="00994C0E" w:rsidRDefault="00994C0E" w:rsidP="00020D20">
      <w:pPr>
        <w:pStyle w:val="Heading2"/>
        <w:rPr>
          <w:b w:val="0"/>
        </w:rPr>
        <w:sectPr w:rsidR="00994C0E" w:rsidSect="00020D20">
          <w:type w:val="continuous"/>
          <w:pgSz w:w="12240" w:h="15840"/>
          <w:pgMar w:top="1440" w:right="1440" w:bottom="1440" w:left="1440" w:header="720" w:footer="720" w:gutter="0"/>
          <w:pgNumType w:chapStyle="1"/>
          <w:cols w:space="720"/>
          <w:docGrid w:linePitch="360"/>
        </w:sectPr>
      </w:pPr>
    </w:p>
    <w:p w14:paraId="3714F055" w14:textId="5BE9BD52" w:rsidR="003B4E48" w:rsidRPr="003B4E48" w:rsidRDefault="003B4E48" w:rsidP="00020D20">
      <w:pPr>
        <w:pStyle w:val="Heading2"/>
      </w:pPr>
      <w:bookmarkStart w:id="403" w:name="_Ref50032970"/>
      <w:r w:rsidRPr="003B4E48">
        <w:t>10.4 | FUNDING PROGRAMS</w:t>
      </w:r>
      <w:bookmarkEnd w:id="403"/>
    </w:p>
    <w:p w14:paraId="3954C991" w14:textId="66AC9E77" w:rsidR="003B4E48" w:rsidRPr="003B4E48" w:rsidRDefault="003B4E48" w:rsidP="00020D20">
      <w:pPr>
        <w:jc w:val="both"/>
      </w:pPr>
      <w:r w:rsidRPr="003B4E48">
        <w:t>As i</w:t>
      </w:r>
      <w:r w:rsidRPr="00876961">
        <w:t xml:space="preserve">ndicated in </w:t>
      </w:r>
      <w:hyperlink r:id="rId652" w:history="1">
        <w:r w:rsidRPr="00020D20">
          <w:rPr>
            <w:rStyle w:val="TitleChar"/>
          </w:rPr>
          <w:t xml:space="preserve">23 </w:t>
        </w:r>
        <w:r w:rsidR="009628C0">
          <w:rPr>
            <w:rStyle w:val="TitleChar"/>
          </w:rPr>
          <w:t xml:space="preserve">C.F.R. </w:t>
        </w:r>
        <w:r w:rsidRPr="00020D20">
          <w:rPr>
            <w:rStyle w:val="TitleChar"/>
          </w:rPr>
          <w:t>Part 450 § 308</w:t>
        </w:r>
      </w:hyperlink>
      <w:r w:rsidRPr="00876961">
        <w:t xml:space="preserve">, funds provided under </w:t>
      </w:r>
      <w:hyperlink r:id="rId653" w:history="1">
        <w:r w:rsidRPr="00020D20">
          <w:rPr>
            <w:rStyle w:val="TitleChar"/>
          </w:rPr>
          <w:t>23 U.S.C. § 104(f)</w:t>
        </w:r>
      </w:hyperlink>
      <w:r w:rsidRPr="00876961">
        <w:t xml:space="preserve">, </w:t>
      </w:r>
      <w:hyperlink r:id="rId654" w:history="1">
        <w:r w:rsidRPr="00020D20">
          <w:rPr>
            <w:rStyle w:val="TitleChar"/>
          </w:rPr>
          <w:t>49 U.S.C. § 5305(d)</w:t>
        </w:r>
      </w:hyperlink>
      <w:r w:rsidRPr="00876961">
        <w:t xml:space="preserve">, </w:t>
      </w:r>
      <w:hyperlink r:id="rId655" w:history="1">
        <w:r w:rsidRPr="00020D20">
          <w:rPr>
            <w:rStyle w:val="TitleChar"/>
          </w:rPr>
          <w:t>49 U.S.C. § 5307</w:t>
        </w:r>
      </w:hyperlink>
      <w:r w:rsidRPr="00876961">
        <w:t>, and</w:t>
      </w:r>
      <w:r w:rsidRPr="00020D20">
        <w:rPr>
          <w:rStyle w:val="TitleChar"/>
        </w:rPr>
        <w:t xml:space="preserve"> </w:t>
      </w:r>
      <w:hyperlink r:id="rId656" w:history="1">
        <w:r w:rsidRPr="00020D20">
          <w:rPr>
            <w:rStyle w:val="TitleChar"/>
          </w:rPr>
          <w:t>49 U.S.C. § 5339</w:t>
        </w:r>
      </w:hyperlink>
      <w:r w:rsidRPr="00876961">
        <w:t xml:space="preserve"> are available to MPOs to accomplish metropolitan transportation planning activities. At ADOT’s </w:t>
      </w:r>
      <w:r w:rsidR="00EA29A7">
        <w:t>discretion</w:t>
      </w:r>
      <w:r w:rsidRPr="00876961">
        <w:t xml:space="preserve">, funds provided under </w:t>
      </w:r>
      <w:hyperlink r:id="rId657" w:history="1">
        <w:r w:rsidRPr="00020D20">
          <w:rPr>
            <w:rStyle w:val="TitleChar"/>
          </w:rPr>
          <w:t>23 U.S.C. §§ 104(b)(1)</w:t>
        </w:r>
      </w:hyperlink>
      <w:r w:rsidRPr="00876961">
        <w:t xml:space="preserve"> and </w:t>
      </w:r>
      <w:hyperlink r:id="rId658" w:history="1">
        <w:r w:rsidRPr="00020D20">
          <w:rPr>
            <w:rStyle w:val="TitleChar"/>
          </w:rPr>
          <w:t>(b)(3)</w:t>
        </w:r>
      </w:hyperlink>
      <w:r w:rsidRPr="00876961">
        <w:t xml:space="preserve"> and </w:t>
      </w:r>
      <w:hyperlink r:id="rId659" w:history="1">
        <w:r w:rsidRPr="00020D20">
          <w:rPr>
            <w:rStyle w:val="TitleChar"/>
          </w:rPr>
          <w:t>23 U.S.C. § 105</w:t>
        </w:r>
      </w:hyperlink>
      <w:r w:rsidRPr="00876961">
        <w:t xml:space="preserve"> may also be provided to MPOs for metropolitan transportation planning. In addition, an MPO serving a UZA with a population over 200,000, as designated by the Census</w:t>
      </w:r>
      <w:r w:rsidR="00EA29A7">
        <w:t xml:space="preserve"> Bureau</w:t>
      </w:r>
      <w:r w:rsidRPr="00876961">
        <w:t xml:space="preserve">, may at its discretion use funds suballocated under </w:t>
      </w:r>
      <w:hyperlink r:id="rId660" w:history="1">
        <w:r w:rsidRPr="00020D20">
          <w:rPr>
            <w:rStyle w:val="TitleChar"/>
          </w:rPr>
          <w:t>23 U.S.C. § 133(d)(3)(E)</w:t>
        </w:r>
      </w:hyperlink>
      <w:r w:rsidRPr="00876961">
        <w:t xml:space="preserve"> for metropolitan transportation planning activities.</w:t>
      </w:r>
    </w:p>
    <w:p w14:paraId="04C58D9B" w14:textId="77777777" w:rsidR="003B4E48" w:rsidRPr="003B4E48" w:rsidRDefault="003B4E48" w:rsidP="00020D20">
      <w:pPr>
        <w:pStyle w:val="Heading3"/>
        <w:jc w:val="both"/>
        <w:rPr>
          <w:rFonts w:cstheme="minorHAnsi"/>
        </w:rPr>
      </w:pPr>
      <w:bookmarkStart w:id="404" w:name="_Ref50032991"/>
      <w:r w:rsidRPr="003B4E48">
        <w:rPr>
          <w:rFonts w:cstheme="minorHAnsi"/>
          <w:szCs w:val="20"/>
        </w:rPr>
        <w:t>10.4.1 | Transportation Planning Funds</w:t>
      </w:r>
      <w:bookmarkEnd w:id="404"/>
    </w:p>
    <w:p w14:paraId="29D62331" w14:textId="07481838"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 xml:space="preserve">Transportation planning funds are provided for in each surface transportation act, the most recent being </w:t>
      </w:r>
      <w:r w:rsidR="00EA29A7">
        <w:t xml:space="preserve">the </w:t>
      </w:r>
      <w:r w:rsidR="00275741">
        <w:t>FAST Act</w:t>
      </w:r>
      <w:r w:rsidRPr="003B4E48">
        <w:t xml:space="preserve">. Transportation programs that the MPOs and COGs are responsible for tracking are generally funded by the FHWA, FTA, and ADOT. </w:t>
      </w:r>
    </w:p>
    <w:p w14:paraId="1710C4E7" w14:textId="559DB55C" w:rsidR="003B4E48" w:rsidRPr="003B4E48" w:rsidRDefault="003B4E48" w:rsidP="00020D20">
      <w:pPr>
        <w:pStyle w:val="SubHeading3"/>
        <w:jc w:val="both"/>
      </w:pPr>
      <w:bookmarkStart w:id="405" w:name="_Ref50033359"/>
      <w:r w:rsidRPr="003B4E48">
        <w:t>Metropolitan Planning</w:t>
      </w:r>
      <w:bookmarkEnd w:id="405"/>
    </w:p>
    <w:p w14:paraId="795E8AEF" w14:textId="73D5DFC7"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 xml:space="preserve">PL funds are apportioned to states on the basis of population in UZAs and relative to the amount of highway construction funds the state receives. The Census Bureau population estimates for UZAs are used for all PL funding formulas. The ADOT </w:t>
      </w:r>
      <w:r w:rsidR="00BD216C">
        <w:t>GRT</w:t>
      </w:r>
      <w:r w:rsidRPr="003B4E48">
        <w:t>s establish the contract with the MPOs to conduct transportation-related planning activities using PL funds within their region; COGs do not use PL funds for planning activities.</w:t>
      </w:r>
    </w:p>
    <w:p w14:paraId="3B04FBCB" w14:textId="3DDCF280" w:rsidR="003B4E48" w:rsidRPr="003B4E48" w:rsidRDefault="003B4E48" w:rsidP="00020D20">
      <w:pPr>
        <w:pStyle w:val="NoSpacing"/>
        <w:tabs>
          <w:tab w:val="left" w:pos="180"/>
          <w:tab w:val="left" w:pos="360"/>
          <w:tab w:val="left" w:pos="540"/>
          <w:tab w:val="left" w:pos="720"/>
        </w:tabs>
        <w:spacing w:before="120" w:after="120" w:line="288" w:lineRule="auto"/>
        <w:jc w:val="both"/>
      </w:pPr>
      <w:r w:rsidRPr="003B4E48">
        <w:t>As outlined by FHWA, “the PL funding distribution formula is</w:t>
      </w:r>
      <w:r w:rsidR="0030137A">
        <w:t xml:space="preserve"> </w:t>
      </w:r>
      <w:r w:rsidRPr="003B4E48">
        <w:t>based on a ratio of UZA population in individual States to the total nationwide UZA population. The minimum apportionment per State is 0.5 percent of the total nationwide PL funding apportionment.” Arizona receives 1.8 percent of the total PL apportionments made by FHWA. PL funds require a 5.7 percent local match, which is provided by the local governments</w:t>
      </w:r>
      <w:r w:rsidR="00E71AD9">
        <w:t xml:space="preserve"> other non-federal sources</w:t>
      </w:r>
      <w:r w:rsidRPr="003B4E48">
        <w:t>. PL funds can only be used for metropolitan planning activities that are outlined in the approved UPWP.</w:t>
      </w:r>
      <w:r w:rsidR="003A5256" w:rsidRPr="003A5256">
        <w:rPr>
          <w:rFonts w:cstheme="minorHAnsi"/>
          <w:noProof/>
          <w:szCs w:val="20"/>
        </w:rPr>
        <w:t xml:space="preserve"> </w:t>
      </w:r>
    </w:p>
    <w:p w14:paraId="493C7615" w14:textId="47263772" w:rsidR="003B4E48" w:rsidRPr="003B4E48" w:rsidRDefault="003B4E48" w:rsidP="00020D20">
      <w:pPr>
        <w:pStyle w:val="SubHeading3"/>
        <w:jc w:val="both"/>
      </w:pPr>
      <w:bookmarkStart w:id="406" w:name="_Ref50033362"/>
      <w:r w:rsidRPr="003B4E48">
        <w:t>State Planning and Research</w:t>
      </w:r>
      <w:bookmarkEnd w:id="406"/>
    </w:p>
    <w:p w14:paraId="28A68CE6" w14:textId="23AE0288" w:rsidR="00CD5371" w:rsidRDefault="003B4E48" w:rsidP="00020D20">
      <w:pPr>
        <w:pStyle w:val="NoSpacing"/>
        <w:tabs>
          <w:tab w:val="left" w:pos="180"/>
          <w:tab w:val="left" w:pos="360"/>
          <w:tab w:val="left" w:pos="540"/>
          <w:tab w:val="left" w:pos="720"/>
        </w:tabs>
        <w:spacing w:before="120" w:after="120" w:line="288" w:lineRule="auto"/>
        <w:jc w:val="both"/>
      </w:pPr>
      <w:r w:rsidRPr="003B4E48">
        <w:t>SPR funds are discretionary and typically administered by the state to carry out specific technical activities. ADOT receives SPR funds from FHWA and chooses to distribute some of these funds to Arizona’s MPOs and COGs to conduct transportation planning activities outlined in the WP. SPR funds require a 20 percent local match, which is provided by the local governments</w:t>
      </w:r>
      <w:r w:rsidR="00E71AD9">
        <w:t xml:space="preserve"> or other non-federal sources</w:t>
      </w:r>
      <w:r w:rsidRPr="003B4E48">
        <w:t>. SPR funds can be used only for planning or research. Construction, environmental clearance, design, and other non-planning activities are not allowed uses for thes</w:t>
      </w:r>
      <w:r>
        <w:t>e</w:t>
      </w:r>
      <w:r w:rsidRPr="003B4E48">
        <w:t xml:space="preserve"> funds</w:t>
      </w:r>
      <w:r w:rsidR="00037A0A" w:rsidRPr="003B4E48">
        <w:t>.</w:t>
      </w:r>
      <w:r w:rsidR="00037A0A">
        <w:t xml:space="preserve"> </w:t>
      </w:r>
    </w:p>
    <w:p w14:paraId="1523F814" w14:textId="65A3DD91" w:rsidR="00D36C32" w:rsidRDefault="00D36C32" w:rsidP="00020D20">
      <w:pPr>
        <w:pStyle w:val="NoSpacing"/>
        <w:tabs>
          <w:tab w:val="left" w:pos="180"/>
          <w:tab w:val="left" w:pos="360"/>
          <w:tab w:val="left" w:pos="540"/>
          <w:tab w:val="left" w:pos="720"/>
        </w:tabs>
        <w:spacing w:before="120" w:after="120" w:line="288" w:lineRule="auto"/>
        <w:jc w:val="both"/>
      </w:pPr>
      <w:r>
        <w:br w:type="column"/>
      </w:r>
      <w:r w:rsidR="00D41022">
        <w:t xml:space="preserve">The funding breakdown with match percentages </w:t>
      </w:r>
      <w:r w:rsidR="00F36CD2">
        <w:t xml:space="preserve">is shown in Table 10-2. </w:t>
      </w:r>
    </w:p>
    <w:p w14:paraId="210EDFB7" w14:textId="445608B9" w:rsidR="00F44F01" w:rsidRPr="00020D20" w:rsidRDefault="002D0F7D" w:rsidP="00020D20">
      <w:pPr>
        <w:pStyle w:val="Heading4"/>
        <w:jc w:val="both"/>
        <w:rPr>
          <w:rFonts w:asciiTheme="majorHAnsi" w:hAnsiTheme="majorHAnsi"/>
          <w:sz w:val="16"/>
        </w:rPr>
      </w:pPr>
      <w:r>
        <w:t>Table 10-2 | Funding Breakdown</w:t>
      </w:r>
    </w:p>
    <w:tbl>
      <w:tblPr>
        <w:tblW w:w="0" w:type="auto"/>
        <w:tblLook w:val="04A0" w:firstRow="1" w:lastRow="0" w:firstColumn="1" w:lastColumn="0" w:noHBand="0" w:noVBand="1"/>
      </w:tblPr>
      <w:tblGrid>
        <w:gridCol w:w="1705"/>
        <w:gridCol w:w="2605"/>
      </w:tblGrid>
      <w:tr w:rsidR="005C4FEA" w14:paraId="452BEE36" w14:textId="77777777" w:rsidTr="00020D20">
        <w:tc>
          <w:tcPr>
            <w:tcW w:w="1705" w:type="dxa"/>
            <w:tcBorders>
              <w:left w:val="single" w:sz="4" w:space="0" w:color="auto"/>
              <w:bottom w:val="single" w:sz="4" w:space="0" w:color="auto"/>
              <w:right w:val="single" w:sz="4" w:space="0" w:color="FFFFFF" w:themeColor="background1"/>
            </w:tcBorders>
            <w:shd w:val="clear" w:color="auto" w:fill="012768"/>
          </w:tcPr>
          <w:p w14:paraId="410B0B9C" w14:textId="5064AC04" w:rsidR="005C4FEA" w:rsidRPr="00F44F01" w:rsidRDefault="005B722B" w:rsidP="00020D20">
            <w:pPr>
              <w:pStyle w:val="NoSpacing"/>
              <w:jc w:val="center"/>
            </w:pPr>
            <w:r>
              <w:t>Funding Program</w:t>
            </w:r>
          </w:p>
        </w:tc>
        <w:tc>
          <w:tcPr>
            <w:tcW w:w="2605" w:type="dxa"/>
            <w:tcBorders>
              <w:top w:val="single" w:sz="4" w:space="0" w:color="auto"/>
              <w:left w:val="single" w:sz="4" w:space="0" w:color="FFFFFF" w:themeColor="background1"/>
              <w:bottom w:val="single" w:sz="4" w:space="0" w:color="auto"/>
              <w:right w:val="single" w:sz="4" w:space="0" w:color="auto"/>
            </w:tcBorders>
            <w:shd w:val="clear" w:color="auto" w:fill="012768"/>
          </w:tcPr>
          <w:p w14:paraId="5FC93610" w14:textId="2840C536" w:rsidR="005C4FEA" w:rsidRPr="00F44F01" w:rsidRDefault="005B722B" w:rsidP="00020D20">
            <w:pPr>
              <w:pStyle w:val="NoSpacing"/>
              <w:jc w:val="center"/>
            </w:pPr>
            <w:r>
              <w:t>Match Percentage</w:t>
            </w:r>
          </w:p>
        </w:tc>
      </w:tr>
      <w:tr w:rsidR="00F44F01" w14:paraId="30A6B292" w14:textId="77777777" w:rsidTr="00020D20">
        <w:tc>
          <w:tcPr>
            <w:tcW w:w="1705" w:type="dxa"/>
            <w:tcBorders>
              <w:top w:val="single" w:sz="4" w:space="0" w:color="auto"/>
              <w:left w:val="single" w:sz="4" w:space="0" w:color="auto"/>
              <w:bottom w:val="single" w:sz="4" w:space="0" w:color="auto"/>
              <w:right w:val="single" w:sz="4" w:space="0" w:color="auto"/>
            </w:tcBorders>
          </w:tcPr>
          <w:p w14:paraId="7E53FAE4" w14:textId="346E24FA" w:rsidR="00F44F01" w:rsidRPr="00020D20" w:rsidRDefault="00F44F01" w:rsidP="00020D20">
            <w:pPr>
              <w:pStyle w:val="NoSpacing"/>
              <w:jc w:val="center"/>
            </w:pPr>
            <w:r w:rsidRPr="00020D20">
              <w:t>PL</w:t>
            </w:r>
          </w:p>
        </w:tc>
        <w:tc>
          <w:tcPr>
            <w:tcW w:w="2605" w:type="dxa"/>
            <w:tcBorders>
              <w:top w:val="single" w:sz="4" w:space="0" w:color="auto"/>
              <w:left w:val="single" w:sz="4" w:space="0" w:color="auto"/>
              <w:bottom w:val="single" w:sz="4" w:space="0" w:color="auto"/>
              <w:right w:val="single" w:sz="4" w:space="0" w:color="auto"/>
            </w:tcBorders>
          </w:tcPr>
          <w:p w14:paraId="76CCFA2E" w14:textId="4A6E71B5" w:rsidR="00F44F01" w:rsidRPr="00020D20" w:rsidRDefault="00F44F01" w:rsidP="00020D20">
            <w:pPr>
              <w:pStyle w:val="NoSpacing"/>
              <w:jc w:val="center"/>
            </w:pPr>
            <w:r w:rsidRPr="00020D20">
              <w:t xml:space="preserve">5.7 percent </w:t>
            </w:r>
            <w:r w:rsidR="005C4FEA">
              <w:t>l</w:t>
            </w:r>
            <w:r w:rsidRPr="00020D20">
              <w:t xml:space="preserve">ocal </w:t>
            </w:r>
            <w:r w:rsidR="005C4FEA">
              <w:t>m</w:t>
            </w:r>
            <w:r w:rsidRPr="00020D20">
              <w:t>atch</w:t>
            </w:r>
          </w:p>
        </w:tc>
      </w:tr>
      <w:tr w:rsidR="00F44F01" w14:paraId="722FDC4C" w14:textId="77777777" w:rsidTr="00020D20">
        <w:tc>
          <w:tcPr>
            <w:tcW w:w="1705" w:type="dxa"/>
            <w:tcBorders>
              <w:top w:val="single" w:sz="4" w:space="0" w:color="auto"/>
              <w:left w:val="single" w:sz="4" w:space="0" w:color="auto"/>
              <w:bottom w:val="single" w:sz="4" w:space="0" w:color="auto"/>
              <w:right w:val="single" w:sz="4" w:space="0" w:color="auto"/>
            </w:tcBorders>
            <w:shd w:val="clear" w:color="auto" w:fill="E7E6E6" w:themeFill="background2"/>
          </w:tcPr>
          <w:p w14:paraId="061D4842" w14:textId="0E3A8BAA" w:rsidR="00F44F01" w:rsidRPr="00020D20" w:rsidRDefault="00F44F01" w:rsidP="00020D20">
            <w:pPr>
              <w:pStyle w:val="NoSpacing"/>
              <w:jc w:val="center"/>
            </w:pPr>
            <w:r>
              <w:t>SPR</w:t>
            </w:r>
          </w:p>
        </w:tc>
        <w:tc>
          <w:tcPr>
            <w:tcW w:w="2605" w:type="dxa"/>
            <w:tcBorders>
              <w:top w:val="single" w:sz="4" w:space="0" w:color="auto"/>
              <w:left w:val="single" w:sz="4" w:space="0" w:color="auto"/>
              <w:bottom w:val="single" w:sz="4" w:space="0" w:color="auto"/>
              <w:right w:val="single" w:sz="4" w:space="0" w:color="auto"/>
            </w:tcBorders>
            <w:shd w:val="clear" w:color="auto" w:fill="E7E6E6" w:themeFill="background2"/>
          </w:tcPr>
          <w:p w14:paraId="2C69CED0" w14:textId="1B146FA0" w:rsidR="00F44F01" w:rsidRPr="00020D20" w:rsidRDefault="00821DF7" w:rsidP="00020D20">
            <w:pPr>
              <w:pStyle w:val="NoSpacing"/>
              <w:jc w:val="center"/>
            </w:pPr>
            <w:r>
              <w:t xml:space="preserve">20 percent </w:t>
            </w:r>
            <w:r w:rsidR="005C4FEA">
              <w:t>l</w:t>
            </w:r>
            <w:r>
              <w:t xml:space="preserve">ocal </w:t>
            </w:r>
            <w:r w:rsidR="005C4FEA">
              <w:t>m</w:t>
            </w:r>
            <w:r>
              <w:t>atch</w:t>
            </w:r>
          </w:p>
        </w:tc>
      </w:tr>
      <w:tr w:rsidR="00F44F01" w14:paraId="46037EC9" w14:textId="77777777" w:rsidTr="00020D20">
        <w:tc>
          <w:tcPr>
            <w:tcW w:w="1705" w:type="dxa"/>
            <w:tcBorders>
              <w:top w:val="single" w:sz="4" w:space="0" w:color="auto"/>
              <w:left w:val="single" w:sz="4" w:space="0" w:color="auto"/>
              <w:bottom w:val="single" w:sz="4" w:space="0" w:color="auto"/>
              <w:right w:val="single" w:sz="4" w:space="0" w:color="auto"/>
            </w:tcBorders>
          </w:tcPr>
          <w:p w14:paraId="31234E8A" w14:textId="58CF9AF9" w:rsidR="00F44F01" w:rsidRPr="00020D20" w:rsidRDefault="00821DF7" w:rsidP="00020D20">
            <w:pPr>
              <w:pStyle w:val="NoSpacing"/>
              <w:jc w:val="center"/>
            </w:pPr>
            <w:r>
              <w:t>STBGP</w:t>
            </w:r>
          </w:p>
        </w:tc>
        <w:tc>
          <w:tcPr>
            <w:tcW w:w="2605" w:type="dxa"/>
            <w:tcBorders>
              <w:top w:val="single" w:sz="4" w:space="0" w:color="auto"/>
              <w:left w:val="single" w:sz="4" w:space="0" w:color="auto"/>
              <w:bottom w:val="single" w:sz="4" w:space="0" w:color="auto"/>
              <w:right w:val="single" w:sz="4" w:space="0" w:color="auto"/>
            </w:tcBorders>
          </w:tcPr>
          <w:p w14:paraId="3288D295" w14:textId="2FE7C2B2" w:rsidR="00F44F01" w:rsidRPr="00020D20" w:rsidRDefault="00821DF7" w:rsidP="00020D20">
            <w:pPr>
              <w:pStyle w:val="NoSpacing"/>
              <w:jc w:val="center"/>
            </w:pPr>
            <w:r>
              <w:t xml:space="preserve">5.7 percent </w:t>
            </w:r>
            <w:r w:rsidR="005C4FEA">
              <w:t>l</w:t>
            </w:r>
            <w:r w:rsidR="009B7F43">
              <w:t xml:space="preserve">ocal </w:t>
            </w:r>
            <w:r w:rsidR="005C4FEA">
              <w:t>m</w:t>
            </w:r>
            <w:r w:rsidR="009B7F43">
              <w:t>atch</w:t>
            </w:r>
          </w:p>
        </w:tc>
      </w:tr>
      <w:tr w:rsidR="00F44F01" w14:paraId="1780D5E6" w14:textId="77777777" w:rsidTr="00020D20">
        <w:tc>
          <w:tcPr>
            <w:tcW w:w="1705" w:type="dxa"/>
            <w:tcBorders>
              <w:top w:val="single" w:sz="4" w:space="0" w:color="auto"/>
              <w:left w:val="single" w:sz="4" w:space="0" w:color="auto"/>
              <w:bottom w:val="single" w:sz="4" w:space="0" w:color="auto"/>
              <w:right w:val="single" w:sz="4" w:space="0" w:color="auto"/>
            </w:tcBorders>
            <w:shd w:val="clear" w:color="auto" w:fill="E7E6E6" w:themeFill="background2"/>
          </w:tcPr>
          <w:p w14:paraId="0F23CB00" w14:textId="1CA32646" w:rsidR="00F44F01" w:rsidRPr="00020D20" w:rsidRDefault="009B7F43" w:rsidP="00020D20">
            <w:pPr>
              <w:pStyle w:val="NoSpacing"/>
              <w:jc w:val="center"/>
            </w:pPr>
            <w:r>
              <w:t>TA</w:t>
            </w:r>
          </w:p>
        </w:tc>
        <w:tc>
          <w:tcPr>
            <w:tcW w:w="2605" w:type="dxa"/>
            <w:tcBorders>
              <w:top w:val="single" w:sz="4" w:space="0" w:color="auto"/>
              <w:left w:val="single" w:sz="4" w:space="0" w:color="auto"/>
              <w:bottom w:val="single" w:sz="4" w:space="0" w:color="auto"/>
              <w:right w:val="single" w:sz="4" w:space="0" w:color="auto"/>
            </w:tcBorders>
            <w:shd w:val="clear" w:color="auto" w:fill="E7E6E6" w:themeFill="background2"/>
          </w:tcPr>
          <w:p w14:paraId="6B2F7AA4" w14:textId="386E34A5" w:rsidR="00F44F01" w:rsidRPr="00020D20" w:rsidRDefault="009B7F43" w:rsidP="00020D20">
            <w:pPr>
              <w:pStyle w:val="NoSpacing"/>
              <w:jc w:val="center"/>
            </w:pPr>
            <w:r>
              <w:t>5.7 percent local match</w:t>
            </w:r>
          </w:p>
        </w:tc>
      </w:tr>
      <w:tr w:rsidR="00F44F01" w14:paraId="7621F768" w14:textId="77777777" w:rsidTr="00020D20">
        <w:tc>
          <w:tcPr>
            <w:tcW w:w="1705" w:type="dxa"/>
            <w:tcBorders>
              <w:top w:val="single" w:sz="4" w:space="0" w:color="auto"/>
              <w:left w:val="single" w:sz="4" w:space="0" w:color="auto"/>
              <w:bottom w:val="single" w:sz="4" w:space="0" w:color="auto"/>
              <w:right w:val="single" w:sz="4" w:space="0" w:color="auto"/>
            </w:tcBorders>
          </w:tcPr>
          <w:p w14:paraId="449A96D2" w14:textId="469E72D7" w:rsidR="00F44F01" w:rsidRPr="00020D20" w:rsidRDefault="009B7F43" w:rsidP="00020D20">
            <w:pPr>
              <w:pStyle w:val="NoSpacing"/>
              <w:jc w:val="center"/>
            </w:pPr>
            <w:r>
              <w:t>CMAQ</w:t>
            </w:r>
          </w:p>
        </w:tc>
        <w:tc>
          <w:tcPr>
            <w:tcW w:w="2605" w:type="dxa"/>
            <w:tcBorders>
              <w:top w:val="single" w:sz="4" w:space="0" w:color="auto"/>
              <w:left w:val="single" w:sz="4" w:space="0" w:color="auto"/>
              <w:bottom w:val="single" w:sz="4" w:space="0" w:color="auto"/>
              <w:right w:val="single" w:sz="4" w:space="0" w:color="auto"/>
            </w:tcBorders>
          </w:tcPr>
          <w:p w14:paraId="7998CDF4" w14:textId="38C451FD" w:rsidR="00F44F01" w:rsidRPr="00020D20" w:rsidRDefault="009B7F43" w:rsidP="00020D20">
            <w:pPr>
              <w:pStyle w:val="NoSpacing"/>
              <w:jc w:val="center"/>
            </w:pPr>
            <w:r>
              <w:t>5.7 percent local match</w:t>
            </w:r>
          </w:p>
        </w:tc>
      </w:tr>
      <w:tr w:rsidR="00F44F01" w14:paraId="3C8464B3" w14:textId="77777777" w:rsidTr="00020D20">
        <w:tc>
          <w:tcPr>
            <w:tcW w:w="1705" w:type="dxa"/>
            <w:tcBorders>
              <w:top w:val="single" w:sz="4" w:space="0" w:color="auto"/>
              <w:left w:val="single" w:sz="4" w:space="0" w:color="auto"/>
              <w:bottom w:val="single" w:sz="4" w:space="0" w:color="auto"/>
              <w:right w:val="single" w:sz="4" w:space="0" w:color="auto"/>
            </w:tcBorders>
            <w:shd w:val="clear" w:color="auto" w:fill="E7E6E6" w:themeFill="background2"/>
          </w:tcPr>
          <w:p w14:paraId="101D5508" w14:textId="76D05EA7" w:rsidR="00F44F01" w:rsidRPr="00020D20" w:rsidRDefault="009B7F43" w:rsidP="00020D20">
            <w:pPr>
              <w:pStyle w:val="NoSpacing"/>
              <w:jc w:val="center"/>
            </w:pPr>
            <w:r>
              <w:t>FTA section 5303</w:t>
            </w:r>
          </w:p>
        </w:tc>
        <w:tc>
          <w:tcPr>
            <w:tcW w:w="2605" w:type="dxa"/>
            <w:tcBorders>
              <w:top w:val="single" w:sz="4" w:space="0" w:color="auto"/>
              <w:left w:val="single" w:sz="4" w:space="0" w:color="auto"/>
              <w:bottom w:val="single" w:sz="4" w:space="0" w:color="auto"/>
              <w:right w:val="single" w:sz="4" w:space="0" w:color="auto"/>
            </w:tcBorders>
            <w:shd w:val="clear" w:color="auto" w:fill="E7E6E6" w:themeFill="background2"/>
          </w:tcPr>
          <w:p w14:paraId="5053DE4F" w14:textId="6DE13F8C" w:rsidR="00F44F01" w:rsidRPr="00020D20" w:rsidRDefault="005C4FEA" w:rsidP="00020D20">
            <w:pPr>
              <w:pStyle w:val="NoSpacing"/>
              <w:jc w:val="center"/>
            </w:pPr>
            <w:r>
              <w:t>20 percent local match</w:t>
            </w:r>
          </w:p>
        </w:tc>
      </w:tr>
    </w:tbl>
    <w:p w14:paraId="77F153DC" w14:textId="13B20788" w:rsidR="003B4E48" w:rsidRDefault="00DB1E51" w:rsidP="00020D20">
      <w:pPr>
        <w:pStyle w:val="NoSpacing"/>
        <w:tabs>
          <w:tab w:val="left" w:pos="180"/>
          <w:tab w:val="left" w:pos="360"/>
          <w:tab w:val="left" w:pos="540"/>
          <w:tab w:val="left" w:pos="720"/>
        </w:tabs>
        <w:spacing w:before="120" w:after="120" w:line="288" w:lineRule="auto"/>
        <w:jc w:val="both"/>
      </w:pPr>
      <w:r>
        <w:rPr>
          <w:rFonts w:cstheme="minorHAnsi"/>
          <w:noProof/>
        </w:rPr>
        <mc:AlternateContent>
          <mc:Choice Requires="wps">
            <w:drawing>
              <wp:anchor distT="0" distB="0" distL="114300" distR="114300" simplePos="0" relativeHeight="251618341" behindDoc="1" locked="0" layoutInCell="1" allowOverlap="1" wp14:anchorId="0D699B09" wp14:editId="353C572D">
                <wp:simplePos x="0" y="0"/>
                <wp:positionH relativeFrom="column">
                  <wp:posOffset>-1876425</wp:posOffset>
                </wp:positionH>
                <wp:positionV relativeFrom="paragraph">
                  <wp:posOffset>1131570</wp:posOffset>
                </wp:positionV>
                <wp:extent cx="1229360" cy="1361440"/>
                <wp:effectExtent l="76200" t="95250" r="85090" b="86360"/>
                <wp:wrapTight wrapText="bothSides">
                  <wp:wrapPolygon edited="0">
                    <wp:start x="-1004" y="-1511"/>
                    <wp:lineTo x="-1339" y="-907"/>
                    <wp:lineTo x="-1339" y="22668"/>
                    <wp:lineTo x="22760" y="22668"/>
                    <wp:lineTo x="22760" y="3929"/>
                    <wp:lineTo x="22426" y="-604"/>
                    <wp:lineTo x="22426" y="-1511"/>
                    <wp:lineTo x="-1004" y="-1511"/>
                  </wp:wrapPolygon>
                </wp:wrapTight>
                <wp:docPr id="816286016" name="Text Box 816286016"/>
                <wp:cNvGraphicFramePr/>
                <a:graphic xmlns:a="http://schemas.openxmlformats.org/drawingml/2006/main">
                  <a:graphicData uri="http://schemas.microsoft.com/office/word/2010/wordprocessingShape">
                    <wps:wsp>
                      <wps:cNvSpPr txBox="1"/>
                      <wps:spPr>
                        <a:xfrm>
                          <a:off x="0" y="0"/>
                          <a:ext cx="1229360" cy="13614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8993D32" w14:textId="77777777" w:rsidR="00C6444C" w:rsidRDefault="00C6444C" w:rsidP="00020D20">
                            <w:pPr>
                              <w:jc w:val="center"/>
                            </w:pPr>
                            <w:r>
                              <w:rPr>
                                <w:noProof/>
                              </w:rPr>
                              <w:drawing>
                                <wp:inline distT="0" distB="0" distL="0" distR="0" wp14:anchorId="2A5CFE29" wp14:editId="4C8F2D0E">
                                  <wp:extent cx="457200" cy="457200"/>
                                  <wp:effectExtent l="0" t="0" r="0" b="0"/>
                                  <wp:docPr id="816286052" name="Picture 816286052"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1F78BA9" w14:textId="77777777" w:rsidR="00C6444C" w:rsidRPr="00977A9B" w:rsidRDefault="00C6444C" w:rsidP="00020D20">
                            <w:pPr>
                              <w:pStyle w:val="Calloutboxes"/>
                            </w:pPr>
                            <w:r w:rsidRPr="00394A74">
                              <w:t xml:space="preserve">Funding apportionments can be found on </w:t>
                            </w:r>
                            <w:r w:rsidRPr="00954116">
                              <w:t>F</w:t>
                            </w:r>
                            <w:r w:rsidRPr="0052715B">
                              <w:t>HWA</w:t>
                            </w:r>
                            <w:r w:rsidRPr="005A6734">
                              <w:t>’s website:</w:t>
                            </w:r>
                          </w:p>
                          <w:p w14:paraId="4E72D74F" w14:textId="0440213E" w:rsidR="00C6444C" w:rsidRPr="00086DD1" w:rsidRDefault="00202C92">
                            <w:pPr>
                              <w:pStyle w:val="Title"/>
                            </w:pPr>
                            <w:hyperlink r:id="rId661" w:history="1">
                              <w:r w:rsidR="00C6444C" w:rsidRPr="00347D6E">
                                <w:rPr>
                                  <w:rStyle w:val="Hyperlink"/>
                                  <w:rFonts w:asciiTheme="minorHAnsi" w:hAnsiTheme="minorHAnsi" w:cstheme="majorBidi"/>
                                  <w:i/>
                                  <w:iCs w:val="0"/>
                                  <w:color w:val="CE5B18"/>
                                  <w:u w:val="none"/>
                                </w:rPr>
                                <w:t>https://www.fhwa.dot.gov/map21/funding.cfm</w:t>
                              </w:r>
                            </w:hyperlink>
                          </w:p>
                          <w:p w14:paraId="26BAE025" w14:textId="77777777" w:rsidR="00C6444C" w:rsidRPr="006E25AB" w:rsidRDefault="00C6444C">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699B09" id="Text Box 816286016" o:spid="_x0000_s1176" type="#_x0000_t202" style="position:absolute;left:0;text-align:left;margin-left:-147.75pt;margin-top:89.1pt;width:96.8pt;height:107.2pt;z-index:-251698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" fillcolor="#f7f7f7" stroked="f" strokeweight=".5pt">
                <v:shadow on="t" type="perspective" color="black" opacity="26214f" offset="0,0" matrix="66847f,,,66847f"/>
                <v:textbox>
                  <w:txbxContent>
                    <w:p w14:paraId="78993D32" w14:textId="77777777" w:rsidR="00C6444C" w:rsidRDefault="00C6444C" w:rsidP="00020D20">
                      <w:pPr>
                        <w:jc w:val="center"/>
                      </w:pPr>
                      <w:r>
                        <w:rPr>
                          <w:noProof/>
                        </w:rPr>
                        <w:drawing>
                          <wp:inline distT="0" distB="0" distL="0" distR="0" wp14:anchorId="2A5CFE29" wp14:editId="4C8F2D0E">
                            <wp:extent cx="457200" cy="457200"/>
                            <wp:effectExtent l="0" t="0" r="0" b="0"/>
                            <wp:docPr id="816286052" name="Picture 816286052"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1F78BA9" w14:textId="77777777" w:rsidR="00C6444C" w:rsidRPr="00977A9B" w:rsidRDefault="00C6444C" w:rsidP="00020D20">
                      <w:pPr>
                        <w:pStyle w:val="Calloutboxes"/>
                      </w:pPr>
                      <w:r w:rsidRPr="00394A74">
                        <w:t xml:space="preserve">Funding apportionments can be found on </w:t>
                      </w:r>
                      <w:r w:rsidRPr="00954116">
                        <w:t>F</w:t>
                      </w:r>
                      <w:r w:rsidRPr="0052715B">
                        <w:t>HWA</w:t>
                      </w:r>
                      <w:r w:rsidRPr="005A6734">
                        <w:t>’s website:</w:t>
                      </w:r>
                    </w:p>
                    <w:p w14:paraId="4E72D74F" w14:textId="0440213E" w:rsidR="00C6444C" w:rsidRPr="00086DD1" w:rsidRDefault="00C6444C">
                      <w:pPr>
                        <w:pStyle w:val="Title"/>
                      </w:pPr>
                      <w:hyperlink r:id="rId662" w:history="1">
                        <w:r w:rsidRPr="00347D6E">
                          <w:rPr>
                            <w:rStyle w:val="Hyperlink"/>
                            <w:rFonts w:asciiTheme="minorHAnsi" w:hAnsiTheme="minorHAnsi" w:cstheme="majorBidi"/>
                            <w:i/>
                            <w:iCs w:val="0"/>
                            <w:color w:val="CE5B18"/>
                            <w:u w:val="none"/>
                          </w:rPr>
                          <w:t>https://www.fhwa.dot.gov/map21/funding.cfm</w:t>
                        </w:r>
                      </w:hyperlink>
                    </w:p>
                    <w:p w14:paraId="26BAE025" w14:textId="77777777" w:rsidR="00C6444C" w:rsidRPr="006E25AB" w:rsidRDefault="00C6444C">
                      <w:pPr>
                        <w:pStyle w:val="Title"/>
                      </w:pPr>
                    </w:p>
                  </w:txbxContent>
                </v:textbox>
                <w10:wrap type="tight"/>
              </v:shape>
            </w:pict>
          </mc:Fallback>
        </mc:AlternateContent>
      </w:r>
      <w:r w:rsidR="00924135">
        <w:rPr>
          <w:b/>
          <w:noProof/>
        </w:rPr>
        <mc:AlternateContent>
          <mc:Choice Requires="wpg">
            <w:drawing>
              <wp:anchor distT="0" distB="0" distL="114300" distR="114300" simplePos="0" relativeHeight="251618622" behindDoc="0" locked="0" layoutInCell="1" allowOverlap="1" wp14:anchorId="4C24A894" wp14:editId="66E92207">
                <wp:simplePos x="0" y="0"/>
                <wp:positionH relativeFrom="column">
                  <wp:posOffset>-27830</wp:posOffset>
                </wp:positionH>
                <wp:positionV relativeFrom="paragraph">
                  <wp:posOffset>537155</wp:posOffset>
                </wp:positionV>
                <wp:extent cx="2771775" cy="1791970"/>
                <wp:effectExtent l="95250" t="95250" r="104775" b="93980"/>
                <wp:wrapSquare wrapText="bothSides"/>
                <wp:docPr id="1690911806" name="Group 1690911806"/>
                <wp:cNvGraphicFramePr/>
                <a:graphic xmlns:a="http://schemas.openxmlformats.org/drawingml/2006/main">
                  <a:graphicData uri="http://schemas.microsoft.com/office/word/2010/wordprocessingGroup">
                    <wpg:wgp>
                      <wpg:cNvGrpSpPr/>
                      <wpg:grpSpPr>
                        <a:xfrm>
                          <a:off x="0" y="0"/>
                          <a:ext cx="2771775" cy="1791970"/>
                          <a:chOff x="0" y="0"/>
                          <a:chExt cx="2771775" cy="1791970"/>
                        </a:xfrm>
                      </wpg:grpSpPr>
                      <wps:wsp>
                        <wps:cNvPr id="816286062" name="Text Box 816286062"/>
                        <wps:cNvSpPr txBox="1"/>
                        <wps:spPr>
                          <a:xfrm>
                            <a:off x="0" y="0"/>
                            <a:ext cx="2771775" cy="179197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2D8476A6" w14:textId="77777777" w:rsidTr="00020D20">
                                <w:trPr>
                                  <w:trHeight w:val="542"/>
                                </w:trPr>
                                <w:tc>
                                  <w:tcPr>
                                    <w:tcW w:w="3394" w:type="dxa"/>
                                    <w:shd w:val="clear" w:color="auto" w:fill="auto"/>
                                  </w:tcPr>
                                  <w:p w14:paraId="77616751" w14:textId="77777777" w:rsidR="00C6444C" w:rsidRPr="00020D20" w:rsidRDefault="00C6444C">
                                    <w:pPr>
                                      <w:pStyle w:val="Calloutboxes"/>
                                      <w:rPr>
                                        <w:color w:val="012768"/>
                                      </w:rPr>
                                    </w:pPr>
                                  </w:p>
                                </w:tc>
                                <w:tc>
                                  <w:tcPr>
                                    <w:tcW w:w="1106" w:type="dxa"/>
                                    <w:shd w:val="clear" w:color="auto" w:fill="auto"/>
                                  </w:tcPr>
                                  <w:p w14:paraId="6EC598D1" w14:textId="77777777" w:rsidR="00C6444C" w:rsidRPr="00020D20" w:rsidRDefault="00C6444C" w:rsidP="00D30138">
                                    <w:pPr>
                                      <w:pStyle w:val="Calloutboxes"/>
                                      <w:jc w:val="left"/>
                                      <w:rPr>
                                        <w:color w:val="FFFFFF" w:themeColor="background1"/>
                                        <w:sz w:val="24"/>
                                        <w:szCs w:val="24"/>
                                      </w:rPr>
                                    </w:pPr>
                                  </w:p>
                                </w:tc>
                              </w:tr>
                              <w:tr w:rsidR="00C6444C" w14:paraId="3FA5AB6B" w14:textId="77777777" w:rsidTr="00020D20">
                                <w:trPr>
                                  <w:trHeight w:val="534"/>
                                </w:trPr>
                                <w:tc>
                                  <w:tcPr>
                                    <w:tcW w:w="3394" w:type="dxa"/>
                                    <w:vAlign w:val="center"/>
                                  </w:tcPr>
                                  <w:p w14:paraId="4DC8875C" w14:textId="1D72DF05" w:rsidR="00C6444C" w:rsidRDefault="00C6444C" w:rsidP="00347D6E">
                                    <w:pPr>
                                      <w:pStyle w:val="Calloutboxes"/>
                                      <w:jc w:val="left"/>
                                    </w:pPr>
                                    <w:r>
                                      <w:t>SPR formula: $100,000 divided by .80</w:t>
                                    </w:r>
                                  </w:p>
                                </w:tc>
                                <w:tc>
                                  <w:tcPr>
                                    <w:tcW w:w="1106" w:type="dxa"/>
                                    <w:vAlign w:val="center"/>
                                  </w:tcPr>
                                  <w:p w14:paraId="20FDB216" w14:textId="393E1B95" w:rsidR="00C6444C" w:rsidRPr="00D30138" w:rsidRDefault="00C6444C">
                                    <w:pPr>
                                      <w:pStyle w:val="Calloutboxes"/>
                                      <w:jc w:val="left"/>
                                    </w:pPr>
                                    <w:r>
                                      <w:t>=$125,000</w:t>
                                    </w:r>
                                  </w:p>
                                </w:tc>
                              </w:tr>
                              <w:tr w:rsidR="00C6444C" w14:paraId="24777038" w14:textId="77777777" w:rsidTr="00020D20">
                                <w:trPr>
                                  <w:trHeight w:val="543"/>
                                </w:trPr>
                                <w:tc>
                                  <w:tcPr>
                                    <w:tcW w:w="3394" w:type="dxa"/>
                                    <w:vAlign w:val="center"/>
                                  </w:tcPr>
                                  <w:p w14:paraId="51ADEEE7" w14:textId="74289504" w:rsidR="00C6444C" w:rsidRDefault="00C6444C" w:rsidP="00347D6E">
                                    <w:pPr>
                                      <w:pStyle w:val="Calloutboxes"/>
                                      <w:jc w:val="left"/>
                                    </w:pPr>
                                    <w:r>
                                      <w:t>Match amount: $125,000 multiplied by .20</w:t>
                                    </w:r>
                                  </w:p>
                                </w:tc>
                                <w:tc>
                                  <w:tcPr>
                                    <w:tcW w:w="1106" w:type="dxa"/>
                                    <w:vAlign w:val="center"/>
                                  </w:tcPr>
                                  <w:p w14:paraId="18B2F541" w14:textId="66A9E878" w:rsidR="00C6444C" w:rsidRPr="00D30138" w:rsidRDefault="00C6444C">
                                    <w:pPr>
                                      <w:pStyle w:val="Calloutboxes"/>
                                      <w:jc w:val="left"/>
                                    </w:pPr>
                                    <w:r>
                                      <w:t>=$25,000</w:t>
                                    </w:r>
                                  </w:p>
                                </w:tc>
                              </w:tr>
                              <w:tr w:rsidR="00C6444C" w14:paraId="282598FB" w14:textId="77777777" w:rsidTr="00020D20">
                                <w:trPr>
                                  <w:trHeight w:val="534"/>
                                </w:trPr>
                                <w:tc>
                                  <w:tcPr>
                                    <w:tcW w:w="3394" w:type="dxa"/>
                                    <w:vAlign w:val="center"/>
                                  </w:tcPr>
                                  <w:p w14:paraId="1518D143" w14:textId="60DC3D38" w:rsidR="00C6444C" w:rsidRDefault="00C6444C" w:rsidP="00347D6E">
                                    <w:pPr>
                                      <w:pStyle w:val="Calloutboxes"/>
                                      <w:jc w:val="left"/>
                                    </w:pPr>
                                    <w:r>
                                      <w:t>PL formula: $100,000 divided by .943</w:t>
                                    </w:r>
                                  </w:p>
                                </w:tc>
                                <w:tc>
                                  <w:tcPr>
                                    <w:tcW w:w="1106" w:type="dxa"/>
                                    <w:vAlign w:val="center"/>
                                  </w:tcPr>
                                  <w:p w14:paraId="7420C4AA" w14:textId="16055AE6" w:rsidR="00C6444C" w:rsidRPr="00D30138" w:rsidRDefault="00C6444C">
                                    <w:pPr>
                                      <w:pStyle w:val="Calloutboxes"/>
                                      <w:jc w:val="left"/>
                                    </w:pPr>
                                    <w:r>
                                      <w:t>=$106,044.54</w:t>
                                    </w:r>
                                  </w:p>
                                </w:tc>
                              </w:tr>
                              <w:tr w:rsidR="00C6444C" w14:paraId="4B628285" w14:textId="77777777" w:rsidTr="00020D20">
                                <w:trPr>
                                  <w:trHeight w:val="543"/>
                                </w:trPr>
                                <w:tc>
                                  <w:tcPr>
                                    <w:tcW w:w="3394" w:type="dxa"/>
                                    <w:vAlign w:val="center"/>
                                  </w:tcPr>
                                  <w:p w14:paraId="456AAC53" w14:textId="5987F26E" w:rsidR="00C6444C" w:rsidRDefault="00C6444C" w:rsidP="00347D6E">
                                    <w:pPr>
                                      <w:pStyle w:val="Calloutboxes"/>
                                      <w:jc w:val="left"/>
                                    </w:pPr>
                                    <w:r>
                                      <w:t>Match amount: $106,044.54 multiplied by .057</w:t>
                                    </w:r>
                                  </w:p>
                                </w:tc>
                                <w:tc>
                                  <w:tcPr>
                                    <w:tcW w:w="1106" w:type="dxa"/>
                                    <w:vAlign w:val="center"/>
                                  </w:tcPr>
                                  <w:p w14:paraId="2861CF82" w14:textId="3DA69462" w:rsidR="00C6444C" w:rsidRPr="00D30138" w:rsidRDefault="00C6444C">
                                    <w:pPr>
                                      <w:pStyle w:val="Calloutboxes"/>
                                      <w:jc w:val="left"/>
                                    </w:pPr>
                                    <w:r>
                                      <w:t>=$6,044.54</w:t>
                                    </w:r>
                                  </w:p>
                                </w:tc>
                              </w:tr>
                            </w:tbl>
                            <w:p w14:paraId="08A5FA46"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063" name="Group 816286063"/>
                        <wpg:cNvGrpSpPr/>
                        <wpg:grpSpPr>
                          <a:xfrm>
                            <a:off x="0" y="0"/>
                            <a:ext cx="2771775" cy="377825"/>
                            <a:chOff x="11875" y="29688"/>
                            <a:chExt cx="2772410" cy="403237"/>
                          </a:xfrm>
                        </wpg:grpSpPr>
                        <wps:wsp>
                          <wps:cNvPr id="816286064" name="Rectangle 816286064"/>
                          <wps:cNvSpPr/>
                          <wps:spPr>
                            <a:xfrm>
                              <a:off x="11875" y="29688"/>
                              <a:ext cx="2772410" cy="403237"/>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066" name="Text Box 816286066"/>
                          <wps:cNvSpPr txBox="1"/>
                          <wps:spPr>
                            <a:xfrm>
                              <a:off x="65323" y="29700"/>
                              <a:ext cx="2714509" cy="403225"/>
                            </a:xfrm>
                            <a:prstGeom prst="rect">
                              <a:avLst/>
                            </a:prstGeom>
                            <a:noFill/>
                            <a:ln w="6350">
                              <a:noFill/>
                            </a:ln>
                            <a:effectLst/>
                          </wps:spPr>
                          <wps:txbx>
                            <w:txbxContent>
                              <w:p w14:paraId="262AFA1E" w14:textId="4446BC67" w:rsidR="00C6444C" w:rsidRPr="00020D20" w:rsidRDefault="00C6444C" w:rsidP="00020D20">
                                <w:pPr>
                                  <w:jc w:val="center"/>
                                  <w:rPr>
                                    <w:b/>
                                    <w:color w:val="FFFFFF" w:themeColor="background1"/>
                                  </w:rPr>
                                </w:pPr>
                                <w:r w:rsidRPr="00020D20">
                                  <w:rPr>
                                    <w:b/>
                                    <w:color w:val="FFFFFF" w:themeColor="background1"/>
                                  </w:rPr>
                                  <w:t>Based on $100,000 in Federal Funds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C24A894" id="Group 1690911806" o:spid="_x0000_s1177" style="position:absolute;left:0;text-align:left;margin-left:-2.2pt;margin-top:42.3pt;width:218.25pt;height:141.1pt;z-index:251618622" coordsize="27717,17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">
                <v:shape id="Text Box 816286062" o:spid="_x0000_s1178" type="#_x0000_t202" style="position:absolute;width:27717;height:17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2D8476A6" w14:textId="77777777" w:rsidTr="00020D20">
                          <w:trPr>
                            <w:trHeight w:val="542"/>
                          </w:trPr>
                          <w:tc>
                            <w:tcPr>
                              <w:tcW w:w="3394" w:type="dxa"/>
                              <w:shd w:val="clear" w:color="auto" w:fill="auto"/>
                            </w:tcPr>
                            <w:p w14:paraId="77616751" w14:textId="77777777" w:rsidR="00C6444C" w:rsidRPr="00020D20" w:rsidRDefault="00C6444C">
                              <w:pPr>
                                <w:pStyle w:val="Calloutboxes"/>
                                <w:rPr>
                                  <w:color w:val="012768"/>
                                </w:rPr>
                              </w:pPr>
                            </w:p>
                          </w:tc>
                          <w:tc>
                            <w:tcPr>
                              <w:tcW w:w="1106" w:type="dxa"/>
                              <w:shd w:val="clear" w:color="auto" w:fill="auto"/>
                            </w:tcPr>
                            <w:p w14:paraId="6EC598D1" w14:textId="77777777" w:rsidR="00C6444C" w:rsidRPr="00020D20" w:rsidRDefault="00C6444C" w:rsidP="00D30138">
                              <w:pPr>
                                <w:pStyle w:val="Calloutboxes"/>
                                <w:jc w:val="left"/>
                                <w:rPr>
                                  <w:color w:val="FFFFFF" w:themeColor="background1"/>
                                  <w:sz w:val="24"/>
                                  <w:szCs w:val="24"/>
                                </w:rPr>
                              </w:pPr>
                            </w:p>
                          </w:tc>
                        </w:tr>
                        <w:tr w:rsidR="00C6444C" w14:paraId="3FA5AB6B" w14:textId="77777777" w:rsidTr="00020D20">
                          <w:trPr>
                            <w:trHeight w:val="534"/>
                          </w:trPr>
                          <w:tc>
                            <w:tcPr>
                              <w:tcW w:w="3394" w:type="dxa"/>
                              <w:vAlign w:val="center"/>
                            </w:tcPr>
                            <w:p w14:paraId="4DC8875C" w14:textId="1D72DF05" w:rsidR="00C6444C" w:rsidRDefault="00C6444C" w:rsidP="00347D6E">
                              <w:pPr>
                                <w:pStyle w:val="Calloutboxes"/>
                                <w:jc w:val="left"/>
                              </w:pPr>
                              <w:r>
                                <w:t>SPR formula: $100,000 divided by .80</w:t>
                              </w:r>
                            </w:p>
                          </w:tc>
                          <w:tc>
                            <w:tcPr>
                              <w:tcW w:w="1106" w:type="dxa"/>
                              <w:vAlign w:val="center"/>
                            </w:tcPr>
                            <w:p w14:paraId="20FDB216" w14:textId="393E1B95" w:rsidR="00C6444C" w:rsidRPr="00D30138" w:rsidRDefault="00C6444C">
                              <w:pPr>
                                <w:pStyle w:val="Calloutboxes"/>
                                <w:jc w:val="left"/>
                              </w:pPr>
                              <w:r>
                                <w:t>=$125,000</w:t>
                              </w:r>
                            </w:p>
                          </w:tc>
                        </w:tr>
                        <w:tr w:rsidR="00C6444C" w14:paraId="24777038" w14:textId="77777777" w:rsidTr="00020D20">
                          <w:trPr>
                            <w:trHeight w:val="543"/>
                          </w:trPr>
                          <w:tc>
                            <w:tcPr>
                              <w:tcW w:w="3394" w:type="dxa"/>
                              <w:vAlign w:val="center"/>
                            </w:tcPr>
                            <w:p w14:paraId="51ADEEE7" w14:textId="74289504" w:rsidR="00C6444C" w:rsidRDefault="00C6444C" w:rsidP="00347D6E">
                              <w:pPr>
                                <w:pStyle w:val="Calloutboxes"/>
                                <w:jc w:val="left"/>
                              </w:pPr>
                              <w:r>
                                <w:t>Match amount: $125,000 multiplied by .20</w:t>
                              </w:r>
                            </w:p>
                          </w:tc>
                          <w:tc>
                            <w:tcPr>
                              <w:tcW w:w="1106" w:type="dxa"/>
                              <w:vAlign w:val="center"/>
                            </w:tcPr>
                            <w:p w14:paraId="18B2F541" w14:textId="66A9E878" w:rsidR="00C6444C" w:rsidRPr="00D30138" w:rsidRDefault="00C6444C">
                              <w:pPr>
                                <w:pStyle w:val="Calloutboxes"/>
                                <w:jc w:val="left"/>
                              </w:pPr>
                              <w:r>
                                <w:t>=$25,000</w:t>
                              </w:r>
                            </w:p>
                          </w:tc>
                        </w:tr>
                        <w:tr w:rsidR="00C6444C" w14:paraId="282598FB" w14:textId="77777777" w:rsidTr="00020D20">
                          <w:trPr>
                            <w:trHeight w:val="534"/>
                          </w:trPr>
                          <w:tc>
                            <w:tcPr>
                              <w:tcW w:w="3394" w:type="dxa"/>
                              <w:vAlign w:val="center"/>
                            </w:tcPr>
                            <w:p w14:paraId="1518D143" w14:textId="60DC3D38" w:rsidR="00C6444C" w:rsidRDefault="00C6444C" w:rsidP="00347D6E">
                              <w:pPr>
                                <w:pStyle w:val="Calloutboxes"/>
                                <w:jc w:val="left"/>
                              </w:pPr>
                              <w:r>
                                <w:t>PL formula: $100,000 divided by .943</w:t>
                              </w:r>
                            </w:p>
                          </w:tc>
                          <w:tc>
                            <w:tcPr>
                              <w:tcW w:w="1106" w:type="dxa"/>
                              <w:vAlign w:val="center"/>
                            </w:tcPr>
                            <w:p w14:paraId="7420C4AA" w14:textId="16055AE6" w:rsidR="00C6444C" w:rsidRPr="00D30138" w:rsidRDefault="00C6444C">
                              <w:pPr>
                                <w:pStyle w:val="Calloutboxes"/>
                                <w:jc w:val="left"/>
                              </w:pPr>
                              <w:r>
                                <w:t>=$106,044.54</w:t>
                              </w:r>
                            </w:p>
                          </w:tc>
                        </w:tr>
                        <w:tr w:rsidR="00C6444C" w14:paraId="4B628285" w14:textId="77777777" w:rsidTr="00020D20">
                          <w:trPr>
                            <w:trHeight w:val="543"/>
                          </w:trPr>
                          <w:tc>
                            <w:tcPr>
                              <w:tcW w:w="3394" w:type="dxa"/>
                              <w:vAlign w:val="center"/>
                            </w:tcPr>
                            <w:p w14:paraId="456AAC53" w14:textId="5987F26E" w:rsidR="00C6444C" w:rsidRDefault="00C6444C" w:rsidP="00347D6E">
                              <w:pPr>
                                <w:pStyle w:val="Calloutboxes"/>
                                <w:jc w:val="left"/>
                              </w:pPr>
                              <w:r>
                                <w:t>Match amount: $106,044.54 multiplied by .057</w:t>
                              </w:r>
                            </w:p>
                          </w:tc>
                          <w:tc>
                            <w:tcPr>
                              <w:tcW w:w="1106" w:type="dxa"/>
                              <w:vAlign w:val="center"/>
                            </w:tcPr>
                            <w:p w14:paraId="2861CF82" w14:textId="3DA69462" w:rsidR="00C6444C" w:rsidRPr="00D30138" w:rsidRDefault="00C6444C">
                              <w:pPr>
                                <w:pStyle w:val="Calloutboxes"/>
                                <w:jc w:val="left"/>
                              </w:pPr>
                              <w:r>
                                <w:t>=$6,044.54</w:t>
                              </w:r>
                            </w:p>
                          </w:tc>
                        </w:tr>
                      </w:tbl>
                      <w:p w14:paraId="08A5FA46" w14:textId="77777777" w:rsidR="00C6444C" w:rsidRPr="00347D6E" w:rsidRDefault="00C6444C" w:rsidP="00020D20"/>
                    </w:txbxContent>
                  </v:textbox>
                </v:shape>
                <v:group id="Group 816286063" o:spid="_x0000_s1179" style="position:absolute;width:27717;height:3778" coordorigin="118,296" coordsize="27724,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">
                  <v:rect id="Rectangle 816286064" o:spid="_x0000_s1180" style="position:absolute;left:118;top:296;width:27724;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" fillcolor="#012768" strokecolor="#1f4d78 [1604]" strokeweight="1pt"/>
                  <v:shape id="Text Box 816286066" o:spid="_x0000_s1181" type="#_x0000_t202" style="position:absolute;left:653;top:297;width:27145;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" filled="f" stroked="f" strokeweight=".5pt">
                    <v:textbox>
                      <w:txbxContent>
                        <w:p w14:paraId="262AFA1E" w14:textId="4446BC67" w:rsidR="00C6444C" w:rsidRPr="00020D20" w:rsidRDefault="00C6444C" w:rsidP="00020D20">
                          <w:pPr>
                            <w:jc w:val="center"/>
                            <w:rPr>
                              <w:b/>
                              <w:color w:val="FFFFFF" w:themeColor="background1"/>
                            </w:rPr>
                          </w:pPr>
                          <w:r w:rsidRPr="00020D20">
                            <w:rPr>
                              <w:b/>
                              <w:color w:val="FFFFFF" w:themeColor="background1"/>
                            </w:rPr>
                            <w:t>Based on $100,000 in Federal Funds</w:t>
                          </w:r>
                        </w:p>
                      </w:txbxContent>
                    </v:textbox>
                  </v:shape>
                </v:group>
                <w10:wrap type="square"/>
              </v:group>
            </w:pict>
          </mc:Fallback>
        </mc:AlternateContent>
      </w:r>
      <w:r w:rsidR="003B4E48" w:rsidRPr="003B4E48">
        <w:t>Examples of these matching funds formulas for Arizona are shown below.</w:t>
      </w:r>
    </w:p>
    <w:p w14:paraId="23AFD08C" w14:textId="0039DA77" w:rsidR="00D36C32" w:rsidRDefault="004469E2">
      <w:pPr>
        <w:jc w:val="both"/>
      </w:pPr>
      <w:r w:rsidRPr="00020D20">
        <w:rPr>
          <w:i/>
          <w:noProof/>
          <w:color w:val="CE5B18"/>
        </w:rPr>
        <mc:AlternateContent>
          <mc:Choice Requires="wps">
            <w:drawing>
              <wp:anchor distT="0" distB="0" distL="114300" distR="114300" simplePos="0" relativeHeight="251618342" behindDoc="1" locked="0" layoutInCell="1" allowOverlap="1" wp14:anchorId="727818FE" wp14:editId="18CB47BA">
                <wp:simplePos x="0" y="0"/>
                <wp:positionH relativeFrom="column">
                  <wp:posOffset>1490345</wp:posOffset>
                </wp:positionH>
                <wp:positionV relativeFrom="paragraph">
                  <wp:posOffset>2147128</wp:posOffset>
                </wp:positionV>
                <wp:extent cx="1254125" cy="1361440"/>
                <wp:effectExtent l="76200" t="95250" r="79375" b="86360"/>
                <wp:wrapTight wrapText="bothSides">
                  <wp:wrapPolygon edited="0">
                    <wp:start x="-984" y="-1511"/>
                    <wp:lineTo x="-1312" y="-907"/>
                    <wp:lineTo x="-1312" y="22668"/>
                    <wp:lineTo x="22639" y="22668"/>
                    <wp:lineTo x="22639" y="3929"/>
                    <wp:lineTo x="22311" y="-604"/>
                    <wp:lineTo x="22311" y="-1511"/>
                    <wp:lineTo x="-984" y="-1511"/>
                  </wp:wrapPolygon>
                </wp:wrapTight>
                <wp:docPr id="816286038" name="Text Box 816286038"/>
                <wp:cNvGraphicFramePr/>
                <a:graphic xmlns:a="http://schemas.openxmlformats.org/drawingml/2006/main">
                  <a:graphicData uri="http://schemas.microsoft.com/office/word/2010/wordprocessingShape">
                    <wps:wsp>
                      <wps:cNvSpPr txBox="1"/>
                      <wps:spPr>
                        <a:xfrm>
                          <a:off x="0" y="0"/>
                          <a:ext cx="1254125" cy="13614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D4E4842" w14:textId="77777777" w:rsidR="00C6444C" w:rsidRDefault="00C6444C" w:rsidP="00020D20">
                            <w:pPr>
                              <w:jc w:val="center"/>
                            </w:pPr>
                            <w:r>
                              <w:rPr>
                                <w:noProof/>
                              </w:rPr>
                              <w:drawing>
                                <wp:inline distT="0" distB="0" distL="0" distR="0" wp14:anchorId="6616C20C" wp14:editId="121F2393">
                                  <wp:extent cx="457200" cy="457200"/>
                                  <wp:effectExtent l="0" t="0" r="0" b="0"/>
                                  <wp:docPr id="816286053" name="Picture 816286053"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F36BA83" w14:textId="07482CF2" w:rsidR="00C6444C" w:rsidRPr="00394A74" w:rsidRDefault="00C6444C" w:rsidP="00020D20">
                            <w:pPr>
                              <w:pStyle w:val="Calloutboxes"/>
                            </w:pPr>
                            <w:r w:rsidRPr="00394A74">
                              <w:t>Federal funding matches vary by fund type:</w:t>
                            </w:r>
                          </w:p>
                          <w:p w14:paraId="608E362B" w14:textId="3C7E9EE4" w:rsidR="00C6444C" w:rsidRPr="00020D20" w:rsidRDefault="00202C92">
                            <w:pPr>
                              <w:pStyle w:val="Title"/>
                              <w:rPr>
                                <w:sz w:val="16"/>
                                <w:szCs w:val="16"/>
                              </w:rPr>
                            </w:pPr>
                            <w:hyperlink r:id="rId663" w:anchor="9b" w:history="1">
                              <w:r w:rsidR="00C6444C" w:rsidRPr="00020D20">
                                <w:rPr>
                                  <w:rStyle w:val="Hyperlink"/>
                                  <w:rFonts w:ascii="Calibri" w:hAnsi="Calibri" w:cstheme="majorBidi"/>
                                  <w:i/>
                                  <w:iCs w:val="0"/>
                                  <w:color w:val="CE5B18"/>
                                  <w:u w:val="none"/>
                                </w:rPr>
                                <w:t>https://www.fhwa.dot.gov/policy/olsp/financingfederalaid/apph.cfm#9b</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7818FE" id="Text Box 816286038" o:spid="_x0000_s1182" type="#_x0000_t202" style="position:absolute;left:0;text-align:left;margin-left:117.35pt;margin-top:169.05pt;width:98.75pt;height:107.2pt;z-index:-251698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" fillcolor="#f7f7f7" stroked="f" strokeweight=".5pt">
                <v:shadow on="t" type="perspective" color="black" opacity="26214f" offset="0,0" matrix="66847f,,,66847f"/>
                <v:textbox>
                  <w:txbxContent>
                    <w:p w14:paraId="0D4E4842" w14:textId="77777777" w:rsidR="00C6444C" w:rsidRDefault="00C6444C" w:rsidP="00020D20">
                      <w:pPr>
                        <w:jc w:val="center"/>
                      </w:pPr>
                      <w:r>
                        <w:rPr>
                          <w:noProof/>
                        </w:rPr>
                        <w:drawing>
                          <wp:inline distT="0" distB="0" distL="0" distR="0" wp14:anchorId="6616C20C" wp14:editId="121F2393">
                            <wp:extent cx="457200" cy="457200"/>
                            <wp:effectExtent l="0" t="0" r="0" b="0"/>
                            <wp:docPr id="816286053" name="Picture 816286053"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F36BA83" w14:textId="07482CF2" w:rsidR="00C6444C" w:rsidRPr="00394A74" w:rsidRDefault="00C6444C" w:rsidP="00020D20">
                      <w:pPr>
                        <w:pStyle w:val="Calloutboxes"/>
                      </w:pPr>
                      <w:r w:rsidRPr="00394A74">
                        <w:t>Federal funding matches vary by fund type:</w:t>
                      </w:r>
                    </w:p>
                    <w:p w14:paraId="608E362B" w14:textId="3C7E9EE4" w:rsidR="00C6444C" w:rsidRPr="00020D20" w:rsidRDefault="00C6444C">
                      <w:pPr>
                        <w:pStyle w:val="Title"/>
                        <w:rPr>
                          <w:sz w:val="16"/>
                          <w:szCs w:val="16"/>
                        </w:rPr>
                      </w:pPr>
                      <w:hyperlink r:id="rId664" w:history="1">
                        <w:r w:rsidRPr="00020D20">
                          <w:rPr>
                            <w:rStyle w:val="Hyperlink"/>
                            <w:rFonts w:ascii="Calibri" w:hAnsi="Calibri" w:cstheme="majorBidi"/>
                            <w:i/>
                            <w:iCs w:val="0"/>
                            <w:color w:val="CE5B18"/>
                            <w:u w:val="none"/>
                          </w:rPr>
                          <w:t>https://www.fhwa.dot.gov/policy/olsp/financingfederalaid/apph.cfm#9b</w:t>
                        </w:r>
                      </w:hyperlink>
                    </w:p>
                  </w:txbxContent>
                </v:textbox>
                <w10:wrap type="tight"/>
              </v:shape>
            </w:pict>
          </mc:Fallback>
        </mc:AlternateContent>
      </w:r>
      <w:hyperlink r:id="rId665" w:history="1">
        <w:r w:rsidR="003B4E48" w:rsidRPr="00020D20">
          <w:rPr>
            <w:i/>
            <w:color w:val="CE5B18"/>
          </w:rPr>
          <w:t>49 U.S.C. § 5303</w:t>
        </w:r>
      </w:hyperlink>
      <w:r w:rsidR="003B4E48" w:rsidRPr="00876961">
        <w:t xml:space="preserve"> </w:t>
      </w:r>
      <w:r w:rsidR="003B4E48" w:rsidRPr="001E4049">
        <w:t>transit funds are used for transit p</w:t>
      </w:r>
      <w:r w:rsidR="003B4E48" w:rsidRPr="00B609E9">
        <w:t>anning purposes. Use of these Section 5303 funds is earmarked for planning and tech</w:t>
      </w:r>
      <w:r w:rsidR="003B4E48" w:rsidRPr="007A54BA">
        <w:t>nical studies related to urban mass transportation. They are distributed by the FTA through ADOT to the MPOs and COGs within the state. The funds require a 20 percent local match, which is provided by the local governments.</w:t>
      </w:r>
      <w:r w:rsidR="00D36C32">
        <w:br w:type="page"/>
      </w:r>
    </w:p>
    <w:p w14:paraId="16DF87AB" w14:textId="60992479" w:rsidR="00D62117" w:rsidRDefault="00860129" w:rsidP="00020D20">
      <w:pPr>
        <w:pStyle w:val="SubHeading3"/>
        <w:jc w:val="both"/>
      </w:pPr>
      <w:bookmarkStart w:id="407" w:name="_Ref50101027"/>
      <w:r>
        <w:t>In</w:t>
      </w:r>
      <w:r w:rsidR="00F8735F">
        <w:t>-Kind Match</w:t>
      </w:r>
      <w:bookmarkEnd w:id="407"/>
    </w:p>
    <w:p w14:paraId="47B018C1" w14:textId="77777777" w:rsidR="00A35215" w:rsidRDefault="007B696F" w:rsidP="00020D20">
      <w:pPr>
        <w:jc w:val="both"/>
      </w:pPr>
      <w:r>
        <w:t>The following clarifies which types of third parties may contribute towards in-kind match for FHWA Federal Aid-funded (PL, SPR, STBG) projects and programs.</w:t>
      </w:r>
    </w:p>
    <w:p w14:paraId="31821D44" w14:textId="293DECBF" w:rsidR="00D554A8" w:rsidRDefault="007B696F" w:rsidP="00020D20">
      <w:pPr>
        <w:jc w:val="both"/>
      </w:pPr>
      <w:r>
        <w:t xml:space="preserve">The below definitions are taken from the 2019 </w:t>
      </w:r>
      <w:hyperlink r:id="rId666" w:history="1">
        <w:r w:rsidRPr="00020D20">
          <w:rPr>
            <w:rStyle w:val="TitleChar"/>
          </w:rPr>
          <w:t>FHWA Federal-Aid Guidance Non-Federal Matching Memo:</w:t>
        </w:r>
      </w:hyperlink>
      <w:r w:rsidR="00CD1ACF">
        <w:t xml:space="preserve"> </w:t>
      </w:r>
    </w:p>
    <w:p w14:paraId="047E5390" w14:textId="77777777" w:rsidR="00D554A8" w:rsidRDefault="00CD1ACF" w:rsidP="00020D20">
      <w:pPr>
        <w:jc w:val="both"/>
      </w:pPr>
      <w:r>
        <w:rPr>
          <w:b/>
          <w:bCs/>
        </w:rPr>
        <w:t>Third party</w:t>
      </w:r>
      <w:r w:rsidR="00D554A8">
        <w:t xml:space="preserve"> </w:t>
      </w:r>
      <w:r>
        <w:t>– A third party is an entity (other than a recipient, subrecipient, or Federal agency) that is not party to a Federal-aid project agreement, but who may derive a benefit associated with the completion of the project. As a recipient, a State cannot be considered a third party.</w:t>
      </w:r>
    </w:p>
    <w:p w14:paraId="6D6A08F6" w14:textId="059CD124" w:rsidR="003E1881" w:rsidRDefault="00CD1ACF" w:rsidP="00020D20">
      <w:pPr>
        <w:jc w:val="both"/>
      </w:pPr>
      <w:r>
        <w:rPr>
          <w:b/>
          <w:bCs/>
        </w:rPr>
        <w:t>Third Party In-kind Contribution</w:t>
      </w:r>
      <w:r w:rsidR="00D554A8">
        <w:t xml:space="preserve"> - </w:t>
      </w:r>
      <w:r>
        <w:t>The value of non-cash contributions (i.e., property or services) that—(a) Benefits a federally assisted project or program; and (b) Are contributed by non-Federal third parties, without charge, to a non-Federal entity under a Federal award</w:t>
      </w:r>
      <w:r w:rsidR="00AE359B">
        <w:t xml:space="preserve"> (</w:t>
      </w:r>
      <w:hyperlink r:id="rId667" w:history="1">
        <w:r w:rsidRPr="00020D20">
          <w:rPr>
            <w:rStyle w:val="TitleChar"/>
          </w:rPr>
          <w:t xml:space="preserve">2 </w:t>
        </w:r>
        <w:r w:rsidR="009628C0">
          <w:rPr>
            <w:rStyle w:val="TitleChar"/>
          </w:rPr>
          <w:t xml:space="preserve">C.F.R. </w:t>
        </w:r>
        <w:r w:rsidRPr="00020D20">
          <w:rPr>
            <w:rStyle w:val="TitleChar"/>
          </w:rPr>
          <w:t>200.96</w:t>
        </w:r>
      </w:hyperlink>
      <w:r w:rsidR="00AE359B">
        <w:t>).</w:t>
      </w:r>
    </w:p>
    <w:p w14:paraId="5C7C0B04" w14:textId="20FB8D57" w:rsidR="00CD1ACF" w:rsidRDefault="00CD1ACF" w:rsidP="00020D20">
      <w:pPr>
        <w:jc w:val="both"/>
      </w:pPr>
      <w:r>
        <w:t>ADOT and the FHWA Arizona Division, after collaboration with other FHWA Division offices, offer the following clarification regarding which third parties are allowed to be counted towards FHWA in-kind match.</w:t>
      </w:r>
    </w:p>
    <w:p w14:paraId="2A847698" w14:textId="6C0FFBF6" w:rsidR="003E1881" w:rsidRPr="00020D20" w:rsidRDefault="003E1881" w:rsidP="00020D20">
      <w:pPr>
        <w:jc w:val="both"/>
        <w:rPr>
          <w:b/>
        </w:rPr>
      </w:pPr>
      <w:r w:rsidRPr="00020D20">
        <w:rPr>
          <w:b/>
        </w:rPr>
        <w:t>Eligible Third</w:t>
      </w:r>
      <w:r w:rsidR="002D0B39">
        <w:rPr>
          <w:b/>
        </w:rPr>
        <w:t>-</w:t>
      </w:r>
      <w:r w:rsidRPr="00020D20">
        <w:rPr>
          <w:b/>
        </w:rPr>
        <w:t xml:space="preserve">Party In-Kind Match Contributors: </w:t>
      </w:r>
    </w:p>
    <w:p w14:paraId="299F1B39" w14:textId="6DC5A894" w:rsidR="003E1881" w:rsidRPr="000F230E" w:rsidRDefault="00513EDF" w:rsidP="00020D20">
      <w:pPr>
        <w:pStyle w:val="Body-Bullets"/>
        <w:jc w:val="both"/>
      </w:pPr>
      <w:r w:rsidRPr="001E4049">
        <w:t xml:space="preserve"> Tribal Government Representatives</w:t>
      </w:r>
    </w:p>
    <w:p w14:paraId="7653F4FE" w14:textId="3C41FAD0" w:rsidR="00513EDF" w:rsidRPr="004F4454" w:rsidRDefault="00513EDF" w:rsidP="00020D20">
      <w:pPr>
        <w:pStyle w:val="Body-Bullets"/>
        <w:jc w:val="both"/>
      </w:pPr>
      <w:r w:rsidRPr="004F4454">
        <w:t xml:space="preserve"> Local Public Agency</w:t>
      </w:r>
      <w:r w:rsidR="00394A74" w:rsidRPr="004F4454">
        <w:t xml:space="preserve"> </w:t>
      </w:r>
      <w:r w:rsidRPr="004F4454">
        <w:t>Representatives</w:t>
      </w:r>
      <w:r w:rsidR="006110AD">
        <w:t xml:space="preserve"> (including elected officials)</w:t>
      </w:r>
    </w:p>
    <w:p w14:paraId="3E231FBE" w14:textId="19E0A00B" w:rsidR="00513EDF" w:rsidRPr="004F4454" w:rsidRDefault="00513EDF" w:rsidP="00020D20">
      <w:pPr>
        <w:pStyle w:val="Body-Bullets"/>
        <w:jc w:val="both"/>
      </w:pPr>
      <w:r w:rsidRPr="004F4454">
        <w:t xml:space="preserve"> Guest Speakers (such as a University Professor</w:t>
      </w:r>
      <w:r w:rsidR="001426A4" w:rsidRPr="004F4454">
        <w:t>)</w:t>
      </w:r>
    </w:p>
    <w:p w14:paraId="12F8C712" w14:textId="4A3FCD83" w:rsidR="001426A4" w:rsidRDefault="00F24BDB" w:rsidP="00020D20">
      <w:pPr>
        <w:jc w:val="both"/>
      </w:pPr>
      <w:r>
        <w:t>Eligible third</w:t>
      </w:r>
      <w:r w:rsidR="002D0B39">
        <w:t>-</w:t>
      </w:r>
      <w:r>
        <w:t xml:space="preserve">party contribution could only count towards </w:t>
      </w:r>
      <w:r w:rsidR="002F277B">
        <w:t>in-kind match when it is necessary and eligible, meaning such participation:</w:t>
      </w:r>
    </w:p>
    <w:p w14:paraId="281255A5" w14:textId="42E3F1F2" w:rsidR="002F277B" w:rsidRDefault="002F277B" w:rsidP="00020D20">
      <w:pPr>
        <w:pStyle w:val="Body-Bullets"/>
        <w:jc w:val="both"/>
      </w:pPr>
      <w:r>
        <w:t>Bene</w:t>
      </w:r>
      <w:r w:rsidR="00677507">
        <w:t>f</w:t>
      </w:r>
      <w:r>
        <w:t xml:space="preserve">its a federally assisted project or program; and </w:t>
      </w:r>
    </w:p>
    <w:p w14:paraId="257044D1" w14:textId="0CBBED2A" w:rsidR="005538D3" w:rsidRDefault="00C324F7" w:rsidP="00020D20">
      <w:pPr>
        <w:pStyle w:val="Body-Bullets"/>
        <w:jc w:val="both"/>
      </w:pPr>
      <w:r>
        <w:t xml:space="preserve">Are contributed by non-Federal third parties, without charge, to a non-Federal entity under a Federal award </w:t>
      </w:r>
      <w:r w:rsidR="00AE359B">
        <w:t>(</w:t>
      </w:r>
      <w:hyperlink r:id="rId668" w:history="1">
        <w:r w:rsidRPr="00020D20">
          <w:rPr>
            <w:rStyle w:val="TitleChar"/>
          </w:rPr>
          <w:t xml:space="preserve">2 </w:t>
        </w:r>
        <w:r w:rsidR="009628C0">
          <w:rPr>
            <w:rStyle w:val="TitleChar"/>
          </w:rPr>
          <w:t xml:space="preserve">C.F.R. </w:t>
        </w:r>
        <w:r w:rsidRPr="00020D20">
          <w:rPr>
            <w:rStyle w:val="TitleChar"/>
          </w:rPr>
          <w:t>200.96</w:t>
        </w:r>
      </w:hyperlink>
      <w:r w:rsidR="00AE359B">
        <w:t>).</w:t>
      </w:r>
    </w:p>
    <w:p w14:paraId="176D2D02" w14:textId="20861E2E" w:rsidR="005538D3" w:rsidRDefault="005538D3" w:rsidP="00020D20">
      <w:pPr>
        <w:ind w:left="180"/>
        <w:jc w:val="both"/>
      </w:pPr>
      <w:r>
        <w:t>Ineligible Third</w:t>
      </w:r>
      <w:r w:rsidR="002D0B39">
        <w:t>-</w:t>
      </w:r>
      <w:r>
        <w:t>Party In-Kind Match Participants:</w:t>
      </w:r>
    </w:p>
    <w:p w14:paraId="648F430A" w14:textId="0A0DD058" w:rsidR="005538D3" w:rsidRDefault="005538D3" w:rsidP="00020D20">
      <w:pPr>
        <w:pStyle w:val="Body-Bullets"/>
        <w:jc w:val="both"/>
      </w:pPr>
      <w:r>
        <w:t xml:space="preserve"> Public P</w:t>
      </w:r>
      <w:r w:rsidR="008F3494">
        <w:t>articipants</w:t>
      </w:r>
    </w:p>
    <w:p w14:paraId="31D59790" w14:textId="4EFE82CE" w:rsidR="008F3494" w:rsidRDefault="008F3494" w:rsidP="00020D20">
      <w:pPr>
        <w:pStyle w:val="Body-Bullets"/>
        <w:jc w:val="both"/>
      </w:pPr>
      <w:r>
        <w:t xml:space="preserve"> Rural Transportation Advocacy </w:t>
      </w:r>
      <w:r w:rsidR="001E3732">
        <w:t>Council (RTAC) Participants</w:t>
      </w:r>
    </w:p>
    <w:p w14:paraId="6BA28F70" w14:textId="7CF92B1E" w:rsidR="00E71AD9" w:rsidRDefault="001E3732" w:rsidP="00020D20">
      <w:pPr>
        <w:pStyle w:val="Body-Bullets"/>
        <w:jc w:val="both"/>
      </w:pPr>
      <w:r>
        <w:t xml:space="preserve"> ADOT or FHWA Participants</w:t>
      </w:r>
    </w:p>
    <w:p w14:paraId="51AD5C15" w14:textId="2001F1C8" w:rsidR="00EF1362" w:rsidRDefault="00EF1362" w:rsidP="00020D20">
      <w:pPr>
        <w:pStyle w:val="Body-Bullets"/>
        <w:jc w:val="both"/>
      </w:pPr>
      <w:r>
        <w:t xml:space="preserve"> COG, MPO, or TMA Staff Participants</w:t>
      </w:r>
    </w:p>
    <w:p w14:paraId="05A5407B" w14:textId="4D569F4C" w:rsidR="00F65787" w:rsidRPr="00020D20" w:rsidRDefault="00F65787" w:rsidP="00020D20">
      <w:pPr>
        <w:pStyle w:val="Body-Bullets"/>
        <w:jc w:val="both"/>
        <w:rPr>
          <w:i/>
        </w:rPr>
      </w:pPr>
      <w:r w:rsidRPr="00020D20">
        <w:rPr>
          <w:i/>
          <w:vertAlign w:val="superscript"/>
        </w:rPr>
        <w:t>1</w:t>
      </w:r>
      <w:r>
        <w:rPr>
          <w:i/>
        </w:rPr>
        <w:t>Consultant Participants (if under federal aid contract or not directly contributing)</w:t>
      </w:r>
    </w:p>
    <w:p w14:paraId="21F81640" w14:textId="36ED83B6" w:rsidR="00F65787" w:rsidRDefault="00F65787" w:rsidP="00020D20">
      <w:pPr>
        <w:jc w:val="both"/>
      </w:pPr>
      <w:r>
        <w:rPr>
          <w:i/>
          <w:vertAlign w:val="superscript"/>
        </w:rPr>
        <w:t>1</w:t>
      </w:r>
      <w:r>
        <w:rPr>
          <w:i/>
        </w:rPr>
        <w:t>Consultant Participants</w:t>
      </w:r>
      <w:r w:rsidR="002A7EDE">
        <w:t>: If a consultant is hired as a contract employee to represent an eligible third party, such participation could count towards in-kind match.</w:t>
      </w:r>
      <w:r>
        <w:t xml:space="preserve"> If a consultant is requested to present on a topic that directly relates to Work Program activities and is not under an active federal aid contract, specific to the topic being presented, such participation could count towards in-kind match.</w:t>
      </w:r>
      <w:r w:rsidR="002A7EDE">
        <w:t xml:space="preserve"> Under all other circumstances, consultant participation would be ineligible to count towards in-kind match.</w:t>
      </w:r>
    </w:p>
    <w:p w14:paraId="5E076707" w14:textId="50E2ACEA" w:rsidR="00EF1362" w:rsidRDefault="008804F9" w:rsidP="00020D20">
      <w:pPr>
        <w:jc w:val="both"/>
      </w:pPr>
      <w:r>
        <w:t>It should be noted that participants on the above ineligible list are still encouraged to participate in COG and MPO activit</w:t>
      </w:r>
      <w:r w:rsidR="0068338B">
        <w:t>i</w:t>
      </w:r>
      <w:r>
        <w:t>es, but such participation cannot be counted towards in-kind match. The above guidance should be applied to all FHWA Federal Aid reimbursement requests (</w:t>
      </w:r>
      <w:r w:rsidR="00AE359B">
        <w:t xml:space="preserve">or </w:t>
      </w:r>
      <w:r>
        <w:t xml:space="preserve">invoices). </w:t>
      </w:r>
    </w:p>
    <w:p w14:paraId="14DA9491" w14:textId="23107802" w:rsidR="008804F9" w:rsidRDefault="008804F9" w:rsidP="00020D20">
      <w:pPr>
        <w:jc w:val="both"/>
      </w:pPr>
      <w:r>
        <w:t xml:space="preserve">For additional guidance, refer to </w:t>
      </w:r>
      <w:hyperlink r:id="rId669" w:history="1">
        <w:r w:rsidRPr="00020D20">
          <w:rPr>
            <w:rStyle w:val="TitleChar"/>
          </w:rPr>
          <w:t xml:space="preserve">2 </w:t>
        </w:r>
        <w:r w:rsidR="009628C0">
          <w:rPr>
            <w:rStyle w:val="TitleChar"/>
          </w:rPr>
          <w:t xml:space="preserve">C.F.R. </w:t>
        </w:r>
        <w:r w:rsidR="0068338B" w:rsidRPr="00020D20">
          <w:rPr>
            <w:rStyle w:val="TitleChar"/>
          </w:rPr>
          <w:t>§ 200.306</w:t>
        </w:r>
      </w:hyperlink>
      <w:r w:rsidR="0068338B">
        <w:t xml:space="preserve"> – Cost sharing or matching (subparts e-f).</w:t>
      </w:r>
    </w:p>
    <w:p w14:paraId="2CC3E531" w14:textId="0F336C32" w:rsidR="002F2E23" w:rsidRDefault="00607B34" w:rsidP="00020D20">
      <w:pPr>
        <w:jc w:val="both"/>
        <w:rPr>
          <w:b/>
        </w:rPr>
      </w:pPr>
      <w:r w:rsidRPr="00020D20">
        <w:rPr>
          <w:b/>
        </w:rPr>
        <w:t>Funding Eligibility</w:t>
      </w:r>
    </w:p>
    <w:p w14:paraId="2CAA0C75" w14:textId="77250989" w:rsidR="00DA180C" w:rsidRDefault="00345A66" w:rsidP="00020D20">
      <w:pPr>
        <w:jc w:val="both"/>
      </w:pPr>
      <w:r>
        <w:t>The following lists</w:t>
      </w:r>
      <w:r w:rsidR="00DA180C">
        <w:t xml:space="preserve"> identif</w:t>
      </w:r>
      <w:r>
        <w:t>y</w:t>
      </w:r>
      <w:r w:rsidR="00DA180C">
        <w:t xml:space="preserve"> eligible funding activities by FHWA funding</w:t>
      </w:r>
      <w:r w:rsidR="008E2E83">
        <w:t xml:space="preserve"> activities by FHWA funding program. For more information regarding PL funding eligibility, please review </w:t>
      </w:r>
      <w:hyperlink r:id="rId670" w:history="1">
        <w:r w:rsidR="008E2E83" w:rsidRPr="00020D20">
          <w:rPr>
            <w:rStyle w:val="TitleChar"/>
          </w:rPr>
          <w:t>23 U</w:t>
        </w:r>
        <w:r w:rsidR="008307F4">
          <w:rPr>
            <w:rStyle w:val="TitleChar"/>
          </w:rPr>
          <w:t>.</w:t>
        </w:r>
        <w:r w:rsidR="008E2E83" w:rsidRPr="00020D20">
          <w:rPr>
            <w:rStyle w:val="TitleChar"/>
          </w:rPr>
          <w:t>S</w:t>
        </w:r>
        <w:r w:rsidR="008307F4">
          <w:rPr>
            <w:rStyle w:val="TitleChar"/>
          </w:rPr>
          <w:t>.</w:t>
        </w:r>
        <w:r w:rsidR="008E2E83" w:rsidRPr="00020D20">
          <w:rPr>
            <w:rStyle w:val="TitleChar"/>
          </w:rPr>
          <w:t>C</w:t>
        </w:r>
        <w:r w:rsidR="008307F4">
          <w:rPr>
            <w:rStyle w:val="TitleChar"/>
          </w:rPr>
          <w:t>.</w:t>
        </w:r>
        <w:r w:rsidR="008E2E83" w:rsidRPr="00020D20">
          <w:rPr>
            <w:rStyle w:val="TitleChar"/>
          </w:rPr>
          <w:t xml:space="preserve"> 104</w:t>
        </w:r>
      </w:hyperlink>
      <w:r w:rsidR="008E2E83" w:rsidRPr="00020D20">
        <w:rPr>
          <w:rStyle w:val="TitleChar"/>
        </w:rPr>
        <w:t xml:space="preserve"> </w:t>
      </w:r>
      <w:r w:rsidR="008E2E83">
        <w:t xml:space="preserve">and </w:t>
      </w:r>
      <w:hyperlink r:id="rId671" w:history="1">
        <w:r w:rsidR="008E2E83" w:rsidRPr="00020D20">
          <w:rPr>
            <w:rStyle w:val="TitleChar"/>
          </w:rPr>
          <w:t>134</w:t>
        </w:r>
      </w:hyperlink>
      <w:r w:rsidR="008E2E83">
        <w:t xml:space="preserve"> and</w:t>
      </w:r>
      <w:hyperlink r:id="rId672" w:history="1">
        <w:r w:rsidR="008E2E83" w:rsidRPr="00020D20">
          <w:rPr>
            <w:rStyle w:val="TitleChar"/>
          </w:rPr>
          <w:t xml:space="preserve"> 23 </w:t>
        </w:r>
        <w:r w:rsidR="009628C0">
          <w:rPr>
            <w:rStyle w:val="TitleChar"/>
          </w:rPr>
          <w:t xml:space="preserve">C.F.R. </w:t>
        </w:r>
        <w:r w:rsidR="008E2E83" w:rsidRPr="00020D20">
          <w:rPr>
            <w:rStyle w:val="TitleChar"/>
          </w:rPr>
          <w:t>420</w:t>
        </w:r>
      </w:hyperlink>
      <w:r w:rsidR="008E2E83" w:rsidRPr="00020D20">
        <w:rPr>
          <w:rStyle w:val="TitleChar"/>
        </w:rPr>
        <w:t xml:space="preserve"> </w:t>
      </w:r>
      <w:r w:rsidR="008E2E83">
        <w:t xml:space="preserve">and </w:t>
      </w:r>
      <w:hyperlink r:id="rId673" w:history="1">
        <w:r w:rsidR="008E2E83" w:rsidRPr="00020D20">
          <w:rPr>
            <w:rStyle w:val="TitleChar"/>
          </w:rPr>
          <w:t>450</w:t>
        </w:r>
      </w:hyperlink>
      <w:r w:rsidR="0014692B">
        <w:t xml:space="preserve">. For SPR eligibility, refer to </w:t>
      </w:r>
      <w:hyperlink r:id="rId674" w:history="1">
        <w:r w:rsidR="0014692B" w:rsidRPr="00020D20">
          <w:rPr>
            <w:rStyle w:val="TitleChar"/>
          </w:rPr>
          <w:t>23 U</w:t>
        </w:r>
        <w:r w:rsidR="008307F4">
          <w:rPr>
            <w:rStyle w:val="TitleChar"/>
          </w:rPr>
          <w:t>.</w:t>
        </w:r>
        <w:r w:rsidR="0014692B" w:rsidRPr="00020D20">
          <w:rPr>
            <w:rStyle w:val="TitleChar"/>
          </w:rPr>
          <w:t>S</w:t>
        </w:r>
        <w:r w:rsidR="008307F4">
          <w:rPr>
            <w:rStyle w:val="TitleChar"/>
          </w:rPr>
          <w:t>.</w:t>
        </w:r>
        <w:r w:rsidR="0014692B" w:rsidRPr="00020D20">
          <w:rPr>
            <w:rStyle w:val="TitleChar"/>
          </w:rPr>
          <w:t>C</w:t>
        </w:r>
        <w:r w:rsidR="008307F4">
          <w:rPr>
            <w:rStyle w:val="TitleChar"/>
          </w:rPr>
          <w:t>.</w:t>
        </w:r>
        <w:r w:rsidR="0014692B" w:rsidRPr="00020D20">
          <w:rPr>
            <w:rStyle w:val="TitleChar"/>
          </w:rPr>
          <w:t xml:space="preserve"> 505</w:t>
        </w:r>
      </w:hyperlink>
      <w:r w:rsidR="0014692B">
        <w:t xml:space="preserve">. For STBG eligibility, refer to </w:t>
      </w:r>
      <w:hyperlink r:id="rId675" w:history="1">
        <w:r w:rsidR="0014692B" w:rsidRPr="00020D20">
          <w:rPr>
            <w:rStyle w:val="TitleChar"/>
          </w:rPr>
          <w:t>23 U</w:t>
        </w:r>
        <w:r w:rsidR="008307F4">
          <w:rPr>
            <w:rStyle w:val="TitleChar"/>
          </w:rPr>
          <w:t>.</w:t>
        </w:r>
        <w:r w:rsidR="0014692B" w:rsidRPr="00020D20">
          <w:rPr>
            <w:rStyle w:val="TitleChar"/>
          </w:rPr>
          <w:t>S</w:t>
        </w:r>
        <w:r w:rsidR="008307F4">
          <w:rPr>
            <w:rStyle w:val="TitleChar"/>
          </w:rPr>
          <w:t>.</w:t>
        </w:r>
        <w:r w:rsidR="0014692B" w:rsidRPr="00020D20">
          <w:rPr>
            <w:rStyle w:val="TitleChar"/>
          </w:rPr>
          <w:t>C</w:t>
        </w:r>
        <w:r w:rsidR="008307F4">
          <w:rPr>
            <w:rStyle w:val="TitleChar"/>
          </w:rPr>
          <w:t>.</w:t>
        </w:r>
        <w:r w:rsidR="0014692B" w:rsidRPr="00020D20">
          <w:rPr>
            <w:rStyle w:val="TitleChar"/>
          </w:rPr>
          <w:t xml:space="preserve"> 133</w:t>
        </w:r>
      </w:hyperlink>
      <w:r w:rsidR="0014692B">
        <w:t>.</w:t>
      </w:r>
    </w:p>
    <w:p w14:paraId="4D0B6F00" w14:textId="39FB63F7" w:rsidR="00B859F4" w:rsidRPr="00020D20" w:rsidRDefault="00B859F4" w:rsidP="00020D20">
      <w:pPr>
        <w:jc w:val="both"/>
        <w:rPr>
          <w:b/>
        </w:rPr>
      </w:pPr>
      <w:r w:rsidRPr="00020D20">
        <w:rPr>
          <w:b/>
        </w:rPr>
        <w:t>Metropolitan Planning (PL) Eligibility</w:t>
      </w:r>
    </w:p>
    <w:p w14:paraId="4CC88402" w14:textId="4F19BB01" w:rsidR="00A35215" w:rsidRDefault="00BC3A2B" w:rsidP="00020D20">
      <w:pPr>
        <w:pStyle w:val="Body-Bullets"/>
        <w:jc w:val="both"/>
      </w:pPr>
      <w:r w:rsidRPr="00BC3A2B">
        <w:t xml:space="preserve">Activities associated with carrying out the metropolitan transportation planning process required by </w:t>
      </w:r>
      <w:hyperlink r:id="rId676" w:history="1">
        <w:r w:rsidRPr="00020D20">
          <w:rPr>
            <w:rStyle w:val="TitleChar"/>
          </w:rPr>
          <w:t>23</w:t>
        </w:r>
        <w:r w:rsidR="00D91004" w:rsidRPr="00020D20">
          <w:rPr>
            <w:rStyle w:val="TitleChar"/>
          </w:rPr>
          <w:t xml:space="preserve"> </w:t>
        </w:r>
        <w:r w:rsidRPr="00020D20">
          <w:rPr>
            <w:rStyle w:val="TitleChar"/>
          </w:rPr>
          <w:t>U</w:t>
        </w:r>
        <w:r w:rsidR="008307F4">
          <w:rPr>
            <w:rStyle w:val="TitleChar"/>
          </w:rPr>
          <w:t>.</w:t>
        </w:r>
        <w:r w:rsidRPr="00020D20">
          <w:rPr>
            <w:rStyle w:val="TitleChar"/>
          </w:rPr>
          <w:t>S</w:t>
        </w:r>
        <w:r w:rsidR="008307F4">
          <w:rPr>
            <w:rStyle w:val="TitleChar"/>
          </w:rPr>
          <w:t>.</w:t>
        </w:r>
        <w:r w:rsidRPr="00020D20">
          <w:rPr>
            <w:rStyle w:val="TitleChar"/>
          </w:rPr>
          <w:t>C</w:t>
        </w:r>
        <w:r w:rsidR="008307F4">
          <w:rPr>
            <w:rStyle w:val="TitleChar"/>
          </w:rPr>
          <w:t>.</w:t>
        </w:r>
        <w:r w:rsidR="00D91004" w:rsidRPr="00020D20">
          <w:rPr>
            <w:rStyle w:val="TitleChar"/>
          </w:rPr>
          <w:t xml:space="preserve"> </w:t>
        </w:r>
        <w:r w:rsidRPr="00020D20">
          <w:rPr>
            <w:rStyle w:val="TitleChar"/>
          </w:rPr>
          <w:t>134</w:t>
        </w:r>
      </w:hyperlink>
    </w:p>
    <w:p w14:paraId="4B1C7166" w14:textId="15CF6414" w:rsidR="00BC3A2B" w:rsidRDefault="00BC3A2B" w:rsidP="00020D20">
      <w:pPr>
        <w:pStyle w:val="Body-Bullets"/>
        <w:jc w:val="both"/>
      </w:pPr>
      <w:r w:rsidRPr="00BC3A2B">
        <w:t>Activities associated with the development of metropolitan area transportation plans and transportation improvement programs</w:t>
      </w:r>
    </w:p>
    <w:p w14:paraId="3F9D6916" w14:textId="67AAFC1D" w:rsidR="00BC3A2B" w:rsidRDefault="00BC3A2B" w:rsidP="00020D20">
      <w:pPr>
        <w:pStyle w:val="Body-Bullets"/>
        <w:jc w:val="both"/>
      </w:pPr>
      <w:r w:rsidRPr="00BC3A2B">
        <w:t>Conducting inventories of existing routes to determine physical condition and capacity</w:t>
      </w:r>
    </w:p>
    <w:p w14:paraId="2FF1D495" w14:textId="320A2147" w:rsidR="00BC3A2B" w:rsidRDefault="00BC3A2B" w:rsidP="00020D20">
      <w:pPr>
        <w:pStyle w:val="Body-Bullets"/>
        <w:jc w:val="both"/>
      </w:pPr>
      <w:r w:rsidRPr="00BC3A2B">
        <w:t>Determining the types and volumes of vehicles using these routes</w:t>
      </w:r>
    </w:p>
    <w:p w14:paraId="66596FA7" w14:textId="0A8010C1" w:rsidR="00BC3A2B" w:rsidRDefault="00BC3A2B" w:rsidP="00020D20">
      <w:pPr>
        <w:pStyle w:val="Body-Bullets"/>
        <w:jc w:val="both"/>
      </w:pPr>
      <w:r w:rsidRPr="00BC3A2B">
        <w:t>Predicting the level and location of future population, and economic growth, and using such information to determine current and future transportation needs</w:t>
      </w:r>
    </w:p>
    <w:p w14:paraId="5AA5A7E6" w14:textId="535F5CFA" w:rsidR="00BC3A2B" w:rsidRDefault="00345A66" w:rsidP="00020D20">
      <w:pPr>
        <w:pStyle w:val="Body-Bullets"/>
        <w:jc w:val="both"/>
      </w:pPr>
      <w:r w:rsidRPr="00345A66">
        <w:t>Predicting the level and location of future employment</w:t>
      </w:r>
    </w:p>
    <w:p w14:paraId="7F9F961E" w14:textId="3A7A7391" w:rsidR="00345A66" w:rsidRDefault="00345A66" w:rsidP="00020D20">
      <w:pPr>
        <w:pStyle w:val="Body-Bullets"/>
        <w:jc w:val="both"/>
      </w:pPr>
      <w:r w:rsidRPr="00345A66">
        <w:t>Developing, in</w:t>
      </w:r>
      <w:r>
        <w:t xml:space="preserve"> cooperation with the State and </w:t>
      </w:r>
      <w:r w:rsidRPr="00345A66">
        <w:t>affected transit operators, a long-range transportation plan (*LRTP) and transportation improvement program (**TIP) for the area</w:t>
      </w:r>
    </w:p>
    <w:p w14:paraId="509C2BC4" w14:textId="77777777" w:rsidR="00345A66" w:rsidRDefault="00345A66" w:rsidP="00020D20">
      <w:pPr>
        <w:pStyle w:val="Body-Bullets"/>
        <w:jc w:val="both"/>
      </w:pPr>
      <w:r>
        <w:t>*Both the LRTP and TIP must be fiscally constrained.</w:t>
      </w:r>
    </w:p>
    <w:p w14:paraId="2D4CBE6B" w14:textId="30980549" w:rsidR="00345A66" w:rsidRDefault="00345A66" w:rsidP="00020D20">
      <w:pPr>
        <w:pStyle w:val="Body-Bullets"/>
        <w:jc w:val="both"/>
      </w:pPr>
      <w:r>
        <w:t>**The TIP also must be prioritized, and consistent with the transportation plan, and must include all projects in the metropolitan area that are proposed for funding with either Title 23 or Federal Transit Act (</w:t>
      </w:r>
      <w:hyperlink r:id="rId677" w:history="1">
        <w:r w:rsidRPr="00020D20">
          <w:rPr>
            <w:rStyle w:val="TitleChar"/>
          </w:rPr>
          <w:t>Title 49, U</w:t>
        </w:r>
        <w:r w:rsidR="00510684">
          <w:rPr>
            <w:rStyle w:val="TitleChar"/>
          </w:rPr>
          <w:t>.</w:t>
        </w:r>
        <w:r w:rsidRPr="00020D20">
          <w:rPr>
            <w:rStyle w:val="TitleChar"/>
          </w:rPr>
          <w:t>S</w:t>
        </w:r>
        <w:r w:rsidR="00510684">
          <w:rPr>
            <w:rStyle w:val="TitleChar"/>
          </w:rPr>
          <w:t>.</w:t>
        </w:r>
        <w:r w:rsidRPr="00020D20">
          <w:rPr>
            <w:rStyle w:val="TitleChar"/>
          </w:rPr>
          <w:t>C</w:t>
        </w:r>
        <w:r w:rsidR="00510684">
          <w:rPr>
            <w:rStyle w:val="TitleChar"/>
          </w:rPr>
          <w:t>.</w:t>
        </w:r>
        <w:r w:rsidRPr="00020D20">
          <w:rPr>
            <w:rStyle w:val="TitleChar"/>
          </w:rPr>
          <w:t>, Chapter 53</w:t>
        </w:r>
      </w:hyperlink>
      <w:r>
        <w:t>) money.</w:t>
      </w:r>
    </w:p>
    <w:p w14:paraId="4858A8B6" w14:textId="14B770E3" w:rsidR="00B859F4" w:rsidRPr="00020D20" w:rsidRDefault="003D600C">
      <w:pPr>
        <w:rPr>
          <w:b/>
        </w:rPr>
      </w:pPr>
      <w:r w:rsidRPr="00020D20">
        <w:rPr>
          <w:b/>
        </w:rPr>
        <w:t>State Planning and Research (SPR Eligibility</w:t>
      </w:r>
      <w:r w:rsidR="002940D0" w:rsidRPr="00020D20">
        <w:rPr>
          <w:b/>
        </w:rPr>
        <w:t xml:space="preserve"> </w:t>
      </w:r>
      <w:r w:rsidR="00AE359B" w:rsidRPr="00020D20">
        <w:rPr>
          <w:b/>
        </w:rPr>
        <w:t xml:space="preserve">outlined in </w:t>
      </w:r>
      <w:hyperlink r:id="rId678" w:history="1">
        <w:r w:rsidR="008307F4" w:rsidRPr="00020D20">
          <w:rPr>
            <w:rStyle w:val="TitleChar"/>
            <w:b/>
          </w:rPr>
          <w:t>Title 23, U.S.C. 505(a)</w:t>
        </w:r>
      </w:hyperlink>
      <w:r w:rsidR="00AE359B" w:rsidRPr="00020D20">
        <w:rPr>
          <w:b/>
        </w:rPr>
        <w:t>)</w:t>
      </w:r>
    </w:p>
    <w:p w14:paraId="2024B35C" w14:textId="61E97357" w:rsidR="00F8735F" w:rsidRDefault="003D600C" w:rsidP="00020D20">
      <w:pPr>
        <w:pStyle w:val="Body-Bullets"/>
        <w:jc w:val="both"/>
      </w:pPr>
      <w:r w:rsidRPr="003D600C">
        <w:t>Engineering and economic surveys and investigations</w:t>
      </w:r>
    </w:p>
    <w:p w14:paraId="53FAB861" w14:textId="794413B2" w:rsidR="003D600C" w:rsidRDefault="003D600C" w:rsidP="00020D20">
      <w:pPr>
        <w:pStyle w:val="Body-Bullets"/>
        <w:jc w:val="both"/>
      </w:pPr>
      <w:r w:rsidRPr="003D600C">
        <w:t>The conduct of activities relating to the planning of real-time monitoring elements</w:t>
      </w:r>
    </w:p>
    <w:p w14:paraId="43B494D7" w14:textId="05809397" w:rsidR="003D600C" w:rsidRDefault="0060579F" w:rsidP="00020D20">
      <w:pPr>
        <w:pStyle w:val="Body-Bullets"/>
        <w:jc w:val="both"/>
      </w:pPr>
      <w:r w:rsidRPr="0060579F">
        <w:t>Studies of the economy, safety, and convenience of surface transportation systems and the desirable regulation and equitable taxation of such systems</w:t>
      </w:r>
    </w:p>
    <w:p w14:paraId="30AAAC32" w14:textId="26B12E2F" w:rsidR="0060579F" w:rsidRDefault="005562B8" w:rsidP="00020D20">
      <w:pPr>
        <w:pStyle w:val="Body-Bullets"/>
        <w:jc w:val="both"/>
      </w:pPr>
      <w:r w:rsidRPr="005562B8">
        <w:t>Development and implementation of management systems under section 303</w:t>
      </w:r>
    </w:p>
    <w:p w14:paraId="27290466" w14:textId="074EEBCC" w:rsidR="005562B8" w:rsidRDefault="000C4F82" w:rsidP="00020D20">
      <w:pPr>
        <w:pStyle w:val="Body-Bullets"/>
        <w:jc w:val="both"/>
      </w:pPr>
      <w:r w:rsidRPr="000C4F82">
        <w:t xml:space="preserve">The planning of future highway programs and local public transportation systems and the planning of the financing of such programs and systems, including metropolitan and statewide planning under </w:t>
      </w:r>
      <w:hyperlink r:id="rId679" w:history="1">
        <w:r w:rsidRPr="00020D20">
          <w:rPr>
            <w:rStyle w:val="TitleChar"/>
          </w:rPr>
          <w:t>sections 134</w:t>
        </w:r>
      </w:hyperlink>
      <w:r w:rsidRPr="000C4F82">
        <w:t xml:space="preserve"> and </w:t>
      </w:r>
      <w:hyperlink r:id="rId680" w:history="1">
        <w:r w:rsidRPr="00020D20">
          <w:rPr>
            <w:rStyle w:val="TitleChar"/>
          </w:rPr>
          <w:t>135</w:t>
        </w:r>
      </w:hyperlink>
    </w:p>
    <w:p w14:paraId="721040A1" w14:textId="66AFBCD9" w:rsidR="000C4F82" w:rsidRDefault="000C4F82" w:rsidP="00020D20">
      <w:pPr>
        <w:pStyle w:val="Body-Bullets"/>
        <w:jc w:val="both"/>
      </w:pPr>
      <w:r w:rsidRPr="000C4F82">
        <w:t>Studies of the economy, safety, and convenience of surface transportation systems and the desirable regulation and equitable taxation of such systems</w:t>
      </w:r>
    </w:p>
    <w:p w14:paraId="5EED4E92" w14:textId="4C36ADF0" w:rsidR="000C4F82" w:rsidRDefault="000C4F82" w:rsidP="00020D20">
      <w:pPr>
        <w:pStyle w:val="Body-Bullets"/>
        <w:jc w:val="both"/>
      </w:pPr>
      <w:r w:rsidRPr="000C4F82">
        <w:t>Research, development, and technology transfer activities necessary in connection with the planning, design, construction, management, and maintenance of highway, public transportation, and intermodal transportation systems</w:t>
      </w:r>
    </w:p>
    <w:p w14:paraId="12AF7675" w14:textId="281D5A19" w:rsidR="000C4F82" w:rsidRDefault="000C4F82" w:rsidP="00020D20">
      <w:pPr>
        <w:pStyle w:val="Body-Bullets"/>
        <w:jc w:val="both"/>
      </w:pPr>
      <w:r w:rsidRPr="000C4F82">
        <w:t>Study, research, and training on the engineering standards and construction materials for transportation systems described in paragraph (5), including the evaluation and accreditation of inspection and testing and the regulation and taxation of their use</w:t>
      </w:r>
    </w:p>
    <w:p w14:paraId="2E00330A" w14:textId="698602E5" w:rsidR="000C4F82" w:rsidRPr="00B609E9" w:rsidRDefault="00731B28" w:rsidP="00020D20">
      <w:r w:rsidRPr="001E4049">
        <w:t>Surface Transportation Block Grant (STBG)</w:t>
      </w:r>
      <w:r w:rsidR="00360D1A" w:rsidRPr="000F230E">
        <w:t xml:space="preserve"> Eligibility</w:t>
      </w:r>
    </w:p>
    <w:p w14:paraId="051F3851" w14:textId="0F173EAB" w:rsidR="00731B28" w:rsidRDefault="007466C3" w:rsidP="00020D20">
      <w:pPr>
        <w:pStyle w:val="Body-Bullets"/>
        <w:jc w:val="both"/>
      </w:pPr>
      <w:r w:rsidRPr="007466C3">
        <w:t xml:space="preserve">Construction of highways, bridges and tunnels and transit capital projects eligible under </w:t>
      </w:r>
      <w:hyperlink r:id="rId681" w:history="1">
        <w:r w:rsidRPr="00020D20">
          <w:rPr>
            <w:rStyle w:val="TitleChar"/>
          </w:rPr>
          <w:t>Chapter 53 of title 49, U.S.C</w:t>
        </w:r>
      </w:hyperlink>
      <w:r w:rsidRPr="007466C3">
        <w:t>.</w:t>
      </w:r>
    </w:p>
    <w:p w14:paraId="05556BA0" w14:textId="5CD3AB21" w:rsidR="007466C3" w:rsidRDefault="007466C3" w:rsidP="00020D20">
      <w:pPr>
        <w:pStyle w:val="Body-Bullets"/>
        <w:jc w:val="both"/>
      </w:pPr>
      <w:r w:rsidRPr="007466C3">
        <w:t>Infrastructure based Intelligent Transportation Systems</w:t>
      </w:r>
      <w:r w:rsidR="00BB5468">
        <w:t xml:space="preserve"> (ITS)</w:t>
      </w:r>
      <w:r w:rsidRPr="007466C3">
        <w:t xml:space="preserve"> capital improvements, including the installation of vehicle-to-infrastructure communication equipment;</w:t>
      </w:r>
    </w:p>
    <w:p w14:paraId="60A6C10C" w14:textId="17873B38" w:rsidR="007466C3" w:rsidRDefault="007466C3" w:rsidP="00020D20">
      <w:pPr>
        <w:pStyle w:val="Body-Bullets"/>
        <w:jc w:val="both"/>
      </w:pPr>
      <w:r w:rsidRPr="007466C3">
        <w:t>Truck parking facilities eligible under Section 1401 of MAP</w:t>
      </w:r>
      <w:r w:rsidR="00AE359B">
        <w:t>-</w:t>
      </w:r>
      <w:r w:rsidRPr="007466C3">
        <w:t>21 (</w:t>
      </w:r>
      <w:hyperlink r:id="rId682" w:history="1">
        <w:r w:rsidRPr="00020D20">
          <w:rPr>
            <w:rStyle w:val="TitleChar"/>
          </w:rPr>
          <w:t>23 U.S.C. 137</w:t>
        </w:r>
      </w:hyperlink>
      <w:r w:rsidRPr="007466C3">
        <w:t>);</w:t>
      </w:r>
    </w:p>
    <w:p w14:paraId="22CD479D" w14:textId="0BA942FB" w:rsidR="007466C3" w:rsidRDefault="007466C3" w:rsidP="00020D20">
      <w:pPr>
        <w:pStyle w:val="Body-Bullets"/>
        <w:jc w:val="both"/>
      </w:pPr>
      <w:r w:rsidRPr="007466C3">
        <w:t xml:space="preserve">Border infrastructure projects eligible under Section 1303 of </w:t>
      </w:r>
      <w:hyperlink r:id="rId683" w:history="1">
        <w:r w:rsidR="00AE359B" w:rsidRPr="00020D20">
          <w:rPr>
            <w:rStyle w:val="TitleChar"/>
          </w:rPr>
          <w:t>SAFETEA-LU</w:t>
        </w:r>
      </w:hyperlink>
    </w:p>
    <w:p w14:paraId="30424335" w14:textId="70659B79" w:rsidR="007466C3" w:rsidRDefault="007466C3" w:rsidP="00020D20">
      <w:pPr>
        <w:pStyle w:val="Body-Bullets"/>
        <w:jc w:val="both"/>
      </w:pPr>
      <w:r w:rsidRPr="007466C3">
        <w:t>Operational improvements and capital and operating costs for traffic monitoring, management, and control facilities and programs.</w:t>
      </w:r>
    </w:p>
    <w:p w14:paraId="61F766C5" w14:textId="39F78446" w:rsidR="007466C3" w:rsidRDefault="007466C3" w:rsidP="00020D20">
      <w:pPr>
        <w:pStyle w:val="Body-Bullets"/>
        <w:jc w:val="both"/>
      </w:pPr>
      <w:r w:rsidRPr="007466C3">
        <w:t xml:space="preserve">Environmental measures eligible under </w:t>
      </w:r>
      <w:hyperlink r:id="rId684" w:history="1">
        <w:r w:rsidR="00510684" w:rsidRPr="00020D20">
          <w:rPr>
            <w:rStyle w:val="TitleChar"/>
          </w:rPr>
          <w:t>23 U.S.C. 119(g)</w:t>
        </w:r>
      </w:hyperlink>
      <w:r w:rsidRPr="00020D20">
        <w:rPr>
          <w:rStyle w:val="TitleChar"/>
        </w:rPr>
        <w:t>,</w:t>
      </w:r>
      <w:r w:rsidRPr="007466C3">
        <w:t xml:space="preserve"> </w:t>
      </w:r>
      <w:hyperlink r:id="rId685" w:history="1">
        <w:r w:rsidRPr="00020D20">
          <w:rPr>
            <w:rStyle w:val="TitleChar"/>
          </w:rPr>
          <w:t>328</w:t>
        </w:r>
      </w:hyperlink>
      <w:r w:rsidRPr="007466C3">
        <w:t xml:space="preserve">, and </w:t>
      </w:r>
      <w:hyperlink r:id="rId686" w:history="1">
        <w:r w:rsidRPr="00020D20">
          <w:rPr>
            <w:rStyle w:val="TitleChar"/>
          </w:rPr>
          <w:t>329</w:t>
        </w:r>
      </w:hyperlink>
      <w:r w:rsidRPr="007466C3">
        <w:t>, and transportation control measures listed in Section 108(f)(1)(A)</w:t>
      </w:r>
      <w:r w:rsidR="00510684">
        <w:t xml:space="preserve"> of the Clean Air Act (</w:t>
      </w:r>
      <w:hyperlink r:id="rId687" w:anchor="f_1_A" w:history="1">
        <w:r w:rsidR="00510684" w:rsidRPr="00020D20">
          <w:rPr>
            <w:rStyle w:val="TitleChar"/>
          </w:rPr>
          <w:t>42 U</w:t>
        </w:r>
        <w:r w:rsidR="008307F4">
          <w:rPr>
            <w:rStyle w:val="TitleChar"/>
          </w:rPr>
          <w:t>.</w:t>
        </w:r>
        <w:r w:rsidR="00510684" w:rsidRPr="00020D20">
          <w:rPr>
            <w:rStyle w:val="TitleChar"/>
          </w:rPr>
          <w:t>S</w:t>
        </w:r>
        <w:r w:rsidR="008307F4">
          <w:rPr>
            <w:rStyle w:val="TitleChar"/>
          </w:rPr>
          <w:t>.</w:t>
        </w:r>
        <w:r w:rsidR="00510684" w:rsidRPr="00020D20">
          <w:rPr>
            <w:rStyle w:val="TitleChar"/>
          </w:rPr>
          <w:t>C</w:t>
        </w:r>
        <w:r w:rsidR="008307F4">
          <w:rPr>
            <w:rStyle w:val="TitleChar"/>
          </w:rPr>
          <w:t>.</w:t>
        </w:r>
        <w:r w:rsidR="00510684" w:rsidRPr="00020D20">
          <w:rPr>
            <w:rStyle w:val="TitleChar"/>
          </w:rPr>
          <w:t xml:space="preserve"> 7408(f)(1)(A)</w:t>
        </w:r>
      </w:hyperlink>
      <w:r w:rsidR="00510684">
        <w:t>)</w:t>
      </w:r>
      <w:r w:rsidRPr="007466C3">
        <w:t>.</w:t>
      </w:r>
    </w:p>
    <w:p w14:paraId="7FD2B4DB" w14:textId="21FD5F62" w:rsidR="007466C3" w:rsidRDefault="00D75F6A" w:rsidP="00020D20">
      <w:pPr>
        <w:pStyle w:val="Body-Bullets"/>
        <w:jc w:val="both"/>
      </w:pPr>
      <w:r w:rsidRPr="00D75F6A">
        <w:t>Highway and transit safety infrastructure improvements and programs, including railway-highway grade crossings.</w:t>
      </w:r>
    </w:p>
    <w:p w14:paraId="1EEEF216" w14:textId="16EC76A2" w:rsidR="00D75F6A" w:rsidRDefault="00D75F6A" w:rsidP="00020D20">
      <w:pPr>
        <w:pStyle w:val="Body-Bullets"/>
        <w:jc w:val="both"/>
      </w:pPr>
      <w:r w:rsidRPr="00D75F6A">
        <w:t xml:space="preserve">Fringe and corridor parking facilities and programs in accordance with </w:t>
      </w:r>
      <w:hyperlink r:id="rId688" w:history="1">
        <w:r w:rsidRPr="00020D20">
          <w:rPr>
            <w:rStyle w:val="TitleChar"/>
          </w:rPr>
          <w:t>23 U.S.C. 137</w:t>
        </w:r>
      </w:hyperlink>
      <w:r w:rsidRPr="00D75F6A">
        <w:t xml:space="preserve"> and carpool projects in accordance with </w:t>
      </w:r>
      <w:hyperlink r:id="rId689" w:history="1">
        <w:r w:rsidRPr="00020D20">
          <w:rPr>
            <w:rStyle w:val="TitleChar"/>
          </w:rPr>
          <w:t>23 U.S.C. 146</w:t>
        </w:r>
      </w:hyperlink>
      <w:r w:rsidRPr="00D75F6A">
        <w:t>.</w:t>
      </w:r>
    </w:p>
    <w:p w14:paraId="02224798" w14:textId="679A3C5B" w:rsidR="00D75F6A" w:rsidRDefault="00D75F6A" w:rsidP="00020D20">
      <w:pPr>
        <w:pStyle w:val="Body-Bullets"/>
        <w:jc w:val="both"/>
      </w:pPr>
      <w:r w:rsidRPr="00D75F6A">
        <w:t xml:space="preserve">Recreational trails projects eligible under </w:t>
      </w:r>
      <w:hyperlink r:id="rId690" w:history="1">
        <w:r w:rsidRPr="00020D20">
          <w:rPr>
            <w:rStyle w:val="TitleChar"/>
          </w:rPr>
          <w:t>23 U.S.C. 206</w:t>
        </w:r>
      </w:hyperlink>
      <w:r w:rsidRPr="00D75F6A">
        <w:t>, pedestrian and bicycle projects i</w:t>
      </w:r>
      <w:r w:rsidR="00CF7CAE">
        <w:t xml:space="preserve">n accordance with </w:t>
      </w:r>
      <w:hyperlink r:id="rId691" w:history="1">
        <w:r w:rsidR="00CF7CAE" w:rsidRPr="00020D20">
          <w:rPr>
            <w:rStyle w:val="TitleChar"/>
          </w:rPr>
          <w:t>23 U.S.C. 217</w:t>
        </w:r>
      </w:hyperlink>
      <w:r w:rsidRPr="00D75F6A">
        <w:t xml:space="preserve">, and the Safe Routes to School Program under Section 1404 of </w:t>
      </w:r>
      <w:hyperlink r:id="rId692" w:history="1">
        <w:r w:rsidR="00510684" w:rsidRPr="00020D20">
          <w:rPr>
            <w:rStyle w:val="TitleChar"/>
          </w:rPr>
          <w:t>SAFETEA-LU</w:t>
        </w:r>
      </w:hyperlink>
      <w:r w:rsidRPr="00D75F6A">
        <w:t xml:space="preserve"> (</w:t>
      </w:r>
      <w:hyperlink r:id="rId693" w:history="1">
        <w:r w:rsidRPr="00020D20">
          <w:rPr>
            <w:rStyle w:val="TitleChar"/>
          </w:rPr>
          <w:t>23 U.S.C. 402</w:t>
        </w:r>
      </w:hyperlink>
      <w:r w:rsidRPr="00D75F6A">
        <w:t>).</w:t>
      </w:r>
    </w:p>
    <w:p w14:paraId="07B42061" w14:textId="4B3C6A91" w:rsidR="00D75F6A" w:rsidRDefault="00D75F6A" w:rsidP="00020D20">
      <w:pPr>
        <w:pStyle w:val="Body-Bullets"/>
        <w:jc w:val="both"/>
      </w:pPr>
      <w:r w:rsidRPr="00D75F6A">
        <w:t>Planning, design, or construction of boulevards and other roadways largely in the right-of-way</w:t>
      </w:r>
      <w:r w:rsidR="006240FE">
        <w:t xml:space="preserve"> (ROW)</w:t>
      </w:r>
      <w:r w:rsidRPr="00D75F6A">
        <w:t xml:space="preserve"> of former Interstate System routes or other divided highways</w:t>
      </w:r>
    </w:p>
    <w:p w14:paraId="43E8A152" w14:textId="07B238EE" w:rsidR="00D75F6A" w:rsidRDefault="00D75F6A" w:rsidP="00020D20">
      <w:pPr>
        <w:pStyle w:val="Body-Bullets"/>
        <w:jc w:val="both"/>
      </w:pPr>
      <w:r w:rsidRPr="00D75F6A">
        <w:t>Development and implementation of a State asset management plan for the National Highway System (NHS) and a performance-based management program for other public roads</w:t>
      </w:r>
    </w:p>
    <w:p w14:paraId="17BE0B70" w14:textId="524E2400" w:rsidR="00D75F6A" w:rsidRDefault="004F317A" w:rsidP="00020D20">
      <w:pPr>
        <w:pStyle w:val="Body-Bullets"/>
        <w:jc w:val="both"/>
      </w:pPr>
      <w:r w:rsidRPr="004F317A">
        <w:t>Protection (including painting, scour countermeasures, seismic retrofits, impact protection measures, security countermeasures, and protection against extreme events) for bridges (including approaches to bridges and other elevated structures) and tunnels on public roads, and inspection and evaluation of bridges and tunnels and other highway assets.</w:t>
      </w:r>
    </w:p>
    <w:p w14:paraId="71C395EF" w14:textId="604A46CE" w:rsidR="004F317A" w:rsidRDefault="004F317A" w:rsidP="00020D20">
      <w:pPr>
        <w:pStyle w:val="Body-Bullets"/>
        <w:jc w:val="both"/>
      </w:pPr>
      <w:r w:rsidRPr="004F317A">
        <w:t>Surface transportation planning programs, highway and transit research and development and technology transfer programs, and workforce development, training, and education under</w:t>
      </w:r>
      <w:r w:rsidR="00510684">
        <w:t xml:space="preserve"> </w:t>
      </w:r>
      <w:hyperlink r:id="rId694" w:history="1">
        <w:r w:rsidR="00510684" w:rsidRPr="00020D20">
          <w:rPr>
            <w:rStyle w:val="TitleChar"/>
          </w:rPr>
          <w:t>Title 23, U.S.C. Chapter 5</w:t>
        </w:r>
      </w:hyperlink>
      <w:r w:rsidRPr="004F317A">
        <w:t>.</w:t>
      </w:r>
    </w:p>
    <w:p w14:paraId="60150147" w14:textId="52514E79" w:rsidR="004F317A" w:rsidRDefault="004F317A" w:rsidP="00020D20">
      <w:pPr>
        <w:pStyle w:val="Body-Bullets"/>
        <w:jc w:val="both"/>
      </w:pPr>
      <w:r w:rsidRPr="004F317A">
        <w:t>Surface transportation infrastructure modifications to facilitate direct intermodal interchange, transfer, and access into and out of a port terminal.</w:t>
      </w:r>
    </w:p>
    <w:p w14:paraId="64DA954A" w14:textId="2E52B7FF" w:rsidR="004F317A" w:rsidRDefault="004F317A" w:rsidP="00020D20">
      <w:pPr>
        <w:pStyle w:val="Body-Bullets"/>
        <w:jc w:val="both"/>
      </w:pPr>
      <w:r w:rsidRPr="004F317A">
        <w:t>Projects and strategies designed to support congestion pricing, including electronic toll collection and travel demand management strategies and programs</w:t>
      </w:r>
    </w:p>
    <w:p w14:paraId="02928A87" w14:textId="75451570" w:rsidR="004F317A" w:rsidRDefault="004F317A" w:rsidP="00020D20">
      <w:pPr>
        <w:pStyle w:val="Body-Bullets"/>
        <w:jc w:val="both"/>
      </w:pPr>
      <w:r w:rsidRPr="004F317A">
        <w:t>Upon request of a State and subject to the approval of the Secretary, if Transportation Infrastructure Finance and Innovation Act (TIFIA) credit assistance is approved for an STBG-eligible project, then the State may use Page 8 of 13 STBG funds to pay the subsidy and administrative costs associated with providing Federal credit assistance for the projects.</w:t>
      </w:r>
    </w:p>
    <w:p w14:paraId="2C0F18E0" w14:textId="7B222E7F" w:rsidR="004F317A" w:rsidRDefault="004F116B" w:rsidP="00020D20">
      <w:pPr>
        <w:pStyle w:val="Body-Bullets"/>
        <w:jc w:val="both"/>
      </w:pPr>
      <w:r w:rsidRPr="004F116B">
        <w:t xml:space="preserve">The creation and operation by a State of an office to assist in the design, implementation, and oversight of public-private partnerships eligible to receive funding under </w:t>
      </w:r>
      <w:hyperlink r:id="rId695" w:history="1">
        <w:r w:rsidRPr="00020D20">
          <w:rPr>
            <w:rStyle w:val="TitleChar"/>
          </w:rPr>
          <w:t>title 23</w:t>
        </w:r>
      </w:hyperlink>
      <w:r w:rsidRPr="004F116B">
        <w:t xml:space="preserve"> and </w:t>
      </w:r>
      <w:hyperlink r:id="rId696" w:history="1">
        <w:r w:rsidRPr="00020D20">
          <w:rPr>
            <w:rStyle w:val="TitleChar"/>
          </w:rPr>
          <w:t>chapter 53 of title 49</w:t>
        </w:r>
      </w:hyperlink>
      <w:r w:rsidRPr="004F116B">
        <w:t>, United States Code, and the payment of a stipend to unsuccessful private bidders to offset their proposal development costs, if necessary to encourage robust competition in public private partnership procurements.</w:t>
      </w:r>
    </w:p>
    <w:p w14:paraId="05447AB8" w14:textId="1C8B439A" w:rsidR="004F116B" w:rsidRDefault="004F116B" w:rsidP="00020D20">
      <w:pPr>
        <w:pStyle w:val="Body-Bullets"/>
        <w:jc w:val="both"/>
      </w:pPr>
      <w:r>
        <w:t xml:space="preserve">Any type of project eligible under </w:t>
      </w:r>
      <w:hyperlink r:id="rId697" w:history="1">
        <w:r w:rsidRPr="00020D20">
          <w:rPr>
            <w:rStyle w:val="TitleChar"/>
          </w:rPr>
          <w:t>23 U.S.C. 133</w:t>
        </w:r>
      </w:hyperlink>
      <w:r>
        <w:t xml:space="preserve"> as in effect on the day before the FAST Act was enacted</w:t>
      </w:r>
      <w:r w:rsidR="00510684">
        <w:t xml:space="preserve">. </w:t>
      </w:r>
      <w:r>
        <w:t>Location of Projects.—A surface transportation block grant project may not be undertaken on a road functionally classified as a local road or a rural minor collector unless the road was on a Federal-aid highway system on January 1, 1991, except—</w:t>
      </w:r>
    </w:p>
    <w:p w14:paraId="2F24A92E" w14:textId="10C41340" w:rsidR="004F116B" w:rsidRDefault="004F116B" w:rsidP="00020D20">
      <w:pPr>
        <w:pStyle w:val="SecondLevelBulletList"/>
        <w:jc w:val="both"/>
      </w:pPr>
      <w:r>
        <w:t>for a bridge or tunnel project (other than the construction of a new bridge or tunnel at a new location);</w:t>
      </w:r>
    </w:p>
    <w:p w14:paraId="2C7B165D" w14:textId="6A8DEE8A" w:rsidR="004F116B" w:rsidRDefault="004F116B" w:rsidP="00020D20">
      <w:pPr>
        <w:pStyle w:val="SecondLevelBulletList"/>
        <w:jc w:val="both"/>
      </w:pPr>
      <w:r>
        <w:t>for a project described in paragraphs (4) through (11) of subsection (b);</w:t>
      </w:r>
    </w:p>
    <w:p w14:paraId="2EB46D02" w14:textId="2E35BE59" w:rsidR="004F116B" w:rsidRDefault="004F116B" w:rsidP="00020D20">
      <w:pPr>
        <w:pStyle w:val="SecondLevelBulletList"/>
        <w:jc w:val="both"/>
      </w:pPr>
      <w:r>
        <w:t>for a pro</w:t>
      </w:r>
      <w:r w:rsidR="0022454E">
        <w:t>ject described in section 101(a)</w:t>
      </w:r>
      <w:r w:rsidR="00DB1E51">
        <w:t xml:space="preserve"> </w:t>
      </w:r>
      <w:r>
        <w:t>(29), as in effect on the day before the date of enactment of the FAST Act; and</w:t>
      </w:r>
      <w:r w:rsidR="0027557E">
        <w:t xml:space="preserve"> </w:t>
      </w:r>
      <w:r>
        <w:t>as approved by the Secretary.</w:t>
      </w:r>
    </w:p>
    <w:p w14:paraId="06542407" w14:textId="45C493DF" w:rsidR="00284EE5" w:rsidRPr="003B4E48" w:rsidRDefault="00284EE5" w:rsidP="00020D20">
      <w:pPr>
        <w:pStyle w:val="Body-Bullets"/>
        <w:jc w:val="both"/>
      </w:pPr>
      <w:r w:rsidRPr="00284EE5">
        <w:t xml:space="preserve">Any type of project eligible under </w:t>
      </w:r>
      <w:hyperlink r:id="rId698" w:history="1">
        <w:r w:rsidRPr="00020D20">
          <w:rPr>
            <w:rStyle w:val="TitleChar"/>
          </w:rPr>
          <w:t>23 U.S.C. 133</w:t>
        </w:r>
      </w:hyperlink>
      <w:r w:rsidRPr="00284EE5">
        <w:t xml:space="preserve"> as in effect on the day before the FAST Act was enacted.</w:t>
      </w:r>
    </w:p>
    <w:p w14:paraId="2AE05664" w14:textId="086CEA95" w:rsidR="003B4E48" w:rsidRPr="003B4E48" w:rsidRDefault="003B4E48" w:rsidP="00020D20">
      <w:pPr>
        <w:pStyle w:val="Heading3"/>
        <w:jc w:val="both"/>
        <w:rPr>
          <w:rFonts w:cstheme="minorHAnsi"/>
        </w:rPr>
      </w:pPr>
      <w:bookmarkStart w:id="408" w:name="_10.4.2_|_Federal"/>
      <w:bookmarkStart w:id="409" w:name="_Ref50033021"/>
      <w:bookmarkEnd w:id="408"/>
      <w:r w:rsidRPr="003B4E48">
        <w:rPr>
          <w:rFonts w:cstheme="minorHAnsi"/>
          <w:szCs w:val="20"/>
        </w:rPr>
        <w:t>10.4.2 | Federal Capital Improvement Funds</w:t>
      </w:r>
      <w:bookmarkEnd w:id="409"/>
    </w:p>
    <w:p w14:paraId="7B5EF166" w14:textId="2AD1FF56" w:rsidR="003B4E48" w:rsidRPr="003B4E48" w:rsidRDefault="003B4E48" w:rsidP="00020D20">
      <w:pPr>
        <w:jc w:val="both"/>
      </w:pPr>
      <w:r w:rsidRPr="003B4E48">
        <w:t>The FAHP is a primary source of funding for construction of Arizona highways, roads, and streets. Most of the funding falls into several core programs, including:</w:t>
      </w:r>
    </w:p>
    <w:p w14:paraId="045FC34E" w14:textId="365FB6AD" w:rsidR="003B4E48" w:rsidRPr="003B4E48" w:rsidRDefault="003B4E48" w:rsidP="00020D20">
      <w:pPr>
        <w:pStyle w:val="Body-Bullets"/>
        <w:jc w:val="both"/>
        <w:rPr>
          <w:rFonts w:cstheme="minorHAnsi"/>
        </w:rPr>
      </w:pPr>
      <w:r w:rsidRPr="003B4E48">
        <w:rPr>
          <w:rFonts w:cstheme="minorHAnsi"/>
        </w:rPr>
        <w:t>National Highway Performance Program (NHPP);</w:t>
      </w:r>
    </w:p>
    <w:p w14:paraId="68D43484" w14:textId="3218F43A" w:rsidR="003B4E48" w:rsidRPr="003B4E48" w:rsidRDefault="003B4E48" w:rsidP="00020D20">
      <w:pPr>
        <w:pStyle w:val="Body-Bullets"/>
        <w:jc w:val="both"/>
        <w:rPr>
          <w:rFonts w:cstheme="minorHAnsi"/>
        </w:rPr>
      </w:pPr>
      <w:r w:rsidRPr="003B4E48">
        <w:rPr>
          <w:rFonts w:cstheme="minorHAnsi"/>
        </w:rPr>
        <w:t>ST</w:t>
      </w:r>
      <w:r w:rsidR="005E4FAE">
        <w:rPr>
          <w:rFonts w:cstheme="minorHAnsi"/>
        </w:rPr>
        <w:t>BG</w:t>
      </w:r>
      <w:r w:rsidR="008307F4">
        <w:rPr>
          <w:rFonts w:cstheme="minorHAnsi"/>
        </w:rPr>
        <w:t xml:space="preserve"> </w:t>
      </w:r>
      <w:r w:rsidRPr="003B4E48">
        <w:rPr>
          <w:rFonts w:cstheme="minorHAnsi"/>
        </w:rPr>
        <w:t>P</w:t>
      </w:r>
      <w:r w:rsidR="008307F4">
        <w:rPr>
          <w:rFonts w:cstheme="minorHAnsi"/>
        </w:rPr>
        <w:t>rogram</w:t>
      </w:r>
      <w:r w:rsidRPr="003B4E48">
        <w:rPr>
          <w:rFonts w:cstheme="minorHAnsi"/>
        </w:rPr>
        <w:t>;</w:t>
      </w:r>
    </w:p>
    <w:p w14:paraId="2FEF9A19" w14:textId="5ED41580" w:rsidR="003B4E48" w:rsidRPr="003B4E48" w:rsidRDefault="003B4E48" w:rsidP="00020D20">
      <w:pPr>
        <w:pStyle w:val="Body-Bullets"/>
        <w:jc w:val="both"/>
        <w:rPr>
          <w:rFonts w:cstheme="minorHAnsi"/>
        </w:rPr>
      </w:pPr>
      <w:r w:rsidRPr="003B4E48">
        <w:rPr>
          <w:rFonts w:cstheme="minorHAnsi"/>
        </w:rPr>
        <w:t xml:space="preserve">Highway Safety Improvement program (HSIP);  </w:t>
      </w:r>
    </w:p>
    <w:p w14:paraId="15F78B60" w14:textId="2270F11A" w:rsidR="003B4E48" w:rsidRPr="003B4E48" w:rsidRDefault="003B4E48" w:rsidP="00020D20">
      <w:pPr>
        <w:pStyle w:val="Body-Bullets"/>
        <w:jc w:val="both"/>
        <w:rPr>
          <w:rFonts w:cstheme="minorHAnsi"/>
        </w:rPr>
      </w:pPr>
      <w:r w:rsidRPr="003B4E48">
        <w:rPr>
          <w:rFonts w:cstheme="minorHAnsi"/>
        </w:rPr>
        <w:t xml:space="preserve">CMAQ </w:t>
      </w:r>
    </w:p>
    <w:p w14:paraId="54AA90A1" w14:textId="6D593917" w:rsidR="003B4E48" w:rsidRPr="003B4E48" w:rsidRDefault="003B4E48" w:rsidP="00020D20">
      <w:pPr>
        <w:pStyle w:val="NoSpacing"/>
        <w:tabs>
          <w:tab w:val="left" w:pos="180"/>
          <w:tab w:val="left" w:pos="360"/>
          <w:tab w:val="left" w:pos="540"/>
          <w:tab w:val="left" w:pos="720"/>
        </w:tabs>
        <w:spacing w:before="120" w:after="120" w:line="288" w:lineRule="auto"/>
        <w:jc w:val="both"/>
        <w:rPr>
          <w:b/>
        </w:rPr>
      </w:pPr>
      <w:r w:rsidRPr="00130B4D">
        <w:t>The FAHP is financed from the transportation user-related revenues deposited in the federal Highway Trust Fund (HTF), and the primary sources of those revenues are federal excise taxes on motor fuels, along with truck use taxes and excise taxes on tires, trucks, and trailers. Many of the projects identified in a TIP are funded by these core programs. (TIP processes are outlined in chapter 8 of this manual.)</w:t>
      </w:r>
      <w:r>
        <w:t xml:space="preserve"> </w:t>
      </w:r>
    </w:p>
    <w:p w14:paraId="7B156716" w14:textId="77777777" w:rsidR="002334E4" w:rsidRDefault="003B4E48" w:rsidP="00020D20">
      <w:pPr>
        <w:pStyle w:val="NoSpacing"/>
        <w:tabs>
          <w:tab w:val="left" w:pos="180"/>
          <w:tab w:val="left" w:pos="360"/>
          <w:tab w:val="left" w:pos="540"/>
          <w:tab w:val="left" w:pos="720"/>
        </w:tabs>
        <w:spacing w:before="120" w:after="120" w:line="288" w:lineRule="auto"/>
        <w:jc w:val="both"/>
      </w:pPr>
      <w:r w:rsidRPr="003B4E48">
        <w:t xml:space="preserve">The FAHP is a reimbursement program. Once projects are approved in advance by the FHWA and </w:t>
      </w:r>
      <w:r w:rsidRPr="00130B4D">
        <w:t>federal funds are obligated, the federal government reimburses states for costs as they are incurred. With few exceptions, federal reimbursements must be matched with state and/or local funds. For most projects in Arizona, the federal share is 94.3 percent and the state/local share is 5.7 percent. The match ratio is based on the amount of public land within the state. Most states need to match the full 20 percent.</w:t>
      </w:r>
    </w:p>
    <w:p w14:paraId="4CD9336D" w14:textId="12F0120E" w:rsidR="003B4E48" w:rsidRPr="003B4E48" w:rsidRDefault="002334E4">
      <w:pPr>
        <w:pStyle w:val="SubHeading3"/>
      </w:pPr>
      <w:r>
        <w:br w:type="column"/>
      </w:r>
      <w:bookmarkStart w:id="410" w:name="_Ref50033366"/>
      <w:r w:rsidR="003B4E48" w:rsidRPr="003B4E48">
        <w:t>Cooperative Agreements</w:t>
      </w:r>
      <w:bookmarkEnd w:id="410"/>
    </w:p>
    <w:p w14:paraId="4396B995" w14:textId="5EF4A0B5" w:rsidR="003B4E48" w:rsidRPr="003B4E48" w:rsidRDefault="008307F4" w:rsidP="00020D20">
      <w:pPr>
        <w:jc w:val="both"/>
        <w:rPr>
          <w:rFonts w:cstheme="minorHAnsi"/>
        </w:rPr>
      </w:pPr>
      <w:r>
        <w:rPr>
          <w:rFonts w:cstheme="minorHAnsi"/>
          <w:noProof/>
        </w:rPr>
        <mc:AlternateContent>
          <mc:Choice Requires="wps">
            <w:drawing>
              <wp:anchor distT="0" distB="0" distL="114300" distR="114300" simplePos="0" relativeHeight="251618343" behindDoc="1" locked="0" layoutInCell="1" allowOverlap="1" wp14:anchorId="6E822D2C" wp14:editId="498B7499">
                <wp:simplePos x="0" y="0"/>
                <wp:positionH relativeFrom="column">
                  <wp:posOffset>1314450</wp:posOffset>
                </wp:positionH>
                <wp:positionV relativeFrom="paragraph">
                  <wp:posOffset>232410</wp:posOffset>
                </wp:positionV>
                <wp:extent cx="1257300" cy="1485900"/>
                <wp:effectExtent l="76200" t="95250" r="76200" b="95250"/>
                <wp:wrapTight wrapText="bothSides">
                  <wp:wrapPolygon edited="0">
                    <wp:start x="-1309" y="-1385"/>
                    <wp:lineTo x="-1309" y="22708"/>
                    <wp:lineTo x="22582" y="22708"/>
                    <wp:lineTo x="22582" y="-1385"/>
                    <wp:lineTo x="-1309" y="-1385"/>
                  </wp:wrapPolygon>
                </wp:wrapTight>
                <wp:docPr id="816286099" name="Text Box 816286099"/>
                <wp:cNvGraphicFramePr/>
                <a:graphic xmlns:a="http://schemas.openxmlformats.org/drawingml/2006/main">
                  <a:graphicData uri="http://schemas.microsoft.com/office/word/2010/wordprocessingShape">
                    <wps:wsp>
                      <wps:cNvSpPr txBox="1"/>
                      <wps:spPr>
                        <a:xfrm>
                          <a:off x="0" y="0"/>
                          <a:ext cx="125730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96C5E3A" w14:textId="77777777" w:rsidR="00C6444C" w:rsidRDefault="00C6444C" w:rsidP="00020D20">
                            <w:pPr>
                              <w:jc w:val="center"/>
                            </w:pPr>
                            <w:r>
                              <w:rPr>
                                <w:noProof/>
                              </w:rPr>
                              <w:drawing>
                                <wp:inline distT="0" distB="0" distL="0" distR="0" wp14:anchorId="7C73A562" wp14:editId="7B9C9AF5">
                                  <wp:extent cx="457200" cy="457200"/>
                                  <wp:effectExtent l="0" t="0" r="0" b="0"/>
                                  <wp:docPr id="816286054" name="Picture 816286054"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25FDA31" w14:textId="77777777" w:rsidR="00C6444C" w:rsidRPr="00954116" w:rsidRDefault="00C6444C" w:rsidP="00020D20">
                            <w:pPr>
                              <w:pStyle w:val="Calloutboxes"/>
                            </w:pPr>
                            <w:r w:rsidRPr="00394A74">
                              <w:t>The FHWA and ADOT Stewardship and Oversight Agreement for Arizona:</w:t>
                            </w:r>
                          </w:p>
                          <w:p w14:paraId="140AE67C" w14:textId="1D877A5A" w:rsidR="00C6444C" w:rsidRPr="00C02972" w:rsidRDefault="00202C92">
                            <w:pPr>
                              <w:pStyle w:val="Title"/>
                            </w:pPr>
                            <w:hyperlink r:id="rId699" w:history="1">
                              <w:r w:rsidR="00C6444C" w:rsidRPr="00020D20">
                                <w:rPr>
                                  <w:rStyle w:val="Hyperlink"/>
                                  <w:rFonts w:asciiTheme="minorHAnsi" w:hAnsiTheme="minorHAnsi" w:cstheme="majorBidi"/>
                                  <w:i/>
                                  <w:color w:val="CE5B18"/>
                                  <w:u w:val="none"/>
                                </w:rPr>
                                <w:t>https://www.fhwa.dot.gov/azdiv/stewtoc.cfm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822D2C" id="Text Box 816286099" o:spid="_x0000_s1183" type="#_x0000_t202" style="position:absolute;left:0;text-align:left;margin-left:103.5pt;margin-top:18.3pt;width:99pt;height:117pt;z-index:-251698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" fillcolor="#f7f7f7" stroked="f" strokeweight=".5pt">
                <v:shadow on="t" type="perspective" color="black" opacity="26214f" offset="0,0" matrix="66847f,,,66847f"/>
                <v:textbox>
                  <w:txbxContent>
                    <w:p w14:paraId="696C5E3A" w14:textId="77777777" w:rsidR="00C6444C" w:rsidRDefault="00C6444C" w:rsidP="00020D20">
                      <w:pPr>
                        <w:jc w:val="center"/>
                      </w:pPr>
                      <w:r>
                        <w:rPr>
                          <w:noProof/>
                        </w:rPr>
                        <w:drawing>
                          <wp:inline distT="0" distB="0" distL="0" distR="0" wp14:anchorId="7C73A562" wp14:editId="7B9C9AF5">
                            <wp:extent cx="457200" cy="457200"/>
                            <wp:effectExtent l="0" t="0" r="0" b="0"/>
                            <wp:docPr id="816286054" name="Picture 816286054"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25FDA31" w14:textId="77777777" w:rsidR="00C6444C" w:rsidRPr="00954116" w:rsidRDefault="00C6444C" w:rsidP="00020D20">
                      <w:pPr>
                        <w:pStyle w:val="Calloutboxes"/>
                      </w:pPr>
                      <w:r w:rsidRPr="00394A74">
                        <w:t>The FHWA and ADOT Stewardship and Oversight Agreement for Arizona:</w:t>
                      </w:r>
                    </w:p>
                    <w:p w14:paraId="140AE67C" w14:textId="1D877A5A" w:rsidR="00C6444C" w:rsidRPr="00C02972" w:rsidRDefault="00C6444C">
                      <w:pPr>
                        <w:pStyle w:val="Title"/>
                      </w:pPr>
                      <w:hyperlink r:id="rId700" w:history="1">
                        <w:r w:rsidRPr="00020D20">
                          <w:rPr>
                            <w:rStyle w:val="Hyperlink"/>
                            <w:rFonts w:asciiTheme="minorHAnsi" w:hAnsiTheme="minorHAnsi" w:cstheme="majorBidi"/>
                            <w:i/>
                            <w:color w:val="CE5B18"/>
                            <w:u w:val="none"/>
                          </w:rPr>
                          <w:t>https://www.fhwa.dot.gov/azdiv/stewtoc.cfm</w:t>
                        </w:r>
                      </w:hyperlink>
                    </w:p>
                  </w:txbxContent>
                </v:textbox>
                <w10:wrap type="tight"/>
              </v:shape>
            </w:pict>
          </mc:Fallback>
        </mc:AlternateContent>
      </w:r>
      <w:r w:rsidR="003B4E48" w:rsidRPr="003B4E48">
        <w:rPr>
          <w:rFonts w:cstheme="minorHAnsi"/>
        </w:rPr>
        <w:t>FHWA and ADOT maintain a stewardship agreement that outlines the responsibilities in carrying out the FAHP. The agreement includes matrices that outline deliverables outlined in this document and the approval responsibilities. The agreement outlines program and project level oversight that is intended to facilitate proper FAHP fund use and expenditure.</w:t>
      </w:r>
      <w:r w:rsidR="004D6FAF" w:rsidRPr="004D6FAF">
        <w:rPr>
          <w:rFonts w:cstheme="minorHAnsi"/>
        </w:rPr>
        <w:t xml:space="preserve"> </w:t>
      </w:r>
    </w:p>
    <w:p w14:paraId="085A72EE" w14:textId="19C613DC" w:rsidR="003B4E48" w:rsidRPr="003B4E48" w:rsidRDefault="003B4E48" w:rsidP="00020D20">
      <w:pPr>
        <w:pStyle w:val="SubHeading3"/>
        <w:jc w:val="both"/>
      </w:pPr>
      <w:bookmarkStart w:id="411" w:name="_Ref50033370"/>
      <w:r w:rsidRPr="003B4E48">
        <w:t>Funding for MPO/COG Areas</w:t>
      </w:r>
      <w:bookmarkEnd w:id="411"/>
    </w:p>
    <w:p w14:paraId="5A3AB030" w14:textId="1EF16FBD" w:rsidR="008307F4" w:rsidRPr="008307F4" w:rsidRDefault="003B4E48" w:rsidP="00020D20">
      <w:pPr>
        <w:jc w:val="both"/>
        <w:rPr>
          <w:rFonts w:cstheme="minorHAnsi"/>
        </w:rPr>
      </w:pPr>
      <w:r w:rsidRPr="003B4E48">
        <w:rPr>
          <w:rFonts w:cstheme="minorHAnsi"/>
        </w:rPr>
        <w:t>MPOs and COGs receive FHWA funding for capital transportation projects. ST</w:t>
      </w:r>
      <w:r w:rsidR="007A1665">
        <w:rPr>
          <w:rFonts w:cstheme="minorHAnsi"/>
        </w:rPr>
        <w:t>BG</w:t>
      </w:r>
      <w:r w:rsidR="008307F4">
        <w:rPr>
          <w:rFonts w:cstheme="minorHAnsi"/>
        </w:rPr>
        <w:t xml:space="preserve"> </w:t>
      </w:r>
      <w:r w:rsidRPr="003B4E48">
        <w:rPr>
          <w:rFonts w:cstheme="minorHAnsi"/>
        </w:rPr>
        <w:t>P</w:t>
      </w:r>
      <w:r w:rsidR="008307F4">
        <w:rPr>
          <w:rFonts w:cstheme="minorHAnsi"/>
        </w:rPr>
        <w:t>rogram</w:t>
      </w:r>
      <w:r w:rsidRPr="003B4E48">
        <w:rPr>
          <w:rFonts w:cstheme="minorHAnsi"/>
        </w:rPr>
        <w:t xml:space="preserve"> funds are provided directly to the MPOs and additional federal funds are indirectly distributed from ADOT to the MPOs. </w:t>
      </w:r>
      <w:r w:rsidR="007A1665" w:rsidRPr="007A1665">
        <w:rPr>
          <w:rFonts w:cstheme="minorHAnsi"/>
        </w:rPr>
        <w:t>The STBG promotes flexibility in State and local transportation decisions and provides flexible funding that may be used by States and localities for projects to preserve and improve the conditions and performance on any Federal-aid highway, bridge and tunnel projects on any public road, pedestrian and bicycle infrastructure, and transit capital projects, including intercity bus</w:t>
      </w:r>
      <w:r w:rsidR="00A35215">
        <w:rPr>
          <w:rFonts w:cstheme="minorHAnsi"/>
        </w:rPr>
        <w:t xml:space="preserve"> </w:t>
      </w:r>
      <w:r w:rsidR="007A1665" w:rsidRPr="007A1665">
        <w:rPr>
          <w:rFonts w:cstheme="minorHAnsi"/>
        </w:rPr>
        <w:t>terminals.</w:t>
      </w:r>
      <w:r w:rsidR="008307F4">
        <w:rPr>
          <w:rFonts w:cstheme="minorHAnsi"/>
        </w:rPr>
        <w:t xml:space="preserve"> </w:t>
      </w:r>
      <w:r w:rsidR="008307F4" w:rsidRPr="008307F4">
        <w:rPr>
          <w:rFonts w:cstheme="minorHAnsi"/>
        </w:rPr>
        <w:t xml:space="preserve">The FAST Act’s STBG Program continues all prior STP eligibilities (see in particular </w:t>
      </w:r>
      <w:hyperlink r:id="rId701" w:anchor="b_15" w:history="1">
        <w:r w:rsidR="008307F4" w:rsidRPr="00020D20">
          <w:rPr>
            <w:rStyle w:val="TitleChar"/>
          </w:rPr>
          <w:t>23 U.S.C. 133(b)(15)</w:t>
        </w:r>
      </w:hyperlink>
      <w:r w:rsidR="008307F4" w:rsidRPr="008307F4">
        <w:rPr>
          <w:rFonts w:cstheme="minorHAnsi"/>
        </w:rPr>
        <w:t>, as amended). It also adds the following new eligibilities:</w:t>
      </w:r>
    </w:p>
    <w:p w14:paraId="18861009" w14:textId="6EF9F835" w:rsidR="008307F4" w:rsidRPr="008307F4" w:rsidRDefault="008307F4" w:rsidP="00020D20">
      <w:pPr>
        <w:pStyle w:val="Body-Bullets"/>
        <w:jc w:val="both"/>
      </w:pPr>
      <w:r w:rsidRPr="008307F4">
        <w:t xml:space="preserve">A State may use STBG funds to create and operate a State office to help design, implement, and oversee public-private partnerships (P3) eligible to receive Federal highway or transit funding, and to pay a stipend to unsuccessful P3 bidders in certain circumstances </w:t>
      </w:r>
      <w:r w:rsidR="00B5626E">
        <w:t>(</w:t>
      </w:r>
      <w:hyperlink r:id="rId702" w:anchor="b_14" w:history="1">
        <w:r w:rsidRPr="00020D20">
          <w:rPr>
            <w:rStyle w:val="TitleChar"/>
          </w:rPr>
          <w:t>23 U.S.C. 133(b)(14)</w:t>
        </w:r>
      </w:hyperlink>
      <w:r w:rsidR="00B5626E">
        <w:t>)</w:t>
      </w:r>
      <w:r w:rsidRPr="008307F4">
        <w:t>; and</w:t>
      </w:r>
    </w:p>
    <w:p w14:paraId="6A21E0A4" w14:textId="475DFE6C" w:rsidR="008307F4" w:rsidRPr="008307F4" w:rsidRDefault="008307F4" w:rsidP="00020D20">
      <w:pPr>
        <w:pStyle w:val="Body-Bullets"/>
        <w:jc w:val="both"/>
      </w:pPr>
      <w:r w:rsidRPr="008307F4">
        <w:t>At a State’s request, the U.S. DOT may use the State’s STBG funding to pay the subsidy and administrative costs for TIFIA credit assistance for an eligible ST</w:t>
      </w:r>
      <w:r w:rsidR="00B5626E">
        <w:t>BG project or group of projects</w:t>
      </w:r>
      <w:r w:rsidRPr="008307F4">
        <w:t xml:space="preserve"> </w:t>
      </w:r>
      <w:r w:rsidR="00B5626E">
        <w:t>(</w:t>
      </w:r>
      <w:hyperlink r:id="rId703" w:anchor="b_13" w:history="1">
        <w:r w:rsidRPr="00020D20">
          <w:rPr>
            <w:rStyle w:val="TitleChar"/>
          </w:rPr>
          <w:t>23 U.S.C. 133(b)(13)</w:t>
        </w:r>
      </w:hyperlink>
      <w:r w:rsidR="00B5626E" w:rsidRPr="00020D20">
        <w:t>)</w:t>
      </w:r>
      <w:r w:rsidRPr="008307F4">
        <w:t>.</w:t>
      </w:r>
    </w:p>
    <w:p w14:paraId="2C543B63" w14:textId="78273E27" w:rsidR="007F3598" w:rsidRDefault="008307F4">
      <w:pPr>
        <w:jc w:val="both"/>
        <w:rPr>
          <w:rFonts w:cstheme="minorHAnsi"/>
        </w:rPr>
      </w:pPr>
      <w:r w:rsidRPr="008307F4">
        <w:rPr>
          <w:rFonts w:cstheme="minorHAnsi"/>
        </w:rPr>
        <w:t>The FAST Act also adds specific mention of the eligibility of installation of vehicle-to-infrastructure communication</w:t>
      </w:r>
      <w:r w:rsidR="00B5626E">
        <w:rPr>
          <w:rFonts w:cstheme="minorHAnsi"/>
        </w:rPr>
        <w:t xml:space="preserve"> equipment (</w:t>
      </w:r>
      <w:hyperlink r:id="rId704" w:history="1">
        <w:r w:rsidRPr="00020D20">
          <w:rPr>
            <w:rStyle w:val="TitleChar"/>
          </w:rPr>
          <w:t>FAST Act §</w:t>
        </w:r>
        <w:r w:rsidR="008216A0">
          <w:rPr>
            <w:rStyle w:val="TitleChar"/>
          </w:rPr>
          <w:t xml:space="preserve"> </w:t>
        </w:r>
        <w:r w:rsidRPr="00020D20">
          <w:rPr>
            <w:rStyle w:val="TitleChar"/>
          </w:rPr>
          <w:t>1407</w:t>
        </w:r>
      </w:hyperlink>
      <w:r w:rsidRPr="008307F4">
        <w:rPr>
          <w:rFonts w:cstheme="minorHAnsi"/>
        </w:rPr>
        <w:t xml:space="preserve">, </w:t>
      </w:r>
      <w:hyperlink r:id="rId705" w:anchor="b_1_D" w:history="1">
        <w:r w:rsidRPr="00020D20">
          <w:rPr>
            <w:rStyle w:val="TitleChar"/>
          </w:rPr>
          <w:t>23 U.S.C. 133(b)(1)</w:t>
        </w:r>
        <w:r w:rsidR="00B5626E" w:rsidRPr="00020D20">
          <w:rPr>
            <w:rStyle w:val="TitleChar"/>
          </w:rPr>
          <w:t>(D)</w:t>
        </w:r>
      </w:hyperlink>
      <w:r w:rsidR="00B5626E">
        <w:rPr>
          <w:rFonts w:cstheme="minorHAnsi"/>
        </w:rPr>
        <w:t>)</w:t>
      </w:r>
      <w:r>
        <w:rPr>
          <w:rFonts w:cstheme="minorHAnsi"/>
        </w:rPr>
        <w:t>.</w:t>
      </w:r>
    </w:p>
    <w:p w14:paraId="0F7B744F" w14:textId="2FE250C0" w:rsidR="003B4E48" w:rsidRPr="003B4E48" w:rsidRDefault="003B4E48" w:rsidP="00020D20">
      <w:pPr>
        <w:pStyle w:val="SubHeading3"/>
        <w:jc w:val="both"/>
      </w:pPr>
      <w:bookmarkStart w:id="412" w:name="_Ref50033374"/>
      <w:r w:rsidRPr="003B4E48">
        <w:t>National Highway System Funding</w:t>
      </w:r>
      <w:bookmarkEnd w:id="412"/>
    </w:p>
    <w:p w14:paraId="0E29A5A3" w14:textId="0627BDD0" w:rsidR="003B4E48" w:rsidRPr="003B4E48" w:rsidRDefault="00D1156F" w:rsidP="00020D20">
      <w:pPr>
        <w:jc w:val="both"/>
        <w:rPr>
          <w:rFonts w:cstheme="minorHAnsi"/>
        </w:rPr>
      </w:pPr>
      <w:r>
        <w:rPr>
          <w:rFonts w:cstheme="minorHAnsi"/>
          <w:noProof/>
        </w:rPr>
        <mc:AlternateContent>
          <mc:Choice Requires="wps">
            <w:drawing>
              <wp:anchor distT="0" distB="0" distL="114300" distR="114300" simplePos="0" relativeHeight="251618344" behindDoc="1" locked="0" layoutInCell="1" allowOverlap="1" wp14:anchorId="3F8F5660" wp14:editId="0604FD1C">
                <wp:simplePos x="0" y="0"/>
                <wp:positionH relativeFrom="column">
                  <wp:posOffset>1314450</wp:posOffset>
                </wp:positionH>
                <wp:positionV relativeFrom="paragraph">
                  <wp:posOffset>135255</wp:posOffset>
                </wp:positionV>
                <wp:extent cx="1430020" cy="1228725"/>
                <wp:effectExtent l="95250" t="76200" r="93980" b="85725"/>
                <wp:wrapTight wrapText="bothSides">
                  <wp:wrapPolygon edited="0">
                    <wp:start x="-863" y="-1340"/>
                    <wp:lineTo x="-1439" y="-1005"/>
                    <wp:lineTo x="-1151" y="22772"/>
                    <wp:lineTo x="22444" y="22772"/>
                    <wp:lineTo x="22732" y="4353"/>
                    <wp:lineTo x="22156" y="-670"/>
                    <wp:lineTo x="22156" y="-1340"/>
                    <wp:lineTo x="-863" y="-1340"/>
                  </wp:wrapPolygon>
                </wp:wrapTight>
                <wp:docPr id="816286101" name="Text Box 816286101"/>
                <wp:cNvGraphicFramePr/>
                <a:graphic xmlns:a="http://schemas.openxmlformats.org/drawingml/2006/main">
                  <a:graphicData uri="http://schemas.microsoft.com/office/word/2010/wordprocessingShape">
                    <wps:wsp>
                      <wps:cNvSpPr txBox="1"/>
                      <wps:spPr>
                        <a:xfrm>
                          <a:off x="0" y="0"/>
                          <a:ext cx="1430020" cy="12287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6C04220" w14:textId="77777777" w:rsidR="00C6444C" w:rsidRDefault="00C6444C" w:rsidP="00020D20">
                            <w:pPr>
                              <w:jc w:val="center"/>
                            </w:pPr>
                            <w:r>
                              <w:rPr>
                                <w:noProof/>
                              </w:rPr>
                              <w:drawing>
                                <wp:inline distT="0" distB="0" distL="0" distR="0" wp14:anchorId="064DCE43" wp14:editId="71EE8D5E">
                                  <wp:extent cx="457200" cy="457200"/>
                                  <wp:effectExtent l="0" t="0" r="0" b="0"/>
                                  <wp:docPr id="816286056" name="Picture 816286056"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8B5B2A5" w14:textId="5F25EF05" w:rsidR="00C6444C" w:rsidRPr="0052715B" w:rsidRDefault="00C6444C" w:rsidP="00020D20">
                            <w:pPr>
                              <w:pStyle w:val="Calloutboxes"/>
                            </w:pPr>
                            <w:r w:rsidRPr="00394A74">
                              <w:t xml:space="preserve">FHWA </w:t>
                            </w:r>
                            <w:r w:rsidRPr="00954116">
                              <w:t>National Highway System:</w:t>
                            </w:r>
                          </w:p>
                          <w:p w14:paraId="660084F1" w14:textId="0409512B" w:rsidR="00C6444C" w:rsidRPr="007A1D12" w:rsidRDefault="00202C92">
                            <w:pPr>
                              <w:pStyle w:val="Title"/>
                            </w:pPr>
                            <w:hyperlink r:id="rId706" w:history="1">
                              <w:r w:rsidR="00C6444C" w:rsidRPr="00020D20">
                                <w:rPr>
                                  <w:rStyle w:val="Hyperlink"/>
                                  <w:rFonts w:asciiTheme="minorHAnsi" w:hAnsiTheme="minorHAnsi" w:cstheme="majorBidi"/>
                                  <w:color w:val="CE5B18"/>
                                  <w:u w:val="none"/>
                                </w:rPr>
                                <w:t>https://www.fhwa.dot.gov/planning/national_highway_system/</w:t>
                              </w:r>
                            </w:hyperlink>
                          </w:p>
                          <w:p w14:paraId="165F6031" w14:textId="52FAD60A" w:rsidR="00C6444C" w:rsidRPr="00C02972" w:rsidRDefault="00C6444C">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8F5660" id="Text Box 816286101" o:spid="_x0000_s1184" type="#_x0000_t202" style="position:absolute;left:0;text-align:left;margin-left:103.5pt;margin-top:10.65pt;width:112.6pt;height:96.75pt;z-index:-251698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" fillcolor="#f7f7f7" stroked="f" strokeweight=".5pt">
                <v:shadow on="t" type="perspective" color="black" opacity="26214f" offset="0,0" matrix="66847f,,,66847f"/>
                <v:textbox>
                  <w:txbxContent>
                    <w:p w14:paraId="76C04220" w14:textId="77777777" w:rsidR="00C6444C" w:rsidRDefault="00C6444C" w:rsidP="00020D20">
                      <w:pPr>
                        <w:jc w:val="center"/>
                      </w:pPr>
                      <w:r>
                        <w:rPr>
                          <w:noProof/>
                        </w:rPr>
                        <w:drawing>
                          <wp:inline distT="0" distB="0" distL="0" distR="0" wp14:anchorId="064DCE43" wp14:editId="71EE8D5E">
                            <wp:extent cx="457200" cy="457200"/>
                            <wp:effectExtent l="0" t="0" r="0" b="0"/>
                            <wp:docPr id="816286056" name="Picture 816286056"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8B5B2A5" w14:textId="5F25EF05" w:rsidR="00C6444C" w:rsidRPr="0052715B" w:rsidRDefault="00C6444C" w:rsidP="00020D20">
                      <w:pPr>
                        <w:pStyle w:val="Calloutboxes"/>
                      </w:pPr>
                      <w:r w:rsidRPr="00394A74">
                        <w:t xml:space="preserve">FHWA </w:t>
                      </w:r>
                      <w:r w:rsidRPr="00954116">
                        <w:t>National Highway System:</w:t>
                      </w:r>
                    </w:p>
                    <w:p w14:paraId="660084F1" w14:textId="0409512B" w:rsidR="00C6444C" w:rsidRPr="007A1D12" w:rsidRDefault="00C6444C">
                      <w:pPr>
                        <w:pStyle w:val="Title"/>
                      </w:pPr>
                      <w:hyperlink r:id="rId707" w:history="1">
                        <w:r w:rsidRPr="00020D20">
                          <w:rPr>
                            <w:rStyle w:val="Hyperlink"/>
                            <w:rFonts w:asciiTheme="minorHAnsi" w:hAnsiTheme="minorHAnsi" w:cstheme="majorBidi"/>
                            <w:color w:val="CE5B18"/>
                            <w:u w:val="none"/>
                          </w:rPr>
                          <w:t>https://www.fhwa.dot.gov/planning/national_highway_system/</w:t>
                        </w:r>
                      </w:hyperlink>
                    </w:p>
                    <w:p w14:paraId="165F6031" w14:textId="52FAD60A" w:rsidR="00C6444C" w:rsidRPr="00C02972" w:rsidRDefault="00C6444C">
                      <w:pPr>
                        <w:pStyle w:val="Title"/>
                      </w:pPr>
                    </w:p>
                  </w:txbxContent>
                </v:textbox>
                <w10:wrap type="tight"/>
              </v:shape>
            </w:pict>
          </mc:Fallback>
        </mc:AlternateContent>
      </w:r>
      <w:r w:rsidR="003B4E48" w:rsidRPr="003B4E48">
        <w:rPr>
          <w:rFonts w:cstheme="minorHAnsi"/>
        </w:rPr>
        <w:t>The NHS consists of roadways important to the nation’s economy, defense, and mobility. The NHS includes the Interstate system, principal arterials, Strategic Highway Network (STRAHNET), major STRAHNET connectors and intermodal connectors.</w:t>
      </w:r>
      <w:r w:rsidR="00637DB9" w:rsidRPr="00637DB9">
        <w:rPr>
          <w:rFonts w:cstheme="minorHAnsi"/>
        </w:rPr>
        <w:t xml:space="preserve"> </w:t>
      </w:r>
    </w:p>
    <w:p w14:paraId="6EC414C3" w14:textId="0D97C56D" w:rsidR="003B4E48" w:rsidRPr="003B4E48" w:rsidRDefault="003B4E48" w:rsidP="00020D20">
      <w:pPr>
        <w:pStyle w:val="SubHeading3"/>
        <w:jc w:val="both"/>
      </w:pPr>
      <w:bookmarkStart w:id="413" w:name="_Ref50033378"/>
      <w:r w:rsidRPr="003B4E48">
        <w:t>Surface Transportation</w:t>
      </w:r>
      <w:r w:rsidR="005E4FAE">
        <w:t xml:space="preserve"> Block Grant</w:t>
      </w:r>
      <w:r w:rsidRPr="003B4E48">
        <w:t xml:space="preserve"> Program Funding</w:t>
      </w:r>
      <w:bookmarkEnd w:id="413"/>
    </w:p>
    <w:p w14:paraId="0D1AFEC8" w14:textId="3A05AD62" w:rsidR="003B4E48" w:rsidRDefault="003B4E48" w:rsidP="00020D20">
      <w:pPr>
        <w:jc w:val="both"/>
        <w:rPr>
          <w:rFonts w:cstheme="minorHAnsi"/>
        </w:rPr>
      </w:pPr>
      <w:r w:rsidRPr="003B4E48">
        <w:rPr>
          <w:rFonts w:cstheme="minorHAnsi"/>
        </w:rPr>
        <w:t>The ST</w:t>
      </w:r>
      <w:r w:rsidR="005E4FAE">
        <w:rPr>
          <w:rFonts w:cstheme="minorHAnsi"/>
        </w:rPr>
        <w:t>BG</w:t>
      </w:r>
      <w:r w:rsidR="007A1665">
        <w:rPr>
          <w:rFonts w:cstheme="minorHAnsi"/>
        </w:rPr>
        <w:t>P</w:t>
      </w:r>
      <w:r w:rsidRPr="003B4E48">
        <w:rPr>
          <w:rFonts w:cstheme="minorHAnsi"/>
        </w:rPr>
        <w:t xml:space="preserve"> </w:t>
      </w:r>
      <w:r w:rsidR="005E4FAE" w:rsidRPr="005E4FAE">
        <w:rPr>
          <w:rFonts w:cstheme="minorHAnsi"/>
        </w:rPr>
        <w:t>provides flexible funding that may be used by States and localities for projects to preserve and improve the conditions and performance on any Federal-aid highway, bridge</w:t>
      </w:r>
      <w:r w:rsidR="0030137A">
        <w:rPr>
          <w:rFonts w:cstheme="minorHAnsi"/>
        </w:rPr>
        <w:t>,</w:t>
      </w:r>
      <w:r w:rsidR="005E4FAE" w:rsidRPr="005E4FAE">
        <w:rPr>
          <w:rFonts w:cstheme="minorHAnsi"/>
        </w:rPr>
        <w:t xml:space="preserve"> and tunnel projects on any road</w:t>
      </w:r>
      <w:r w:rsidR="0030137A">
        <w:rPr>
          <w:rFonts w:cstheme="minorHAnsi"/>
        </w:rPr>
        <w:t xml:space="preserve"> classifications higher than rural minor collector</w:t>
      </w:r>
      <w:r w:rsidR="005E4FAE" w:rsidRPr="005E4FAE">
        <w:rPr>
          <w:rFonts w:cstheme="minorHAnsi"/>
        </w:rPr>
        <w:t>, pedestrian and bicycle infrastructure, and transit capital projects, including intercity bus terminals.</w:t>
      </w:r>
    </w:p>
    <w:p w14:paraId="5EB86962" w14:textId="4B45F658" w:rsidR="007668B2" w:rsidRPr="007668B2" w:rsidRDefault="007668B2" w:rsidP="00020D20">
      <w:pPr>
        <w:jc w:val="both"/>
        <w:rPr>
          <w:rFonts w:cstheme="minorHAnsi"/>
        </w:rPr>
      </w:pPr>
      <w:r w:rsidRPr="007668B2">
        <w:rPr>
          <w:rFonts w:cstheme="minorHAnsi"/>
        </w:rPr>
        <w:t xml:space="preserve">ADOT’s FMS prepares ledgers for the federal </w:t>
      </w:r>
      <w:r w:rsidR="0001503D">
        <w:rPr>
          <w:rFonts w:cstheme="minorHAnsi"/>
        </w:rPr>
        <w:t xml:space="preserve">Surface Transportation </w:t>
      </w:r>
      <w:r w:rsidR="00317205">
        <w:rPr>
          <w:rFonts w:cstheme="minorHAnsi"/>
        </w:rPr>
        <w:t xml:space="preserve">Block Group (STBG) </w:t>
      </w:r>
      <w:r w:rsidR="0001503D">
        <w:rPr>
          <w:rFonts w:cstheme="minorHAnsi"/>
        </w:rPr>
        <w:t>Program</w:t>
      </w:r>
      <w:r w:rsidRPr="007668B2">
        <w:rPr>
          <w:rFonts w:cstheme="minorHAnsi"/>
        </w:rPr>
        <w:t xml:space="preserve"> funding</w:t>
      </w:r>
      <w:r w:rsidR="00317205">
        <w:rPr>
          <w:rFonts w:cstheme="minorHAnsi"/>
        </w:rPr>
        <w:t>, as well as other funding sources,</w:t>
      </w:r>
      <w:r w:rsidRPr="007668B2">
        <w:rPr>
          <w:rFonts w:cstheme="minorHAnsi"/>
        </w:rPr>
        <w:t xml:space="preserve"> allocated to Arizona’s MPOs and COGs. The </w:t>
      </w:r>
      <w:r w:rsidR="00E71AD9">
        <w:rPr>
          <w:rFonts w:cstheme="minorHAnsi"/>
        </w:rPr>
        <w:t>monthly</w:t>
      </w:r>
      <w:r w:rsidR="00E71AD9" w:rsidRPr="007668B2">
        <w:rPr>
          <w:rFonts w:cstheme="minorHAnsi"/>
        </w:rPr>
        <w:t xml:space="preserve"> </w:t>
      </w:r>
      <w:r w:rsidRPr="007668B2">
        <w:rPr>
          <w:rFonts w:cstheme="minorHAnsi"/>
        </w:rPr>
        <w:t>ledgers reflect</w:t>
      </w:r>
      <w:r w:rsidR="00317205">
        <w:rPr>
          <w:rFonts w:cstheme="minorHAnsi"/>
        </w:rPr>
        <w:t xml:space="preserve"> actual and</w:t>
      </w:r>
      <w:r w:rsidRPr="007668B2">
        <w:rPr>
          <w:rFonts w:cstheme="minorHAnsi"/>
        </w:rPr>
        <w:t xml:space="preserve"> estimated activity in the current federal fiscal year (FFY).</w:t>
      </w:r>
    </w:p>
    <w:p w14:paraId="63AFAA78" w14:textId="77777777" w:rsidR="007668B2" w:rsidRPr="007668B2" w:rsidRDefault="007668B2" w:rsidP="00020D20">
      <w:pPr>
        <w:pStyle w:val="SubHeading3"/>
        <w:jc w:val="both"/>
      </w:pPr>
      <w:bookmarkStart w:id="414" w:name="_Ref50033382"/>
      <w:r w:rsidRPr="007668B2">
        <w:t>Federal Transit Funds</w:t>
      </w:r>
      <w:bookmarkEnd w:id="414"/>
    </w:p>
    <w:p w14:paraId="652B9D93" w14:textId="6D179A5F" w:rsidR="007668B2" w:rsidRPr="007668B2" w:rsidRDefault="007668B2" w:rsidP="00020D20">
      <w:pPr>
        <w:jc w:val="both"/>
        <w:rPr>
          <w:rFonts w:cstheme="minorHAnsi"/>
        </w:rPr>
      </w:pPr>
      <w:r w:rsidRPr="007668B2">
        <w:rPr>
          <w:rFonts w:cstheme="minorHAnsi"/>
        </w:rPr>
        <w:t>ADOT produces a Public Transportation State Management Plan (PTSMP) that includes information on public transportation funding sources and programs</w:t>
      </w:r>
      <w:r w:rsidRPr="00BF5FDA">
        <w:t xml:space="preserve">. As indicated in the PTSMP, each of the MPOs is eligible for </w:t>
      </w:r>
      <w:hyperlink r:id="rId708" w:history="1">
        <w:r w:rsidRPr="00020D20">
          <w:rPr>
            <w:rStyle w:val="TitleChar"/>
          </w:rPr>
          <w:t>49 U.S.C. §</w:t>
        </w:r>
        <w:r w:rsidR="008216A0" w:rsidRPr="00020D20">
          <w:rPr>
            <w:rStyle w:val="TitleChar"/>
          </w:rPr>
          <w:t xml:space="preserve"> </w:t>
        </w:r>
        <w:r w:rsidRPr="00020D20">
          <w:rPr>
            <w:rStyle w:val="TitleChar"/>
          </w:rPr>
          <w:t>5303</w:t>
        </w:r>
      </w:hyperlink>
      <w:r w:rsidRPr="007668B2">
        <w:rPr>
          <w:rFonts w:cstheme="minorHAnsi"/>
        </w:rPr>
        <w:t xml:space="preserve"> planning assistance and is responsible for coordination of FTA programs within its area. Requests for FTA funding from within a UZA are submitted to the MPO for inclusion in the MPO’s UPWP. The MPO staff reviews each application for coordination, conformity, and fiscal constraint in relation to TIP goals and objectives. </w:t>
      </w:r>
    </w:p>
    <w:p w14:paraId="55490464" w14:textId="27196C79" w:rsidR="007668B2" w:rsidRPr="007668B2" w:rsidRDefault="00EE3133" w:rsidP="00020D20">
      <w:pPr>
        <w:jc w:val="both"/>
        <w:rPr>
          <w:rFonts w:cstheme="minorHAnsi"/>
        </w:rPr>
      </w:pPr>
      <w:r>
        <w:rPr>
          <w:rFonts w:cstheme="minorHAnsi"/>
          <w:noProof/>
        </w:rPr>
        <mc:AlternateContent>
          <mc:Choice Requires="wps">
            <w:drawing>
              <wp:anchor distT="0" distB="0" distL="114300" distR="114300" simplePos="0" relativeHeight="251618345" behindDoc="1" locked="0" layoutInCell="1" allowOverlap="1" wp14:anchorId="69D326A6" wp14:editId="086EC164">
                <wp:simplePos x="0" y="0"/>
                <wp:positionH relativeFrom="column">
                  <wp:posOffset>1483995</wp:posOffset>
                </wp:positionH>
                <wp:positionV relativeFrom="paragraph">
                  <wp:posOffset>1646113</wp:posOffset>
                </wp:positionV>
                <wp:extent cx="1258570" cy="1601470"/>
                <wp:effectExtent l="76200" t="95250" r="74930" b="93980"/>
                <wp:wrapTight wrapText="bothSides">
                  <wp:wrapPolygon edited="0">
                    <wp:start x="-1308" y="-1285"/>
                    <wp:lineTo x="-1308" y="22611"/>
                    <wp:lineTo x="22559" y="22611"/>
                    <wp:lineTo x="22559" y="-1285"/>
                    <wp:lineTo x="-1308" y="-1285"/>
                  </wp:wrapPolygon>
                </wp:wrapTight>
                <wp:docPr id="816286103" name="Text Box 816286103"/>
                <wp:cNvGraphicFramePr/>
                <a:graphic xmlns:a="http://schemas.openxmlformats.org/drawingml/2006/main">
                  <a:graphicData uri="http://schemas.microsoft.com/office/word/2010/wordprocessingShape">
                    <wps:wsp>
                      <wps:cNvSpPr txBox="1"/>
                      <wps:spPr>
                        <a:xfrm>
                          <a:off x="0" y="0"/>
                          <a:ext cx="1258570" cy="16014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99EF041" w14:textId="77777777" w:rsidR="00C6444C" w:rsidRDefault="00C6444C" w:rsidP="00020D20">
                            <w:pPr>
                              <w:jc w:val="center"/>
                            </w:pPr>
                            <w:r>
                              <w:rPr>
                                <w:noProof/>
                              </w:rPr>
                              <w:drawing>
                                <wp:inline distT="0" distB="0" distL="0" distR="0" wp14:anchorId="1C625777" wp14:editId="3F7DC890">
                                  <wp:extent cx="457200" cy="457200"/>
                                  <wp:effectExtent l="0" t="0" r="0" b="0"/>
                                  <wp:docPr id="816286059" name="Picture 81628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173BE15" w14:textId="082DE09E" w:rsidR="00C6444C" w:rsidRPr="00954116" w:rsidRDefault="00C6444C" w:rsidP="00020D20">
                            <w:pPr>
                              <w:pStyle w:val="Calloutboxes"/>
                            </w:pPr>
                            <w:r w:rsidRPr="00394A74">
                              <w:t>ADOT, Public Transportation Division, State Management Plan, Parts I and II:</w:t>
                            </w:r>
                          </w:p>
                          <w:p w14:paraId="399E7765" w14:textId="7D4E5308" w:rsidR="00C6444C" w:rsidRPr="00267D04" w:rsidRDefault="00202C92">
                            <w:pPr>
                              <w:pStyle w:val="Title"/>
                            </w:pPr>
                            <w:hyperlink r:id="rId709" w:history="1">
                              <w:r w:rsidR="00C6444C" w:rsidRPr="00020D20">
                                <w:rPr>
                                  <w:rStyle w:val="Hyperlink"/>
                                  <w:rFonts w:asciiTheme="minorHAnsi" w:hAnsiTheme="minorHAnsi" w:cstheme="majorBidi"/>
                                  <w:i/>
                                  <w:color w:val="CE5B18"/>
                                  <w:u w:val="none"/>
                                </w:rPr>
                                <w:t>https://azdot.gov/sites/default/files/2019/05/2018-adot-state-management-plan.pdf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D326A6" id="Text Box 816286103" o:spid="_x0000_s1185" type="#_x0000_t202" style="position:absolute;left:0;text-align:left;margin-left:116.85pt;margin-top:129.6pt;width:99.1pt;height:126.1pt;z-index:-251698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" fillcolor="#f7f7f7" stroked="f" strokeweight=".5pt">
                <v:shadow on="t" type="perspective" color="black" opacity="26214f" offset="0,0" matrix="66847f,,,66847f"/>
                <v:textbox>
                  <w:txbxContent>
                    <w:p w14:paraId="499EF041" w14:textId="77777777" w:rsidR="00C6444C" w:rsidRDefault="00C6444C" w:rsidP="00020D20">
                      <w:pPr>
                        <w:jc w:val="center"/>
                      </w:pPr>
                      <w:r>
                        <w:rPr>
                          <w:noProof/>
                        </w:rPr>
                        <w:drawing>
                          <wp:inline distT="0" distB="0" distL="0" distR="0" wp14:anchorId="1C625777" wp14:editId="3F7DC890">
                            <wp:extent cx="457200" cy="457200"/>
                            <wp:effectExtent l="0" t="0" r="0" b="0"/>
                            <wp:docPr id="816286059" name="Picture 81628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173BE15" w14:textId="082DE09E" w:rsidR="00C6444C" w:rsidRPr="00954116" w:rsidRDefault="00C6444C" w:rsidP="00020D20">
                      <w:pPr>
                        <w:pStyle w:val="Calloutboxes"/>
                      </w:pPr>
                      <w:r w:rsidRPr="00394A74">
                        <w:t>ADOT, Public Transportation Division, State Management Plan, Parts I and II:</w:t>
                      </w:r>
                    </w:p>
                    <w:p w14:paraId="399E7765" w14:textId="7D4E5308" w:rsidR="00C6444C" w:rsidRPr="00267D04" w:rsidRDefault="00C6444C">
                      <w:pPr>
                        <w:pStyle w:val="Title"/>
                      </w:pPr>
                      <w:hyperlink r:id="rId710" w:history="1">
                        <w:r w:rsidRPr="00020D20">
                          <w:rPr>
                            <w:rStyle w:val="Hyperlink"/>
                            <w:rFonts w:asciiTheme="minorHAnsi" w:hAnsiTheme="minorHAnsi" w:cstheme="majorBidi"/>
                            <w:i/>
                            <w:color w:val="CE5B18"/>
                            <w:u w:val="none"/>
                          </w:rPr>
                          <w:t>https://azdot.gov/sites/default/files/2019/05/2018-adot-state-management-plan.pdf</w:t>
                        </w:r>
                      </w:hyperlink>
                    </w:p>
                  </w:txbxContent>
                </v:textbox>
                <w10:wrap type="tight"/>
              </v:shape>
            </w:pict>
          </mc:Fallback>
        </mc:AlternateContent>
      </w:r>
      <w:r w:rsidR="007668B2" w:rsidRPr="007668B2">
        <w:rPr>
          <w:rFonts w:cstheme="minorHAnsi"/>
        </w:rPr>
        <w:t>For rural areas, ADOT MPD works with the COGs to complete transportation planning functions using SPR funds. ADOT may choose to utilize the SPR funds for transit feasibility studies, short-range transit development plans, capital project assessments, and special studies that include a statewide rural transit needs study and statewide rail inventory and assessment. The COG’s primary role is to assist MPD in coordination and outreach with local agencies and transit providers. MPD takes the lead on coordinating the completion of transit development plans with the COGs and local agencies, and these plans are integrated into the STIP.</w:t>
      </w:r>
      <w:r w:rsidRPr="00EE3133">
        <w:rPr>
          <w:rFonts w:cstheme="minorHAnsi"/>
        </w:rPr>
        <w:t xml:space="preserve"> </w:t>
      </w:r>
    </w:p>
    <w:p w14:paraId="6D3A510F" w14:textId="77777777" w:rsidR="007668B2" w:rsidRPr="007668B2" w:rsidRDefault="007668B2" w:rsidP="00020D20">
      <w:pPr>
        <w:pStyle w:val="SubHeading3"/>
        <w:jc w:val="both"/>
      </w:pPr>
      <w:bookmarkStart w:id="415" w:name="_Ref50033390"/>
      <w:r w:rsidRPr="007668B2">
        <w:t>FTA Section 5303 Funding: Metropolitan Transportation Planning Program</w:t>
      </w:r>
      <w:bookmarkEnd w:id="415"/>
    </w:p>
    <w:p w14:paraId="71449964" w14:textId="33D947B6" w:rsidR="007668B2" w:rsidRPr="007668B2" w:rsidRDefault="00202C92" w:rsidP="00020D20">
      <w:pPr>
        <w:jc w:val="both"/>
        <w:rPr>
          <w:rFonts w:cstheme="minorHAnsi"/>
        </w:rPr>
      </w:pPr>
      <w:hyperlink r:id="rId711" w:history="1">
        <w:r w:rsidR="007668B2" w:rsidRPr="00020D20">
          <w:rPr>
            <w:rStyle w:val="TitleChar"/>
          </w:rPr>
          <w:t>49 U.S.C. § 5303</w:t>
        </w:r>
      </w:hyperlink>
      <w:r w:rsidR="007668B2" w:rsidRPr="00BF5FDA">
        <w:t xml:space="preserve"> provides funding and financial assistance to states and</w:t>
      </w:r>
      <w:r w:rsidR="007668B2" w:rsidRPr="007668B2">
        <w:rPr>
          <w:rFonts w:cstheme="minorHAnsi"/>
        </w:rPr>
        <w:t xml:space="preserve"> local public bodies to support various types of planning. In order to qualify for metropolitan planning funding, an agency must meet MPO eligibility.</w:t>
      </w:r>
    </w:p>
    <w:p w14:paraId="6FBD95B9" w14:textId="4A716984" w:rsidR="007668B2" w:rsidRPr="007668B2" w:rsidRDefault="007668B2" w:rsidP="00020D20">
      <w:pPr>
        <w:jc w:val="both"/>
        <w:rPr>
          <w:rFonts w:cstheme="minorHAnsi"/>
        </w:rPr>
      </w:pPr>
      <w:r w:rsidRPr="007668B2">
        <w:rPr>
          <w:rFonts w:cstheme="minorHAnsi"/>
        </w:rPr>
        <w:t xml:space="preserve">FTA apportions 80 percent of the assistance to the states based on a UZA population formula </w:t>
      </w:r>
      <w:r w:rsidR="00566344">
        <w:rPr>
          <w:rFonts w:cstheme="minorHAnsi"/>
        </w:rPr>
        <w:t>continu</w:t>
      </w:r>
      <w:r w:rsidR="00566344" w:rsidRPr="007668B2">
        <w:rPr>
          <w:rFonts w:cstheme="minorHAnsi"/>
        </w:rPr>
        <w:t xml:space="preserve">ed </w:t>
      </w:r>
      <w:r w:rsidRPr="007668B2">
        <w:rPr>
          <w:rFonts w:cstheme="minorHAnsi"/>
        </w:rPr>
        <w:t xml:space="preserve">by </w:t>
      </w:r>
      <w:r w:rsidR="00566344">
        <w:rPr>
          <w:rFonts w:cstheme="minorHAnsi"/>
        </w:rPr>
        <w:t>FAST Act</w:t>
      </w:r>
      <w:r w:rsidRPr="007668B2">
        <w:rPr>
          <w:rFonts w:cstheme="minorHAnsi"/>
        </w:rPr>
        <w:t>. The state then allocates its funding assistance to the MPOs based on an FTA-approved formula developed by the state in cooperation with MPOs that considers population and provides an appropriate distribution. The</w:t>
      </w:r>
      <w:r w:rsidR="00A35215">
        <w:rPr>
          <w:rFonts w:cstheme="minorHAnsi"/>
        </w:rPr>
        <w:t xml:space="preserve"> </w:t>
      </w:r>
      <w:r w:rsidRPr="007668B2">
        <w:rPr>
          <w:rFonts w:cstheme="minorHAnsi"/>
        </w:rPr>
        <w:t>MPOs must match pro rata the remaining 20 percent.</w:t>
      </w:r>
    </w:p>
    <w:p w14:paraId="5725D8E9" w14:textId="77777777" w:rsidR="007668B2" w:rsidRPr="007668B2" w:rsidRDefault="007668B2" w:rsidP="00020D20">
      <w:pPr>
        <w:pStyle w:val="SubHeading3"/>
        <w:jc w:val="both"/>
      </w:pPr>
      <w:bookmarkStart w:id="416" w:name="_Ref50033394"/>
      <w:r w:rsidRPr="007668B2">
        <w:t>FTA Section 5307 Funding: Urbanized Area Formula Program—Designated Recipient</w:t>
      </w:r>
      <w:bookmarkEnd w:id="416"/>
    </w:p>
    <w:p w14:paraId="61FF427A" w14:textId="52202F8E" w:rsidR="007668B2" w:rsidRPr="007668B2" w:rsidRDefault="007668B2" w:rsidP="00020D20">
      <w:pPr>
        <w:jc w:val="both"/>
        <w:rPr>
          <w:rFonts w:cstheme="minorHAnsi"/>
        </w:rPr>
      </w:pPr>
      <w:r w:rsidRPr="00BF5FDA">
        <w:t>The FTA Section 5307 funding program (</w:t>
      </w:r>
      <w:hyperlink r:id="rId712" w:history="1">
        <w:r w:rsidRPr="00020D20">
          <w:rPr>
            <w:rStyle w:val="TitleChar"/>
          </w:rPr>
          <w:t>49 U.S.C. § 5307</w:t>
        </w:r>
      </w:hyperlink>
      <w:r w:rsidRPr="00BF5FDA">
        <w:t>) makes federal funding available to UZAs and to governors for transit capital and operating</w:t>
      </w:r>
      <w:r w:rsidRPr="007668B2">
        <w:rPr>
          <w:rFonts w:cstheme="minorHAnsi"/>
        </w:rPr>
        <w:t xml:space="preserve"> assistance in UZAs and for transportation-related planning. A UZA is an incorporated area with a population of 50,000 or more that is designated as such by the U.S. Department of Commerce, Bureau of the Census.</w:t>
      </w:r>
    </w:p>
    <w:p w14:paraId="18A62860" w14:textId="4BE4E45C" w:rsidR="007668B2" w:rsidRPr="007668B2" w:rsidRDefault="007668B2" w:rsidP="00020D20">
      <w:pPr>
        <w:jc w:val="both"/>
        <w:rPr>
          <w:rFonts w:cstheme="minorHAnsi"/>
        </w:rPr>
      </w:pPr>
      <w:r w:rsidRPr="007668B2">
        <w:rPr>
          <w:rFonts w:cstheme="minorHAnsi"/>
        </w:rPr>
        <w:t xml:space="preserve">Funding is made available to designated recipients that must be public bodies with the legal authority to receive and dispense federal funds. Governors, responsible local officials, and publicly owned operators of transit services are to designate a recipient to apply for, receive, and dispense funds for TMAs pursuant </w:t>
      </w:r>
      <w:r w:rsidRPr="00BF5FDA">
        <w:t xml:space="preserve">to </w:t>
      </w:r>
      <w:hyperlink r:id="rId713" w:history="1">
        <w:r w:rsidRPr="00020D20">
          <w:rPr>
            <w:rStyle w:val="TitleChar"/>
          </w:rPr>
          <w:t>49 U.S.C. § 5307(a)(2)</w:t>
        </w:r>
      </w:hyperlink>
      <w:r w:rsidRPr="00BF5FDA">
        <w:t>. The governor or governor’s designee is the designated</w:t>
      </w:r>
      <w:r w:rsidRPr="007668B2">
        <w:rPr>
          <w:rFonts w:cstheme="minorHAnsi"/>
        </w:rPr>
        <w:t xml:space="preserve"> recipient for UZAs with populations between 50,000 and 200,000.</w:t>
      </w:r>
    </w:p>
    <w:p w14:paraId="6556AB18" w14:textId="77777777" w:rsidR="00062AC1" w:rsidRPr="00062AC1" w:rsidRDefault="007668B2" w:rsidP="00020D20">
      <w:pPr>
        <w:jc w:val="both"/>
        <w:rPr>
          <w:rFonts w:cstheme="minorHAnsi"/>
        </w:rPr>
      </w:pPr>
      <w:r w:rsidRPr="007668B2">
        <w:rPr>
          <w:rFonts w:cstheme="minorHAnsi"/>
        </w:rPr>
        <w:t>Eligible activities include planning, engineering design, and evaluation of transit projects and other technical transportation-related studies; capital investments in bus and bus-related activities such as replacement of buses, overhaul of buses, rebuilding of buses, crime prevention and security equipment, and construction of maintenance and passenger facilities; and capital</w:t>
      </w:r>
      <w:r>
        <w:rPr>
          <w:rFonts w:cstheme="minorHAnsi"/>
        </w:rPr>
        <w:t xml:space="preserve"> </w:t>
      </w:r>
      <w:r w:rsidR="00062AC1" w:rsidRPr="00062AC1">
        <w:rPr>
          <w:rFonts w:cstheme="minorHAnsi"/>
        </w:rPr>
        <w:t>investments in new and existing fixed guideway systems including rolling stock, overhaul and rebuilding of vehicles, track, signals, communications, and computer hardware and software. All preventive maintenance and some ADA complementary paratransit service costs are considered capital costs. Funds are available the year appropriated plus three years (a total of four years). Administration costs are not eligible to use Section 5307 funds.</w:t>
      </w:r>
    </w:p>
    <w:p w14:paraId="48EEB0BA" w14:textId="77777777" w:rsidR="00062AC1" w:rsidRPr="00062AC1" w:rsidRDefault="00062AC1" w:rsidP="00020D20">
      <w:pPr>
        <w:jc w:val="both"/>
      </w:pPr>
      <w:r w:rsidRPr="00062AC1">
        <w:t xml:space="preserve">For UZAs with populations less than 200,000, operating assistance is an eligible expense. In these areas, at least 1 percent of the funding apportioned to each area must be used for transit enhancement activities such as historic preservation, landscaping, public art, pedestrian access, bicycle access, and enhanced access for persons with disabilities. </w:t>
      </w:r>
    </w:p>
    <w:p w14:paraId="07FEB6D3" w14:textId="77777777" w:rsidR="00062AC1" w:rsidRPr="00062AC1" w:rsidRDefault="00062AC1" w:rsidP="00020D20">
      <w:pPr>
        <w:jc w:val="both"/>
      </w:pPr>
      <w:r w:rsidRPr="00062AC1">
        <w:t>For TMAs, funds are apportioned and flow directly to a designated recipient selected locally to apply for and receive federal funds. For UZAs under 200,000 in population, the funds are apportioned to the governor of each state for distribution based on legislative formulas based on population and population density. For areas with populations of 200,000 and more, the formula is based on a combination of bus revenue vehicle miles, bus passenger miles, fixed guideway revenue vehicle miles, and fixed guideway route miles, as well as population and population density.</w:t>
      </w:r>
    </w:p>
    <w:p w14:paraId="51B87BAB" w14:textId="7DCCFDAA" w:rsidR="00062AC1" w:rsidRPr="00062AC1" w:rsidRDefault="00062AC1" w:rsidP="00020D20">
      <w:pPr>
        <w:jc w:val="both"/>
      </w:pPr>
      <w:r w:rsidRPr="00062AC1">
        <w:t xml:space="preserve">The federal share is not to exceed 80 percent of the net project cost. The federal share may be 90 percent for the cost of vehicle-related equipment attributable to compliance with the ADA and the </w:t>
      </w:r>
      <w:r w:rsidR="00EC3100">
        <w:t xml:space="preserve">Clean </w:t>
      </w:r>
      <w:r w:rsidR="0024345F">
        <w:t>Air Act (</w:t>
      </w:r>
      <w:r w:rsidRPr="00062AC1">
        <w:t>CAA</w:t>
      </w:r>
      <w:r w:rsidR="0024345F">
        <w:t>)</w:t>
      </w:r>
      <w:r w:rsidRPr="00062AC1">
        <w:t>. The federal share may also be 90 percent for projects or portions of projects related to bicycles. The federal share may not exceed 50 percent of the net project cost of operating assistance.</w:t>
      </w:r>
    </w:p>
    <w:p w14:paraId="2D6D1FBF" w14:textId="77777777" w:rsidR="00062AC1" w:rsidRPr="00062AC1" w:rsidRDefault="00062AC1" w:rsidP="00020D20">
      <w:pPr>
        <w:pStyle w:val="Heading2"/>
      </w:pPr>
      <w:bookmarkStart w:id="417" w:name="_Ref50033034"/>
      <w:r w:rsidRPr="00062AC1">
        <w:t>10.5 | INNOVATIVE FUNDING – FEDERAL ASSISTANCE</w:t>
      </w:r>
      <w:bookmarkEnd w:id="417"/>
    </w:p>
    <w:p w14:paraId="4E67A6F2" w14:textId="456FF1F8" w:rsidR="00062AC1" w:rsidRPr="00062AC1" w:rsidRDefault="00062AC1" w:rsidP="00020D20">
      <w:pPr>
        <w:jc w:val="both"/>
        <w:rPr>
          <w:rFonts w:cstheme="minorHAnsi"/>
        </w:rPr>
      </w:pPr>
      <w:r w:rsidRPr="00062AC1">
        <w:rPr>
          <w:rFonts w:cstheme="minorHAnsi"/>
        </w:rPr>
        <w:t xml:space="preserve">USDOT defines innovative finance to include “a combination of techniques and specially designed mechanisms to supplement traditional financing sources and methods.” </w:t>
      </w:r>
      <w:hyperlink r:id="rId714" w:history="1">
        <w:r w:rsidR="002D4F30" w:rsidRPr="002D4F30">
          <w:rPr>
            <w:rStyle w:val="TitleChar"/>
          </w:rPr>
          <w:t>https://www.fhwa.dot.gov/ipd/finance/default.aspx</w:t>
        </w:r>
      </w:hyperlink>
      <w:r w:rsidR="002D4F30" w:rsidRPr="007B6EEE">
        <w:rPr>
          <w:rStyle w:val="TitleChar"/>
        </w:rPr>
        <w:t xml:space="preserve"> </w:t>
      </w:r>
      <w:r w:rsidRPr="00062AC1">
        <w:rPr>
          <w:rFonts w:cstheme="minorHAnsi"/>
        </w:rPr>
        <w:t>These include:</w:t>
      </w:r>
    </w:p>
    <w:p w14:paraId="797C7378" w14:textId="77777777" w:rsidR="00062AC1" w:rsidRPr="00062AC1" w:rsidRDefault="00062AC1" w:rsidP="00020D20">
      <w:pPr>
        <w:pStyle w:val="Body-Bullets"/>
        <w:jc w:val="both"/>
        <w:rPr>
          <w:rFonts w:cstheme="minorHAnsi"/>
        </w:rPr>
      </w:pPr>
      <w:r w:rsidRPr="00062AC1">
        <w:rPr>
          <w:rFonts w:cstheme="minorHAnsi"/>
        </w:rPr>
        <w:t xml:space="preserve">new or nontraditional sources of revenue designed to leverage resources, </w:t>
      </w:r>
    </w:p>
    <w:p w14:paraId="3666AF77" w14:textId="77777777" w:rsidR="00062AC1" w:rsidRPr="00062AC1" w:rsidRDefault="00062AC1" w:rsidP="00020D20">
      <w:pPr>
        <w:pStyle w:val="Body-Bullets"/>
        <w:jc w:val="both"/>
        <w:rPr>
          <w:rFonts w:cstheme="minorHAnsi"/>
        </w:rPr>
      </w:pPr>
      <w:r w:rsidRPr="00062AC1">
        <w:rPr>
          <w:rFonts w:cstheme="minorHAnsi"/>
        </w:rPr>
        <w:t xml:space="preserve">new funds management techniques, and </w:t>
      </w:r>
    </w:p>
    <w:p w14:paraId="1C663F3A" w14:textId="77777777" w:rsidR="00062AC1" w:rsidRPr="00062AC1" w:rsidRDefault="00062AC1" w:rsidP="00020D20">
      <w:pPr>
        <w:pStyle w:val="Body-Bullets"/>
        <w:jc w:val="both"/>
        <w:rPr>
          <w:rFonts w:cstheme="minorHAnsi"/>
        </w:rPr>
      </w:pPr>
      <w:r w:rsidRPr="00062AC1">
        <w:rPr>
          <w:rFonts w:cstheme="minorHAnsi"/>
        </w:rPr>
        <w:t xml:space="preserve">new institutional arrangements. </w:t>
      </w:r>
    </w:p>
    <w:p w14:paraId="19944321" w14:textId="77777777" w:rsidR="00062AC1" w:rsidRPr="00062AC1" w:rsidRDefault="00062AC1" w:rsidP="00020D20">
      <w:pPr>
        <w:jc w:val="both"/>
      </w:pPr>
      <w:r w:rsidRPr="00062AC1">
        <w:t>Innovative financing must be considered, because state and local governments, faced with competing demands on scarce public resources, are challenged by inadequate funding sources to meet growing transportation needs. New sources/mechanisms for generating revenue need to be implemented, or critical projects may face years of delay before funding is available. Nevertheless, innovative financing, in and of itself, does not guarantee resolution of the problem of inadequate funding. Rather, innovative financing requires a close look at a group of tools that can increase the efficiency and flexibility in employing existing resources and managing the timing of their use. The essence of innovative financing is to find ways to leverage existing sources to be able to utilize projected revenues sooner.</w:t>
      </w:r>
    </w:p>
    <w:p w14:paraId="67DFFF29" w14:textId="77777777" w:rsidR="00062AC1" w:rsidRPr="00062AC1" w:rsidRDefault="00062AC1" w:rsidP="00020D20">
      <w:pPr>
        <w:jc w:val="both"/>
      </w:pPr>
      <w:r w:rsidRPr="00062AC1">
        <w:t>The FHWA has defined three categories of tools to assist local entities and project sponsors in securing adequate financing for future projects. Federal debt financing tools, federal credit assistance tools, and federal-aid fund matching tools are described below.</w:t>
      </w:r>
    </w:p>
    <w:p w14:paraId="174CAE40" w14:textId="77777777" w:rsidR="00062AC1" w:rsidRPr="00062AC1" w:rsidRDefault="00062AC1" w:rsidP="00020D20">
      <w:pPr>
        <w:pStyle w:val="Heading3"/>
        <w:jc w:val="both"/>
        <w:rPr>
          <w:rFonts w:cstheme="minorHAnsi"/>
        </w:rPr>
      </w:pPr>
      <w:bookmarkStart w:id="418" w:name="_Ref50033039"/>
      <w:r w:rsidRPr="00062AC1">
        <w:rPr>
          <w:rFonts w:cstheme="minorHAnsi"/>
          <w:szCs w:val="20"/>
        </w:rPr>
        <w:t>10.5.1 | Federal Debt Financing Tools</w:t>
      </w:r>
      <w:bookmarkEnd w:id="418"/>
    </w:p>
    <w:p w14:paraId="5A0A8361" w14:textId="77777777" w:rsidR="00062AC1" w:rsidRPr="00062AC1" w:rsidRDefault="00062AC1" w:rsidP="00020D20">
      <w:pPr>
        <w:jc w:val="both"/>
      </w:pPr>
      <w:r w:rsidRPr="00062AC1">
        <w:t>Federal debt financing tools allow state and local entities to borrow against future expected revenue, particularly federal aid, to better manage and accelerate project delivery. The most common method employed is the securing of future revenue</w:t>
      </w:r>
      <w:r>
        <w:t xml:space="preserve"> </w:t>
      </w:r>
      <w:r w:rsidRPr="00062AC1">
        <w:t>through the issuance of municipal bonds. Proceeds from the bond issuance yield the immediate influx of cash necessary to implement a project or series of projects. The state or local agency retires bond obligations by making principal and interest payments to the investors over time with the stream of revenue coming from grant funding and tax receipts.</w:t>
      </w:r>
    </w:p>
    <w:p w14:paraId="605F0B9C" w14:textId="3E7EEBE8" w:rsidR="00062AC1" w:rsidRPr="00062AC1" w:rsidRDefault="00062AC1" w:rsidP="00020D20">
      <w:pPr>
        <w:jc w:val="both"/>
      </w:pPr>
      <w:r w:rsidRPr="00062AC1">
        <w:t>Although municipal bonds impose interest charges and other debt related costs on the issuers, there also are costs associated with delaying projects, including inflation, lost travel time, freight delays, wasted fuel, and forgone or deferred economic development. Bringing a project to construction more quickly than would otherwise be possible based on the current flow of funds sometimes can offset these costs. FHWA and USDOT have identified, can approve, and will administer three innovative debt instrument tools that can provide additional opportunities to issue debt supported by a future revenue stream.</w:t>
      </w:r>
      <w:r w:rsidR="00317205">
        <w:t xml:space="preserve"> The usage and issuance of these types of debt tools is administered by ADOT FMS.</w:t>
      </w:r>
    </w:p>
    <w:p w14:paraId="394D44AD" w14:textId="345B43B7" w:rsidR="00062AC1" w:rsidRPr="00633560" w:rsidRDefault="00062AC1" w:rsidP="00020D20">
      <w:pPr>
        <w:pStyle w:val="NumberedList"/>
        <w:numPr>
          <w:ilvl w:val="0"/>
          <w:numId w:val="319"/>
        </w:numPr>
        <w:tabs>
          <w:tab w:val="clear" w:pos="720"/>
        </w:tabs>
        <w:ind w:left="720"/>
        <w:jc w:val="both"/>
        <w:rPr>
          <w:b/>
        </w:rPr>
      </w:pPr>
      <w:r w:rsidRPr="00633560">
        <w:rPr>
          <w:b/>
        </w:rPr>
        <w:t>Grant Anticipation Revenue Vehicles (GARVEEs)</w:t>
      </w:r>
      <w:r w:rsidRPr="00062AC1">
        <w:t>—GARVEEs are debt</w:t>
      </w:r>
      <w:r>
        <w:t xml:space="preserve"> </w:t>
      </w:r>
      <w:r w:rsidRPr="00062AC1">
        <w:t>financing instruments, (e.g., bond, note, certificate, mortgage, lease, or other debt financing techniques) pledged on the basis of future Title 23 federal</w:t>
      </w:r>
      <w:r>
        <w:t xml:space="preserve"> </w:t>
      </w:r>
      <w:r w:rsidRPr="00062AC1">
        <w:t>aid funding.</w:t>
      </w:r>
    </w:p>
    <w:p w14:paraId="645074FE" w14:textId="77777777" w:rsidR="00062AC1" w:rsidRPr="00062AC1" w:rsidRDefault="00062AC1" w:rsidP="00020D20">
      <w:pPr>
        <w:pStyle w:val="NumberedList"/>
        <w:tabs>
          <w:tab w:val="clear" w:pos="720"/>
        </w:tabs>
        <w:ind w:left="720"/>
        <w:jc w:val="both"/>
      </w:pPr>
      <w:r w:rsidRPr="006B2139">
        <w:rPr>
          <w:b/>
        </w:rPr>
        <w:t>Private Activity Bonds (PABs)</w:t>
      </w:r>
      <w:r w:rsidRPr="00062AC1">
        <w:t>—PABs permit private involvement in the benefits accruing to tax-exempt municipal bonds. PABs are issued by a public entity that serves as a conduit of funding on behalf of a private entity for highway and freight transfer projects. This tool allows the sponsor of a private project to benefit from the lower financing costs of tax-exempt municipal bonds.</w:t>
      </w:r>
    </w:p>
    <w:p w14:paraId="7DA50D6F" w14:textId="77777777" w:rsidR="00062AC1" w:rsidRPr="00062AC1" w:rsidRDefault="00062AC1" w:rsidP="00020D20">
      <w:pPr>
        <w:pStyle w:val="NumberedList"/>
        <w:tabs>
          <w:tab w:val="clear" w:pos="720"/>
        </w:tabs>
        <w:ind w:left="720"/>
        <w:jc w:val="both"/>
      </w:pPr>
      <w:r w:rsidRPr="005C7FBC">
        <w:rPr>
          <w:b/>
        </w:rPr>
        <w:t>Other Bonding and Debt Instruments</w:t>
      </w:r>
      <w:r w:rsidRPr="00062AC1">
        <w:t>—USDOT and FHWA participate in several other types of bonding and debt instrument tools administered at the state and local levels.</w:t>
      </w:r>
    </w:p>
    <w:p w14:paraId="100151B5" w14:textId="6EF8032D" w:rsidR="00062AC1" w:rsidRPr="00020D20" w:rsidRDefault="00BF5FDA" w:rsidP="00020D20">
      <w:pPr>
        <w:pStyle w:val="Source-Graphic"/>
        <w:jc w:val="both"/>
        <w:rPr>
          <w:rFonts w:cstheme="minorHAnsi"/>
        </w:rPr>
      </w:pPr>
      <w:r>
        <w:rPr>
          <w:rFonts w:cstheme="minorHAnsi"/>
        </w:rPr>
        <w:t>Source:</w:t>
      </w:r>
      <w:r w:rsidR="00D0205D">
        <w:rPr>
          <w:rFonts w:cstheme="minorHAnsi"/>
        </w:rPr>
        <w:t xml:space="preserve"> </w:t>
      </w:r>
      <w:hyperlink r:id="rId715" w:history="1">
        <w:r w:rsidR="002D4F30" w:rsidRPr="00020D20">
          <w:rPr>
            <w:rStyle w:val="TitleChar"/>
            <w:sz w:val="16"/>
            <w:szCs w:val="16"/>
          </w:rPr>
          <w:t>https://www.fhwa.dot.gov/ipd/finance/tools_programs/federal_debt_financing/default.aspx</w:t>
        </w:r>
      </w:hyperlink>
    </w:p>
    <w:p w14:paraId="1DA83837" w14:textId="77777777" w:rsidR="00062AC1" w:rsidRPr="00062AC1" w:rsidRDefault="00062AC1" w:rsidP="00020D20">
      <w:pPr>
        <w:pStyle w:val="Heading3"/>
        <w:jc w:val="both"/>
        <w:rPr>
          <w:rFonts w:cstheme="minorHAnsi"/>
        </w:rPr>
      </w:pPr>
      <w:bookmarkStart w:id="419" w:name="_Ref50033042"/>
      <w:r w:rsidRPr="00062AC1">
        <w:rPr>
          <w:rFonts w:cstheme="minorHAnsi"/>
          <w:szCs w:val="20"/>
        </w:rPr>
        <w:t>10.5.2 | Federal Credit Assistance Tools</w:t>
      </w:r>
      <w:bookmarkEnd w:id="419"/>
    </w:p>
    <w:p w14:paraId="598156F1" w14:textId="77777777" w:rsidR="00062AC1" w:rsidRPr="00062AC1" w:rsidRDefault="00062AC1" w:rsidP="00020D20">
      <w:pPr>
        <w:jc w:val="both"/>
        <w:rPr>
          <w:rFonts w:cstheme="minorHAnsi"/>
        </w:rPr>
      </w:pPr>
      <w:r w:rsidRPr="00062AC1">
        <w:rPr>
          <w:rFonts w:cstheme="minorHAnsi"/>
        </w:rPr>
        <w:t xml:space="preserve">USDOT has developed a number of financing tools to enable project sponsors to access federal credit assistance. The assistance takes one of two forms: </w:t>
      </w:r>
    </w:p>
    <w:p w14:paraId="51F147E5" w14:textId="77777777" w:rsidR="00062AC1" w:rsidRPr="00062AC1" w:rsidRDefault="00062AC1" w:rsidP="00020D20">
      <w:pPr>
        <w:pStyle w:val="NumberedList"/>
        <w:numPr>
          <w:ilvl w:val="0"/>
          <w:numId w:val="324"/>
        </w:numPr>
        <w:ind w:left="720"/>
        <w:jc w:val="both"/>
      </w:pPr>
      <w:r w:rsidRPr="00E71AD9">
        <w:rPr>
          <w:b/>
        </w:rPr>
        <w:t>Loans</w:t>
      </w:r>
      <w:r w:rsidRPr="00062AC1">
        <w:t>—Project sponsors borrow federal highway funds directly from a state DOT or the federal government.</w:t>
      </w:r>
    </w:p>
    <w:p w14:paraId="30600F0F" w14:textId="77777777" w:rsidR="00062AC1" w:rsidRPr="001E4049" w:rsidRDefault="00062AC1" w:rsidP="00020D20">
      <w:pPr>
        <w:pStyle w:val="NumberedList"/>
        <w:numPr>
          <w:ilvl w:val="0"/>
          <w:numId w:val="324"/>
        </w:numPr>
        <w:ind w:left="720"/>
        <w:jc w:val="both"/>
        <w:rPr>
          <w:rFonts w:cstheme="minorHAnsi"/>
        </w:rPr>
      </w:pPr>
      <w:r w:rsidRPr="00FE3DA2">
        <w:rPr>
          <w:rFonts w:cstheme="minorHAnsi"/>
          <w:b/>
        </w:rPr>
        <w:t>Credit Enhancements</w:t>
      </w:r>
      <w:r w:rsidRPr="000D70F2">
        <w:rPr>
          <w:rFonts w:cstheme="minorHAnsi"/>
        </w:rPr>
        <w:t xml:space="preserve">—A state DOT or the federal government makes federal funds available on a contingent (or standby) basis. </w:t>
      </w:r>
    </w:p>
    <w:p w14:paraId="702E7761" w14:textId="77777777" w:rsidR="00062AC1" w:rsidRPr="00062AC1" w:rsidRDefault="00062AC1" w:rsidP="00020D20">
      <w:pPr>
        <w:jc w:val="both"/>
        <w:rPr>
          <w:rFonts w:cstheme="minorHAnsi"/>
        </w:rPr>
      </w:pPr>
      <w:r w:rsidRPr="00062AC1">
        <w:rPr>
          <w:rFonts w:cstheme="minorHAnsi"/>
        </w:rPr>
        <w:t>These loan and credit enhancement tools allow project sponsors to better manage the funding requirements of a project and accelerate project delivery. Federal or state DOT loans provide immediate necessary capital funding for a project, carry lower interest rates, and reduce investor risk. Credit enhancement helps reduce investor risks and, thereby, lowers interest rates to the borrower. The loan mechanism also can serve to provide credit enhancement, as investor risk is lower. USDOT identifies three programs that aid it in moving transportation improvement projects forward at the local level:</w:t>
      </w:r>
    </w:p>
    <w:p w14:paraId="41A6C8A3" w14:textId="77777777" w:rsidR="00062AC1" w:rsidRPr="00062AC1" w:rsidRDefault="00062AC1" w:rsidP="00020D20">
      <w:pPr>
        <w:pStyle w:val="NumberedList"/>
        <w:numPr>
          <w:ilvl w:val="0"/>
          <w:numId w:val="278"/>
        </w:numPr>
        <w:jc w:val="both"/>
      </w:pPr>
      <w:r w:rsidRPr="001B4F45">
        <w:rPr>
          <w:b/>
        </w:rPr>
        <w:t>Transportation Infrastructure Finance and Innovation Act (TIFIA)</w:t>
      </w:r>
      <w:r w:rsidRPr="00062AC1">
        <w:t>—TIFIA provides direct loans, loan guarantees, and standby lines of credit to finance surface transportation projects of national and regional significance.</w:t>
      </w:r>
    </w:p>
    <w:p w14:paraId="366BED8E" w14:textId="77777777" w:rsidR="00062AC1" w:rsidRPr="00062AC1" w:rsidRDefault="00062AC1" w:rsidP="00020D20">
      <w:pPr>
        <w:pStyle w:val="NumberedList"/>
        <w:jc w:val="both"/>
      </w:pPr>
      <w:r w:rsidRPr="005C7FBC">
        <w:rPr>
          <w:b/>
        </w:rPr>
        <w:t>State Infrastructure Banks (SIBs)</w:t>
      </w:r>
      <w:r w:rsidRPr="00062AC1">
        <w:t xml:space="preserve">—SIBs are state-run revolving funds supporting surface transportation projects through loans, credit enhancements, and other forms of non-grant assistance. </w:t>
      </w:r>
    </w:p>
    <w:p w14:paraId="68FD1116" w14:textId="340EF7FB" w:rsidR="007668B2" w:rsidRDefault="00062AC1" w:rsidP="00020D20">
      <w:pPr>
        <w:pStyle w:val="NumberedList"/>
        <w:jc w:val="both"/>
        <w:rPr>
          <w:rFonts w:cstheme="minorHAnsi"/>
        </w:rPr>
      </w:pPr>
      <w:r w:rsidRPr="005C7FBC">
        <w:rPr>
          <w:rFonts w:cstheme="minorHAnsi"/>
          <w:b/>
        </w:rPr>
        <w:t>Section 129 Loans</w:t>
      </w:r>
      <w:r w:rsidRPr="00062AC1">
        <w:rPr>
          <w:rFonts w:cstheme="minorHAnsi"/>
        </w:rPr>
        <w:t>—This financing tool, authorized through</w:t>
      </w:r>
      <w:r w:rsidRPr="00BF5FDA">
        <w:t xml:space="preserve"> Section </w:t>
      </w:r>
      <w:hyperlink r:id="rId716" w:history="1">
        <w:r w:rsidRPr="00BF5FDA">
          <w:t>129 (a)(7) of Title 23</w:t>
        </w:r>
      </w:hyperlink>
      <w:r w:rsidRPr="00BF5FDA">
        <w:t>, Highways, al</w:t>
      </w:r>
      <w:r w:rsidRPr="00062AC1">
        <w:rPr>
          <w:rFonts w:cstheme="minorHAnsi"/>
        </w:rPr>
        <w:t>lows states to lend apportioned Federal</w:t>
      </w:r>
      <w:r>
        <w:rPr>
          <w:rFonts w:cstheme="minorHAnsi"/>
        </w:rPr>
        <w:t xml:space="preserve"> </w:t>
      </w:r>
      <w:r w:rsidRPr="00062AC1">
        <w:rPr>
          <w:rFonts w:cstheme="minorHAnsi"/>
        </w:rPr>
        <w:t>Aid</w:t>
      </w:r>
      <w:r>
        <w:rPr>
          <w:rFonts w:cstheme="minorHAnsi"/>
        </w:rPr>
        <w:t xml:space="preserve"> </w:t>
      </w:r>
      <w:r w:rsidRPr="00062AC1">
        <w:rPr>
          <w:rFonts w:cstheme="minorHAnsi"/>
        </w:rPr>
        <w:t>Highway funds to support projects that will generate a dedicated revenue stream, which can include toll and non-toll projects. This is a variant of the revenue bond, which is supported by revenue generated by the project.</w:t>
      </w:r>
    </w:p>
    <w:p w14:paraId="6F3D7BBD" w14:textId="37CD44E9" w:rsidR="00062AC1" w:rsidRPr="00062AC1" w:rsidRDefault="00062AC1" w:rsidP="00020D20">
      <w:pPr>
        <w:pStyle w:val="Heading2"/>
      </w:pPr>
      <w:bookmarkStart w:id="420" w:name="_Ref50033072"/>
      <w:r w:rsidRPr="00062AC1">
        <w:t xml:space="preserve">10.6 | INNOVATIVE STATE </w:t>
      </w:r>
      <w:r w:rsidR="00957F47">
        <w:t>AND</w:t>
      </w:r>
      <w:r w:rsidRPr="00062AC1">
        <w:t xml:space="preserve"> LOCAL FUNDING</w:t>
      </w:r>
      <w:bookmarkEnd w:id="420"/>
    </w:p>
    <w:p w14:paraId="24C10709" w14:textId="287D2F67" w:rsidR="00062AC1" w:rsidRPr="00062AC1" w:rsidRDefault="00062AC1" w:rsidP="00020D20">
      <w:pPr>
        <w:pStyle w:val="NoSpacing"/>
        <w:tabs>
          <w:tab w:val="left" w:pos="180"/>
          <w:tab w:val="left" w:pos="360"/>
          <w:tab w:val="left" w:pos="540"/>
          <w:tab w:val="left" w:pos="720"/>
        </w:tabs>
        <w:spacing w:before="120" w:after="120" w:line="288" w:lineRule="auto"/>
        <w:jc w:val="both"/>
        <w:rPr>
          <w:rFonts w:cstheme="minorHAnsi"/>
          <w:szCs w:val="20"/>
        </w:rPr>
      </w:pPr>
      <w:r w:rsidRPr="00062AC1">
        <w:rPr>
          <w:rFonts w:cstheme="minorHAnsi"/>
          <w:szCs w:val="20"/>
        </w:rPr>
        <w:t xml:space="preserve">Complications involving revenue streams from the tax sources identified in the previous section make forecasting of local revenues very problematic. </w:t>
      </w:r>
    </w:p>
    <w:p w14:paraId="1C37A409" w14:textId="77777777" w:rsidR="00062AC1" w:rsidRPr="00062AC1" w:rsidRDefault="00062AC1" w:rsidP="00020D20">
      <w:pPr>
        <w:pStyle w:val="NoSpacing"/>
        <w:tabs>
          <w:tab w:val="left" w:pos="180"/>
          <w:tab w:val="left" w:pos="360"/>
          <w:tab w:val="left" w:pos="540"/>
          <w:tab w:val="left" w:pos="720"/>
        </w:tabs>
        <w:spacing w:before="120" w:after="120" w:line="288" w:lineRule="auto"/>
        <w:jc w:val="both"/>
        <w:rPr>
          <w:rFonts w:cstheme="minorHAnsi"/>
          <w:szCs w:val="20"/>
        </w:rPr>
      </w:pPr>
      <w:r w:rsidRPr="00062AC1">
        <w:rPr>
          <w:rFonts w:cstheme="minorHAnsi"/>
          <w:szCs w:val="20"/>
        </w:rPr>
        <w:t xml:space="preserve">There are other options available for the funding of transportation system improvements under year 2013 statutes, such as a county property tax for roads and the use of general funds. These options are rarely used but may become more attractive should the established sources become further restricted. </w:t>
      </w:r>
    </w:p>
    <w:p w14:paraId="1D9CB6DA" w14:textId="77777777" w:rsidR="00062AC1" w:rsidRPr="00062AC1" w:rsidRDefault="00062AC1" w:rsidP="00020D20">
      <w:pPr>
        <w:pStyle w:val="NoSpacing"/>
        <w:tabs>
          <w:tab w:val="left" w:pos="180"/>
          <w:tab w:val="left" w:pos="360"/>
          <w:tab w:val="left" w:pos="540"/>
          <w:tab w:val="left" w:pos="720"/>
        </w:tabs>
        <w:spacing w:before="120" w:after="120" w:line="288" w:lineRule="auto"/>
        <w:jc w:val="both"/>
        <w:rPr>
          <w:rFonts w:cstheme="minorHAnsi"/>
          <w:szCs w:val="20"/>
        </w:rPr>
      </w:pPr>
      <w:r w:rsidRPr="00062AC1">
        <w:rPr>
          <w:rFonts w:cstheme="minorHAnsi"/>
          <w:szCs w:val="20"/>
        </w:rPr>
        <w:t>Regarding state and local innovative funding approaches, there are four general categories: (1) expansion of current local revenue sources, (2) adopting new funding sources already allowed by statutes, (3) new legislation for local options revenue sources, and (4) new shared revenue sources.</w:t>
      </w:r>
    </w:p>
    <w:p w14:paraId="201F8AE9" w14:textId="77777777" w:rsidR="00062AC1" w:rsidRPr="00062AC1" w:rsidRDefault="00062AC1" w:rsidP="00020D20">
      <w:pPr>
        <w:pStyle w:val="Heading3"/>
        <w:jc w:val="both"/>
        <w:rPr>
          <w:rFonts w:cstheme="minorHAnsi"/>
          <w:szCs w:val="20"/>
        </w:rPr>
      </w:pPr>
      <w:bookmarkStart w:id="421" w:name="_Ref50033077"/>
      <w:r w:rsidRPr="00062AC1">
        <w:rPr>
          <w:rFonts w:cstheme="minorHAnsi"/>
          <w:szCs w:val="20"/>
        </w:rPr>
        <w:t>10.6.1 | Current Local Revenue Sources</w:t>
      </w:r>
      <w:bookmarkEnd w:id="421"/>
    </w:p>
    <w:p w14:paraId="7520CB95" w14:textId="040A40B0" w:rsidR="00062AC1" w:rsidRPr="00BF5FDA" w:rsidRDefault="00062AC1" w:rsidP="00020D20">
      <w:pPr>
        <w:jc w:val="both"/>
      </w:pPr>
      <w:r w:rsidRPr="00062AC1">
        <w:rPr>
          <w:rFonts w:cstheme="minorHAnsi"/>
        </w:rPr>
        <w:t xml:space="preserve">Current local revenue sources include property taxes, general sales taxes, construction sales taxes, and development impact fees. Property taxes and sales taxes are part of the general fund and compete with non-transportation services. Roadway impact fees must be earmarked for road capacity projects. Other choices include Improvement Districts (IDs) formed for </w:t>
      </w:r>
      <w:r w:rsidRPr="00BF5FDA">
        <w:t>specific projects and Community Facility Districts (CFDs) formed with new land development. (</w:t>
      </w:r>
      <w:hyperlink r:id="rId717" w:history="1">
        <w:r w:rsidRPr="00020D20">
          <w:rPr>
            <w:rStyle w:val="TitleChar"/>
          </w:rPr>
          <w:t>A.R.S. § 48-510</w:t>
        </w:r>
      </w:hyperlink>
      <w:r w:rsidRPr="00BF5FDA">
        <w:t xml:space="preserve"> et seq. for municipal IDs, </w:t>
      </w:r>
      <w:hyperlink r:id="rId718" w:history="1">
        <w:r w:rsidRPr="00020D20">
          <w:rPr>
            <w:rStyle w:val="TitleChar"/>
          </w:rPr>
          <w:t>A.R.S. § 48-901</w:t>
        </w:r>
      </w:hyperlink>
      <w:r w:rsidRPr="00BF5FDA">
        <w:t xml:space="preserve"> et seq. for county IDs, and</w:t>
      </w:r>
      <w:r w:rsidRPr="00020D20">
        <w:rPr>
          <w:rStyle w:val="TitleChar"/>
        </w:rPr>
        <w:t xml:space="preserve"> </w:t>
      </w:r>
      <w:hyperlink r:id="rId719" w:history="1">
        <w:r w:rsidRPr="00020D20">
          <w:rPr>
            <w:rStyle w:val="TitleChar"/>
          </w:rPr>
          <w:t>A.R.S. § 48-701</w:t>
        </w:r>
      </w:hyperlink>
      <w:r w:rsidRPr="00BF5FDA">
        <w:t xml:space="preserve"> for CFDs)</w:t>
      </w:r>
    </w:p>
    <w:p w14:paraId="062F0327" w14:textId="65905656" w:rsidR="00062AC1" w:rsidRPr="00062AC1" w:rsidRDefault="00062AC1" w:rsidP="00020D20">
      <w:pPr>
        <w:pStyle w:val="Heading3"/>
        <w:jc w:val="both"/>
        <w:rPr>
          <w:rFonts w:cstheme="minorHAnsi"/>
        </w:rPr>
      </w:pPr>
      <w:bookmarkStart w:id="422" w:name="_Ref50033080"/>
      <w:r w:rsidRPr="00062AC1">
        <w:rPr>
          <w:rFonts w:cstheme="minorHAnsi"/>
          <w:szCs w:val="20"/>
        </w:rPr>
        <w:t xml:space="preserve">10.6.2 | Potential Funding Sources Already Allowed </w:t>
      </w:r>
      <w:r w:rsidR="005070BF">
        <w:rPr>
          <w:rFonts w:cstheme="minorHAnsi"/>
          <w:szCs w:val="20"/>
        </w:rPr>
        <w:t>b</w:t>
      </w:r>
      <w:r w:rsidRPr="00062AC1">
        <w:rPr>
          <w:rFonts w:cstheme="minorHAnsi"/>
          <w:szCs w:val="20"/>
        </w:rPr>
        <w:t>y Statutes</w:t>
      </w:r>
      <w:bookmarkEnd w:id="422"/>
      <w:r w:rsidRPr="00062AC1">
        <w:rPr>
          <w:rFonts w:cstheme="minorHAnsi"/>
          <w:szCs w:val="20"/>
        </w:rPr>
        <w:t xml:space="preserve"> </w:t>
      </w:r>
    </w:p>
    <w:p w14:paraId="5498918F" w14:textId="36A1A983" w:rsidR="00062AC1" w:rsidRPr="00062AC1" w:rsidRDefault="00062AC1" w:rsidP="00020D20">
      <w:pPr>
        <w:pStyle w:val="NoSpacing"/>
        <w:tabs>
          <w:tab w:val="left" w:pos="180"/>
          <w:tab w:val="left" w:pos="360"/>
          <w:tab w:val="left" w:pos="540"/>
          <w:tab w:val="left" w:pos="720"/>
        </w:tabs>
        <w:spacing w:before="120" w:after="120" w:line="288" w:lineRule="auto"/>
        <w:jc w:val="both"/>
        <w:rPr>
          <w:rFonts w:cstheme="minorHAnsi"/>
          <w:szCs w:val="20"/>
        </w:rPr>
      </w:pPr>
      <w:r w:rsidRPr="00062AC1">
        <w:rPr>
          <w:rFonts w:cstheme="minorHAnsi"/>
          <w:szCs w:val="20"/>
        </w:rPr>
        <w:t xml:space="preserve">Potential funding sources already allowed by year 2013 statutes include a countywide property tax dedicated for </w:t>
      </w:r>
      <w:r w:rsidRPr="00BF5FDA">
        <w:t>county roads and a county general excise tax to be used to support and enhance countywide services. (</w:t>
      </w:r>
      <w:hyperlink r:id="rId720" w:history="1">
        <w:r w:rsidRPr="00020D20">
          <w:rPr>
            <w:rStyle w:val="TitleChar"/>
          </w:rPr>
          <w:t>A.R.S. § 28-6712</w:t>
        </w:r>
      </w:hyperlink>
      <w:r w:rsidRPr="00BF5FDA">
        <w:t xml:space="preserve"> for the county property tax and </w:t>
      </w:r>
      <w:hyperlink r:id="rId721" w:history="1">
        <w:r w:rsidRPr="00020D20">
          <w:rPr>
            <w:rStyle w:val="TitleChar"/>
          </w:rPr>
          <w:t>A.R.S. § 42-6103</w:t>
        </w:r>
      </w:hyperlink>
      <w:r w:rsidRPr="00BF5FDA">
        <w:t xml:space="preserve"> for the county general excise tax.) These sources require approval by the governing entity (i.e., a county board of supervisors) without a vote by the electorate. Local toll roads are made possible by leveraging ADOT’s public-private partnership (P3) powers to work jointly with other jurisdictions to implement privatized routes. (</w:t>
      </w:r>
      <w:hyperlink r:id="rId722" w:history="1">
        <w:r w:rsidRPr="00020D20">
          <w:rPr>
            <w:rStyle w:val="TitleChar"/>
          </w:rPr>
          <w:t>A.R.S. § 28-7701</w:t>
        </w:r>
      </w:hyperlink>
      <w:r w:rsidRPr="00BF5FDA">
        <w:t xml:space="preserve"> et seq</w:t>
      </w:r>
      <w:r w:rsidRPr="00062AC1">
        <w:rPr>
          <w:rFonts w:cstheme="minorHAnsi"/>
          <w:szCs w:val="20"/>
        </w:rPr>
        <w:t>.)</w:t>
      </w:r>
    </w:p>
    <w:p w14:paraId="7C150319" w14:textId="77777777" w:rsidR="00062AC1" w:rsidRPr="00062AC1" w:rsidRDefault="00062AC1" w:rsidP="00020D20">
      <w:pPr>
        <w:pStyle w:val="Heading3"/>
        <w:jc w:val="both"/>
        <w:rPr>
          <w:rFonts w:cstheme="minorHAnsi"/>
          <w:szCs w:val="20"/>
        </w:rPr>
      </w:pPr>
      <w:bookmarkStart w:id="423" w:name="_Ref50033095"/>
      <w:r w:rsidRPr="00062AC1">
        <w:rPr>
          <w:rFonts w:cstheme="minorHAnsi"/>
          <w:szCs w:val="20"/>
        </w:rPr>
        <w:t>10.6.3 | New Legislation for Local Option Revenue Sources</w:t>
      </w:r>
      <w:bookmarkEnd w:id="423"/>
      <w:r w:rsidRPr="00062AC1">
        <w:rPr>
          <w:rFonts w:cstheme="minorHAnsi"/>
          <w:szCs w:val="20"/>
        </w:rPr>
        <w:t xml:space="preserve"> </w:t>
      </w:r>
    </w:p>
    <w:p w14:paraId="4D24C25A" w14:textId="77777777" w:rsidR="00062AC1" w:rsidRPr="00062AC1" w:rsidRDefault="00062AC1" w:rsidP="00020D20">
      <w:pPr>
        <w:jc w:val="both"/>
        <w:rPr>
          <w:rFonts w:cstheme="minorHAnsi"/>
        </w:rPr>
      </w:pPr>
      <w:r w:rsidRPr="00062AC1">
        <w:rPr>
          <w:rFonts w:cstheme="minorHAnsi"/>
        </w:rPr>
        <w:t>New legislation for local option revenue sources includes measure to enact a sales tax on gasoline purchases, a local per-gallon gas tax, local registration fees, and numerous other options. All of these are used in various parts of the country, and all are currently precluded by Arizona statute. These sources are identified here with a brief summary of the key elements.</w:t>
      </w:r>
    </w:p>
    <w:p w14:paraId="1640E2AB" w14:textId="3FCD0955" w:rsidR="00062AC1" w:rsidRPr="00062AC1" w:rsidRDefault="00062AC1" w:rsidP="00020D20">
      <w:pPr>
        <w:jc w:val="both"/>
        <w:rPr>
          <w:rFonts w:cstheme="minorHAnsi"/>
        </w:rPr>
      </w:pPr>
      <w:r w:rsidRPr="001C4C92">
        <w:rPr>
          <w:rFonts w:cstheme="minorHAnsi"/>
          <w:b/>
        </w:rPr>
        <w:t>Local Option for Levying and Indexing Fuel Taxes—</w:t>
      </w:r>
      <w:r w:rsidRPr="00062AC1">
        <w:rPr>
          <w:rFonts w:cstheme="minorHAnsi"/>
        </w:rPr>
        <w:t xml:space="preserve">As of </w:t>
      </w:r>
      <w:r w:rsidR="00317205">
        <w:rPr>
          <w:rFonts w:cstheme="minorHAnsi"/>
        </w:rPr>
        <w:t>October</w:t>
      </w:r>
      <w:r w:rsidR="00317205" w:rsidRPr="00062AC1">
        <w:rPr>
          <w:rFonts w:cstheme="minorHAnsi"/>
        </w:rPr>
        <w:t xml:space="preserve"> </w:t>
      </w:r>
      <w:r w:rsidR="00317205">
        <w:rPr>
          <w:rFonts w:cstheme="minorHAnsi"/>
        </w:rPr>
        <w:t>2020</w:t>
      </w:r>
      <w:r w:rsidR="00317205" w:rsidRPr="00062AC1">
        <w:rPr>
          <w:rFonts w:cstheme="minorHAnsi"/>
        </w:rPr>
        <w:t xml:space="preserve"> </w:t>
      </w:r>
      <w:r w:rsidRPr="00062AC1">
        <w:rPr>
          <w:rFonts w:cstheme="minorHAnsi"/>
        </w:rPr>
        <w:t xml:space="preserve">in Arizona, only the federal government and the state are authorized to impose fuel taxes on gallons sold. Other states authorize a local option to levy and index fuel taxes on fuels sold in local jurisdictions. This option may include either (1) allowing each incorporated jurisdiction and county to impose the tax or (2) enabling the county to levy and index the tax with distribution of revenues among the local jurisdictions. </w:t>
      </w:r>
    </w:p>
    <w:p w14:paraId="3B62E905" w14:textId="372EB456" w:rsidR="00062AC1" w:rsidRPr="00062AC1" w:rsidRDefault="00062AC1" w:rsidP="00020D20">
      <w:pPr>
        <w:jc w:val="both"/>
        <w:rPr>
          <w:rFonts w:cstheme="minorHAnsi"/>
        </w:rPr>
      </w:pPr>
      <w:r w:rsidRPr="001C4C92">
        <w:rPr>
          <w:rFonts w:cstheme="minorHAnsi"/>
          <w:b/>
        </w:rPr>
        <w:t>Local Option for Levying a Sales Tax on Fuel Sales—</w:t>
      </w:r>
      <w:r w:rsidRPr="00062AC1">
        <w:rPr>
          <w:rFonts w:cstheme="minorHAnsi"/>
        </w:rPr>
        <w:t xml:space="preserve">As of September 2013, fuel sales are exempt from the state and local sales tax </w:t>
      </w:r>
      <w:r w:rsidRPr="00BF5FDA">
        <w:t xml:space="preserve">under </w:t>
      </w:r>
      <w:hyperlink r:id="rId723" w:history="1">
        <w:r w:rsidRPr="00020D20">
          <w:rPr>
            <w:rStyle w:val="TitleChar"/>
          </w:rPr>
          <w:t>A.R.S. §</w:t>
        </w:r>
        <w:r w:rsidR="008216A0" w:rsidRPr="00020D20">
          <w:rPr>
            <w:rStyle w:val="TitleChar"/>
          </w:rPr>
          <w:t xml:space="preserve"> </w:t>
        </w:r>
        <w:r w:rsidRPr="00020D20">
          <w:rPr>
            <w:rStyle w:val="TitleChar"/>
          </w:rPr>
          <w:t>42-5159-A-5</w:t>
        </w:r>
      </w:hyperlink>
      <w:r w:rsidRPr="00BF5FDA">
        <w:t>. Statutes in other states permit local jurisdictions to include fuel sales in the structure of local</w:t>
      </w:r>
      <w:r w:rsidRPr="00062AC1">
        <w:rPr>
          <w:rFonts w:cstheme="minorHAnsi"/>
        </w:rPr>
        <w:t xml:space="preserve"> sales tax collections. This tax is levied against the price of the fuel sales rather than the gallons sold, which automatically indexes the tax to inflation. Again, the sales tax on fuels may be an individual local option of each jurisdiction or a county tax with local distribution.</w:t>
      </w:r>
    </w:p>
    <w:p w14:paraId="5C92482B" w14:textId="77777777" w:rsidR="00062AC1" w:rsidRPr="00062AC1" w:rsidRDefault="00062AC1" w:rsidP="00020D20">
      <w:pPr>
        <w:jc w:val="both"/>
        <w:rPr>
          <w:rFonts w:cstheme="minorHAnsi"/>
        </w:rPr>
      </w:pPr>
      <w:r w:rsidRPr="00A039BA">
        <w:rPr>
          <w:b/>
        </w:rPr>
        <w:t>Local Option for Vehicle License Taxes and Registration Fees—</w:t>
      </w:r>
      <w:r w:rsidRPr="00062AC1">
        <w:rPr>
          <w:rFonts w:cstheme="minorHAnsi"/>
        </w:rPr>
        <w:t>Other states have enabled local jurisdictions to levy vehicle license taxes (VLTs) and/or registration fees. This option also may be levied at the county level with distribution to local jurisdictions.</w:t>
      </w:r>
    </w:p>
    <w:p w14:paraId="72E79447" w14:textId="77777777" w:rsidR="00062AC1" w:rsidRPr="00062AC1" w:rsidRDefault="00062AC1" w:rsidP="00020D20">
      <w:pPr>
        <w:jc w:val="both"/>
        <w:rPr>
          <w:rFonts w:cstheme="minorHAnsi"/>
        </w:rPr>
      </w:pPr>
      <w:r w:rsidRPr="00062AC1">
        <w:rPr>
          <w:rFonts w:cstheme="minorHAnsi"/>
        </w:rPr>
        <w:t>Approval of local options may not be subject to the supermajority requirements of the Arizona Constitution.</w:t>
      </w:r>
    </w:p>
    <w:p w14:paraId="39304EE5" w14:textId="77777777" w:rsidR="00062AC1" w:rsidRPr="00062AC1" w:rsidRDefault="00062AC1" w:rsidP="00020D20">
      <w:pPr>
        <w:pStyle w:val="Heading3"/>
        <w:jc w:val="both"/>
        <w:rPr>
          <w:rFonts w:cstheme="minorHAnsi"/>
        </w:rPr>
      </w:pPr>
      <w:bookmarkStart w:id="424" w:name="_Ref50033099"/>
      <w:r w:rsidRPr="00062AC1">
        <w:rPr>
          <w:rFonts w:cstheme="minorHAnsi"/>
          <w:szCs w:val="20"/>
        </w:rPr>
        <w:t>10.6.4 | New Shared Revenue Sources</w:t>
      </w:r>
      <w:bookmarkEnd w:id="424"/>
      <w:r w:rsidRPr="00062AC1">
        <w:rPr>
          <w:rFonts w:cstheme="minorHAnsi"/>
          <w:szCs w:val="20"/>
        </w:rPr>
        <w:t xml:space="preserve"> </w:t>
      </w:r>
    </w:p>
    <w:p w14:paraId="0D4F7EA3" w14:textId="4A387FDB" w:rsidR="00062AC1" w:rsidRPr="00062AC1" w:rsidRDefault="00062AC1" w:rsidP="00020D20">
      <w:pPr>
        <w:jc w:val="both"/>
        <w:rPr>
          <w:rFonts w:cstheme="minorHAnsi"/>
        </w:rPr>
      </w:pPr>
      <w:r w:rsidRPr="00062AC1">
        <w:rPr>
          <w:rFonts w:cstheme="minorHAnsi"/>
        </w:rPr>
        <w:t>New shared revenue sources include an expansion of any of the Highway User Revenue Fund (HURF) components (e.g., state gas tax, VLT, use fuel tax, registration fees, etc</w:t>
      </w:r>
      <w:r w:rsidR="00BF5FDA">
        <w:rPr>
          <w:rFonts w:cstheme="minorHAnsi"/>
        </w:rPr>
        <w:t>.</w:t>
      </w:r>
      <w:r w:rsidRPr="00062AC1">
        <w:rPr>
          <w:rFonts w:cstheme="minorHAnsi"/>
        </w:rPr>
        <w:t>). An increase in any of the taxes or fees would likely be allocated by HURF formula, which allocates about half to the state and shares the other half among counties and municipalities. Any increases by the state require a supermajority vote of the legislature (highly unlikely) or a simple majority of the electorate through referral or initiative (very difficult).</w:t>
      </w:r>
    </w:p>
    <w:p w14:paraId="3DB9E5B8" w14:textId="77777777" w:rsidR="00062AC1" w:rsidRPr="00062AC1" w:rsidRDefault="00062AC1" w:rsidP="00020D20">
      <w:pPr>
        <w:pStyle w:val="Heading3"/>
        <w:jc w:val="both"/>
        <w:rPr>
          <w:rFonts w:cstheme="minorHAnsi"/>
        </w:rPr>
      </w:pPr>
      <w:bookmarkStart w:id="425" w:name="_Ref50033103"/>
      <w:r w:rsidRPr="00062AC1">
        <w:rPr>
          <w:rFonts w:cstheme="minorHAnsi"/>
          <w:szCs w:val="20"/>
        </w:rPr>
        <w:t>10.6.5 | Road-Use-Based Revenue Sources</w:t>
      </w:r>
      <w:bookmarkEnd w:id="425"/>
    </w:p>
    <w:p w14:paraId="68BA522C" w14:textId="77777777" w:rsidR="00187D2D" w:rsidRDefault="00062AC1" w:rsidP="00020D20">
      <w:pPr>
        <w:jc w:val="both"/>
        <w:rPr>
          <w:rFonts w:cstheme="minorHAnsi"/>
        </w:rPr>
      </w:pPr>
      <w:r w:rsidRPr="00062AC1">
        <w:rPr>
          <w:rFonts w:cstheme="minorHAnsi"/>
        </w:rPr>
        <w:t>Many transportation finance experts predict a switch in the future to greater reliance on road-use-based revenue sources in place of fuel-based sources. Among the possible schemes discussed are mileage-based fees, toll roads, and congestion pricing. The latter two methods of collecting revenue for roadway use already have been implemented in a number of communities within the country. As of September 2013, these revenue sources are not used in Arizona, but they are under consideration by ADOT and the larger metropolitan areas. Jurisdictions are well advised to follow developments relative to these funding sources and be prepared to utilize them should they become available</w:t>
      </w:r>
    </w:p>
    <w:p w14:paraId="77495178" w14:textId="77777777" w:rsidR="00187D2D" w:rsidRDefault="00187D2D" w:rsidP="00020D20">
      <w:pPr>
        <w:jc w:val="both"/>
        <w:rPr>
          <w:rFonts w:cstheme="minorHAnsi"/>
        </w:rPr>
        <w:sectPr w:rsidR="00187D2D" w:rsidSect="00020D20">
          <w:type w:val="continuous"/>
          <w:pgSz w:w="12240" w:h="15840"/>
          <w:pgMar w:top="1440" w:right="1440" w:bottom="1440" w:left="1440" w:header="720" w:footer="720" w:gutter="0"/>
          <w:pgNumType w:chapStyle="1"/>
          <w:cols w:num="2" w:space="720"/>
          <w:docGrid w:linePitch="360"/>
        </w:sectPr>
      </w:pPr>
    </w:p>
    <w:p w14:paraId="6B50429F" w14:textId="58C21F0F" w:rsidR="00904690" w:rsidRDefault="00B07E24" w:rsidP="00020D20">
      <w:pPr>
        <w:pStyle w:val="BodyTextTitle"/>
        <w:spacing w:before="0" w:after="0" w:line="240" w:lineRule="auto"/>
        <w:jc w:val="both"/>
      </w:pPr>
      <w:r>
        <w:t>11</w:t>
      </w:r>
      <w:r w:rsidR="00904690">
        <w:t xml:space="preserve"> </w:t>
      </w:r>
      <w:r>
        <w:t xml:space="preserve">| </w:t>
      </w:r>
      <w:r w:rsidR="00904690" w:rsidRPr="00020D20">
        <w:rPr>
          <w:caps/>
        </w:rPr>
        <w:t xml:space="preserve">Certification of the Metropolitan Transportation Planning Program </w:t>
      </w:r>
    </w:p>
    <w:p w14:paraId="246FA466" w14:textId="76CE81A3" w:rsidR="00B07E24" w:rsidRPr="00020D20" w:rsidRDefault="00B07E24" w:rsidP="00020D20">
      <w:pPr>
        <w:pStyle w:val="BodyTextTitle"/>
        <w:spacing w:before="0" w:line="240" w:lineRule="auto"/>
        <w:jc w:val="both"/>
        <w:rPr>
          <w:sz w:val="36"/>
        </w:rPr>
      </w:pPr>
      <w:r w:rsidRPr="00020D20">
        <w:rPr>
          <w:sz w:val="36"/>
        </w:rPr>
        <w:t>TABLE OF CONTENTS</w:t>
      </w:r>
    </w:p>
    <w:p w14:paraId="4B9154ED" w14:textId="7C0D1618" w:rsidR="00CC4389" w:rsidRDefault="00B82D8F"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_Ref50033688 \h </w:instrText>
      </w:r>
      <w:r w:rsidR="002D38FC">
        <w:instrText xml:space="preserve"> \* MERGEFORMAT </w:instrText>
      </w:r>
      <w:r>
        <w:fldChar w:fldCharType="separate"/>
      </w:r>
      <w:r w:rsidR="001E3483">
        <w:rPr>
          <w:rFonts w:cstheme="minorHAnsi"/>
        </w:rPr>
        <w:t xml:space="preserve">11.1 | </w:t>
      </w:r>
      <w:r w:rsidRPr="006B380E">
        <w:rPr>
          <w:rFonts w:cstheme="minorHAnsi"/>
        </w:rPr>
        <w:t>PURPOSE</w:t>
      </w:r>
      <w:r>
        <w:fldChar w:fldCharType="end"/>
      </w:r>
    </w:p>
    <w:p w14:paraId="6F0C0571" w14:textId="1D157EF2" w:rsidR="00B82D8F" w:rsidRDefault="00B82D8F"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_Ref50033693 \h </w:instrText>
      </w:r>
      <w:r w:rsidR="002D38FC">
        <w:instrText xml:space="preserve"> \* MERGEFORMAT </w:instrText>
      </w:r>
      <w:r>
        <w:fldChar w:fldCharType="separate"/>
      </w:r>
      <w:r w:rsidR="001E3483">
        <w:t xml:space="preserve">11.2 | </w:t>
      </w:r>
      <w:r w:rsidRPr="002F17FB">
        <w:t>AUTHORITY</w:t>
      </w:r>
      <w:r>
        <w:fldChar w:fldCharType="end"/>
      </w:r>
    </w:p>
    <w:p w14:paraId="6DD3B790" w14:textId="5CB3D6DD" w:rsidR="00B82D8F" w:rsidRDefault="00B82D8F"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_Ref50033697 \h </w:instrText>
      </w:r>
      <w:r w:rsidR="002D38FC">
        <w:instrText xml:space="preserve"> \* MERGEFORMAT </w:instrText>
      </w:r>
      <w:r>
        <w:fldChar w:fldCharType="separate"/>
      </w:r>
      <w:r w:rsidR="001E3483">
        <w:rPr>
          <w:rFonts w:cstheme="minorHAnsi"/>
        </w:rPr>
        <w:t xml:space="preserve">11.3 | </w:t>
      </w:r>
      <w:r w:rsidRPr="006B380E">
        <w:rPr>
          <w:rFonts w:cstheme="minorHAnsi"/>
        </w:rPr>
        <w:t>SCOPE</w:t>
      </w:r>
      <w:r>
        <w:fldChar w:fldCharType="end"/>
      </w:r>
    </w:p>
    <w:p w14:paraId="5AA76E5F" w14:textId="7A46CB07" w:rsidR="00B82D8F" w:rsidRDefault="00B82D8F"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_Ref50033700 \h </w:instrText>
      </w:r>
      <w:r w:rsidR="002D38FC">
        <w:instrText xml:space="preserve"> \* MERGEFORMAT </w:instrText>
      </w:r>
      <w:r>
        <w:fldChar w:fldCharType="separate"/>
      </w:r>
      <w:r w:rsidR="001E3483">
        <w:rPr>
          <w:rFonts w:cstheme="minorHAnsi"/>
        </w:rPr>
        <w:t xml:space="preserve">11.4 | </w:t>
      </w:r>
      <w:r w:rsidRPr="006B380E">
        <w:rPr>
          <w:rFonts w:cstheme="minorHAnsi"/>
        </w:rPr>
        <w:t>FEDERAL REVIEW PROCESS</w:t>
      </w:r>
      <w:r>
        <w:fldChar w:fldCharType="end"/>
      </w:r>
    </w:p>
    <w:p w14:paraId="4DBDB19B" w14:textId="08E7B738" w:rsidR="00B82D8F" w:rsidRDefault="006B34E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_Ref50033716 \h </w:instrText>
      </w:r>
      <w:r w:rsidR="002D38FC">
        <w:instrText xml:space="preserve"> \* MERGEFORMAT </w:instrText>
      </w:r>
      <w:r>
        <w:fldChar w:fldCharType="separate"/>
      </w:r>
      <w:r w:rsidRPr="006B380E">
        <w:rPr>
          <w:rFonts w:cstheme="minorHAnsi"/>
        </w:rPr>
        <w:t>11.4.1 | Certification Review Tasks</w:t>
      </w:r>
      <w:r>
        <w:fldChar w:fldCharType="end"/>
      </w:r>
    </w:p>
    <w:p w14:paraId="4032B7BD" w14:textId="3C6C9392" w:rsidR="006B34EC" w:rsidRDefault="006B34E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_Ref50033732 \h </w:instrText>
      </w:r>
      <w:r w:rsidR="002D38FC">
        <w:instrText xml:space="preserve"> \* MERGEFORMAT </w:instrText>
      </w:r>
      <w:r>
        <w:fldChar w:fldCharType="separate"/>
      </w:r>
      <w:r w:rsidRPr="006B380E">
        <w:rPr>
          <w:rFonts w:cstheme="minorHAnsi"/>
        </w:rPr>
        <w:t>11.4.2 | Components of the Review</w:t>
      </w:r>
      <w:r>
        <w:fldChar w:fldCharType="end"/>
      </w:r>
    </w:p>
    <w:p w14:paraId="1AC33CB3" w14:textId="2C6612AB" w:rsidR="00231A9D" w:rsidRDefault="00FB4ED2"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_Ref50033990 \h </w:instrText>
      </w:r>
      <w:r w:rsidR="002D38FC">
        <w:instrText xml:space="preserve"> \* MERGEFORMAT </w:instrText>
      </w:r>
      <w:r>
        <w:fldChar w:fldCharType="separate"/>
      </w:r>
      <w:r w:rsidRPr="006B380E">
        <w:t>Document Review</w:t>
      </w:r>
      <w:r>
        <w:fldChar w:fldCharType="end"/>
      </w:r>
    </w:p>
    <w:p w14:paraId="0514944B" w14:textId="62E700A9" w:rsidR="00231A9D" w:rsidRDefault="00FB4ED2"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_Ref50033996 \h </w:instrText>
      </w:r>
      <w:r w:rsidR="002D38FC">
        <w:instrText xml:space="preserve"> \* MERGEFORMAT </w:instrText>
      </w:r>
      <w:r>
        <w:fldChar w:fldCharType="separate"/>
      </w:r>
      <w:r w:rsidRPr="000B701F">
        <w:t>Site Visit to the TMA</w:t>
      </w:r>
      <w:r>
        <w:fldChar w:fldCharType="end"/>
      </w:r>
    </w:p>
    <w:p w14:paraId="69BB8D3A" w14:textId="53114BBB" w:rsidR="00231A9D" w:rsidRDefault="00832F7B"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_Ref50034141 \h </w:instrText>
      </w:r>
      <w:r w:rsidR="002D38FC">
        <w:instrText xml:space="preserve"> \* MERGEFORMAT </w:instrText>
      </w:r>
      <w:r>
        <w:fldChar w:fldCharType="separate"/>
      </w:r>
      <w:r w:rsidRPr="000B701F">
        <w:t>Written Report</w:t>
      </w:r>
      <w:r>
        <w:fldChar w:fldCharType="end"/>
      </w:r>
    </w:p>
    <w:p w14:paraId="550CB5AD" w14:textId="599313D5" w:rsidR="00231A9D" w:rsidRDefault="00832F7B"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_Ref50034145 \h </w:instrText>
      </w:r>
      <w:r w:rsidR="002D38FC">
        <w:instrText xml:space="preserve"> \* MERGEFORMAT </w:instrText>
      </w:r>
      <w:r>
        <w:fldChar w:fldCharType="separate"/>
      </w:r>
      <w:r w:rsidRPr="000B701F">
        <w:t>Closeout Meeting</w:t>
      </w:r>
      <w:r>
        <w:fldChar w:fldCharType="end"/>
      </w:r>
    </w:p>
    <w:p w14:paraId="0D066306" w14:textId="7A6CB67B" w:rsidR="006B34EC" w:rsidRDefault="006B34EC"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_Ref50033737 \h </w:instrText>
      </w:r>
      <w:r w:rsidR="002D38FC">
        <w:instrText xml:space="preserve"> \* MERGEFORMAT </w:instrText>
      </w:r>
      <w:r>
        <w:fldChar w:fldCharType="separate"/>
      </w:r>
      <w:r w:rsidR="001E3483">
        <w:rPr>
          <w:rFonts w:cstheme="minorHAnsi"/>
        </w:rPr>
        <w:t xml:space="preserve">11.5 | </w:t>
      </w:r>
      <w:r w:rsidRPr="000B701F">
        <w:rPr>
          <w:rFonts w:cstheme="minorHAnsi"/>
        </w:rPr>
        <w:t>REVIEW TOPICS</w:t>
      </w:r>
      <w:r>
        <w:fldChar w:fldCharType="end"/>
      </w:r>
    </w:p>
    <w:p w14:paraId="7A21FF21" w14:textId="37A1804C" w:rsidR="00DC0F07" w:rsidRDefault="00DC0F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_Ref50033751 \h </w:instrText>
      </w:r>
      <w:r w:rsidR="002D38FC">
        <w:instrText xml:space="preserve"> \* MERGEFORMAT </w:instrText>
      </w:r>
      <w:r>
        <w:fldChar w:fldCharType="separate"/>
      </w:r>
      <w:r w:rsidR="001E3483">
        <w:rPr>
          <w:rFonts w:cstheme="minorHAnsi"/>
        </w:rPr>
        <w:t xml:space="preserve">11.6 | </w:t>
      </w:r>
      <w:r w:rsidRPr="000B701F">
        <w:rPr>
          <w:rFonts w:cstheme="minorHAnsi"/>
        </w:rPr>
        <w:t>FEDERAL ACTIONS</w:t>
      </w:r>
      <w:r>
        <w:fldChar w:fldCharType="end"/>
      </w:r>
    </w:p>
    <w:p w14:paraId="7A8A86B4" w14:textId="49C3C7F0" w:rsidR="00DC0F07" w:rsidRDefault="00DC0F0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_Ref50033763 \h </w:instrText>
      </w:r>
      <w:r w:rsidR="002D38FC">
        <w:instrText xml:space="preserve"> \* MERGEFORMAT </w:instrText>
      </w:r>
      <w:r>
        <w:fldChar w:fldCharType="separate"/>
      </w:r>
      <w:r w:rsidRPr="000B701F">
        <w:rPr>
          <w:rFonts w:cstheme="minorHAnsi"/>
        </w:rPr>
        <w:t>11.6.1 | TMA Meets Requirements</w:t>
      </w:r>
      <w:r>
        <w:fldChar w:fldCharType="end"/>
      </w:r>
    </w:p>
    <w:p w14:paraId="4B1D8CFE" w14:textId="76DA2457" w:rsidR="00DC0F07" w:rsidRDefault="00DC0F0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_Ref50033766 \h </w:instrText>
      </w:r>
      <w:r w:rsidR="002D38FC">
        <w:instrText xml:space="preserve"> \* MERGEFORMAT </w:instrText>
      </w:r>
      <w:r>
        <w:fldChar w:fldCharType="separate"/>
      </w:r>
      <w:r w:rsidRPr="000B701F">
        <w:rPr>
          <w:rFonts w:cstheme="minorHAnsi"/>
        </w:rPr>
        <w:t>11.6.2 | TMA Does Not Meet Requirements</w:t>
      </w:r>
      <w:r>
        <w:fldChar w:fldCharType="end"/>
      </w:r>
    </w:p>
    <w:p w14:paraId="2DC52428" w14:textId="29B11BDD" w:rsidR="00DC0F07" w:rsidRDefault="00DC0F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_Ref50033772 \h </w:instrText>
      </w:r>
      <w:r w:rsidR="002D38FC">
        <w:instrText xml:space="preserve"> \* MERGEFORMAT </w:instrText>
      </w:r>
      <w:r>
        <w:fldChar w:fldCharType="separate"/>
      </w:r>
      <w:r w:rsidR="001E3483">
        <w:rPr>
          <w:rFonts w:cstheme="minorHAnsi"/>
        </w:rPr>
        <w:t xml:space="preserve">11.7 | </w:t>
      </w:r>
      <w:r w:rsidRPr="000B701F">
        <w:rPr>
          <w:rFonts w:cstheme="minorHAnsi"/>
        </w:rPr>
        <w:t>GUIDELINES FOR PUBLIC INVOLVEMENT</w:t>
      </w:r>
      <w:r>
        <w:fldChar w:fldCharType="end"/>
      </w:r>
    </w:p>
    <w:p w14:paraId="21FD8C50" w14:textId="77777777" w:rsidR="00492D0B" w:rsidRDefault="00CC4389"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A429CC">
          <w:footerReference w:type="default" r:id="rId724"/>
          <w:pgSz w:w="12240" w:h="15840"/>
          <w:pgMar w:top="1440" w:right="1440" w:bottom="1440" w:left="1440" w:header="720" w:footer="720" w:gutter="0"/>
          <w:pgNumType w:start="1" w:chapStyle="1"/>
          <w:cols w:space="720"/>
          <w:docGrid w:linePitch="360"/>
        </w:sectPr>
      </w:pPr>
      <w:r>
        <w:br w:type="page"/>
      </w:r>
    </w:p>
    <w:p w14:paraId="142EC3D6" w14:textId="03E3943D" w:rsidR="006B380E" w:rsidRPr="006B380E" w:rsidRDefault="006B380E" w:rsidP="00020D20">
      <w:pPr>
        <w:pStyle w:val="Heading1"/>
        <w:tabs>
          <w:tab w:val="left" w:pos="360"/>
        </w:tabs>
        <w:jc w:val="both"/>
      </w:pPr>
      <w:bookmarkStart w:id="426" w:name="_|_Certification_of"/>
      <w:bookmarkStart w:id="427" w:name="_Toc49862238"/>
      <w:bookmarkStart w:id="428" w:name="_Toc49870632"/>
      <w:bookmarkStart w:id="429" w:name="_Toc50540238"/>
      <w:bookmarkEnd w:id="426"/>
      <w:r w:rsidRPr="006B380E">
        <w:t>|</w:t>
      </w:r>
      <w:r w:rsidR="000E518A">
        <w:t xml:space="preserve"> </w:t>
      </w:r>
      <w:r w:rsidR="00CC6EB5">
        <w:t>Certification of the Metropolitan Transportation Planning Program</w:t>
      </w:r>
      <w:bookmarkEnd w:id="427"/>
      <w:bookmarkEnd w:id="428"/>
      <w:bookmarkEnd w:id="429"/>
    </w:p>
    <w:p w14:paraId="1CC9D029" w14:textId="77777777" w:rsidR="00D95AC8" w:rsidRDefault="00D95AC8" w:rsidP="00020D20">
      <w:pPr>
        <w:jc w:val="both"/>
        <w:rPr>
          <w:rFonts w:cstheme="minorHAnsi"/>
        </w:rPr>
        <w:sectPr w:rsidR="00D95AC8" w:rsidSect="00020D20">
          <w:footerReference w:type="default" r:id="rId725"/>
          <w:type w:val="continuous"/>
          <w:pgSz w:w="12240" w:h="15840"/>
          <w:pgMar w:top="1440" w:right="1440" w:bottom="1440" w:left="1440" w:header="720" w:footer="720" w:gutter="0"/>
          <w:pgNumType w:start="1" w:chapStyle="1"/>
          <w:cols w:space="720"/>
          <w:docGrid w:linePitch="360"/>
        </w:sectPr>
      </w:pPr>
    </w:p>
    <w:p w14:paraId="50C67660" w14:textId="52442EF2" w:rsidR="006B380E" w:rsidRPr="006B380E" w:rsidRDefault="006B380E" w:rsidP="00020D20">
      <w:pPr>
        <w:pStyle w:val="Heading2"/>
      </w:pPr>
      <w:bookmarkStart w:id="430" w:name="_Ref50033688"/>
      <w:r w:rsidRPr="006B380E">
        <w:t>11.1 | PURPOSE</w:t>
      </w:r>
      <w:bookmarkEnd w:id="430"/>
    </w:p>
    <w:p w14:paraId="68B82D4B" w14:textId="77777777" w:rsidR="006B380E" w:rsidRPr="006B380E" w:rsidRDefault="006B380E" w:rsidP="00020D20">
      <w:pPr>
        <w:jc w:val="both"/>
        <w:rPr>
          <w:rFonts w:cstheme="minorHAnsi"/>
        </w:rPr>
      </w:pPr>
      <w:r w:rsidRPr="006B380E">
        <w:rPr>
          <w:rFonts w:cstheme="minorHAnsi"/>
        </w:rPr>
        <w:t>This chapter provides guidance to ADOT and the TMAs on the certification of the metropolitan transportation planning process conducted by the FHWA, and FTA. It is intended for use by ADOT and TMA staff to assist them in carrying out the federal certification requirements.</w:t>
      </w:r>
    </w:p>
    <w:p w14:paraId="7CAE9013" w14:textId="77777777" w:rsidR="006B380E" w:rsidRPr="006B380E" w:rsidRDefault="006B380E" w:rsidP="00020D20">
      <w:pPr>
        <w:pStyle w:val="Heading2"/>
      </w:pPr>
      <w:bookmarkStart w:id="431" w:name="_Ref50033693"/>
      <w:r w:rsidRPr="006B380E">
        <w:t>11.2 | </w:t>
      </w:r>
      <w:r w:rsidRPr="002F17FB">
        <w:t>AUTHORITY</w:t>
      </w:r>
      <w:bookmarkEnd w:id="431"/>
    </w:p>
    <w:p w14:paraId="4FDA3671" w14:textId="4FF81945" w:rsidR="006B380E" w:rsidRPr="006B380E" w:rsidRDefault="006B380E" w:rsidP="00020D20">
      <w:pPr>
        <w:jc w:val="both"/>
        <w:rPr>
          <w:rFonts w:cstheme="minorHAnsi"/>
        </w:rPr>
      </w:pPr>
      <w:r w:rsidRPr="006B380E">
        <w:rPr>
          <w:rFonts w:cstheme="minorHAnsi"/>
        </w:rPr>
        <w:t xml:space="preserve">According </w:t>
      </w:r>
      <w:r w:rsidRPr="00BF5FDA">
        <w:t xml:space="preserve">to </w:t>
      </w:r>
      <w:hyperlink r:id="rId726" w:history="1">
        <w:r w:rsidRPr="00020D20">
          <w:rPr>
            <w:rStyle w:val="TitleChar"/>
          </w:rPr>
          <w:t>23 U.S.C. § 134(k)(5)</w:t>
        </w:r>
      </w:hyperlink>
      <w:r w:rsidRPr="00BF5FDA">
        <w:t xml:space="preserve">, TMAs must have their planning process certified by the federal government every four years. </w:t>
      </w:r>
      <w:hyperlink r:id="rId727" w:history="1">
        <w:r w:rsidRPr="00020D20">
          <w:rPr>
            <w:rStyle w:val="TitleChar"/>
          </w:rPr>
          <w:t xml:space="preserve">23 </w:t>
        </w:r>
        <w:r w:rsidR="009628C0">
          <w:rPr>
            <w:rStyle w:val="TitleChar"/>
          </w:rPr>
          <w:t xml:space="preserve">C.F.R. </w:t>
        </w:r>
        <w:r w:rsidRPr="00020D20">
          <w:rPr>
            <w:rStyle w:val="TitleChar"/>
          </w:rPr>
          <w:t>§ 450.334</w:t>
        </w:r>
      </w:hyperlink>
      <w:r w:rsidRPr="00BF5FDA">
        <w:t xml:space="preserve"> requires that the state and </w:t>
      </w:r>
      <w:r w:rsidR="00DF4621">
        <w:t>TMA</w:t>
      </w:r>
      <w:r w:rsidR="00DF4621" w:rsidRPr="00BF5FDA">
        <w:t xml:space="preserve"> </w:t>
      </w:r>
      <w:r w:rsidRPr="00BF5FDA">
        <w:t xml:space="preserve">annually certify the </w:t>
      </w:r>
      <w:r w:rsidR="00DF4621">
        <w:t>TMA’s</w:t>
      </w:r>
      <w:r w:rsidR="00DF4621" w:rsidRPr="00BF5FDA">
        <w:t xml:space="preserve"> </w:t>
      </w:r>
      <w:r w:rsidRPr="00BF5FDA">
        <w:t>planning process</w:t>
      </w:r>
      <w:r w:rsidR="00035746">
        <w:t>, including non-TMA regions within jurisdiction</w:t>
      </w:r>
      <w:r w:rsidRPr="006B380E">
        <w:rPr>
          <w:rFonts w:cstheme="minorHAnsi"/>
        </w:rPr>
        <w:t>. The purpose of certification is to make sure that the metropolitan planning process of a particular area addresses the major transportation issues and is conducted in accordance with the codes, regulations, and statutes outlined in table 11-1.</w:t>
      </w:r>
      <w:r w:rsidR="00D50B73" w:rsidRPr="00D50B73">
        <w:rPr>
          <w:rFonts w:cstheme="minorHAnsi"/>
        </w:rPr>
        <w:t xml:space="preserve"> </w:t>
      </w:r>
    </w:p>
    <w:p w14:paraId="01676B8A" w14:textId="3F7F00C0" w:rsidR="006B380E" w:rsidRPr="006B380E" w:rsidRDefault="006B380E" w:rsidP="00020D20">
      <w:pPr>
        <w:pStyle w:val="Heading2"/>
      </w:pPr>
      <w:bookmarkStart w:id="432" w:name="_Ref50033697"/>
      <w:r w:rsidRPr="006B380E">
        <w:t>11.3 | SCOPE</w:t>
      </w:r>
      <w:bookmarkEnd w:id="432"/>
    </w:p>
    <w:p w14:paraId="7795427B" w14:textId="70A616B9" w:rsidR="006B380E" w:rsidRPr="006B380E" w:rsidRDefault="006B380E" w:rsidP="00020D20">
      <w:pPr>
        <w:jc w:val="both"/>
        <w:rPr>
          <w:rFonts w:cstheme="minorHAnsi"/>
          <w:b/>
        </w:rPr>
      </w:pPr>
      <w:r w:rsidRPr="006B380E">
        <w:rPr>
          <w:rFonts w:cstheme="minorHAnsi"/>
        </w:rPr>
        <w:t xml:space="preserve">Federal law and regulation require ADOT and the TMAs to jointly certify the transportation planning process for the metropolitan area on an annual basis, concurrent with the submittal of the TIP to FHWA. Additionally, federal law and regulation require that FHWA review and evaluate the transportation planning process for MPOs in TMAs (i.e., UZAs with Census populations greater than 200,000) no less than once every four years. </w:t>
      </w:r>
    </w:p>
    <w:p w14:paraId="34244F1D" w14:textId="77777777" w:rsidR="006B380E" w:rsidRPr="006B380E" w:rsidRDefault="006B380E" w:rsidP="00020D20">
      <w:pPr>
        <w:pStyle w:val="Heading2"/>
      </w:pPr>
      <w:bookmarkStart w:id="433" w:name="_Ref50033700"/>
      <w:r w:rsidRPr="006B380E">
        <w:t>11.4 | FEDERAL REVIEW PROCESS</w:t>
      </w:r>
      <w:bookmarkEnd w:id="433"/>
    </w:p>
    <w:p w14:paraId="6FFBD63C" w14:textId="3508FD25" w:rsidR="006B380E" w:rsidRPr="006B380E" w:rsidRDefault="006B380E" w:rsidP="00020D20">
      <w:pPr>
        <w:jc w:val="both"/>
        <w:rPr>
          <w:rFonts w:cstheme="minorHAnsi"/>
        </w:rPr>
      </w:pPr>
      <w:r w:rsidRPr="006B380E">
        <w:rPr>
          <w:rFonts w:cstheme="minorHAnsi"/>
        </w:rPr>
        <w:t xml:space="preserve">Federal law requires that the FHWA and the FTA certify that the metropolitan transportation planning process in TMAs is carried out in accordance with applicable provisions of federal law at least once </w:t>
      </w:r>
      <w:r w:rsidRPr="00BF5FDA">
        <w:t>every four years (</w:t>
      </w:r>
      <w:hyperlink r:id="rId728" w:history="1">
        <w:r w:rsidR="00C63A59" w:rsidRPr="00020D20">
          <w:rPr>
            <w:rStyle w:val="TitleChar"/>
          </w:rPr>
          <w:t>23 U.S.C. § 134(k)(5)</w:t>
        </w:r>
      </w:hyperlink>
      <w:r w:rsidRPr="00BF5FDA">
        <w:t xml:space="preserve"> and </w:t>
      </w:r>
      <w:hyperlink r:id="rId729" w:history="1">
        <w:r w:rsidRPr="00020D20">
          <w:rPr>
            <w:rStyle w:val="TitleChar"/>
          </w:rPr>
          <w:t>49 U.S.C. § 5305(e)</w:t>
        </w:r>
      </w:hyperlink>
      <w:r w:rsidRPr="00BF5FDA">
        <w:t>). The schedule for federal TMA certification reviews is published annually in the</w:t>
      </w:r>
      <w:r w:rsidRPr="006B380E">
        <w:rPr>
          <w:rFonts w:cstheme="minorHAnsi"/>
        </w:rPr>
        <w:t xml:space="preserve"> Federal Register and announced in writing to the TMAs by the Arizona Division of the FHWA. The FHWA and the FTA conduct these certifications on a multiyear cycle, thereby ensuring that the TMAs in this category are federally certified at least every four years. </w:t>
      </w:r>
    </w:p>
    <w:p w14:paraId="2B56BFAC" w14:textId="77777777" w:rsidR="006B380E" w:rsidRPr="006B380E" w:rsidRDefault="006B380E" w:rsidP="00020D20">
      <w:pPr>
        <w:pStyle w:val="Heading3"/>
        <w:jc w:val="both"/>
        <w:rPr>
          <w:rFonts w:cstheme="minorHAnsi"/>
          <w:szCs w:val="20"/>
        </w:rPr>
      </w:pPr>
      <w:bookmarkStart w:id="434" w:name="_Ref50033716"/>
      <w:r w:rsidRPr="006B380E">
        <w:rPr>
          <w:rFonts w:cstheme="minorHAnsi"/>
          <w:szCs w:val="20"/>
        </w:rPr>
        <w:t>11.4.1 | Certification Review Tasks</w:t>
      </w:r>
      <w:bookmarkEnd w:id="434"/>
    </w:p>
    <w:p w14:paraId="3A03F756" w14:textId="77777777" w:rsidR="006B380E" w:rsidRPr="006B380E" w:rsidRDefault="006B380E" w:rsidP="00020D20">
      <w:pPr>
        <w:jc w:val="both"/>
        <w:rPr>
          <w:rFonts w:cstheme="minorHAnsi"/>
        </w:rPr>
      </w:pPr>
      <w:r w:rsidRPr="006B380E">
        <w:rPr>
          <w:rFonts w:cstheme="minorHAnsi"/>
        </w:rPr>
        <w:t>In general, the federal certification review process is continuous and includes five major tasks:</w:t>
      </w:r>
    </w:p>
    <w:p w14:paraId="45346D84" w14:textId="470E25E9" w:rsidR="006B380E" w:rsidRPr="006B380E" w:rsidRDefault="006B380E" w:rsidP="00020D20">
      <w:pPr>
        <w:pStyle w:val="Body-Bullets"/>
        <w:jc w:val="both"/>
        <w:rPr>
          <w:rFonts w:cstheme="minorHAnsi"/>
        </w:rPr>
      </w:pPr>
      <w:r w:rsidRPr="006B380E">
        <w:rPr>
          <w:rFonts w:cstheme="minorHAnsi"/>
        </w:rPr>
        <w:t>Certification reviews of TMA’s at least once every four years;</w:t>
      </w:r>
    </w:p>
    <w:p w14:paraId="075A418A" w14:textId="3CA8FD8D" w:rsidR="006B380E" w:rsidRPr="006B380E" w:rsidRDefault="006B380E" w:rsidP="00020D20">
      <w:pPr>
        <w:pStyle w:val="Body-Bullets"/>
        <w:jc w:val="both"/>
        <w:rPr>
          <w:rFonts w:cstheme="minorHAnsi"/>
        </w:rPr>
      </w:pPr>
      <w:r w:rsidRPr="006B380E">
        <w:rPr>
          <w:rFonts w:cstheme="minorHAnsi"/>
        </w:rPr>
        <w:t>Review and approval of the UPWPs;</w:t>
      </w:r>
    </w:p>
    <w:p w14:paraId="2C9103C8" w14:textId="77777777" w:rsidR="006B380E" w:rsidRPr="006B380E" w:rsidRDefault="006B380E" w:rsidP="00020D20">
      <w:pPr>
        <w:pStyle w:val="Body-Bullets"/>
        <w:jc w:val="both"/>
        <w:rPr>
          <w:rFonts w:cstheme="minorHAnsi"/>
        </w:rPr>
      </w:pPr>
      <w:r w:rsidRPr="006B380E">
        <w:rPr>
          <w:rFonts w:cstheme="minorHAnsi"/>
        </w:rPr>
        <w:t>Review of adopted metropolitan RTPs;</w:t>
      </w:r>
    </w:p>
    <w:p w14:paraId="524ACF6B" w14:textId="77777777" w:rsidR="006B380E" w:rsidRPr="006B380E" w:rsidRDefault="006B380E" w:rsidP="00020D20">
      <w:pPr>
        <w:pStyle w:val="Body-Bullets"/>
        <w:jc w:val="both"/>
        <w:rPr>
          <w:rFonts w:cstheme="minorHAnsi"/>
        </w:rPr>
      </w:pPr>
      <w:r w:rsidRPr="006B380E">
        <w:rPr>
          <w:rFonts w:cstheme="minorHAnsi"/>
        </w:rPr>
        <w:t>Review of metropolitan TIPs and the 3-C planning process; and</w:t>
      </w:r>
    </w:p>
    <w:p w14:paraId="1B042BD1" w14:textId="77777777" w:rsidR="006B380E" w:rsidRPr="006B380E" w:rsidRDefault="006B380E" w:rsidP="00020D20">
      <w:pPr>
        <w:pStyle w:val="Body-Bullets"/>
        <w:jc w:val="both"/>
        <w:rPr>
          <w:rFonts w:cstheme="minorHAnsi"/>
        </w:rPr>
      </w:pPr>
      <w:bookmarkStart w:id="435" w:name="_Ref50033719"/>
      <w:r w:rsidRPr="006B380E">
        <w:rPr>
          <w:rFonts w:cstheme="minorHAnsi"/>
        </w:rPr>
        <w:t>Issuance of a planning finding before the approval of the STIP.</w:t>
      </w:r>
      <w:bookmarkEnd w:id="435"/>
    </w:p>
    <w:p w14:paraId="0A11B2A4" w14:textId="77777777" w:rsidR="006B380E" w:rsidRPr="006B380E" w:rsidRDefault="006B380E" w:rsidP="00020D20">
      <w:pPr>
        <w:pStyle w:val="Heading3"/>
        <w:jc w:val="both"/>
        <w:rPr>
          <w:rFonts w:cstheme="minorHAnsi"/>
          <w:szCs w:val="20"/>
        </w:rPr>
      </w:pPr>
      <w:bookmarkStart w:id="436" w:name="_Ref50033732"/>
      <w:r w:rsidRPr="006B380E">
        <w:rPr>
          <w:rFonts w:cstheme="minorHAnsi"/>
          <w:szCs w:val="20"/>
        </w:rPr>
        <w:t>11.4.2 | Components of the Review</w:t>
      </w:r>
      <w:bookmarkEnd w:id="436"/>
    </w:p>
    <w:p w14:paraId="63FEFC84" w14:textId="77777777" w:rsidR="006B380E" w:rsidRPr="006B380E" w:rsidRDefault="006B380E" w:rsidP="00020D20">
      <w:pPr>
        <w:jc w:val="both"/>
        <w:rPr>
          <w:rFonts w:cstheme="minorHAnsi"/>
        </w:rPr>
      </w:pPr>
      <w:r w:rsidRPr="006B380E">
        <w:rPr>
          <w:rFonts w:cstheme="minorHAnsi"/>
        </w:rPr>
        <w:t xml:space="preserve">The FHWA must contact the TMA and the district to schedule the certification review of the metropolitan planning process two months prior to the certification review. The certification review consists of four parts: </w:t>
      </w:r>
      <w:r w:rsidRPr="00C63A59">
        <w:rPr>
          <w:rFonts w:cstheme="minorHAnsi"/>
          <w:b/>
        </w:rPr>
        <w:t>Document Review, Site Visit, Written Report,</w:t>
      </w:r>
      <w:r w:rsidRPr="006B380E">
        <w:rPr>
          <w:rFonts w:cstheme="minorHAnsi"/>
        </w:rPr>
        <w:t xml:space="preserve"> and </w:t>
      </w:r>
      <w:r w:rsidRPr="00C63A59">
        <w:rPr>
          <w:rFonts w:cstheme="minorHAnsi"/>
          <w:b/>
        </w:rPr>
        <w:t>Closeout Meeting</w:t>
      </w:r>
      <w:r w:rsidRPr="006B380E">
        <w:rPr>
          <w:rFonts w:cstheme="minorHAnsi"/>
        </w:rPr>
        <w:t>.</w:t>
      </w:r>
    </w:p>
    <w:p w14:paraId="482A43F9" w14:textId="77777777" w:rsidR="006B380E" w:rsidRPr="006B380E" w:rsidRDefault="006B380E" w:rsidP="00020D20">
      <w:pPr>
        <w:pStyle w:val="SubHeading3"/>
        <w:jc w:val="both"/>
      </w:pPr>
      <w:bookmarkStart w:id="437" w:name="_Ref50033990"/>
      <w:r w:rsidRPr="006B380E">
        <w:t>Document Review</w:t>
      </w:r>
      <w:bookmarkEnd w:id="437"/>
    </w:p>
    <w:p w14:paraId="194A03EE" w14:textId="79B9C8A9" w:rsidR="00475069" w:rsidRDefault="006B380E" w:rsidP="00020D20">
      <w:pPr>
        <w:jc w:val="both"/>
        <w:rPr>
          <w:rFonts w:cstheme="minorHAnsi"/>
        </w:rPr>
      </w:pPr>
      <w:r w:rsidRPr="006B380E">
        <w:rPr>
          <w:rFonts w:cstheme="minorHAnsi"/>
        </w:rPr>
        <w:t>A thorough examination of ADOT’s joint certification questions. FHWA reviews the TMA’s planning documents and work products, such as the RTP, Congestion Management Process, TIP, and UPWP. The federal review team consists of FHWA and FTA representatives. In nonattainment or maintenance areas, the EPA may also examine these items p</w:t>
      </w:r>
      <w:r w:rsidR="00A1714B">
        <w:rPr>
          <w:rFonts w:cstheme="minorHAnsi"/>
        </w:rPr>
        <w:t>rior to a site visit to the TM</w:t>
      </w:r>
      <w:r w:rsidR="00E74E34">
        <w:rPr>
          <w:rFonts w:cstheme="minorHAnsi"/>
        </w:rPr>
        <w:t>A</w:t>
      </w:r>
    </w:p>
    <w:p w14:paraId="1C23E83E" w14:textId="458C44BA" w:rsidR="00A1714B" w:rsidRDefault="00A1714B" w:rsidP="00020D20">
      <w:pPr>
        <w:jc w:val="both"/>
        <w:rPr>
          <w:rFonts w:cstheme="minorHAnsi"/>
          <w:b/>
        </w:rPr>
        <w:sectPr w:rsidR="00A1714B" w:rsidSect="00F43B1D">
          <w:type w:val="continuous"/>
          <w:pgSz w:w="12240" w:h="15840"/>
          <w:pgMar w:top="1440" w:right="1440" w:bottom="1440" w:left="1440" w:header="720" w:footer="720" w:gutter="0"/>
          <w:cols w:num="2" w:space="720"/>
          <w:docGrid w:linePitch="360"/>
        </w:sectPr>
      </w:pPr>
    </w:p>
    <w:p w14:paraId="0596FA46" w14:textId="157E9518" w:rsidR="00062AC1" w:rsidRDefault="006B380E" w:rsidP="00020D20">
      <w:pPr>
        <w:pStyle w:val="Heading4"/>
        <w:jc w:val="both"/>
        <w:rPr>
          <w:rFonts w:cstheme="minorHAnsi"/>
        </w:rPr>
      </w:pPr>
      <w:r>
        <w:rPr>
          <w:rFonts w:cstheme="minorHAnsi"/>
        </w:rPr>
        <w:t>T</w:t>
      </w:r>
      <w:r w:rsidRPr="006B380E">
        <w:rPr>
          <w:rFonts w:cstheme="minorHAnsi"/>
        </w:rPr>
        <w:t>able 11-1 | Authority</w:t>
      </w:r>
    </w:p>
    <w:tbl>
      <w:tblPr>
        <w:tblW w:w="10620" w:type="dxa"/>
        <w:tblInd w:w="-550" w:type="dxa"/>
        <w:tblLayout w:type="fixed"/>
        <w:tblCellMar>
          <w:left w:w="0" w:type="dxa"/>
          <w:right w:w="0" w:type="dxa"/>
        </w:tblCellMar>
        <w:tblLook w:val="0000" w:firstRow="0" w:lastRow="0" w:firstColumn="0" w:lastColumn="0" w:noHBand="0" w:noVBand="0"/>
      </w:tblPr>
      <w:tblGrid>
        <w:gridCol w:w="360"/>
        <w:gridCol w:w="1620"/>
        <w:gridCol w:w="8640"/>
      </w:tblGrid>
      <w:tr w:rsidR="00473920" w:rsidRPr="006B380E" w14:paraId="37EC1090" w14:textId="77777777" w:rsidTr="00020D20">
        <w:trPr>
          <w:trHeight w:hRule="exact" w:val="505"/>
        </w:trPr>
        <w:tc>
          <w:tcPr>
            <w:tcW w:w="1980"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2DF1CF69" w14:textId="77777777" w:rsidR="006B380E" w:rsidRPr="00020D20" w:rsidRDefault="006B380E" w:rsidP="00020D20">
            <w:pPr>
              <w:spacing w:before="0" w:after="0" w:line="240" w:lineRule="auto"/>
              <w:jc w:val="center"/>
              <w:rPr>
                <w:sz w:val="22"/>
              </w:rPr>
            </w:pPr>
            <w:r w:rsidRPr="00020D20">
              <w:rPr>
                <w:sz w:val="22"/>
              </w:rPr>
              <w:t>Code</w:t>
            </w:r>
          </w:p>
        </w:tc>
        <w:tc>
          <w:tcPr>
            <w:tcW w:w="8640"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30AEAB3D" w14:textId="77777777" w:rsidR="006B380E" w:rsidRPr="00020D20" w:rsidRDefault="006B380E" w:rsidP="00020D20">
            <w:pPr>
              <w:spacing w:before="0" w:after="0" w:line="240" w:lineRule="auto"/>
              <w:jc w:val="center"/>
              <w:rPr>
                <w:sz w:val="22"/>
              </w:rPr>
            </w:pPr>
            <w:r w:rsidRPr="00020D20">
              <w:rPr>
                <w:sz w:val="22"/>
              </w:rPr>
              <w:t>Description</w:t>
            </w:r>
          </w:p>
        </w:tc>
      </w:tr>
      <w:tr w:rsidR="004A589C" w:rsidRPr="006B380E" w14:paraId="1B7A3451" w14:textId="77777777" w:rsidTr="00020D20">
        <w:trPr>
          <w:trHeight w:val="20"/>
        </w:trPr>
        <w:tc>
          <w:tcPr>
            <w:tcW w:w="360" w:type="dxa"/>
            <w:vMerge w:val="restart"/>
            <w:tcBorders>
              <w:top w:val="single" w:sz="4" w:space="0" w:color="FFFFFF" w:themeColor="background1"/>
              <w:left w:val="single" w:sz="4" w:space="0" w:color="auto"/>
              <w:bottom w:val="single" w:sz="4" w:space="0" w:color="auto"/>
              <w:right w:val="single" w:sz="4" w:space="0" w:color="auto"/>
            </w:tcBorders>
            <w:shd w:val="clear" w:color="auto" w:fill="002060"/>
            <w:tcMar>
              <w:top w:w="80" w:type="dxa"/>
              <w:left w:w="80" w:type="dxa"/>
              <w:bottom w:w="80" w:type="dxa"/>
              <w:right w:w="80" w:type="dxa"/>
            </w:tcMar>
            <w:textDirection w:val="btLr"/>
            <w:vAlign w:val="center"/>
          </w:tcPr>
          <w:p w14:paraId="76443023" w14:textId="77777777" w:rsidR="006B380E" w:rsidRPr="006B380E" w:rsidRDefault="006B380E" w:rsidP="00020D20">
            <w:pPr>
              <w:spacing w:before="0" w:after="0" w:line="240" w:lineRule="auto"/>
              <w:jc w:val="center"/>
              <w:rPr>
                <w:bCs/>
                <w:color w:val="58585B"/>
              </w:rPr>
            </w:pPr>
            <w:r w:rsidRPr="00020D20">
              <w:rPr>
                <w:sz w:val="22"/>
                <w:shd w:val="clear" w:color="auto" w:fill="002060"/>
              </w:rPr>
              <w:t>Fed</w:t>
            </w:r>
            <w:r w:rsidRPr="00020D20">
              <w:rPr>
                <w:sz w:val="22"/>
              </w:rPr>
              <w:t>eral</w:t>
            </w: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0F7A806" w14:textId="1435C401" w:rsidR="006B380E" w:rsidRPr="00020D20" w:rsidRDefault="00202C92">
            <w:pPr>
              <w:pStyle w:val="Title"/>
              <w:rPr>
                <w:sz w:val="15"/>
                <w:szCs w:val="15"/>
              </w:rPr>
            </w:pPr>
            <w:hyperlink r:id="rId730" w:history="1">
              <w:r w:rsidR="006B380E" w:rsidRPr="00020D20">
                <w:rPr>
                  <w:rStyle w:val="Hyperlink"/>
                  <w:rFonts w:asciiTheme="minorHAnsi" w:hAnsiTheme="minorHAnsi" w:cstheme="majorBidi"/>
                  <w:i/>
                  <w:iCs w:val="0"/>
                  <w:color w:val="CE5B18"/>
                  <w:sz w:val="15"/>
                  <w:szCs w:val="15"/>
                  <w:u w:val="none"/>
                </w:rPr>
                <w:t>Pub. L. 109-59 § 1101(b)</w:t>
              </w:r>
            </w:hyperlink>
          </w:p>
        </w:tc>
        <w:tc>
          <w:tcPr>
            <w:tcW w:w="8640"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7F5CB05" w14:textId="1227CE49" w:rsidR="006B380E" w:rsidRPr="00020D20" w:rsidRDefault="006B380E" w:rsidP="00020D20">
            <w:pPr>
              <w:spacing w:before="0" w:after="0" w:line="240" w:lineRule="auto"/>
              <w:jc w:val="both"/>
              <w:rPr>
                <w:sz w:val="15"/>
                <w:szCs w:val="15"/>
              </w:rPr>
            </w:pPr>
            <w:r w:rsidRPr="00020D20">
              <w:rPr>
                <w:sz w:val="15"/>
                <w:szCs w:val="15"/>
              </w:rPr>
              <w:t xml:space="preserve">Section 1101(b) of SAFETEA-LU (Pub. L. 109-59) and 49 </w:t>
            </w:r>
            <w:r w:rsidR="009628C0">
              <w:rPr>
                <w:sz w:val="15"/>
                <w:szCs w:val="15"/>
              </w:rPr>
              <w:t xml:space="preserve">C.F.R. </w:t>
            </w:r>
            <w:r w:rsidRPr="00020D20">
              <w:rPr>
                <w:sz w:val="15"/>
                <w:szCs w:val="15"/>
              </w:rPr>
              <w:t>§ 26 regarding the involvement of Disadvantaged Business Enterprises in USDOT funded projects.</w:t>
            </w:r>
          </w:p>
        </w:tc>
      </w:tr>
      <w:tr w:rsidR="004A589C" w:rsidRPr="006B380E" w14:paraId="632A41E4"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3A35D56D"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E4993CF" w14:textId="1C2175BA" w:rsidR="006B380E" w:rsidRPr="00020D20" w:rsidRDefault="00202C92">
            <w:pPr>
              <w:pStyle w:val="Title"/>
              <w:rPr>
                <w:sz w:val="15"/>
                <w:szCs w:val="15"/>
              </w:rPr>
            </w:pPr>
            <w:hyperlink r:id="rId731" w:history="1">
              <w:r w:rsidR="006B380E" w:rsidRPr="00020D20">
                <w:rPr>
                  <w:rStyle w:val="Hyperlink"/>
                  <w:rFonts w:asciiTheme="minorHAnsi" w:hAnsiTheme="minorHAnsi" w:cstheme="majorBidi"/>
                  <w:i/>
                  <w:iCs w:val="0"/>
                  <w:color w:val="CE5B18"/>
                  <w:sz w:val="15"/>
                  <w:szCs w:val="15"/>
                  <w:u w:val="none"/>
                </w:rPr>
                <w:t xml:space="preserve">49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26</w:t>
              </w:r>
            </w:hyperlink>
          </w:p>
        </w:tc>
        <w:tc>
          <w:tcPr>
            <w:tcW w:w="8640" w:type="dxa"/>
            <w:vMerge/>
            <w:tcBorders>
              <w:top w:val="single" w:sz="4" w:space="0" w:color="auto"/>
              <w:left w:val="single" w:sz="4" w:space="0" w:color="auto"/>
              <w:bottom w:val="single" w:sz="4" w:space="0" w:color="auto"/>
              <w:right w:val="single" w:sz="4" w:space="0" w:color="auto"/>
            </w:tcBorders>
          </w:tcPr>
          <w:p w14:paraId="27B8448B" w14:textId="77777777" w:rsidR="006B380E" w:rsidRPr="00020D20" w:rsidRDefault="006B380E" w:rsidP="00020D20">
            <w:pPr>
              <w:spacing w:before="0" w:after="0" w:line="240" w:lineRule="auto"/>
              <w:jc w:val="both"/>
              <w:rPr>
                <w:sz w:val="15"/>
                <w:szCs w:val="15"/>
              </w:rPr>
            </w:pPr>
          </w:p>
        </w:tc>
      </w:tr>
      <w:tr w:rsidR="004A589C" w:rsidRPr="006B380E" w14:paraId="7332EA21" w14:textId="77777777" w:rsidTr="00020D20">
        <w:trPr>
          <w:trHeight w:val="44"/>
        </w:trPr>
        <w:tc>
          <w:tcPr>
            <w:tcW w:w="360" w:type="dxa"/>
            <w:vMerge/>
            <w:tcBorders>
              <w:left w:val="single" w:sz="4" w:space="0" w:color="auto"/>
              <w:bottom w:val="single" w:sz="4" w:space="0" w:color="auto"/>
              <w:right w:val="single" w:sz="4" w:space="0" w:color="auto"/>
            </w:tcBorders>
            <w:shd w:val="clear" w:color="auto" w:fill="002060"/>
          </w:tcPr>
          <w:p w14:paraId="672EA6E9"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3C625BE" w14:textId="6602903C" w:rsidR="006B380E" w:rsidRPr="00020D20" w:rsidRDefault="00202C92">
            <w:pPr>
              <w:pStyle w:val="Title"/>
              <w:rPr>
                <w:sz w:val="15"/>
                <w:szCs w:val="15"/>
              </w:rPr>
            </w:pPr>
            <w:hyperlink r:id="rId732" w:history="1">
              <w:r w:rsidR="006B380E" w:rsidRPr="00020D20">
                <w:rPr>
                  <w:rStyle w:val="Hyperlink"/>
                  <w:rFonts w:asciiTheme="minorHAnsi" w:hAnsiTheme="minorHAnsi" w:cstheme="majorBidi"/>
                  <w:i/>
                  <w:iCs w:val="0"/>
                  <w:color w:val="CE5B18"/>
                  <w:sz w:val="15"/>
                  <w:szCs w:val="15"/>
                  <w:u w:val="none"/>
                </w:rPr>
                <w:t>Pub. L. 105-178 112 Stat. 107</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3A2AF7B" w14:textId="15C20553" w:rsidR="006B380E" w:rsidRPr="00020D20" w:rsidRDefault="006B380E" w:rsidP="00020D20">
            <w:pPr>
              <w:spacing w:before="0" w:after="0" w:line="240" w:lineRule="auto"/>
              <w:jc w:val="both"/>
              <w:rPr>
                <w:sz w:val="15"/>
                <w:szCs w:val="15"/>
              </w:rPr>
            </w:pPr>
            <w:r w:rsidRPr="00020D20">
              <w:rPr>
                <w:sz w:val="15"/>
                <w:szCs w:val="15"/>
              </w:rPr>
              <w:t xml:space="preserve">Section 1101(b) of the TEA-21 (Pub. L. 105-178 112 Stat. 107) regarding the involvement of Disadvantaged Business Enterprises in the FHWA and FTA funded projects (FR Vol. 64 No. 21, 49 </w:t>
            </w:r>
            <w:r w:rsidR="009628C0">
              <w:rPr>
                <w:sz w:val="15"/>
                <w:szCs w:val="15"/>
              </w:rPr>
              <w:t xml:space="preserve">C.F.R. </w:t>
            </w:r>
            <w:r w:rsidRPr="00020D20">
              <w:rPr>
                <w:sz w:val="15"/>
                <w:szCs w:val="15"/>
              </w:rPr>
              <w:t>§ 26)</w:t>
            </w:r>
          </w:p>
        </w:tc>
      </w:tr>
      <w:tr w:rsidR="004A589C" w:rsidRPr="006B380E" w14:paraId="61B6FEF1"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034CFC23"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B717FD7" w14:textId="0C2BD868" w:rsidR="006B380E" w:rsidRPr="00020D20" w:rsidRDefault="00202C92">
            <w:pPr>
              <w:pStyle w:val="Title"/>
              <w:rPr>
                <w:sz w:val="15"/>
                <w:szCs w:val="15"/>
              </w:rPr>
            </w:pPr>
            <w:hyperlink r:id="rId733" w:history="1">
              <w:r w:rsidR="006B380E" w:rsidRPr="00020D20">
                <w:rPr>
                  <w:rStyle w:val="Hyperlink"/>
                  <w:rFonts w:asciiTheme="minorHAnsi" w:hAnsiTheme="minorHAnsi" w:cstheme="majorBidi"/>
                  <w:i/>
                  <w:iCs w:val="0"/>
                  <w:color w:val="CE5B18"/>
                  <w:sz w:val="15"/>
                  <w:szCs w:val="15"/>
                  <w:u w:val="none"/>
                </w:rPr>
                <w:t>23 U.S.C. § 134(h)(3)</w:t>
              </w:r>
            </w:hyperlink>
          </w:p>
        </w:tc>
        <w:tc>
          <w:tcPr>
            <w:tcW w:w="8640"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C422CA2" w14:textId="77777777" w:rsidR="006B380E" w:rsidRPr="00020D20" w:rsidRDefault="006B380E" w:rsidP="00020D20">
            <w:pPr>
              <w:spacing w:before="0" w:after="0" w:line="240" w:lineRule="auto"/>
              <w:jc w:val="both"/>
              <w:rPr>
                <w:sz w:val="15"/>
                <w:szCs w:val="15"/>
              </w:rPr>
            </w:pPr>
            <w:r w:rsidRPr="00020D20">
              <w:rPr>
                <w:sz w:val="15"/>
                <w:szCs w:val="15"/>
              </w:rPr>
              <w:t>23 U.S.C. §§ 134(h)(3) and 135(d)(3), as revised by MAP-21 §§ 1201 and 1202. FHWA, a state, or an MPO cannot be sued specifically on matters relating to the eight transportation planning factors, or the performance-based approach to transportation planning as it relates to a statewide or metropolitan transportation plan, a STIP or TIP, a project or strategy, and/or certification of the planning process. FTA has similar provisions in 49 U.S.C. §§ 5303(h)(3) and 5304(d)(3), as revised by MAP-21 Section 20005 and 20006.</w:t>
            </w:r>
          </w:p>
        </w:tc>
      </w:tr>
      <w:tr w:rsidR="004A589C" w:rsidRPr="006B380E" w14:paraId="528FF4B6"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445F5751"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8A58A42" w14:textId="41FFC75D" w:rsidR="006B380E" w:rsidRPr="00020D20" w:rsidRDefault="00202C92">
            <w:pPr>
              <w:pStyle w:val="Title"/>
              <w:rPr>
                <w:sz w:val="15"/>
                <w:szCs w:val="15"/>
              </w:rPr>
            </w:pPr>
            <w:hyperlink r:id="rId734" w:history="1">
              <w:r w:rsidR="006B380E" w:rsidRPr="00020D20">
                <w:rPr>
                  <w:rStyle w:val="Hyperlink"/>
                  <w:rFonts w:asciiTheme="minorHAnsi" w:hAnsiTheme="minorHAnsi" w:cstheme="majorBidi"/>
                  <w:i/>
                  <w:iCs w:val="0"/>
                  <w:color w:val="CE5B18"/>
                  <w:sz w:val="15"/>
                  <w:szCs w:val="15"/>
                  <w:u w:val="none"/>
                </w:rPr>
                <w:t>23 U.S.C. § 135(d)(3)</w:t>
              </w:r>
            </w:hyperlink>
          </w:p>
        </w:tc>
        <w:tc>
          <w:tcPr>
            <w:tcW w:w="8640" w:type="dxa"/>
            <w:vMerge/>
            <w:tcBorders>
              <w:top w:val="single" w:sz="4" w:space="0" w:color="auto"/>
              <w:left w:val="single" w:sz="4" w:space="0" w:color="auto"/>
              <w:bottom w:val="single" w:sz="4" w:space="0" w:color="auto"/>
              <w:right w:val="single" w:sz="4" w:space="0" w:color="auto"/>
            </w:tcBorders>
          </w:tcPr>
          <w:p w14:paraId="21B5B290" w14:textId="77777777" w:rsidR="006B380E" w:rsidRPr="00020D20" w:rsidRDefault="006B380E" w:rsidP="00020D20">
            <w:pPr>
              <w:spacing w:before="0" w:after="0" w:line="240" w:lineRule="auto"/>
              <w:jc w:val="both"/>
              <w:rPr>
                <w:sz w:val="15"/>
                <w:szCs w:val="15"/>
              </w:rPr>
            </w:pPr>
          </w:p>
        </w:tc>
      </w:tr>
      <w:tr w:rsidR="004A589C" w:rsidRPr="006B380E" w14:paraId="02E1CA02"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77ABBF02"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2CBA837" w14:textId="4F52FA06" w:rsidR="006B380E" w:rsidRPr="00020D20" w:rsidRDefault="00202C92">
            <w:pPr>
              <w:pStyle w:val="Title"/>
              <w:rPr>
                <w:sz w:val="15"/>
                <w:szCs w:val="15"/>
              </w:rPr>
            </w:pPr>
            <w:hyperlink r:id="rId735" w:history="1">
              <w:r w:rsidR="006B380E" w:rsidRPr="00020D20">
                <w:rPr>
                  <w:rStyle w:val="Hyperlink"/>
                  <w:rFonts w:asciiTheme="minorHAnsi" w:hAnsiTheme="minorHAnsi" w:cstheme="majorBidi"/>
                  <w:i/>
                  <w:iCs w:val="0"/>
                  <w:color w:val="CE5B18"/>
                  <w:sz w:val="15"/>
                  <w:szCs w:val="15"/>
                  <w:u w:val="none"/>
                </w:rPr>
                <w:t xml:space="preserve">23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230</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A00FC74" w14:textId="77777777" w:rsidR="006B380E" w:rsidRPr="00020D20" w:rsidRDefault="006B380E" w:rsidP="00020D20">
            <w:pPr>
              <w:spacing w:before="0" w:after="0" w:line="240" w:lineRule="auto"/>
              <w:jc w:val="both"/>
              <w:rPr>
                <w:sz w:val="15"/>
                <w:szCs w:val="15"/>
              </w:rPr>
            </w:pPr>
            <w:r w:rsidRPr="00020D20">
              <w:rPr>
                <w:sz w:val="15"/>
                <w:szCs w:val="15"/>
              </w:rPr>
              <w:t>Regarding the implementation of an equal employment opportunity program on federal and Federal-Aid Highway construction contracts.</w:t>
            </w:r>
          </w:p>
        </w:tc>
      </w:tr>
      <w:tr w:rsidR="004A589C" w:rsidRPr="006B380E" w14:paraId="0D67BEE1"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2B0F565E"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6710B01" w14:textId="3D4E8CD9" w:rsidR="006B380E" w:rsidRPr="00020D20" w:rsidRDefault="00202C92">
            <w:pPr>
              <w:pStyle w:val="Title"/>
              <w:rPr>
                <w:sz w:val="15"/>
                <w:szCs w:val="15"/>
              </w:rPr>
            </w:pPr>
            <w:hyperlink r:id="rId736" w:history="1">
              <w:r w:rsidR="006B380E" w:rsidRPr="00020D20">
                <w:rPr>
                  <w:rStyle w:val="Hyperlink"/>
                  <w:rFonts w:asciiTheme="minorHAnsi" w:hAnsiTheme="minorHAnsi" w:cstheme="majorBidi"/>
                  <w:i/>
                  <w:iCs w:val="0"/>
                  <w:color w:val="CE5B18"/>
                  <w:sz w:val="15"/>
                  <w:szCs w:val="15"/>
                  <w:u w:val="none"/>
                </w:rPr>
                <w:t xml:space="preserve">23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 450.334</w:t>
              </w:r>
            </w:hyperlink>
          </w:p>
        </w:tc>
        <w:tc>
          <w:tcPr>
            <w:tcW w:w="86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9BFC7FB" w14:textId="097E446A" w:rsidR="006B380E" w:rsidRPr="00020D20" w:rsidRDefault="006B380E" w:rsidP="00020D20">
            <w:pPr>
              <w:spacing w:before="0" w:after="0" w:line="240" w:lineRule="auto"/>
              <w:jc w:val="both"/>
              <w:rPr>
                <w:sz w:val="15"/>
                <w:szCs w:val="15"/>
              </w:rPr>
            </w:pPr>
            <w:r w:rsidRPr="00020D20">
              <w:rPr>
                <w:sz w:val="15"/>
                <w:szCs w:val="15"/>
              </w:rPr>
              <w:t xml:space="preserve">Requires that the state and TMA annually certify the TMA’s planning process. The planning process must be done in accordance with 10 areas of law listed in 23 </w:t>
            </w:r>
            <w:r w:rsidR="009628C0">
              <w:rPr>
                <w:sz w:val="15"/>
                <w:szCs w:val="15"/>
              </w:rPr>
              <w:t xml:space="preserve">C.F.R. </w:t>
            </w:r>
            <w:r w:rsidRPr="00020D20">
              <w:rPr>
                <w:sz w:val="15"/>
                <w:szCs w:val="15"/>
              </w:rPr>
              <w:t>§ 450.334 (a).</w:t>
            </w:r>
          </w:p>
        </w:tc>
      </w:tr>
      <w:tr w:rsidR="004A589C" w:rsidRPr="006B380E" w14:paraId="0E76CA1A" w14:textId="77777777" w:rsidTr="00020D20">
        <w:trPr>
          <w:trHeight w:val="89"/>
        </w:trPr>
        <w:tc>
          <w:tcPr>
            <w:tcW w:w="360" w:type="dxa"/>
            <w:vMerge/>
            <w:tcBorders>
              <w:left w:val="single" w:sz="4" w:space="0" w:color="auto"/>
              <w:bottom w:val="single" w:sz="4" w:space="0" w:color="auto"/>
              <w:right w:val="single" w:sz="4" w:space="0" w:color="auto"/>
            </w:tcBorders>
            <w:shd w:val="clear" w:color="auto" w:fill="002060"/>
          </w:tcPr>
          <w:p w14:paraId="60127748"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F76F22D" w14:textId="7A2C516E" w:rsidR="006B380E" w:rsidRPr="00020D20" w:rsidRDefault="00202C92">
            <w:pPr>
              <w:pStyle w:val="Title"/>
              <w:rPr>
                <w:sz w:val="15"/>
                <w:szCs w:val="15"/>
              </w:rPr>
            </w:pPr>
            <w:hyperlink r:id="rId737" w:history="1">
              <w:r w:rsidR="006B380E" w:rsidRPr="00020D20">
                <w:rPr>
                  <w:rStyle w:val="Hyperlink"/>
                  <w:rFonts w:asciiTheme="minorHAnsi" w:hAnsiTheme="minorHAnsi" w:cstheme="majorBidi"/>
                  <w:i/>
                  <w:iCs w:val="0"/>
                  <w:color w:val="CE5B18"/>
                  <w:sz w:val="15"/>
                  <w:szCs w:val="15"/>
                  <w:u w:val="none"/>
                </w:rPr>
                <w:t>23 U.S.C. § 134</w:t>
              </w:r>
            </w:hyperlink>
          </w:p>
        </w:tc>
        <w:tc>
          <w:tcPr>
            <w:tcW w:w="8640" w:type="dxa"/>
            <w:vMerge w:val="restart"/>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1358D33" w14:textId="77777777" w:rsidR="006B380E" w:rsidRPr="00020D20" w:rsidRDefault="006B380E" w:rsidP="00020D20">
            <w:pPr>
              <w:spacing w:before="0" w:after="0" w:line="240" w:lineRule="auto"/>
              <w:jc w:val="both"/>
              <w:rPr>
                <w:sz w:val="15"/>
                <w:szCs w:val="15"/>
              </w:rPr>
            </w:pPr>
            <w:r w:rsidRPr="00020D20">
              <w:rPr>
                <w:sz w:val="15"/>
                <w:szCs w:val="15"/>
              </w:rPr>
              <w:t>TMAs must have their planning process certified by the federal government every four years.</w:t>
            </w:r>
          </w:p>
        </w:tc>
      </w:tr>
      <w:tr w:rsidR="004A589C" w:rsidRPr="006B380E" w14:paraId="16DC0690"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7E34027C"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C505459" w14:textId="7A82052D" w:rsidR="006B380E" w:rsidRPr="00020D20" w:rsidRDefault="00202C92">
            <w:pPr>
              <w:pStyle w:val="Title"/>
              <w:rPr>
                <w:sz w:val="15"/>
                <w:szCs w:val="15"/>
              </w:rPr>
            </w:pPr>
            <w:hyperlink r:id="rId738" w:history="1">
              <w:r w:rsidR="006B380E" w:rsidRPr="00020D20">
                <w:rPr>
                  <w:rStyle w:val="Hyperlink"/>
                  <w:rFonts w:asciiTheme="minorHAnsi" w:hAnsiTheme="minorHAnsi" w:cstheme="majorBidi"/>
                  <w:i/>
                  <w:iCs w:val="0"/>
                  <w:color w:val="CE5B18"/>
                  <w:sz w:val="15"/>
                  <w:szCs w:val="15"/>
                  <w:u w:val="none"/>
                </w:rPr>
                <w:t>23 U.S.C. § 135</w:t>
              </w:r>
            </w:hyperlink>
          </w:p>
        </w:tc>
        <w:tc>
          <w:tcPr>
            <w:tcW w:w="8640" w:type="dxa"/>
            <w:vMerge/>
            <w:tcBorders>
              <w:top w:val="single" w:sz="4" w:space="0" w:color="auto"/>
              <w:left w:val="single" w:sz="4" w:space="0" w:color="auto"/>
              <w:bottom w:val="single" w:sz="4" w:space="0" w:color="auto"/>
              <w:right w:val="single" w:sz="4" w:space="0" w:color="auto"/>
            </w:tcBorders>
          </w:tcPr>
          <w:p w14:paraId="20C09334" w14:textId="77777777" w:rsidR="006B380E" w:rsidRPr="00020D20" w:rsidRDefault="006B380E" w:rsidP="00020D20">
            <w:pPr>
              <w:spacing w:before="0" w:after="0" w:line="240" w:lineRule="auto"/>
              <w:jc w:val="both"/>
              <w:rPr>
                <w:sz w:val="15"/>
                <w:szCs w:val="15"/>
              </w:rPr>
            </w:pPr>
          </w:p>
        </w:tc>
      </w:tr>
      <w:tr w:rsidR="004A589C" w:rsidRPr="006B380E" w14:paraId="663812FA"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11F47F88"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BCD473D" w14:textId="3D990152" w:rsidR="006B380E" w:rsidRPr="00020D20" w:rsidRDefault="00202C92">
            <w:pPr>
              <w:pStyle w:val="Title"/>
              <w:rPr>
                <w:sz w:val="15"/>
                <w:szCs w:val="15"/>
              </w:rPr>
            </w:pPr>
            <w:hyperlink r:id="rId739" w:history="1">
              <w:r w:rsidR="006B380E" w:rsidRPr="00020D20">
                <w:rPr>
                  <w:rStyle w:val="Hyperlink"/>
                  <w:rFonts w:asciiTheme="minorHAnsi" w:hAnsiTheme="minorHAnsi" w:cstheme="majorBidi"/>
                  <w:i/>
                  <w:iCs w:val="0"/>
                  <w:color w:val="CE5B18"/>
                  <w:sz w:val="15"/>
                  <w:szCs w:val="15"/>
                  <w:u w:val="none"/>
                </w:rPr>
                <w:t>23 U.S.C. § 324</w:t>
              </w:r>
            </w:hyperlink>
          </w:p>
        </w:tc>
        <w:tc>
          <w:tcPr>
            <w:tcW w:w="86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D32F043" w14:textId="77777777" w:rsidR="006B380E" w:rsidRPr="00020D20" w:rsidRDefault="006B380E" w:rsidP="00020D20">
            <w:pPr>
              <w:spacing w:before="0" w:after="0" w:line="240" w:lineRule="auto"/>
              <w:jc w:val="both"/>
              <w:rPr>
                <w:sz w:val="15"/>
                <w:szCs w:val="15"/>
              </w:rPr>
            </w:pPr>
            <w:r w:rsidRPr="00020D20">
              <w:rPr>
                <w:sz w:val="15"/>
                <w:szCs w:val="15"/>
              </w:rPr>
              <w:t>Regarding the prohibition of discrimination on the basis of gender.</w:t>
            </w:r>
          </w:p>
        </w:tc>
      </w:tr>
      <w:tr w:rsidR="004A589C" w:rsidRPr="006B380E" w14:paraId="26EDD45A"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103CFC75"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EADBCBE" w14:textId="31D4710B" w:rsidR="006B380E" w:rsidRPr="00020D20" w:rsidRDefault="00202C92">
            <w:pPr>
              <w:pStyle w:val="Title"/>
              <w:rPr>
                <w:sz w:val="15"/>
                <w:szCs w:val="15"/>
              </w:rPr>
            </w:pPr>
            <w:hyperlink r:id="rId740" w:history="1">
              <w:r w:rsidR="006B380E" w:rsidRPr="00020D20">
                <w:rPr>
                  <w:rStyle w:val="Hyperlink"/>
                  <w:rFonts w:asciiTheme="minorHAnsi" w:hAnsiTheme="minorHAnsi" w:cstheme="majorBidi"/>
                  <w:i/>
                  <w:iCs w:val="0"/>
                  <w:color w:val="CE5B18"/>
                  <w:sz w:val="15"/>
                  <w:szCs w:val="15"/>
                  <w:u w:val="none"/>
                </w:rPr>
                <w:t>29 U.S.C. § 794</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A2E8D41" w14:textId="77777777" w:rsidR="006B380E" w:rsidRPr="00020D20" w:rsidRDefault="006B380E" w:rsidP="00020D20">
            <w:pPr>
              <w:spacing w:before="0" w:after="0" w:line="240" w:lineRule="auto"/>
              <w:jc w:val="both"/>
              <w:rPr>
                <w:sz w:val="15"/>
                <w:szCs w:val="15"/>
              </w:rPr>
            </w:pPr>
            <w:r w:rsidRPr="00020D20">
              <w:rPr>
                <w:sz w:val="15"/>
                <w:szCs w:val="15"/>
              </w:rPr>
              <w:t>Section 504 of the Rehabilitation Act of 1973 regarding discrimination against individuals with disabilities.</w:t>
            </w:r>
          </w:p>
        </w:tc>
      </w:tr>
      <w:tr w:rsidR="004A589C" w:rsidRPr="006B380E" w14:paraId="1885E897"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0CF83D17"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A4C5E45" w14:textId="4C135958" w:rsidR="006B380E" w:rsidRPr="00020D20" w:rsidRDefault="00202C92">
            <w:pPr>
              <w:pStyle w:val="Title"/>
              <w:rPr>
                <w:sz w:val="15"/>
                <w:szCs w:val="15"/>
              </w:rPr>
            </w:pPr>
            <w:hyperlink r:id="rId741" w:history="1">
              <w:r w:rsidR="006B380E" w:rsidRPr="00020D20">
                <w:rPr>
                  <w:rStyle w:val="Hyperlink"/>
                  <w:rFonts w:asciiTheme="minorHAnsi" w:hAnsiTheme="minorHAnsi" w:cstheme="majorBidi"/>
                  <w:i/>
                  <w:iCs w:val="0"/>
                  <w:color w:val="CE5B18"/>
                  <w:sz w:val="15"/>
                  <w:szCs w:val="15"/>
                  <w:u w:val="none"/>
                </w:rPr>
                <w:t xml:space="preserve">40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93</w:t>
              </w:r>
            </w:hyperlink>
          </w:p>
        </w:tc>
        <w:tc>
          <w:tcPr>
            <w:tcW w:w="86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EC93869" w14:textId="77777777" w:rsidR="006B380E" w:rsidRPr="00020D20" w:rsidRDefault="006B380E" w:rsidP="00020D20">
            <w:pPr>
              <w:spacing w:before="0" w:after="0" w:line="240" w:lineRule="auto"/>
              <w:jc w:val="both"/>
              <w:rPr>
                <w:sz w:val="15"/>
                <w:szCs w:val="15"/>
              </w:rPr>
            </w:pPr>
            <w:r w:rsidRPr="00020D20">
              <w:rPr>
                <w:sz w:val="15"/>
                <w:szCs w:val="15"/>
              </w:rPr>
              <w:t>Determining Conformity of Federal Actions to State or Federal Implementation Plans</w:t>
            </w:r>
          </w:p>
        </w:tc>
      </w:tr>
      <w:tr w:rsidR="004A589C" w:rsidRPr="006B380E" w14:paraId="08AF6ADE"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6438B787"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EE5AB9A" w14:textId="6DF81293" w:rsidR="006B380E" w:rsidRPr="00020D20" w:rsidRDefault="00202C92">
            <w:pPr>
              <w:pStyle w:val="Title"/>
              <w:rPr>
                <w:sz w:val="15"/>
                <w:szCs w:val="15"/>
              </w:rPr>
            </w:pPr>
            <w:hyperlink r:id="rId742" w:history="1">
              <w:r w:rsidR="006B380E" w:rsidRPr="00020D20">
                <w:rPr>
                  <w:rStyle w:val="Hyperlink"/>
                  <w:rFonts w:asciiTheme="minorHAnsi" w:hAnsiTheme="minorHAnsi" w:cstheme="majorBidi"/>
                  <w:i/>
                  <w:iCs w:val="0"/>
                  <w:color w:val="CE5B18"/>
                  <w:sz w:val="15"/>
                  <w:szCs w:val="15"/>
                  <w:u w:val="none"/>
                </w:rPr>
                <w:t>42 U.S.C. § 2000d-1</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BF532EB" w14:textId="77777777" w:rsidR="006B380E" w:rsidRPr="00020D20" w:rsidRDefault="006B380E" w:rsidP="00020D20">
            <w:pPr>
              <w:spacing w:before="0" w:after="0" w:line="240" w:lineRule="auto"/>
              <w:jc w:val="both"/>
              <w:rPr>
                <w:sz w:val="15"/>
                <w:szCs w:val="15"/>
              </w:rPr>
            </w:pPr>
            <w:r w:rsidRPr="00020D20">
              <w:rPr>
                <w:sz w:val="15"/>
                <w:szCs w:val="15"/>
              </w:rPr>
              <w:t>Title VI of the Civil Rights Act of 1964, as amended.</w:t>
            </w:r>
          </w:p>
        </w:tc>
      </w:tr>
      <w:tr w:rsidR="004A589C" w:rsidRPr="006B380E" w14:paraId="44D9BEAB"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4CA3861D"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85CDA9B" w14:textId="299C058D" w:rsidR="006B380E" w:rsidRPr="00020D20" w:rsidRDefault="00202C92">
            <w:pPr>
              <w:pStyle w:val="Title"/>
              <w:rPr>
                <w:sz w:val="15"/>
                <w:szCs w:val="15"/>
              </w:rPr>
            </w:pPr>
            <w:hyperlink r:id="rId743" w:history="1">
              <w:r w:rsidR="006B380E" w:rsidRPr="00020D20">
                <w:rPr>
                  <w:rStyle w:val="Hyperlink"/>
                  <w:rFonts w:asciiTheme="minorHAnsi" w:hAnsiTheme="minorHAnsi" w:cstheme="majorBidi"/>
                  <w:i/>
                  <w:iCs w:val="0"/>
                  <w:color w:val="CE5B18"/>
                  <w:sz w:val="15"/>
                  <w:szCs w:val="15"/>
                  <w:u w:val="none"/>
                </w:rPr>
                <w:t>42 U.S.C. § 6101</w:t>
              </w:r>
            </w:hyperlink>
          </w:p>
        </w:tc>
        <w:tc>
          <w:tcPr>
            <w:tcW w:w="86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D3B3E81" w14:textId="77777777" w:rsidR="006B380E" w:rsidRPr="00020D20" w:rsidRDefault="006B380E" w:rsidP="00020D20">
            <w:pPr>
              <w:spacing w:before="0" w:after="0" w:line="240" w:lineRule="auto"/>
              <w:jc w:val="both"/>
              <w:rPr>
                <w:sz w:val="15"/>
                <w:szCs w:val="15"/>
              </w:rPr>
            </w:pPr>
            <w:r w:rsidRPr="00020D20">
              <w:rPr>
                <w:sz w:val="15"/>
                <w:szCs w:val="15"/>
              </w:rPr>
              <w:t>The Older Americans Act, as amended (42 U.S.C. § 6101) prohibiting discrimination on the basis of age in programs or activities receiving Federal financial assistance.</w:t>
            </w:r>
          </w:p>
        </w:tc>
      </w:tr>
      <w:tr w:rsidR="004A589C" w:rsidRPr="006B380E" w14:paraId="2FDAE578"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70747DDC"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00D55A9" w14:textId="3E018D0F" w:rsidR="006B380E" w:rsidRPr="00020D20" w:rsidRDefault="00202C92">
            <w:pPr>
              <w:pStyle w:val="Title"/>
              <w:rPr>
                <w:sz w:val="15"/>
                <w:szCs w:val="15"/>
              </w:rPr>
            </w:pPr>
            <w:hyperlink r:id="rId744" w:history="1">
              <w:r w:rsidR="006B380E" w:rsidRPr="00020D20">
                <w:rPr>
                  <w:rStyle w:val="Hyperlink"/>
                  <w:rFonts w:asciiTheme="minorHAnsi" w:hAnsiTheme="minorHAnsi" w:cstheme="majorBidi"/>
                  <w:i/>
                  <w:iCs w:val="0"/>
                  <w:color w:val="CE5B18"/>
                  <w:sz w:val="15"/>
                  <w:szCs w:val="15"/>
                  <w:u w:val="none"/>
                </w:rPr>
                <w:t>42 U.S.C. § 7504</w:t>
              </w:r>
            </w:hyperlink>
          </w:p>
        </w:tc>
        <w:tc>
          <w:tcPr>
            <w:tcW w:w="8640" w:type="dxa"/>
            <w:vMerge w:val="restart"/>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A9C0E3B" w14:textId="77777777" w:rsidR="006B380E" w:rsidRPr="00020D20" w:rsidRDefault="006B380E" w:rsidP="00020D20">
            <w:pPr>
              <w:spacing w:before="0" w:after="0" w:line="240" w:lineRule="auto"/>
              <w:jc w:val="both"/>
              <w:rPr>
                <w:sz w:val="15"/>
                <w:szCs w:val="15"/>
              </w:rPr>
            </w:pPr>
            <w:r w:rsidRPr="00020D20">
              <w:rPr>
                <w:sz w:val="15"/>
                <w:szCs w:val="15"/>
              </w:rPr>
              <w:t>Sections 174 and 176 (c) and (d) of the Clean Air Act, as amended. Only for MPOs in non-attainment or maintenance areas.</w:t>
            </w:r>
          </w:p>
        </w:tc>
      </w:tr>
      <w:tr w:rsidR="004A589C" w:rsidRPr="006B380E" w14:paraId="4311328D"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7BA205FB"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1CC62C6" w14:textId="5C8D5F06" w:rsidR="006B380E" w:rsidRPr="00020D20" w:rsidRDefault="00202C92">
            <w:pPr>
              <w:pStyle w:val="Title"/>
              <w:rPr>
                <w:sz w:val="15"/>
                <w:szCs w:val="15"/>
              </w:rPr>
            </w:pPr>
            <w:hyperlink r:id="rId745" w:history="1">
              <w:r w:rsidR="006B380E" w:rsidRPr="00020D20">
                <w:rPr>
                  <w:rStyle w:val="Hyperlink"/>
                  <w:rFonts w:asciiTheme="minorHAnsi" w:hAnsiTheme="minorHAnsi" w:cstheme="majorBidi"/>
                  <w:i/>
                  <w:iCs w:val="0"/>
                  <w:color w:val="CE5B18"/>
                  <w:sz w:val="15"/>
                  <w:szCs w:val="15"/>
                  <w:u w:val="none"/>
                </w:rPr>
                <w:t>42 U.S.C. § 7506 (c)(d)</w:t>
              </w:r>
            </w:hyperlink>
          </w:p>
        </w:tc>
        <w:tc>
          <w:tcPr>
            <w:tcW w:w="8640" w:type="dxa"/>
            <w:vMerge/>
            <w:tcBorders>
              <w:top w:val="single" w:sz="4" w:space="0" w:color="auto"/>
              <w:left w:val="single" w:sz="4" w:space="0" w:color="auto"/>
              <w:bottom w:val="single" w:sz="4" w:space="0" w:color="auto"/>
              <w:right w:val="single" w:sz="4" w:space="0" w:color="auto"/>
            </w:tcBorders>
          </w:tcPr>
          <w:p w14:paraId="68F611AE" w14:textId="77777777" w:rsidR="006B380E" w:rsidRPr="00020D20" w:rsidRDefault="006B380E" w:rsidP="00020D20">
            <w:pPr>
              <w:spacing w:before="0" w:after="0" w:line="240" w:lineRule="auto"/>
              <w:jc w:val="both"/>
              <w:rPr>
                <w:sz w:val="15"/>
                <w:szCs w:val="15"/>
              </w:rPr>
            </w:pPr>
          </w:p>
        </w:tc>
      </w:tr>
      <w:tr w:rsidR="004A589C" w:rsidRPr="006B380E" w14:paraId="3A58E7F9" w14:textId="77777777" w:rsidTr="00020D20">
        <w:trPr>
          <w:trHeight w:val="116"/>
        </w:trPr>
        <w:tc>
          <w:tcPr>
            <w:tcW w:w="360" w:type="dxa"/>
            <w:vMerge/>
            <w:tcBorders>
              <w:left w:val="single" w:sz="4" w:space="0" w:color="auto"/>
              <w:bottom w:val="single" w:sz="4" w:space="0" w:color="auto"/>
              <w:right w:val="single" w:sz="4" w:space="0" w:color="auto"/>
            </w:tcBorders>
            <w:shd w:val="clear" w:color="auto" w:fill="002060"/>
          </w:tcPr>
          <w:p w14:paraId="05CD2C1C"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B21DC54" w14:textId="23E07CAC" w:rsidR="006B380E" w:rsidRPr="00020D20" w:rsidRDefault="00202C92">
            <w:pPr>
              <w:pStyle w:val="Title"/>
              <w:rPr>
                <w:sz w:val="15"/>
                <w:szCs w:val="15"/>
              </w:rPr>
            </w:pPr>
            <w:hyperlink r:id="rId746" w:history="1">
              <w:r w:rsidR="006B380E" w:rsidRPr="00020D20">
                <w:rPr>
                  <w:rStyle w:val="Hyperlink"/>
                  <w:rFonts w:asciiTheme="minorHAnsi" w:hAnsiTheme="minorHAnsi" w:cstheme="majorBidi"/>
                  <w:i/>
                  <w:iCs w:val="0"/>
                  <w:color w:val="CE5B18"/>
                  <w:sz w:val="15"/>
                  <w:szCs w:val="15"/>
                  <w:u w:val="none"/>
                </w:rPr>
                <w:t>42 U.S.C. § 12101 et seq</w:t>
              </w:r>
            </w:hyperlink>
            <w:r w:rsidR="006B380E" w:rsidRPr="00020D20">
              <w:rPr>
                <w:sz w:val="15"/>
                <w:szCs w:val="15"/>
              </w:rPr>
              <w:t>.</w:t>
            </w:r>
          </w:p>
        </w:tc>
        <w:tc>
          <w:tcPr>
            <w:tcW w:w="86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D0E5828" w14:textId="77777777" w:rsidR="006B380E" w:rsidRPr="00020D20" w:rsidRDefault="006B380E" w:rsidP="00020D20">
            <w:pPr>
              <w:spacing w:before="0" w:after="0" w:line="240" w:lineRule="auto"/>
              <w:jc w:val="both"/>
              <w:rPr>
                <w:sz w:val="15"/>
                <w:szCs w:val="15"/>
              </w:rPr>
            </w:pPr>
            <w:r w:rsidRPr="00020D20">
              <w:rPr>
                <w:sz w:val="15"/>
                <w:szCs w:val="15"/>
              </w:rPr>
              <w:t>The provisions of the Americans with Disabilities Act of 1990. (Pub. L. 101-336, 104 Stat 327, as amended)</w:t>
            </w:r>
          </w:p>
        </w:tc>
      </w:tr>
      <w:tr w:rsidR="004A589C" w:rsidRPr="006B380E" w14:paraId="49F5A67D"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7FC81571"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9EB9606" w14:textId="1D575FB6" w:rsidR="006B380E" w:rsidRPr="00020D20" w:rsidRDefault="00202C92">
            <w:pPr>
              <w:pStyle w:val="Title"/>
              <w:rPr>
                <w:sz w:val="15"/>
                <w:szCs w:val="15"/>
              </w:rPr>
            </w:pPr>
            <w:hyperlink r:id="rId747" w:history="1">
              <w:r w:rsidR="006B380E" w:rsidRPr="00020D20">
                <w:rPr>
                  <w:rStyle w:val="Hyperlink"/>
                  <w:rFonts w:asciiTheme="minorHAnsi" w:hAnsiTheme="minorHAnsi" w:cstheme="majorBidi"/>
                  <w:i/>
                  <w:iCs w:val="0"/>
                  <w:color w:val="CE5B18"/>
                  <w:sz w:val="15"/>
                  <w:szCs w:val="15"/>
                  <w:u w:val="none"/>
                </w:rPr>
                <w:t xml:space="preserve">49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21</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DE73554" w14:textId="77777777" w:rsidR="006B380E" w:rsidRPr="00020D20" w:rsidRDefault="006B380E" w:rsidP="00020D20">
            <w:pPr>
              <w:spacing w:before="0" w:after="0" w:line="240" w:lineRule="auto"/>
              <w:jc w:val="both"/>
              <w:rPr>
                <w:sz w:val="15"/>
                <w:szCs w:val="15"/>
              </w:rPr>
            </w:pPr>
            <w:r w:rsidRPr="00020D20">
              <w:rPr>
                <w:sz w:val="15"/>
                <w:szCs w:val="15"/>
              </w:rPr>
              <w:t>Title VI of the Civil Rights Act of 1964, as amended.</w:t>
            </w:r>
          </w:p>
        </w:tc>
      </w:tr>
      <w:tr w:rsidR="004A589C" w:rsidRPr="006B380E" w14:paraId="7C0BBA8F"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7000F47B"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FB0022D" w14:textId="3BFF7B52" w:rsidR="006B380E" w:rsidRPr="00020D20" w:rsidRDefault="00202C92">
            <w:pPr>
              <w:pStyle w:val="Title"/>
              <w:rPr>
                <w:sz w:val="15"/>
                <w:szCs w:val="15"/>
              </w:rPr>
            </w:pPr>
            <w:hyperlink r:id="rId748" w:history="1">
              <w:r w:rsidR="006B380E" w:rsidRPr="00020D20">
                <w:rPr>
                  <w:rStyle w:val="Hyperlink"/>
                  <w:rFonts w:asciiTheme="minorHAnsi" w:hAnsiTheme="minorHAnsi" w:cstheme="majorBidi"/>
                  <w:i/>
                  <w:iCs w:val="0"/>
                  <w:color w:val="CE5B18"/>
                  <w:sz w:val="15"/>
                  <w:szCs w:val="15"/>
                  <w:u w:val="none"/>
                </w:rPr>
                <w:t xml:space="preserve">49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27</w:t>
              </w:r>
            </w:hyperlink>
          </w:p>
        </w:tc>
        <w:tc>
          <w:tcPr>
            <w:tcW w:w="8640"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E505CFA" w14:textId="0343246B" w:rsidR="006B380E" w:rsidRPr="00020D20" w:rsidRDefault="006B380E" w:rsidP="00020D20">
            <w:pPr>
              <w:spacing w:before="0" w:after="0" w:line="240" w:lineRule="auto"/>
              <w:jc w:val="both"/>
              <w:rPr>
                <w:sz w:val="15"/>
                <w:szCs w:val="15"/>
              </w:rPr>
            </w:pPr>
            <w:r w:rsidRPr="00020D20">
              <w:rPr>
                <w:sz w:val="15"/>
                <w:szCs w:val="15"/>
              </w:rPr>
              <w:t>The U.S. DOT implementation regulations found in</w:t>
            </w:r>
            <w:r w:rsidR="00C727FD" w:rsidRPr="00020D20">
              <w:rPr>
                <w:sz w:val="15"/>
                <w:szCs w:val="15"/>
              </w:rPr>
              <w:t xml:space="preserve"> </w:t>
            </w:r>
            <w:r w:rsidRPr="00020D20">
              <w:rPr>
                <w:sz w:val="15"/>
                <w:szCs w:val="15"/>
              </w:rPr>
              <w:t>”Transportation for Individuals with Disabilities”.</w:t>
            </w:r>
          </w:p>
        </w:tc>
      </w:tr>
      <w:tr w:rsidR="004A589C" w:rsidRPr="006B380E" w14:paraId="03669920" w14:textId="77777777" w:rsidTr="00020D20">
        <w:trPr>
          <w:trHeight w:val="71"/>
        </w:trPr>
        <w:tc>
          <w:tcPr>
            <w:tcW w:w="360" w:type="dxa"/>
            <w:vMerge/>
            <w:tcBorders>
              <w:left w:val="single" w:sz="4" w:space="0" w:color="auto"/>
              <w:bottom w:val="single" w:sz="4" w:space="0" w:color="auto"/>
              <w:right w:val="single" w:sz="4" w:space="0" w:color="auto"/>
            </w:tcBorders>
            <w:shd w:val="clear" w:color="auto" w:fill="002060"/>
          </w:tcPr>
          <w:p w14:paraId="6900F4AF"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4B7DDC6" w14:textId="532AC717" w:rsidR="006B380E" w:rsidRPr="00020D20" w:rsidRDefault="00202C92">
            <w:pPr>
              <w:pStyle w:val="Title"/>
              <w:rPr>
                <w:sz w:val="15"/>
                <w:szCs w:val="15"/>
              </w:rPr>
            </w:pPr>
            <w:hyperlink r:id="rId749" w:history="1">
              <w:r w:rsidR="006B380E" w:rsidRPr="00020D20">
                <w:rPr>
                  <w:rStyle w:val="Hyperlink"/>
                  <w:rFonts w:asciiTheme="minorHAnsi" w:hAnsiTheme="minorHAnsi" w:cstheme="majorBidi"/>
                  <w:i/>
                  <w:iCs w:val="0"/>
                  <w:color w:val="CE5B18"/>
                  <w:sz w:val="15"/>
                  <w:szCs w:val="15"/>
                  <w:u w:val="none"/>
                </w:rPr>
                <w:t xml:space="preserve">49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37</w:t>
              </w:r>
            </w:hyperlink>
          </w:p>
        </w:tc>
        <w:tc>
          <w:tcPr>
            <w:tcW w:w="8640" w:type="dxa"/>
            <w:vMerge/>
            <w:tcBorders>
              <w:top w:val="single" w:sz="4" w:space="0" w:color="auto"/>
              <w:left w:val="single" w:sz="4" w:space="0" w:color="auto"/>
              <w:bottom w:val="single" w:sz="4" w:space="0" w:color="auto"/>
              <w:right w:val="single" w:sz="4" w:space="0" w:color="auto"/>
            </w:tcBorders>
          </w:tcPr>
          <w:p w14:paraId="7CC3ECF6" w14:textId="77777777" w:rsidR="006B380E" w:rsidRPr="00020D20" w:rsidRDefault="006B380E" w:rsidP="00020D20">
            <w:pPr>
              <w:spacing w:before="0" w:after="0" w:line="240" w:lineRule="auto"/>
              <w:jc w:val="both"/>
              <w:rPr>
                <w:sz w:val="15"/>
                <w:szCs w:val="15"/>
              </w:rPr>
            </w:pPr>
          </w:p>
        </w:tc>
      </w:tr>
      <w:tr w:rsidR="004A589C" w:rsidRPr="006B380E" w14:paraId="35A8B0E2"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120D0891"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90E4F09" w14:textId="2B249014" w:rsidR="006B380E" w:rsidRPr="00020D20" w:rsidRDefault="00202C92">
            <w:pPr>
              <w:pStyle w:val="Title"/>
              <w:rPr>
                <w:sz w:val="15"/>
                <w:szCs w:val="15"/>
              </w:rPr>
            </w:pPr>
            <w:hyperlink r:id="rId750" w:history="1">
              <w:r w:rsidR="006B380E" w:rsidRPr="00020D20">
                <w:rPr>
                  <w:rStyle w:val="Hyperlink"/>
                  <w:rFonts w:asciiTheme="minorHAnsi" w:hAnsiTheme="minorHAnsi" w:cstheme="majorBidi"/>
                  <w:i/>
                  <w:iCs w:val="0"/>
                  <w:color w:val="CE5B18"/>
                  <w:sz w:val="15"/>
                  <w:szCs w:val="15"/>
                  <w:u w:val="none"/>
                </w:rPr>
                <w:t xml:space="preserve">49 </w:t>
              </w:r>
              <w:r w:rsidR="009628C0">
                <w:rPr>
                  <w:rStyle w:val="Hyperlink"/>
                  <w:rFonts w:asciiTheme="minorHAnsi" w:hAnsiTheme="minorHAnsi" w:cstheme="majorBidi"/>
                  <w:i/>
                  <w:iCs w:val="0"/>
                  <w:color w:val="CE5B18"/>
                  <w:sz w:val="15"/>
                  <w:szCs w:val="15"/>
                  <w:u w:val="none"/>
                </w:rPr>
                <w:t xml:space="preserve">C.F.R. </w:t>
              </w:r>
              <w:r w:rsidR="006B380E" w:rsidRPr="00020D20">
                <w:rPr>
                  <w:rStyle w:val="Hyperlink"/>
                  <w:rFonts w:asciiTheme="minorHAnsi" w:hAnsiTheme="minorHAnsi" w:cstheme="majorBidi"/>
                  <w:i/>
                  <w:iCs w:val="0"/>
                  <w:color w:val="CE5B18"/>
                  <w:sz w:val="15"/>
                  <w:szCs w:val="15"/>
                  <w:u w:val="none"/>
                </w:rPr>
                <w:t>Part 38</w:t>
              </w:r>
            </w:hyperlink>
          </w:p>
        </w:tc>
        <w:tc>
          <w:tcPr>
            <w:tcW w:w="8640" w:type="dxa"/>
            <w:vMerge/>
            <w:tcBorders>
              <w:top w:val="single" w:sz="4" w:space="0" w:color="auto"/>
              <w:left w:val="single" w:sz="4" w:space="0" w:color="auto"/>
              <w:bottom w:val="single" w:sz="4" w:space="0" w:color="auto"/>
              <w:right w:val="single" w:sz="4" w:space="0" w:color="auto"/>
            </w:tcBorders>
          </w:tcPr>
          <w:p w14:paraId="54FAD420" w14:textId="77777777" w:rsidR="006B380E" w:rsidRPr="00020D20" w:rsidRDefault="006B380E" w:rsidP="00020D20">
            <w:pPr>
              <w:spacing w:before="0" w:after="0" w:line="240" w:lineRule="auto"/>
              <w:jc w:val="both"/>
              <w:rPr>
                <w:sz w:val="15"/>
                <w:szCs w:val="15"/>
              </w:rPr>
            </w:pPr>
          </w:p>
        </w:tc>
      </w:tr>
      <w:tr w:rsidR="004A589C" w:rsidRPr="006B380E" w14:paraId="6DC8D361" w14:textId="77777777" w:rsidTr="00020D20">
        <w:trPr>
          <w:trHeight w:val="35"/>
        </w:trPr>
        <w:tc>
          <w:tcPr>
            <w:tcW w:w="360" w:type="dxa"/>
            <w:vMerge/>
            <w:tcBorders>
              <w:left w:val="single" w:sz="4" w:space="0" w:color="auto"/>
              <w:bottom w:val="single" w:sz="4" w:space="0" w:color="auto"/>
              <w:right w:val="single" w:sz="4" w:space="0" w:color="auto"/>
            </w:tcBorders>
            <w:shd w:val="clear" w:color="auto" w:fill="002060"/>
          </w:tcPr>
          <w:p w14:paraId="23969F1A"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6462697B" w14:textId="568876E5" w:rsidR="006B380E" w:rsidRPr="00020D20" w:rsidRDefault="00202C92">
            <w:pPr>
              <w:pStyle w:val="Title"/>
              <w:rPr>
                <w:sz w:val="15"/>
                <w:szCs w:val="15"/>
              </w:rPr>
            </w:pPr>
            <w:hyperlink r:id="rId751" w:history="1">
              <w:r w:rsidR="006B380E" w:rsidRPr="00020D20">
                <w:rPr>
                  <w:rStyle w:val="Hyperlink"/>
                  <w:rFonts w:asciiTheme="minorHAnsi" w:hAnsiTheme="minorHAnsi" w:cstheme="majorBidi"/>
                  <w:i/>
                  <w:iCs w:val="0"/>
                  <w:color w:val="CE5B18"/>
                  <w:sz w:val="15"/>
                  <w:szCs w:val="15"/>
                  <w:u w:val="none"/>
                </w:rPr>
                <w:t>49 U.S.C. § 5303</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E758700" w14:textId="77777777" w:rsidR="006B380E" w:rsidRPr="00020D20" w:rsidRDefault="006B380E" w:rsidP="00020D20">
            <w:pPr>
              <w:spacing w:before="0" w:after="0" w:line="240" w:lineRule="auto"/>
              <w:jc w:val="both"/>
              <w:rPr>
                <w:sz w:val="15"/>
                <w:szCs w:val="15"/>
              </w:rPr>
            </w:pPr>
            <w:r w:rsidRPr="00020D20">
              <w:rPr>
                <w:sz w:val="15"/>
                <w:szCs w:val="15"/>
              </w:rPr>
              <w:t>Metropolitan Planning as apart of MAP-21 section 20005</w:t>
            </w:r>
          </w:p>
        </w:tc>
      </w:tr>
      <w:tr w:rsidR="004A589C" w:rsidRPr="006B380E" w14:paraId="29AC0824"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4C621BE9"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AD5943B" w14:textId="3A65A98E" w:rsidR="006B380E" w:rsidRPr="00020D20" w:rsidRDefault="00202C92">
            <w:pPr>
              <w:pStyle w:val="Title"/>
              <w:rPr>
                <w:sz w:val="15"/>
                <w:szCs w:val="15"/>
              </w:rPr>
            </w:pPr>
            <w:hyperlink r:id="rId752" w:history="1">
              <w:r w:rsidR="006B380E" w:rsidRPr="00020D20">
                <w:rPr>
                  <w:rStyle w:val="Hyperlink"/>
                  <w:rFonts w:asciiTheme="minorHAnsi" w:hAnsiTheme="minorHAnsi" w:cstheme="majorBidi"/>
                  <w:i/>
                  <w:iCs w:val="0"/>
                  <w:color w:val="CE5B18"/>
                  <w:sz w:val="15"/>
                  <w:szCs w:val="15"/>
                  <w:u w:val="none"/>
                </w:rPr>
                <w:t>49 U.S.C. § 5305(e)</w:t>
              </w:r>
            </w:hyperlink>
          </w:p>
        </w:tc>
        <w:tc>
          <w:tcPr>
            <w:tcW w:w="8640"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EA48C6E" w14:textId="77777777" w:rsidR="006B380E" w:rsidRPr="00020D20" w:rsidRDefault="006B380E" w:rsidP="00020D20">
            <w:pPr>
              <w:spacing w:before="0" w:after="0" w:line="240" w:lineRule="auto"/>
              <w:jc w:val="both"/>
              <w:rPr>
                <w:sz w:val="15"/>
                <w:szCs w:val="15"/>
              </w:rPr>
            </w:pPr>
            <w:r w:rsidRPr="00020D20">
              <w:rPr>
                <w:sz w:val="15"/>
                <w:szCs w:val="15"/>
              </w:rPr>
              <w:t>Federal law requiring the FHWA and FTA to certify the metropolitan transportation planning process in TMAs in accordance with federal law at least once every four years.</w:t>
            </w:r>
          </w:p>
        </w:tc>
      </w:tr>
      <w:tr w:rsidR="004A589C" w:rsidRPr="006B380E" w14:paraId="60BEB0E6"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47C11F0D"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6D1049F" w14:textId="3162D3B0" w:rsidR="006B380E" w:rsidRPr="00020D20" w:rsidRDefault="00202C92">
            <w:pPr>
              <w:pStyle w:val="Title"/>
              <w:rPr>
                <w:sz w:val="15"/>
                <w:szCs w:val="15"/>
              </w:rPr>
            </w:pPr>
            <w:hyperlink r:id="rId753" w:history="1">
              <w:r w:rsidR="006B380E" w:rsidRPr="00020D20">
                <w:rPr>
                  <w:rStyle w:val="Hyperlink"/>
                  <w:rFonts w:asciiTheme="minorHAnsi" w:hAnsiTheme="minorHAnsi" w:cstheme="majorBidi"/>
                  <w:i/>
                  <w:iCs w:val="0"/>
                  <w:color w:val="CE5B18"/>
                  <w:sz w:val="15"/>
                  <w:szCs w:val="15"/>
                  <w:u w:val="none"/>
                </w:rPr>
                <w:t>23 U.S.C. § 134 (k)(5)</w:t>
              </w:r>
            </w:hyperlink>
          </w:p>
        </w:tc>
        <w:tc>
          <w:tcPr>
            <w:tcW w:w="8640" w:type="dxa"/>
            <w:vMerge/>
            <w:tcBorders>
              <w:top w:val="single" w:sz="4" w:space="0" w:color="auto"/>
              <w:left w:val="single" w:sz="4" w:space="0" w:color="auto"/>
              <w:bottom w:val="single" w:sz="4" w:space="0" w:color="auto"/>
              <w:right w:val="single" w:sz="4" w:space="0" w:color="auto"/>
            </w:tcBorders>
          </w:tcPr>
          <w:p w14:paraId="2BAB2BDE" w14:textId="77777777" w:rsidR="006B380E" w:rsidRPr="00020D20" w:rsidRDefault="006B380E" w:rsidP="00020D20">
            <w:pPr>
              <w:spacing w:before="0" w:after="0" w:line="240" w:lineRule="auto"/>
              <w:jc w:val="both"/>
              <w:rPr>
                <w:sz w:val="15"/>
                <w:szCs w:val="15"/>
              </w:rPr>
            </w:pPr>
          </w:p>
        </w:tc>
      </w:tr>
      <w:tr w:rsidR="004A589C" w:rsidRPr="006B380E" w14:paraId="26DCF6C2"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0E954BD0"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08A1F64" w14:textId="52840BAC" w:rsidR="006B380E" w:rsidRPr="00020D20" w:rsidRDefault="00202C92">
            <w:pPr>
              <w:pStyle w:val="Title"/>
              <w:rPr>
                <w:sz w:val="15"/>
                <w:szCs w:val="15"/>
              </w:rPr>
            </w:pPr>
            <w:hyperlink r:id="rId754" w:history="1">
              <w:r w:rsidR="006B380E" w:rsidRPr="00020D20">
                <w:rPr>
                  <w:rStyle w:val="Hyperlink"/>
                  <w:rFonts w:asciiTheme="minorHAnsi" w:hAnsiTheme="minorHAnsi" w:cstheme="majorBidi"/>
                  <w:i/>
                  <w:iCs w:val="0"/>
                  <w:color w:val="CE5B18"/>
                  <w:sz w:val="15"/>
                  <w:szCs w:val="15"/>
                  <w:u w:val="none"/>
                </w:rPr>
                <w:t>49 U.S.C. § 5306</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DE2F4FB" w14:textId="77777777" w:rsidR="006B380E" w:rsidRPr="00020D20" w:rsidRDefault="006B380E" w:rsidP="00020D20">
            <w:pPr>
              <w:spacing w:before="0" w:after="0" w:line="240" w:lineRule="auto"/>
              <w:jc w:val="both"/>
              <w:rPr>
                <w:sz w:val="15"/>
                <w:szCs w:val="15"/>
              </w:rPr>
            </w:pPr>
            <w:r w:rsidRPr="00020D20">
              <w:rPr>
                <w:sz w:val="15"/>
                <w:szCs w:val="15"/>
              </w:rPr>
              <w:t>Private enterprise participation in metropolitan planning and transportation improvements programs</w:t>
            </w:r>
          </w:p>
        </w:tc>
      </w:tr>
      <w:tr w:rsidR="004A589C" w:rsidRPr="006B380E" w14:paraId="3C5F9A01" w14:textId="77777777" w:rsidTr="00020D20">
        <w:trPr>
          <w:trHeight w:val="305"/>
        </w:trPr>
        <w:tc>
          <w:tcPr>
            <w:tcW w:w="360" w:type="dxa"/>
            <w:vMerge/>
            <w:tcBorders>
              <w:left w:val="single" w:sz="4" w:space="0" w:color="auto"/>
              <w:bottom w:val="single" w:sz="4" w:space="0" w:color="auto"/>
              <w:right w:val="single" w:sz="4" w:space="0" w:color="auto"/>
            </w:tcBorders>
            <w:shd w:val="clear" w:color="auto" w:fill="002060"/>
          </w:tcPr>
          <w:p w14:paraId="05F34573"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0BBFF81" w14:textId="4C9AAC41" w:rsidR="006B380E" w:rsidRPr="00020D20" w:rsidRDefault="00202C92">
            <w:pPr>
              <w:pStyle w:val="Title"/>
              <w:rPr>
                <w:sz w:val="15"/>
                <w:szCs w:val="15"/>
              </w:rPr>
            </w:pPr>
            <w:hyperlink r:id="rId755" w:history="1">
              <w:r w:rsidR="006B380E" w:rsidRPr="00020D20">
                <w:rPr>
                  <w:rStyle w:val="Hyperlink"/>
                  <w:rFonts w:asciiTheme="minorHAnsi" w:hAnsiTheme="minorHAnsi" w:cstheme="majorBidi"/>
                  <w:i/>
                  <w:iCs w:val="0"/>
                  <w:color w:val="CE5B18"/>
                  <w:sz w:val="15"/>
                  <w:szCs w:val="15"/>
                  <w:u w:val="none"/>
                </w:rPr>
                <w:t>49 U.S.C. § 5323</w:t>
              </w:r>
            </w:hyperlink>
          </w:p>
        </w:tc>
        <w:tc>
          <w:tcPr>
            <w:tcW w:w="864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745D095" w14:textId="77777777" w:rsidR="006B380E" w:rsidRPr="00020D20" w:rsidRDefault="006B380E" w:rsidP="00020D20">
            <w:pPr>
              <w:spacing w:before="0" w:after="0" w:line="240" w:lineRule="auto"/>
              <w:jc w:val="both"/>
              <w:rPr>
                <w:sz w:val="15"/>
                <w:szCs w:val="15"/>
              </w:rPr>
            </w:pPr>
            <w:r w:rsidRPr="00020D20">
              <w:rPr>
                <w:sz w:val="15"/>
                <w:szCs w:val="15"/>
              </w:rPr>
              <w:t>Financial assistance may be used to acquire an interest in, or to buy property of a private company engaged in public transportation, for a capital project for a private company engaged in public transportation, or to operate a public transportation facility or equipment in competition with, or in addition to, transportation service provided by an existing public transportation company</w:t>
            </w:r>
          </w:p>
        </w:tc>
      </w:tr>
      <w:tr w:rsidR="004A589C" w:rsidRPr="006B380E" w14:paraId="7D595D0C"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02060"/>
          </w:tcPr>
          <w:p w14:paraId="3AA3E2D8" w14:textId="77777777" w:rsidR="006B380E" w:rsidRPr="006B380E" w:rsidRDefault="006B380E" w:rsidP="00020D20">
            <w:pPr>
              <w:spacing w:before="0" w:after="0" w:line="240" w:lineRule="auto"/>
              <w:jc w:val="center"/>
              <w:rPr>
                <w:rFonts w:cstheme="minorHAnsi"/>
              </w:rPr>
            </w:pPr>
          </w:p>
        </w:tc>
        <w:tc>
          <w:tcPr>
            <w:tcW w:w="16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C424113" w14:textId="36835C92" w:rsidR="006B380E" w:rsidRPr="00020D20" w:rsidRDefault="00202C92">
            <w:pPr>
              <w:pStyle w:val="Title"/>
              <w:rPr>
                <w:sz w:val="15"/>
                <w:szCs w:val="15"/>
              </w:rPr>
            </w:pPr>
            <w:hyperlink r:id="rId756" w:history="1">
              <w:r w:rsidR="006B380E" w:rsidRPr="00020D20">
                <w:rPr>
                  <w:rStyle w:val="Hyperlink"/>
                  <w:rFonts w:asciiTheme="minorHAnsi" w:hAnsiTheme="minorHAnsi" w:cstheme="majorBidi"/>
                  <w:i/>
                  <w:iCs w:val="0"/>
                  <w:color w:val="CE5B18"/>
                  <w:sz w:val="15"/>
                  <w:szCs w:val="15"/>
                  <w:u w:val="none"/>
                </w:rPr>
                <w:t>49 U.S.C. § 5332</w:t>
              </w:r>
            </w:hyperlink>
          </w:p>
        </w:tc>
        <w:tc>
          <w:tcPr>
            <w:tcW w:w="864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4C7501D" w14:textId="77777777" w:rsidR="006B380E" w:rsidRPr="00020D20" w:rsidRDefault="006B380E" w:rsidP="00020D20">
            <w:pPr>
              <w:spacing w:before="0" w:after="0" w:line="240" w:lineRule="auto"/>
              <w:jc w:val="both"/>
              <w:rPr>
                <w:sz w:val="15"/>
                <w:szCs w:val="15"/>
              </w:rPr>
            </w:pPr>
            <w:r w:rsidRPr="00020D20">
              <w:rPr>
                <w:sz w:val="15"/>
                <w:szCs w:val="15"/>
              </w:rPr>
              <w:t>Prohibiting discrimination on the basis of race, color, creed, national origin, sex, or age in employment or business opportunity.</w:t>
            </w:r>
          </w:p>
        </w:tc>
      </w:tr>
    </w:tbl>
    <w:p w14:paraId="41F5A678" w14:textId="77777777" w:rsidR="00A1714B" w:rsidRDefault="00A1714B" w:rsidP="00020D20">
      <w:pPr>
        <w:jc w:val="both"/>
        <w:rPr>
          <w:rFonts w:cstheme="minorHAnsi"/>
        </w:rPr>
        <w:sectPr w:rsidR="00A1714B" w:rsidSect="00020D20">
          <w:type w:val="continuous"/>
          <w:pgSz w:w="12240" w:h="15840"/>
          <w:pgMar w:top="1440" w:right="1440" w:bottom="1440" w:left="1440" w:header="720" w:footer="720" w:gutter="0"/>
          <w:pgNumType w:chapStyle="1"/>
          <w:cols w:space="720"/>
          <w:docGrid w:linePitch="360"/>
        </w:sectPr>
      </w:pPr>
    </w:p>
    <w:p w14:paraId="6CEDA525" w14:textId="4E79C3A0" w:rsidR="000B701F" w:rsidRPr="000B701F" w:rsidRDefault="000B701F" w:rsidP="00020D20">
      <w:pPr>
        <w:pStyle w:val="SubHeading3"/>
        <w:jc w:val="both"/>
      </w:pPr>
      <w:bookmarkStart w:id="438" w:name="_Ref50033996"/>
      <w:r w:rsidRPr="000B701F">
        <w:t>Site Visit to the TMA</w:t>
      </w:r>
      <w:bookmarkEnd w:id="438"/>
    </w:p>
    <w:p w14:paraId="73E5615E" w14:textId="3174BEA9" w:rsidR="000B701F" w:rsidRPr="000B701F" w:rsidRDefault="000B701F" w:rsidP="00020D20">
      <w:pPr>
        <w:jc w:val="both"/>
        <w:rPr>
          <w:rFonts w:cstheme="minorHAnsi"/>
        </w:rPr>
      </w:pPr>
      <w:r w:rsidRPr="000B701F">
        <w:rPr>
          <w:rFonts w:cstheme="minorHAnsi"/>
        </w:rPr>
        <w:t xml:space="preserve">Consists of federal team meetings with participants to discuss findings from the Document Review and areas critical to the planning </w:t>
      </w:r>
      <w:r w:rsidRPr="003F0B78">
        <w:t xml:space="preserve">process, such as those listed at </w:t>
      </w:r>
      <w:hyperlink r:id="rId757" w:history="1">
        <w:r w:rsidRPr="00020D20">
          <w:rPr>
            <w:rStyle w:val="TitleChar"/>
          </w:rPr>
          <w:t xml:space="preserve">23 </w:t>
        </w:r>
        <w:r w:rsidR="009628C0">
          <w:rPr>
            <w:rStyle w:val="TitleChar"/>
          </w:rPr>
          <w:t xml:space="preserve">C.F.R. </w:t>
        </w:r>
        <w:r w:rsidRPr="00020D20">
          <w:rPr>
            <w:rStyle w:val="TitleChar"/>
          </w:rPr>
          <w:t>§ 450.334(a)</w:t>
        </w:r>
      </w:hyperlink>
      <w:r w:rsidRPr="003F0B78">
        <w:t>. The site</w:t>
      </w:r>
      <w:r w:rsidRPr="000B701F">
        <w:rPr>
          <w:rFonts w:cstheme="minorHAnsi"/>
        </w:rPr>
        <w:t xml:space="preserve"> visit includes the opportunity for information-sharing sessions in which best practices may be discussed. </w:t>
      </w:r>
    </w:p>
    <w:p w14:paraId="41D546C3" w14:textId="08E01A50" w:rsidR="000B701F" w:rsidRPr="000B701F" w:rsidRDefault="000B701F" w:rsidP="00020D20">
      <w:pPr>
        <w:jc w:val="both"/>
        <w:rPr>
          <w:rFonts w:cstheme="minorHAnsi"/>
        </w:rPr>
      </w:pPr>
      <w:r w:rsidRPr="000B701F">
        <w:rPr>
          <w:rFonts w:cstheme="minorHAnsi"/>
        </w:rPr>
        <w:t xml:space="preserve">The FHWA, in cooperation with the FTA, TMA, and </w:t>
      </w:r>
      <w:r w:rsidR="00BC3328">
        <w:rPr>
          <w:rFonts w:cstheme="minorHAnsi"/>
        </w:rPr>
        <w:t xml:space="preserve">ADOT </w:t>
      </w:r>
      <w:r w:rsidRPr="000B701F">
        <w:rPr>
          <w:rFonts w:cstheme="minorHAnsi"/>
        </w:rPr>
        <w:t xml:space="preserve">district, is responsible for preparing the site visit agenda. The TMA is responsible for scheduling, advertising the meeting, and distributing the agenda. </w:t>
      </w:r>
    </w:p>
    <w:p w14:paraId="2E088B2C" w14:textId="66C33930" w:rsidR="000B701F" w:rsidRPr="000B701F" w:rsidRDefault="000B701F" w:rsidP="00020D20">
      <w:pPr>
        <w:jc w:val="both"/>
        <w:rPr>
          <w:rFonts w:cstheme="minorHAnsi"/>
        </w:rPr>
      </w:pPr>
      <w:r w:rsidRPr="000B701F">
        <w:rPr>
          <w:rFonts w:cstheme="minorHAnsi"/>
        </w:rPr>
        <w:t xml:space="preserve">Public involvement is required during TMA certification </w:t>
      </w:r>
      <w:r w:rsidRPr="003F0B78">
        <w:t>reviews (</w:t>
      </w:r>
      <w:hyperlink r:id="rId758" w:history="1">
        <w:r w:rsidRPr="00020D20">
          <w:rPr>
            <w:rStyle w:val="TitleChar"/>
          </w:rPr>
          <w:t>23 U.S.C. § 134(k)(5)(D)</w:t>
        </w:r>
      </w:hyperlink>
      <w:r w:rsidRPr="003F0B78">
        <w:t>).</w:t>
      </w:r>
      <w:r w:rsidRPr="000B701F">
        <w:rPr>
          <w:rFonts w:cstheme="minorHAnsi"/>
        </w:rPr>
        <w:t xml:space="preserve"> Accordingly, the site visit includes public involvement activities. The Arizona division of the FHWA may provide guidelines used for scheduling and administering the public involvement component of the certification process. Public involvement activities</w:t>
      </w:r>
      <w:r w:rsidR="00781B66">
        <w:rPr>
          <w:rFonts w:cstheme="minorHAnsi"/>
        </w:rPr>
        <w:t xml:space="preserve"> may</w:t>
      </w:r>
      <w:r w:rsidRPr="000B701F">
        <w:rPr>
          <w:rFonts w:cstheme="minorHAnsi"/>
        </w:rPr>
        <w:t xml:space="preserve"> include a public meeting and, if feasible, individual meetings with members of the TMA board and/or committees. The TMA must provide documentation of its public involvement efforts.</w:t>
      </w:r>
    </w:p>
    <w:p w14:paraId="18CFD2C8" w14:textId="77777777" w:rsidR="000B701F" w:rsidRPr="000B701F" w:rsidRDefault="000B701F" w:rsidP="00020D20">
      <w:pPr>
        <w:pStyle w:val="SubHeading3"/>
        <w:jc w:val="both"/>
      </w:pPr>
      <w:bookmarkStart w:id="439" w:name="_Ref50034141"/>
      <w:r w:rsidRPr="000B701F">
        <w:t>Written Report</w:t>
      </w:r>
      <w:bookmarkEnd w:id="439"/>
    </w:p>
    <w:p w14:paraId="77D5F42E" w14:textId="28A993F5" w:rsidR="000B701F" w:rsidRPr="000B701F" w:rsidRDefault="00BC3328" w:rsidP="00020D20">
      <w:pPr>
        <w:jc w:val="both"/>
        <w:rPr>
          <w:rFonts w:cstheme="minorHAnsi"/>
        </w:rPr>
      </w:pPr>
      <w:r>
        <w:rPr>
          <w:rFonts w:cstheme="minorHAnsi"/>
        </w:rPr>
        <w:t xml:space="preserve">The written report includes </w:t>
      </w:r>
      <w:r w:rsidR="000B701F" w:rsidRPr="000B701F">
        <w:rPr>
          <w:rFonts w:cstheme="minorHAnsi"/>
        </w:rPr>
        <w:t>document review and site visit findings as well as comments from the public involvement activities. A draft preliminary report is distributed to the TMA</w:t>
      </w:r>
      <w:r>
        <w:rPr>
          <w:rFonts w:cstheme="minorHAnsi"/>
        </w:rPr>
        <w:t xml:space="preserve"> and</w:t>
      </w:r>
      <w:r w:rsidR="000B701F" w:rsidRPr="000B701F">
        <w:rPr>
          <w:rFonts w:cstheme="minorHAnsi"/>
        </w:rPr>
        <w:t xml:space="preserve"> the district for review and commentary prior to finalizing the report.</w:t>
      </w:r>
    </w:p>
    <w:p w14:paraId="66058B62" w14:textId="77777777" w:rsidR="000B701F" w:rsidRPr="000B701F" w:rsidRDefault="000B701F" w:rsidP="00020D20">
      <w:pPr>
        <w:pStyle w:val="SubHeading3"/>
        <w:jc w:val="both"/>
      </w:pPr>
      <w:bookmarkStart w:id="440" w:name="_Ref50034145"/>
      <w:r w:rsidRPr="000B701F">
        <w:t>Closeout Meeting</w:t>
      </w:r>
      <w:bookmarkEnd w:id="440"/>
    </w:p>
    <w:p w14:paraId="7DC12669" w14:textId="22961284" w:rsidR="000B701F" w:rsidRPr="000B701F" w:rsidRDefault="00BC3328" w:rsidP="00020D20">
      <w:pPr>
        <w:jc w:val="both"/>
        <w:rPr>
          <w:rFonts w:cstheme="minorHAnsi"/>
        </w:rPr>
      </w:pPr>
      <w:r>
        <w:rPr>
          <w:rFonts w:cstheme="minorHAnsi"/>
        </w:rPr>
        <w:t>A p</w:t>
      </w:r>
      <w:r w:rsidR="000B701F" w:rsidRPr="000B701F">
        <w:rPr>
          <w:rFonts w:cstheme="minorHAnsi"/>
        </w:rPr>
        <w:t>resentation</w:t>
      </w:r>
      <w:r>
        <w:rPr>
          <w:rFonts w:cstheme="minorHAnsi"/>
        </w:rPr>
        <w:t xml:space="preserve"> at a TMA board meeting can be led</w:t>
      </w:r>
      <w:r w:rsidR="000B701F" w:rsidRPr="000B701F">
        <w:rPr>
          <w:rFonts w:cstheme="minorHAnsi"/>
        </w:rPr>
        <w:t xml:space="preserve"> by the federal review team on the report findings and a discussion on the certification options</w:t>
      </w:r>
      <w:r>
        <w:rPr>
          <w:rFonts w:cstheme="minorHAnsi"/>
        </w:rPr>
        <w:t>.</w:t>
      </w:r>
    </w:p>
    <w:p w14:paraId="75EB74FD" w14:textId="77777777" w:rsidR="000B701F" w:rsidRPr="000B701F" w:rsidRDefault="000B701F" w:rsidP="00020D20">
      <w:pPr>
        <w:pStyle w:val="Heading2"/>
      </w:pPr>
      <w:bookmarkStart w:id="441" w:name="_Ref50033737"/>
      <w:r w:rsidRPr="000B701F">
        <w:t>11.5 | REVIEW TOPICS</w:t>
      </w:r>
      <w:bookmarkEnd w:id="441"/>
    </w:p>
    <w:p w14:paraId="64F40F02" w14:textId="7F674592" w:rsidR="000B701F" w:rsidRPr="000B701F" w:rsidRDefault="000B701F" w:rsidP="00020D20">
      <w:pPr>
        <w:pStyle w:val="Body-Bullets"/>
        <w:jc w:val="both"/>
        <w:rPr>
          <w:rFonts w:cstheme="minorHAnsi"/>
        </w:rPr>
      </w:pPr>
      <w:r w:rsidRPr="000B701F">
        <w:rPr>
          <w:rFonts w:cstheme="minorHAnsi"/>
        </w:rPr>
        <w:t>The purpose of certification review is to gather facts and best practices regarding the quality of the planning process. Following is a list of some topics that may be covered during certification review.</w:t>
      </w:r>
    </w:p>
    <w:p w14:paraId="01F0BEBC" w14:textId="77777777" w:rsidR="000B701F" w:rsidRPr="000B701F" w:rsidRDefault="000B701F" w:rsidP="00020D20">
      <w:pPr>
        <w:pStyle w:val="Body-Bullets"/>
        <w:jc w:val="both"/>
        <w:rPr>
          <w:rFonts w:cstheme="minorHAnsi"/>
        </w:rPr>
      </w:pPr>
      <w:r w:rsidRPr="000B701F">
        <w:rPr>
          <w:rFonts w:cstheme="minorHAnsi"/>
        </w:rPr>
        <w:t>TMA structure</w:t>
      </w:r>
    </w:p>
    <w:p w14:paraId="0BD1E135" w14:textId="77777777" w:rsidR="000B701F" w:rsidRPr="000B701F" w:rsidRDefault="000B701F" w:rsidP="00020D20">
      <w:pPr>
        <w:pStyle w:val="Body-Bullets"/>
        <w:jc w:val="both"/>
        <w:rPr>
          <w:rFonts w:cstheme="minorHAnsi"/>
        </w:rPr>
      </w:pPr>
      <w:r w:rsidRPr="000B701F">
        <w:rPr>
          <w:rFonts w:cstheme="minorHAnsi"/>
        </w:rPr>
        <w:t>UPWP</w:t>
      </w:r>
    </w:p>
    <w:p w14:paraId="0DB9567F" w14:textId="77777777" w:rsidR="000B701F" w:rsidRPr="000B701F" w:rsidRDefault="000B701F" w:rsidP="00020D20">
      <w:pPr>
        <w:pStyle w:val="Body-Bullets"/>
        <w:jc w:val="both"/>
        <w:rPr>
          <w:rFonts w:cstheme="minorHAnsi"/>
        </w:rPr>
      </w:pPr>
      <w:r w:rsidRPr="000B701F">
        <w:rPr>
          <w:rFonts w:cstheme="minorHAnsi"/>
        </w:rPr>
        <w:t>Public involvement</w:t>
      </w:r>
    </w:p>
    <w:p w14:paraId="1A37FF00" w14:textId="77777777" w:rsidR="000B701F" w:rsidRPr="000B701F" w:rsidRDefault="000B701F" w:rsidP="00020D20">
      <w:pPr>
        <w:pStyle w:val="Body-Bullets"/>
        <w:jc w:val="both"/>
        <w:rPr>
          <w:rFonts w:cstheme="minorHAnsi"/>
        </w:rPr>
      </w:pPr>
      <w:r w:rsidRPr="000B701F">
        <w:rPr>
          <w:rFonts w:cstheme="minorHAnsi"/>
        </w:rPr>
        <w:t>Title VI and related federal requirements</w:t>
      </w:r>
    </w:p>
    <w:p w14:paraId="713E686B" w14:textId="77777777" w:rsidR="000B701F" w:rsidRPr="000B701F" w:rsidRDefault="000B701F" w:rsidP="00020D20">
      <w:pPr>
        <w:pStyle w:val="Body-Bullets"/>
        <w:jc w:val="both"/>
        <w:rPr>
          <w:rFonts w:cstheme="minorHAnsi"/>
        </w:rPr>
      </w:pPr>
      <w:r w:rsidRPr="000B701F">
        <w:rPr>
          <w:rFonts w:cstheme="minorHAnsi"/>
        </w:rPr>
        <w:t>Intelligent Transportation System (ITS)</w:t>
      </w:r>
    </w:p>
    <w:p w14:paraId="0238C906" w14:textId="77777777" w:rsidR="000B701F" w:rsidRPr="000B701F" w:rsidRDefault="000B701F" w:rsidP="00020D20">
      <w:pPr>
        <w:pStyle w:val="Body-Bullets"/>
        <w:jc w:val="both"/>
        <w:rPr>
          <w:rFonts w:cstheme="minorHAnsi"/>
        </w:rPr>
      </w:pPr>
      <w:r w:rsidRPr="000B701F">
        <w:rPr>
          <w:rFonts w:cstheme="minorHAnsi"/>
        </w:rPr>
        <w:t>Congestion Management Process (CMP)</w:t>
      </w:r>
    </w:p>
    <w:p w14:paraId="57849583" w14:textId="77777777" w:rsidR="000B701F" w:rsidRPr="000B701F" w:rsidRDefault="000B701F" w:rsidP="00020D20">
      <w:pPr>
        <w:pStyle w:val="Body-Bullets"/>
        <w:jc w:val="both"/>
        <w:rPr>
          <w:rFonts w:cstheme="minorHAnsi"/>
        </w:rPr>
      </w:pPr>
      <w:r w:rsidRPr="000B701F">
        <w:rPr>
          <w:rFonts w:cstheme="minorHAnsi"/>
        </w:rPr>
        <w:t>Multimodal activities</w:t>
      </w:r>
    </w:p>
    <w:p w14:paraId="1468B47C" w14:textId="77777777" w:rsidR="000B701F" w:rsidRPr="000B701F" w:rsidRDefault="000B701F" w:rsidP="00020D20">
      <w:pPr>
        <w:pStyle w:val="Body-Bullets"/>
        <w:jc w:val="both"/>
        <w:rPr>
          <w:rFonts w:cstheme="minorHAnsi"/>
        </w:rPr>
      </w:pPr>
      <w:r w:rsidRPr="000B701F">
        <w:rPr>
          <w:rFonts w:cstheme="minorHAnsi"/>
        </w:rPr>
        <w:t>LRTP</w:t>
      </w:r>
    </w:p>
    <w:p w14:paraId="0FE0C720" w14:textId="77777777" w:rsidR="000B701F" w:rsidRPr="000B701F" w:rsidRDefault="000B701F" w:rsidP="00020D20">
      <w:pPr>
        <w:pStyle w:val="Body-Bullets"/>
        <w:jc w:val="both"/>
        <w:rPr>
          <w:rFonts w:cstheme="minorHAnsi"/>
        </w:rPr>
      </w:pPr>
      <w:r w:rsidRPr="000B701F">
        <w:rPr>
          <w:rFonts w:cstheme="minorHAnsi"/>
        </w:rPr>
        <w:t>TIP</w:t>
      </w:r>
    </w:p>
    <w:p w14:paraId="3D43D471" w14:textId="77777777" w:rsidR="000B701F" w:rsidRPr="000B701F" w:rsidRDefault="000B701F" w:rsidP="00020D20">
      <w:pPr>
        <w:pStyle w:val="Body-Bullets"/>
        <w:jc w:val="both"/>
        <w:rPr>
          <w:rFonts w:cstheme="minorHAnsi"/>
        </w:rPr>
      </w:pPr>
      <w:r w:rsidRPr="000B701F">
        <w:rPr>
          <w:rFonts w:cstheme="minorHAnsi"/>
        </w:rPr>
        <w:t>Intermodal/freight activities</w:t>
      </w:r>
    </w:p>
    <w:p w14:paraId="6E39C745" w14:textId="77777777" w:rsidR="000B701F" w:rsidRPr="000B701F" w:rsidRDefault="000B701F" w:rsidP="00020D20">
      <w:pPr>
        <w:pStyle w:val="Body-Bullets"/>
        <w:jc w:val="both"/>
        <w:rPr>
          <w:rFonts w:cstheme="minorHAnsi"/>
        </w:rPr>
      </w:pPr>
      <w:r w:rsidRPr="000B701F">
        <w:rPr>
          <w:rFonts w:cstheme="minorHAnsi"/>
        </w:rPr>
        <w:t>Alternatives analysis on regionally significant projects</w:t>
      </w:r>
    </w:p>
    <w:p w14:paraId="399E8233" w14:textId="77777777" w:rsidR="000B701F" w:rsidRPr="000B701F" w:rsidRDefault="000B701F" w:rsidP="00020D20">
      <w:pPr>
        <w:pStyle w:val="Body-Bullets"/>
        <w:jc w:val="both"/>
        <w:rPr>
          <w:rFonts w:cstheme="minorHAnsi"/>
        </w:rPr>
      </w:pPr>
      <w:r w:rsidRPr="000B701F">
        <w:rPr>
          <w:rFonts w:cstheme="minorHAnsi"/>
        </w:rPr>
        <w:t>National programs/initiatives</w:t>
      </w:r>
    </w:p>
    <w:p w14:paraId="10F5BA2B" w14:textId="77777777" w:rsidR="000B701F" w:rsidRPr="000B701F" w:rsidRDefault="000B701F" w:rsidP="00020D20">
      <w:pPr>
        <w:pStyle w:val="Body-Bullets"/>
        <w:jc w:val="both"/>
        <w:rPr>
          <w:rFonts w:cstheme="minorHAnsi"/>
        </w:rPr>
      </w:pPr>
      <w:r w:rsidRPr="000B701F">
        <w:rPr>
          <w:rFonts w:cstheme="minorHAnsi"/>
        </w:rPr>
        <w:t>Air quality</w:t>
      </w:r>
    </w:p>
    <w:p w14:paraId="3DF3BCB8" w14:textId="77777777" w:rsidR="000B701F" w:rsidRPr="000B701F" w:rsidRDefault="000B701F" w:rsidP="00020D20">
      <w:pPr>
        <w:pStyle w:val="Heading2"/>
      </w:pPr>
      <w:bookmarkStart w:id="442" w:name="_Ref50033751"/>
      <w:r w:rsidRPr="000B701F">
        <w:t>11.6 | FEDERAL ACTIONS</w:t>
      </w:r>
      <w:bookmarkEnd w:id="442"/>
    </w:p>
    <w:p w14:paraId="4A9BA20E" w14:textId="77777777" w:rsidR="000B701F" w:rsidRPr="000B701F" w:rsidRDefault="000B701F" w:rsidP="00020D20">
      <w:pPr>
        <w:jc w:val="both"/>
        <w:rPr>
          <w:rFonts w:cstheme="minorHAnsi"/>
        </w:rPr>
      </w:pPr>
      <w:r w:rsidRPr="000B701F">
        <w:rPr>
          <w:rFonts w:cstheme="minorHAnsi"/>
        </w:rPr>
        <w:t xml:space="preserve">The following section describes the federal actions taken when a TMA either meets or does not meet the requirements of certification. </w:t>
      </w:r>
    </w:p>
    <w:p w14:paraId="4FA4CA4D" w14:textId="77777777" w:rsidR="000B701F" w:rsidRPr="000B701F" w:rsidRDefault="000B701F" w:rsidP="00020D20">
      <w:pPr>
        <w:pStyle w:val="Heading3"/>
        <w:jc w:val="both"/>
        <w:rPr>
          <w:rFonts w:cstheme="minorHAnsi"/>
          <w:szCs w:val="20"/>
        </w:rPr>
      </w:pPr>
      <w:bookmarkStart w:id="443" w:name="_Ref50033763"/>
      <w:r w:rsidRPr="000B701F">
        <w:rPr>
          <w:rFonts w:cstheme="minorHAnsi"/>
          <w:szCs w:val="20"/>
        </w:rPr>
        <w:t>11.6.1 | TMA Meets Requirements</w:t>
      </w:r>
      <w:bookmarkEnd w:id="443"/>
    </w:p>
    <w:p w14:paraId="7FF1D64B" w14:textId="77777777" w:rsidR="000B701F" w:rsidRPr="000B701F" w:rsidRDefault="000B701F" w:rsidP="00020D20">
      <w:pPr>
        <w:jc w:val="both"/>
        <w:rPr>
          <w:rFonts w:cstheme="minorHAnsi"/>
        </w:rPr>
      </w:pPr>
      <w:r w:rsidRPr="000B701F">
        <w:rPr>
          <w:rFonts w:cstheme="minorHAnsi"/>
        </w:rPr>
        <w:t>Upon review and evaluation of the metropolitan area, the FHWA and FTA have various options for issuing a certification action; the action is determined by both agencies. If a TMA’s transportation planning process meets, or substantially meets, the requirements of federal law and regulations, the FHWA and FTA take one of three actions.</w:t>
      </w:r>
    </w:p>
    <w:p w14:paraId="0C0BF26D" w14:textId="10020ED1" w:rsidR="00062AC1" w:rsidRPr="000B701F" w:rsidRDefault="000B701F" w:rsidP="00020D20">
      <w:pPr>
        <w:pStyle w:val="NumberedList"/>
        <w:numPr>
          <w:ilvl w:val="0"/>
          <w:numId w:val="279"/>
        </w:numPr>
        <w:jc w:val="both"/>
      </w:pPr>
      <w:r w:rsidRPr="000B701F">
        <w:t>Certify the TMA’s transportation planning process.*</w:t>
      </w:r>
    </w:p>
    <w:p w14:paraId="00DD17C9" w14:textId="77777777" w:rsidR="000B701F" w:rsidRPr="000B701F" w:rsidRDefault="000B701F" w:rsidP="00020D20">
      <w:pPr>
        <w:pStyle w:val="NumberedList"/>
        <w:jc w:val="both"/>
      </w:pPr>
      <w:r w:rsidRPr="000B701F">
        <w:t>Certify the TMA’s transportation planning process subject to certain specified corrective actions.*</w:t>
      </w:r>
    </w:p>
    <w:p w14:paraId="7FF315E7" w14:textId="77777777" w:rsidR="00BC3328" w:rsidRDefault="000B701F">
      <w:pPr>
        <w:pStyle w:val="NumberedList"/>
        <w:jc w:val="both"/>
      </w:pPr>
      <w:r w:rsidRPr="000B701F">
        <w:t>Certify the TMA’s transportation planning process as the basis for approval of program categories or projects that FHWA and FTA subject to specified corrective actions.</w:t>
      </w:r>
      <w:r w:rsidR="00342660">
        <w:t xml:space="preserve"> </w:t>
      </w:r>
      <w:r w:rsidR="00342660" w:rsidRPr="00342660">
        <w:t>The certification is valid for four years unless a new certification determination is made (</w:t>
      </w:r>
      <w:r w:rsidR="00342660" w:rsidRPr="00020D20">
        <w:rPr>
          <w:rStyle w:val="TitleChar"/>
        </w:rPr>
        <w:t xml:space="preserve">23 </w:t>
      </w:r>
      <w:r w:rsidR="009628C0">
        <w:rPr>
          <w:rStyle w:val="TitleChar"/>
        </w:rPr>
        <w:t xml:space="preserve">C.F.R. </w:t>
      </w:r>
      <w:r w:rsidR="00342660" w:rsidRPr="00020D20">
        <w:rPr>
          <w:rStyle w:val="TitleChar"/>
        </w:rPr>
        <w:t>§ 450.334(e)</w:t>
      </w:r>
      <w:r w:rsidR="00342660" w:rsidRPr="00342660">
        <w:t>)</w:t>
      </w:r>
    </w:p>
    <w:p w14:paraId="22AE77DE" w14:textId="27303878" w:rsidR="00BC3328" w:rsidRDefault="00BC3328">
      <w:pPr>
        <w:pStyle w:val="NumberedList"/>
        <w:jc w:val="both"/>
      </w:pPr>
      <w:r>
        <w:br w:type="page"/>
      </w:r>
    </w:p>
    <w:p w14:paraId="12F70051" w14:textId="77777777" w:rsidR="000B701F" w:rsidRPr="000B701F" w:rsidRDefault="000B701F" w:rsidP="00020D20">
      <w:pPr>
        <w:pStyle w:val="Heading3"/>
        <w:jc w:val="both"/>
        <w:rPr>
          <w:rFonts w:cstheme="minorHAnsi"/>
          <w:szCs w:val="20"/>
        </w:rPr>
      </w:pPr>
      <w:bookmarkStart w:id="444" w:name="_Ref50033766"/>
      <w:r w:rsidRPr="000B701F">
        <w:rPr>
          <w:rFonts w:cstheme="minorHAnsi"/>
          <w:szCs w:val="20"/>
        </w:rPr>
        <w:t>11.6.2 | TMA Does Not Meet Requirements</w:t>
      </w:r>
      <w:bookmarkEnd w:id="444"/>
    </w:p>
    <w:p w14:paraId="28D3D16F" w14:textId="732FF9B5" w:rsidR="000B701F" w:rsidRPr="000B701F" w:rsidRDefault="000B701F" w:rsidP="00020D20">
      <w:pPr>
        <w:jc w:val="both"/>
        <w:rPr>
          <w:rFonts w:cstheme="minorHAnsi"/>
          <w:b/>
        </w:rPr>
      </w:pPr>
      <w:r w:rsidRPr="000B701F">
        <w:rPr>
          <w:rFonts w:cstheme="minorHAnsi"/>
        </w:rPr>
        <w:t>I</w:t>
      </w:r>
      <w:r w:rsidR="00BC3328">
        <w:rPr>
          <w:rFonts w:cstheme="minorHAnsi"/>
        </w:rPr>
        <w:t>f</w:t>
      </w:r>
      <w:r w:rsidRPr="000B701F">
        <w:rPr>
          <w:rFonts w:cstheme="minorHAnsi"/>
        </w:rPr>
        <w:t xml:space="preserve"> FHWA and FTA determine that the transportation planning process does not meet, or substantially meet, the requirements of federal law and regulations, the TMA’s transportation planning process is not certified. If a metropolitan area is not certified, the FHWA and FTA may withhold up to 20 percent of the apportioned funds attributable to the TMA under Title 23 </w:t>
      </w:r>
      <w:r w:rsidRPr="003F0B78">
        <w:t>and Chapter 53 of Title 49 (</w:t>
      </w:r>
      <w:hyperlink r:id="rId759" w:history="1">
        <w:r w:rsidRPr="00020D20">
          <w:rPr>
            <w:rStyle w:val="TitleChar"/>
          </w:rPr>
          <w:t>23 U.S.C. § 134(i)(5)(C)</w:t>
        </w:r>
      </w:hyperlink>
      <w:r w:rsidRPr="003F0B78">
        <w:t>). Upon</w:t>
      </w:r>
      <w:r w:rsidRPr="000B701F">
        <w:rPr>
          <w:rFonts w:cstheme="minorHAnsi"/>
        </w:rPr>
        <w:t xml:space="preserve"> full certification by the FHWA and FTA, all funds are restored to the metropolitan area.</w:t>
      </w:r>
      <w:r>
        <w:rPr>
          <w:rFonts w:cstheme="minorHAnsi"/>
        </w:rPr>
        <w:t xml:space="preserve"> </w:t>
      </w:r>
    </w:p>
    <w:p w14:paraId="61165707" w14:textId="77777777" w:rsidR="000B701F" w:rsidRPr="000B701F" w:rsidRDefault="000B701F" w:rsidP="00020D20">
      <w:pPr>
        <w:pStyle w:val="Heading2"/>
      </w:pPr>
      <w:bookmarkStart w:id="445" w:name="_Ref50033772"/>
      <w:r w:rsidRPr="000B701F">
        <w:t>11.7 | GUIDELINES FOR PUBLIC INVOLVEMENT</w:t>
      </w:r>
      <w:bookmarkEnd w:id="445"/>
    </w:p>
    <w:p w14:paraId="3115A13A" w14:textId="455D7DE2" w:rsidR="000B701F" w:rsidRPr="000B701F" w:rsidRDefault="00DB1E51" w:rsidP="00020D20">
      <w:pPr>
        <w:jc w:val="both"/>
        <w:rPr>
          <w:rFonts w:cstheme="minorHAnsi"/>
        </w:rPr>
      </w:pPr>
      <w:r>
        <w:rPr>
          <w:rFonts w:cstheme="minorHAnsi"/>
          <w:noProof/>
        </w:rPr>
        <mc:AlternateContent>
          <mc:Choice Requires="wps">
            <w:drawing>
              <wp:anchor distT="0" distB="0" distL="114300" distR="114300" simplePos="0" relativeHeight="251618346" behindDoc="1" locked="0" layoutInCell="1" allowOverlap="1" wp14:anchorId="6E64F4F0" wp14:editId="1BFDBEDF">
                <wp:simplePos x="0" y="0"/>
                <wp:positionH relativeFrom="column">
                  <wp:posOffset>1484084</wp:posOffset>
                </wp:positionH>
                <wp:positionV relativeFrom="paragraph">
                  <wp:posOffset>485775</wp:posOffset>
                </wp:positionV>
                <wp:extent cx="1258570" cy="1140460"/>
                <wp:effectExtent l="76200" t="76200" r="74930" b="78740"/>
                <wp:wrapTight wrapText="bothSides">
                  <wp:wrapPolygon edited="0">
                    <wp:start x="-981" y="-1443"/>
                    <wp:lineTo x="-1308" y="-1082"/>
                    <wp:lineTo x="-1308" y="22731"/>
                    <wp:lineTo x="22559" y="22731"/>
                    <wp:lineTo x="22559" y="4690"/>
                    <wp:lineTo x="22232" y="-722"/>
                    <wp:lineTo x="22232" y="-1443"/>
                    <wp:lineTo x="-981" y="-1443"/>
                  </wp:wrapPolygon>
                </wp:wrapTight>
                <wp:docPr id="816286107" name="Text Box 816286107"/>
                <wp:cNvGraphicFramePr/>
                <a:graphic xmlns:a="http://schemas.openxmlformats.org/drawingml/2006/main">
                  <a:graphicData uri="http://schemas.microsoft.com/office/word/2010/wordprocessingShape">
                    <wps:wsp>
                      <wps:cNvSpPr txBox="1"/>
                      <wps:spPr>
                        <a:xfrm>
                          <a:off x="0" y="0"/>
                          <a:ext cx="1258570" cy="114046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AD52D2E" w14:textId="77777777" w:rsidR="00C6444C" w:rsidRDefault="00C6444C" w:rsidP="00020D20">
                            <w:pPr>
                              <w:jc w:val="center"/>
                            </w:pPr>
                            <w:r>
                              <w:rPr>
                                <w:noProof/>
                              </w:rPr>
                              <w:drawing>
                                <wp:inline distT="0" distB="0" distL="0" distR="0" wp14:anchorId="68945E74" wp14:editId="1EF8747D">
                                  <wp:extent cx="457200" cy="457200"/>
                                  <wp:effectExtent l="0" t="0" r="0" b="0"/>
                                  <wp:docPr id="816286077" name="Picture 816286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33AA29F" w14:textId="18E763FC" w:rsidR="00C6444C" w:rsidRPr="00267D04" w:rsidRDefault="00C6444C" w:rsidP="00020D20">
                            <w:pPr>
                              <w:pStyle w:val="Calloutboxes"/>
                            </w:pPr>
                            <w:r w:rsidRPr="00394A74">
                              <w:t>Cross reference</w:t>
                            </w:r>
                            <w:r w:rsidRPr="00954116">
                              <w:t xml:space="preserve"> </w:t>
                            </w:r>
                            <w:r w:rsidRPr="00020D20">
                              <w:rPr>
                                <w:i/>
                              </w:rPr>
                              <w:t>chapter 13, “Public Involvement”</w:t>
                            </w:r>
                            <w:r w:rsidRPr="00394A74">
                              <w:t xml:space="preserve"> for further information.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64F4F0" id="Text Box 816286107" o:spid="_x0000_s1186" type="#_x0000_t202" style="position:absolute;left:0;text-align:left;margin-left:116.85pt;margin-top:38.25pt;width:99.1pt;height:89.8pt;z-index:-251698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" fillcolor="#f7f7f7" stroked="f" strokeweight=".5pt">
                <v:shadow on="t" type="perspective" color="black" opacity="26214f" offset="0,0" matrix="66847f,,,66847f"/>
                <v:textbox>
                  <w:txbxContent>
                    <w:p w14:paraId="1AD52D2E" w14:textId="77777777" w:rsidR="00C6444C" w:rsidRDefault="00C6444C" w:rsidP="00020D20">
                      <w:pPr>
                        <w:jc w:val="center"/>
                      </w:pPr>
                      <w:r>
                        <w:rPr>
                          <w:noProof/>
                        </w:rPr>
                        <w:drawing>
                          <wp:inline distT="0" distB="0" distL="0" distR="0" wp14:anchorId="68945E74" wp14:editId="1EF8747D">
                            <wp:extent cx="457200" cy="457200"/>
                            <wp:effectExtent l="0" t="0" r="0" b="0"/>
                            <wp:docPr id="816286077" name="Picture 816286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33AA29F" w14:textId="18E763FC" w:rsidR="00C6444C" w:rsidRPr="00267D04" w:rsidRDefault="00C6444C" w:rsidP="00020D20">
                      <w:pPr>
                        <w:pStyle w:val="Calloutboxes"/>
                      </w:pPr>
                      <w:r w:rsidRPr="00394A74">
                        <w:t>Cross reference</w:t>
                      </w:r>
                      <w:r w:rsidRPr="00954116">
                        <w:t xml:space="preserve"> </w:t>
                      </w:r>
                      <w:r w:rsidRPr="00020D20">
                        <w:rPr>
                          <w:i/>
                        </w:rPr>
                        <w:t>chapter 13, “Public Involvement”</w:t>
                      </w:r>
                      <w:r w:rsidRPr="00394A74">
                        <w:t xml:space="preserve"> for further information. </w:t>
                      </w:r>
                    </w:p>
                  </w:txbxContent>
                </v:textbox>
                <w10:wrap type="tight"/>
              </v:shape>
            </w:pict>
          </mc:Fallback>
        </mc:AlternateContent>
      </w:r>
      <w:r w:rsidR="000B701F" w:rsidRPr="000B701F">
        <w:rPr>
          <w:rFonts w:cstheme="minorHAnsi"/>
        </w:rPr>
        <w:t>Public involvement during the federal certification review is designed to:</w:t>
      </w:r>
    </w:p>
    <w:p w14:paraId="25D70750" w14:textId="77777777" w:rsidR="000B701F" w:rsidRPr="00521D3C" w:rsidRDefault="000B701F" w:rsidP="00020D20">
      <w:pPr>
        <w:pStyle w:val="Body-Bullets"/>
        <w:jc w:val="both"/>
        <w:rPr>
          <w:rFonts w:cstheme="minorHAnsi"/>
        </w:rPr>
      </w:pPr>
      <w:r w:rsidRPr="00521D3C">
        <w:rPr>
          <w:rFonts w:cstheme="minorHAnsi"/>
        </w:rPr>
        <w:t>provide citizens an opportunity to comment on the transportation planning process;</w:t>
      </w:r>
    </w:p>
    <w:p w14:paraId="4540485A" w14:textId="77777777" w:rsidR="000B701F" w:rsidRPr="00521D3C" w:rsidRDefault="000B701F" w:rsidP="00020D20">
      <w:pPr>
        <w:pStyle w:val="Body-Bullets"/>
        <w:jc w:val="both"/>
        <w:rPr>
          <w:rFonts w:cstheme="minorHAnsi"/>
        </w:rPr>
      </w:pPr>
      <w:r w:rsidRPr="00521D3C">
        <w:rPr>
          <w:rFonts w:cstheme="minorHAnsi"/>
        </w:rPr>
        <w:t>inform the public about federal transportation planning requirements;</w:t>
      </w:r>
    </w:p>
    <w:p w14:paraId="4E2478B0" w14:textId="77777777" w:rsidR="000B701F" w:rsidRPr="00521D3C" w:rsidRDefault="000B701F" w:rsidP="00020D20">
      <w:pPr>
        <w:pStyle w:val="Body-Bullets"/>
        <w:jc w:val="both"/>
        <w:rPr>
          <w:rFonts w:cstheme="minorHAnsi"/>
        </w:rPr>
      </w:pPr>
      <w:r w:rsidRPr="00521D3C">
        <w:rPr>
          <w:rFonts w:cstheme="minorHAnsi"/>
        </w:rPr>
        <w:t>discuss public concerns;</w:t>
      </w:r>
    </w:p>
    <w:p w14:paraId="6836E987" w14:textId="2D922B7A" w:rsidR="000B701F" w:rsidRPr="00521D3C" w:rsidRDefault="000B701F" w:rsidP="00020D20">
      <w:pPr>
        <w:pStyle w:val="Body-Bullets"/>
        <w:jc w:val="both"/>
        <w:rPr>
          <w:rFonts w:cstheme="minorHAnsi"/>
        </w:rPr>
      </w:pPr>
      <w:r w:rsidRPr="00521D3C">
        <w:rPr>
          <w:rFonts w:cstheme="minorHAnsi"/>
        </w:rPr>
        <w:t>provide follow-up action to demonstrate that public concerns are being addressed; and</w:t>
      </w:r>
    </w:p>
    <w:p w14:paraId="066C71A9" w14:textId="0F265508" w:rsidR="00D95AC8" w:rsidRDefault="000B701F" w:rsidP="00020D20">
      <w:pPr>
        <w:pStyle w:val="Body-Bullets"/>
        <w:jc w:val="both"/>
        <w:rPr>
          <w:rFonts w:cstheme="minorHAnsi"/>
        </w:rPr>
        <w:sectPr w:rsidR="00D95AC8" w:rsidSect="00020D20">
          <w:type w:val="continuous"/>
          <w:pgSz w:w="12240" w:h="15840"/>
          <w:pgMar w:top="1440" w:right="1440" w:bottom="1440" w:left="1440" w:header="720" w:footer="720" w:gutter="0"/>
          <w:pgNumType w:chapStyle="1"/>
          <w:cols w:num="2" w:space="720"/>
          <w:docGrid w:linePitch="360"/>
        </w:sectPr>
      </w:pPr>
      <w:r w:rsidRPr="00521D3C">
        <w:rPr>
          <w:rFonts w:cstheme="minorHAnsi"/>
        </w:rPr>
        <w:t>help the federal team better understand community issues.</w:t>
      </w:r>
      <w:r w:rsidR="003F0B78" w:rsidRPr="003F0B78">
        <w:rPr>
          <w:rFonts w:cstheme="minorHAnsi"/>
          <w:b/>
          <w:highlight w:val="yellow"/>
        </w:rPr>
        <w:t xml:space="preserve"> </w:t>
      </w:r>
    </w:p>
    <w:p w14:paraId="38423948" w14:textId="05436AFF" w:rsidR="00D95AC8" w:rsidRDefault="00D95AC8" w:rsidP="00020D20">
      <w:pPr>
        <w:jc w:val="both"/>
        <w:rPr>
          <w:rFonts w:cstheme="minorHAnsi"/>
        </w:rPr>
        <w:sectPr w:rsidR="00D95AC8" w:rsidSect="008E695B">
          <w:type w:val="continuous"/>
          <w:pgSz w:w="12240" w:h="15840"/>
          <w:pgMar w:top="1440" w:right="1440" w:bottom="1440" w:left="1440" w:header="720" w:footer="720" w:gutter="0"/>
          <w:cols w:space="720"/>
          <w:docGrid w:linePitch="360"/>
        </w:sectPr>
      </w:pPr>
    </w:p>
    <w:p w14:paraId="1E398FF5" w14:textId="21547516" w:rsidR="00904690" w:rsidRDefault="00CD4BBC" w:rsidP="00020D20">
      <w:pPr>
        <w:pStyle w:val="BodyTextTitle"/>
        <w:spacing w:before="0" w:after="0" w:line="240" w:lineRule="auto"/>
        <w:jc w:val="both"/>
      </w:pPr>
      <w:r>
        <w:t>12</w:t>
      </w:r>
      <w:r w:rsidR="00904690">
        <w:t xml:space="preserve"> </w:t>
      </w:r>
      <w:r>
        <w:t xml:space="preserve">| </w:t>
      </w:r>
      <w:r w:rsidR="00904690">
        <w:t>CIVIL RIGHTS</w:t>
      </w:r>
    </w:p>
    <w:p w14:paraId="4EB68B48" w14:textId="56F55E90" w:rsidR="00CD4BBC" w:rsidRPr="00020D20" w:rsidRDefault="00CD4BBC" w:rsidP="00020D20">
      <w:pPr>
        <w:pStyle w:val="BodyTextTitle"/>
        <w:spacing w:before="0" w:line="240" w:lineRule="auto"/>
        <w:jc w:val="both"/>
        <w:rPr>
          <w:sz w:val="36"/>
        </w:rPr>
      </w:pPr>
      <w:r w:rsidRPr="00020D20">
        <w:rPr>
          <w:sz w:val="36"/>
        </w:rPr>
        <w:t>TABLE OF CONTENTS</w:t>
      </w:r>
    </w:p>
    <w:p w14:paraId="3347C0F8" w14:textId="0A86A350" w:rsidR="00CD4BBC" w:rsidRDefault="00A5127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_Ref50034508 \h </w:instrText>
      </w:r>
      <w:r w:rsidR="002D38FC">
        <w:instrText xml:space="preserve"> \* MERGEFORMAT </w:instrText>
      </w:r>
      <w:r>
        <w:fldChar w:fldCharType="separate"/>
      </w:r>
      <w:r w:rsidRPr="000B701F">
        <w:t>12.1 | PURPOSE</w:t>
      </w:r>
      <w:r>
        <w:fldChar w:fldCharType="end"/>
      </w:r>
    </w:p>
    <w:p w14:paraId="2BE61C56" w14:textId="6A33E61D" w:rsidR="00A51274" w:rsidRDefault="00A51274"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_Ref50034514 \h </w:instrText>
      </w:r>
      <w:r w:rsidR="002D38FC">
        <w:instrText xml:space="preserve"> \* MERGEFORMAT </w:instrText>
      </w:r>
      <w:r>
        <w:fldChar w:fldCharType="separate"/>
      </w:r>
      <w:r w:rsidRPr="000B701F">
        <w:t>12.2 | AUTHORITY</w:t>
      </w:r>
      <w:r>
        <w:fldChar w:fldCharType="end"/>
      </w:r>
    </w:p>
    <w:p w14:paraId="146ECB45" w14:textId="640FCD43" w:rsidR="00A51274" w:rsidRDefault="00A5127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_Ref50034519 \h </w:instrText>
      </w:r>
      <w:r w:rsidR="002D38FC">
        <w:instrText xml:space="preserve"> \* MERGEFORMAT </w:instrText>
      </w:r>
      <w:r>
        <w:fldChar w:fldCharType="separate"/>
      </w:r>
      <w:r w:rsidRPr="000B701F">
        <w:t>12.2.1 | Related Nondiscrimination Authorities</w:t>
      </w:r>
      <w:r>
        <w:fldChar w:fldCharType="end"/>
      </w:r>
    </w:p>
    <w:p w14:paraId="373F4980" w14:textId="4D425E4D" w:rsidR="00A51274"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_Ref50034542 \h </w:instrText>
      </w:r>
      <w:r w:rsidR="002D38FC">
        <w:instrText xml:space="preserve"> \* MERGEFORMAT </w:instrText>
      </w:r>
      <w:r>
        <w:fldChar w:fldCharType="separate"/>
      </w:r>
      <w:r w:rsidRPr="000B701F">
        <w:t>12.3 | SCOPE</w:t>
      </w:r>
      <w:r>
        <w:fldChar w:fldCharType="end"/>
      </w:r>
    </w:p>
    <w:p w14:paraId="09EA29CC" w14:textId="06289D72"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_Ref50034549 \h </w:instrText>
      </w:r>
      <w:r w:rsidR="002D38FC">
        <w:instrText xml:space="preserve"> \* MERGEFORMAT </w:instrText>
      </w:r>
      <w:r>
        <w:fldChar w:fldCharType="separate"/>
      </w:r>
      <w:r w:rsidRPr="000B701F">
        <w:t>12.4 | COMPLIANCE WITH TITLE VI OF THE CIVIL RIGHTS ACT OF 1964 &amp; ENVIRONMENTAL JUSTICE</w:t>
      </w:r>
      <w:r>
        <w:fldChar w:fldCharType="end"/>
      </w:r>
    </w:p>
    <w:p w14:paraId="7D2915EE" w14:textId="5F2CE059"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_Ref50034553 \h </w:instrText>
      </w:r>
      <w:r w:rsidR="002D38FC">
        <w:instrText xml:space="preserve"> \* MERGEFORMAT </w:instrText>
      </w:r>
      <w:r>
        <w:fldChar w:fldCharType="separate"/>
      </w:r>
      <w:r w:rsidRPr="000B701F">
        <w:t>12.4.1 | Self-Certification</w:t>
      </w:r>
      <w:r>
        <w:fldChar w:fldCharType="end"/>
      </w:r>
    </w:p>
    <w:p w14:paraId="41438111" w14:textId="57A7B08A"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_Ref50034556 \h </w:instrText>
      </w:r>
      <w:r w:rsidR="002D38FC">
        <w:instrText xml:space="preserve"> \* MERGEFORMAT </w:instrText>
      </w:r>
      <w:r>
        <w:fldChar w:fldCharType="separate"/>
      </w:r>
      <w:r w:rsidRPr="000B701F">
        <w:t>12.4.2| Federal Certification</w:t>
      </w:r>
      <w:r>
        <w:fldChar w:fldCharType="end"/>
      </w:r>
    </w:p>
    <w:p w14:paraId="6D8C196B" w14:textId="572C81C9"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_Ref50034559 \h </w:instrText>
      </w:r>
      <w:r w:rsidR="002D38FC">
        <w:instrText xml:space="preserve"> \* MERGEFORMAT </w:instrText>
      </w:r>
      <w:r>
        <w:fldChar w:fldCharType="separate"/>
      </w:r>
      <w:r w:rsidRPr="000B701F">
        <w:t xml:space="preserve">12.4.3 | </w:t>
      </w:r>
      <w:r>
        <w:t xml:space="preserve">Title VI </w:t>
      </w:r>
      <w:r w:rsidRPr="000B701F">
        <w:t xml:space="preserve">Nondiscrimination </w:t>
      </w:r>
      <w:r>
        <w:t>Implementation Plan</w:t>
      </w:r>
      <w:r>
        <w:fldChar w:fldCharType="end"/>
      </w:r>
    </w:p>
    <w:p w14:paraId="129450B6" w14:textId="617BEC2F"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_Ref50034573 \h </w:instrText>
      </w:r>
      <w:r w:rsidR="002D38FC">
        <w:instrText xml:space="preserve"> \* MERGEFORMAT </w:instrText>
      </w:r>
      <w:r>
        <w:fldChar w:fldCharType="separate"/>
      </w:r>
      <w:r w:rsidRPr="000B701F">
        <w:t>12.5 | LIMITED ENGLISH PROFICIENCY</w:t>
      </w:r>
      <w:r>
        <w:fldChar w:fldCharType="end"/>
      </w:r>
    </w:p>
    <w:p w14:paraId="65765E19" w14:textId="6A20C40D"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_Ref50034580 \h </w:instrText>
      </w:r>
      <w:r w:rsidR="002D38FC">
        <w:instrText xml:space="preserve"> \* MERGEFORMAT </w:instrText>
      </w:r>
      <w:r>
        <w:fldChar w:fldCharType="separate"/>
      </w:r>
      <w:r w:rsidRPr="000B701F">
        <w:t>12.5.1 | Background</w:t>
      </w:r>
      <w:r>
        <w:fldChar w:fldCharType="end"/>
      </w:r>
    </w:p>
    <w:p w14:paraId="5A0637BE" w14:textId="060E2608"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_Ref50034584 \h </w:instrText>
      </w:r>
      <w:r w:rsidR="002D38FC">
        <w:instrText xml:space="preserve"> \* MERGEFORMAT </w:instrText>
      </w:r>
      <w:r>
        <w:fldChar w:fldCharType="separate"/>
      </w:r>
      <w:r w:rsidRPr="000B701F">
        <w:t>12.5.2 | LEP Plan</w:t>
      </w:r>
      <w:r>
        <w:fldChar w:fldCharType="end"/>
      </w:r>
    </w:p>
    <w:p w14:paraId="0991671B" w14:textId="67D5A552"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_Ref50034592 \h </w:instrText>
      </w:r>
      <w:r w:rsidR="002D38FC">
        <w:instrText xml:space="preserve"> \* MERGEFORMAT </w:instrText>
      </w:r>
      <w:r>
        <w:fldChar w:fldCharType="separate"/>
      </w:r>
      <w:r w:rsidRPr="000B701F">
        <w:t>12.6 | PUBLIC INVOLVEMENT, TITLE VI, &amp; ENVIRONMENTAL JUSTICE</w:t>
      </w:r>
      <w:r>
        <w:fldChar w:fldCharType="end"/>
      </w:r>
    </w:p>
    <w:p w14:paraId="020B05AB" w14:textId="0A341F46"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_Ref50034598 \h </w:instrText>
      </w:r>
      <w:r w:rsidR="002D38FC">
        <w:instrText xml:space="preserve"> \* MERGEFORMAT </w:instrText>
      </w:r>
      <w:r>
        <w:fldChar w:fldCharType="separate"/>
      </w:r>
      <w:r w:rsidRPr="000B701F">
        <w:t>12.6.1 | Public Involvement During Planning</w:t>
      </w:r>
      <w:r>
        <w:fldChar w:fldCharType="end"/>
      </w:r>
    </w:p>
    <w:p w14:paraId="40FCB6B3" w14:textId="0CA063CD"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_Ref50034602 \h </w:instrText>
      </w:r>
      <w:r w:rsidR="002D38FC">
        <w:instrText xml:space="preserve"> \* MERGEFORMAT </w:instrText>
      </w:r>
      <w:r>
        <w:fldChar w:fldCharType="separate"/>
      </w:r>
      <w:r w:rsidRPr="00FE6F8B">
        <w:t>12.6.2 | Public Involvement During Federal Certification</w:t>
      </w:r>
      <w:r>
        <w:fldChar w:fldCharType="end"/>
      </w:r>
    </w:p>
    <w:p w14:paraId="67A979D3" w14:textId="002158C3"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_Ref50034606 \h </w:instrText>
      </w:r>
      <w:r w:rsidR="002D38FC">
        <w:instrText xml:space="preserve"> \* MERGEFORMAT </w:instrText>
      </w:r>
      <w:r>
        <w:fldChar w:fldCharType="separate"/>
      </w:r>
      <w:r w:rsidRPr="00FE6F8B">
        <w:t>12.7 | TITLE VI</w:t>
      </w:r>
      <w:r>
        <w:t xml:space="preserve"> AND </w:t>
      </w:r>
      <w:r w:rsidRPr="00FE6F8B">
        <w:t xml:space="preserve">ENVIRONMENTAL JUSTICE PLAN FORMAT </w:t>
      </w:r>
      <w:r>
        <w:t>AND</w:t>
      </w:r>
      <w:r w:rsidRPr="00FE6F8B">
        <w:t xml:space="preserve"> CONTENT</w:t>
      </w:r>
      <w:r>
        <w:fldChar w:fldCharType="end"/>
      </w:r>
    </w:p>
    <w:p w14:paraId="211A0BE6" w14:textId="1A56E78A"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_Ref50034610 \h </w:instrText>
      </w:r>
      <w:r w:rsidR="002D38FC">
        <w:instrText xml:space="preserve"> \* MERGEFORMAT </w:instrText>
      </w:r>
      <w:r>
        <w:fldChar w:fldCharType="separate"/>
      </w:r>
      <w:r w:rsidRPr="00FE6F8B">
        <w:t xml:space="preserve">12.8 | TITLE VI </w:t>
      </w:r>
      <w:r>
        <w:t>AND</w:t>
      </w:r>
      <w:r w:rsidRPr="00FE6F8B">
        <w:t xml:space="preserve"> ENVIRONMENTAL JUSTICE COMPONENTS OF MPO TRANSPORTATION PLANNING DOCUMENTS</w:t>
      </w:r>
      <w:r>
        <w:fldChar w:fldCharType="end"/>
      </w:r>
    </w:p>
    <w:p w14:paraId="5AC31E29" w14:textId="12FD638B" w:rsidR="00043CC6" w:rsidRDefault="00043CC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_Ref50034637 \h </w:instrText>
      </w:r>
      <w:r w:rsidR="002D38FC">
        <w:instrText xml:space="preserve"> \* MERGEFORMAT </w:instrText>
      </w:r>
      <w:r>
        <w:fldChar w:fldCharType="separate"/>
      </w:r>
      <w:r w:rsidRPr="00FE6F8B">
        <w:t>12.9 | Disadvantaged Business Enterprise</w:t>
      </w:r>
      <w:r>
        <w:fldChar w:fldCharType="end"/>
      </w:r>
    </w:p>
    <w:p w14:paraId="6E5BDCD5" w14:textId="1DE07524" w:rsidR="00043CC6" w:rsidRDefault="008209AB"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_Ref50035005 \h </w:instrText>
      </w:r>
      <w:r w:rsidR="002D38FC">
        <w:instrText xml:space="preserve"> \* MERGEFORMAT </w:instrText>
      </w:r>
      <w:r>
        <w:fldChar w:fldCharType="separate"/>
      </w:r>
      <w:r w:rsidRPr="00FE6F8B">
        <w:t>DBE Plan</w:t>
      </w:r>
      <w:r>
        <w:fldChar w:fldCharType="end"/>
      </w:r>
      <w:r>
        <w:t xml:space="preserve"> </w:t>
      </w:r>
    </w:p>
    <w:p w14:paraId="2D68A4CE" w14:textId="46FAA11A" w:rsidR="008209AB" w:rsidRDefault="008209AB"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_Ref50035008 \h </w:instrText>
      </w:r>
      <w:r w:rsidR="002D38FC">
        <w:instrText xml:space="preserve"> \* MERGEFORMAT </w:instrText>
      </w:r>
      <w:r>
        <w:fldChar w:fldCharType="separate"/>
      </w:r>
      <w:r w:rsidRPr="00FE6F8B">
        <w:t>DBE Contract Assurances</w:t>
      </w:r>
      <w:r>
        <w:fldChar w:fldCharType="end"/>
      </w:r>
    </w:p>
    <w:p w14:paraId="29BEBA5A" w14:textId="77777777" w:rsidR="00492D0B" w:rsidRDefault="00CD4BBC"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A429CC">
          <w:footerReference w:type="default" r:id="rId760"/>
          <w:pgSz w:w="12240" w:h="15840"/>
          <w:pgMar w:top="1440" w:right="1440" w:bottom="1440" w:left="1440" w:header="720" w:footer="720" w:gutter="0"/>
          <w:pgNumType w:start="1" w:chapStyle="1"/>
          <w:cols w:space="720"/>
          <w:docGrid w:linePitch="360"/>
        </w:sectPr>
      </w:pPr>
      <w:r>
        <w:br w:type="page"/>
      </w:r>
    </w:p>
    <w:p w14:paraId="496BCF02" w14:textId="102CE317" w:rsidR="000B701F" w:rsidRPr="000B701F" w:rsidRDefault="000B701F" w:rsidP="00020D20">
      <w:pPr>
        <w:pStyle w:val="Heading1"/>
        <w:tabs>
          <w:tab w:val="left" w:pos="360"/>
        </w:tabs>
        <w:jc w:val="both"/>
      </w:pPr>
      <w:bookmarkStart w:id="446" w:name="_|_Civil_Rights"/>
      <w:bookmarkStart w:id="447" w:name="_Toc49862239"/>
      <w:bookmarkStart w:id="448" w:name="_Toc49870633"/>
      <w:bookmarkStart w:id="449" w:name="_Toc50540239"/>
      <w:bookmarkEnd w:id="446"/>
      <w:r w:rsidRPr="000B701F">
        <w:t>|</w:t>
      </w:r>
      <w:r w:rsidR="00C95B0B">
        <w:t xml:space="preserve"> </w:t>
      </w:r>
      <w:r w:rsidRPr="000B701F">
        <w:t>Civil Rights</w:t>
      </w:r>
      <w:bookmarkEnd w:id="447"/>
      <w:bookmarkEnd w:id="448"/>
      <w:bookmarkEnd w:id="449"/>
    </w:p>
    <w:p w14:paraId="4BE2A080" w14:textId="77777777" w:rsidR="00D95AC8" w:rsidRDefault="00D95AC8" w:rsidP="00020D20">
      <w:pPr>
        <w:jc w:val="both"/>
        <w:rPr>
          <w:rFonts w:cstheme="minorHAnsi"/>
        </w:rPr>
        <w:sectPr w:rsidR="00D95AC8" w:rsidSect="00020D20">
          <w:footerReference w:type="default" r:id="rId761"/>
          <w:type w:val="continuous"/>
          <w:pgSz w:w="12240" w:h="15840"/>
          <w:pgMar w:top="1440" w:right="1440" w:bottom="1440" w:left="1440" w:header="720" w:footer="720" w:gutter="0"/>
          <w:pgNumType w:start="1" w:chapStyle="1"/>
          <w:cols w:space="720"/>
          <w:docGrid w:linePitch="360"/>
        </w:sectPr>
      </w:pPr>
    </w:p>
    <w:p w14:paraId="74DC45B9" w14:textId="36C20265" w:rsidR="000B701F" w:rsidRPr="000B701F" w:rsidRDefault="000B701F" w:rsidP="00020D20">
      <w:pPr>
        <w:pStyle w:val="Heading2"/>
      </w:pPr>
      <w:bookmarkStart w:id="450" w:name="_Ref50034508"/>
      <w:r w:rsidRPr="000B701F">
        <w:t>12.1 | PURPOSE</w:t>
      </w:r>
      <w:bookmarkEnd w:id="450"/>
    </w:p>
    <w:p w14:paraId="416BC52A" w14:textId="77777777" w:rsidR="000B701F" w:rsidRPr="000B701F" w:rsidRDefault="000B701F" w:rsidP="00020D20">
      <w:pPr>
        <w:jc w:val="both"/>
      </w:pPr>
      <w:r w:rsidRPr="000B701F">
        <w:t>All recipients of Federal financial assistance are obligated to comply with various civil rights requirements. This chapter provides the basis for the requirements and descriptions of the programs.</w:t>
      </w:r>
    </w:p>
    <w:p w14:paraId="5E77B8F1" w14:textId="77777777" w:rsidR="000B701F" w:rsidRPr="000B701F" w:rsidRDefault="000B701F" w:rsidP="00020D20">
      <w:pPr>
        <w:jc w:val="both"/>
      </w:pPr>
      <w:r w:rsidRPr="000B701F">
        <w:t>The overarching law that provides the basis of all civil rights programs is Title VI of the Civil Rights Act of 1964. It states:</w:t>
      </w:r>
    </w:p>
    <w:p w14:paraId="31FEE9D7" w14:textId="77777777" w:rsidR="000B701F" w:rsidRPr="000B701F" w:rsidRDefault="000B701F" w:rsidP="00020D20">
      <w:pPr>
        <w:jc w:val="both"/>
      </w:pPr>
      <w:r w:rsidRPr="000B701F">
        <w:t>“No person in the United States shall, on the grounds of race, color, or national origin, be excluded from participation in, be denied the benefits of, or be subjected to discrimination under any program or activity receiving Federal financial assistance.”</w:t>
      </w:r>
    </w:p>
    <w:p w14:paraId="1B5DB35A" w14:textId="06FE5163" w:rsidR="000B701F" w:rsidRPr="000B701F" w:rsidRDefault="000B701F" w:rsidP="00020D20">
      <w:pPr>
        <w:jc w:val="both"/>
      </w:pPr>
      <w:r w:rsidRPr="000B701F">
        <w:t>USDOT and its modal agencies have established and implemented Title VI/ Nondiscrimination programs</w:t>
      </w:r>
      <w:r w:rsidR="00AF3EEB">
        <w:t>;</w:t>
      </w:r>
      <w:r w:rsidRPr="000B701F">
        <w:t xml:space="preserve"> </w:t>
      </w:r>
      <w:r w:rsidR="00AF3EEB">
        <w:t>t</w:t>
      </w:r>
      <w:r w:rsidRPr="000B701F">
        <w:t>o ensure fair treatment and meaningful involvement of all people during the planning, development, evaluation, and implementation of Feder</w:t>
      </w:r>
      <w:r w:rsidR="000370A7">
        <w:t>al-aid programs and activities.</w:t>
      </w:r>
      <w:r w:rsidRPr="000B701F">
        <w:t xml:space="preserve"> Recipients of federal assistance for transportation and other programs are required to submit assurances of compliance (Pub. L. 88 352) and to comply with established laws, regulations, and policies. Figure 12-1 illustrates the nondiscrimination programs.</w:t>
      </w:r>
    </w:p>
    <w:p w14:paraId="74B639CA" w14:textId="77777777" w:rsidR="000B701F" w:rsidRPr="000B701F" w:rsidRDefault="000B701F" w:rsidP="00020D20">
      <w:pPr>
        <w:pStyle w:val="Heading2"/>
      </w:pPr>
      <w:bookmarkStart w:id="451" w:name="_Ref50034514"/>
      <w:r w:rsidRPr="000B701F">
        <w:t>12.2 | AUTHORITY</w:t>
      </w:r>
      <w:bookmarkEnd w:id="451"/>
    </w:p>
    <w:p w14:paraId="0DD40022" w14:textId="77777777" w:rsidR="000B701F" w:rsidRPr="000B701F" w:rsidRDefault="000B701F" w:rsidP="00020D20">
      <w:pPr>
        <w:pStyle w:val="Heading3"/>
        <w:jc w:val="both"/>
      </w:pPr>
      <w:bookmarkStart w:id="452" w:name="_Ref50034519"/>
      <w:r w:rsidRPr="000B701F">
        <w:t>12.2.1 | Related Nondiscrimination Authorities</w:t>
      </w:r>
      <w:bookmarkEnd w:id="452"/>
      <w:r w:rsidRPr="000B701F">
        <w:t xml:space="preserve"> </w:t>
      </w:r>
    </w:p>
    <w:p w14:paraId="1915D4AC" w14:textId="77777777" w:rsidR="000B701F" w:rsidRPr="000B701F" w:rsidRDefault="000B701F" w:rsidP="00020D20">
      <w:pPr>
        <w:jc w:val="both"/>
      </w:pPr>
      <w:r w:rsidRPr="000B701F">
        <w:t>In addition to regulations cited in the section above, the following authority listed in table 12-1 applies to the MPO certification process:</w:t>
      </w:r>
    </w:p>
    <w:p w14:paraId="758C866D" w14:textId="7D3670EE" w:rsidR="000B701F" w:rsidRPr="000B701F" w:rsidRDefault="000B701F" w:rsidP="00020D20">
      <w:pPr>
        <w:pStyle w:val="Body-Bullets"/>
        <w:jc w:val="both"/>
        <w:rPr>
          <w:rFonts w:cstheme="minorHAnsi"/>
        </w:rPr>
      </w:pPr>
      <w:r w:rsidRPr="000B701F">
        <w:rPr>
          <w:rFonts w:cstheme="minorHAnsi"/>
        </w:rPr>
        <w:t xml:space="preserve">Title VI of the </w:t>
      </w:r>
      <w:r w:rsidR="00E25433" w:rsidRPr="000B701F">
        <w:rPr>
          <w:rFonts w:cstheme="minorHAnsi"/>
        </w:rPr>
        <w:t>Civil</w:t>
      </w:r>
      <w:r w:rsidRPr="000B701F">
        <w:rPr>
          <w:rFonts w:cstheme="minorHAnsi"/>
        </w:rPr>
        <w:t xml:space="preserve"> Rights Action of 1964 (</w:t>
      </w:r>
      <w:hyperlink r:id="rId762" w:history="1">
        <w:r w:rsidRPr="00020D20">
          <w:rPr>
            <w:rStyle w:val="TitleChar"/>
          </w:rPr>
          <w:t>42 U.S.C. § 2000</w:t>
        </w:r>
        <w:r w:rsidR="00784202">
          <w:rPr>
            <w:rStyle w:val="TitleChar"/>
          </w:rPr>
          <w:t>(</w:t>
        </w:r>
        <w:r w:rsidRPr="00020D20">
          <w:rPr>
            <w:rStyle w:val="TitleChar"/>
          </w:rPr>
          <w:t>d</w:t>
        </w:r>
        <w:r w:rsidR="00784202">
          <w:rPr>
            <w:rStyle w:val="TitleChar"/>
          </w:rPr>
          <w:t>)</w:t>
        </w:r>
        <w:r w:rsidRPr="007853DD">
          <w:t xml:space="preserve"> et seq</w:t>
        </w:r>
      </w:hyperlink>
      <w:r w:rsidRPr="007853DD">
        <w:t>., 78 stat.252</w:t>
      </w:r>
      <w:r w:rsidRPr="000B701F">
        <w:rPr>
          <w:rFonts w:cstheme="minorHAnsi"/>
        </w:rPr>
        <w:t>), (prohibits discrimination on the basis of race, color, national origin);</w:t>
      </w:r>
    </w:p>
    <w:p w14:paraId="2B0DE96D" w14:textId="40C5E6D4" w:rsidR="000B701F" w:rsidRPr="000B701F" w:rsidRDefault="000B701F" w:rsidP="00020D20">
      <w:pPr>
        <w:pStyle w:val="Body-Bullets"/>
        <w:jc w:val="both"/>
        <w:rPr>
          <w:rFonts w:cstheme="minorHAnsi"/>
        </w:rPr>
      </w:pPr>
      <w:r w:rsidRPr="000B701F">
        <w:rPr>
          <w:rFonts w:cstheme="minorHAnsi"/>
        </w:rPr>
        <w:t>Federal-Aid Highway Act of 19</w:t>
      </w:r>
      <w:r w:rsidRPr="007853DD">
        <w:t>73, (</w:t>
      </w:r>
      <w:hyperlink r:id="rId763" w:history="1">
        <w:r w:rsidRPr="00020D20">
          <w:rPr>
            <w:rStyle w:val="TitleChar"/>
          </w:rPr>
          <w:t>23 U.S.C. 324 § 324</w:t>
        </w:r>
        <w:r w:rsidRPr="007853DD">
          <w:t xml:space="preserve"> et seq</w:t>
        </w:r>
      </w:hyperlink>
      <w:r w:rsidRPr="007853DD">
        <w:t>.)(prohibits</w:t>
      </w:r>
      <w:r w:rsidRPr="000B701F">
        <w:rPr>
          <w:rFonts w:cstheme="minorHAnsi"/>
        </w:rPr>
        <w:t xml:space="preserve"> discrimination on the basis of sex);</w:t>
      </w:r>
    </w:p>
    <w:p w14:paraId="4FC0CEBE" w14:textId="08D23C03" w:rsidR="000B701F" w:rsidRPr="000B701F" w:rsidRDefault="000B701F" w:rsidP="00020D20">
      <w:pPr>
        <w:pStyle w:val="Body-Bullets"/>
        <w:jc w:val="both"/>
        <w:rPr>
          <w:rFonts w:cstheme="minorHAnsi"/>
        </w:rPr>
      </w:pPr>
      <w:r w:rsidRPr="000B701F">
        <w:rPr>
          <w:rFonts w:cstheme="minorHAnsi"/>
        </w:rPr>
        <w:t xml:space="preserve">Section 504 of the Rehabilitation Action of 1973, as amended, </w:t>
      </w:r>
      <w:r w:rsidRPr="007853DD">
        <w:t>(</w:t>
      </w:r>
      <w:hyperlink r:id="rId764" w:history="1">
        <w:r w:rsidRPr="00020D20">
          <w:rPr>
            <w:rStyle w:val="TitleChar"/>
          </w:rPr>
          <w:t xml:space="preserve">29 U.S.C. § 794 </w:t>
        </w:r>
        <w:r w:rsidRPr="007853DD">
          <w:t>et seq</w:t>
        </w:r>
      </w:hyperlink>
      <w:r w:rsidRPr="007853DD">
        <w:t>.), as amended, (prohibits discrimination</w:t>
      </w:r>
      <w:r w:rsidRPr="000B701F">
        <w:rPr>
          <w:rFonts w:cstheme="minorHAnsi"/>
        </w:rPr>
        <w:t xml:space="preserve"> on the basis of disability);</w:t>
      </w:r>
    </w:p>
    <w:p w14:paraId="6C1DCEF5" w14:textId="2C25BC80" w:rsidR="002A04E2" w:rsidRPr="002A04E2" w:rsidRDefault="000B701F" w:rsidP="00020D20">
      <w:pPr>
        <w:pStyle w:val="Body-Bullets"/>
        <w:jc w:val="both"/>
      </w:pPr>
      <w:r w:rsidRPr="000B701F">
        <w:rPr>
          <w:rFonts w:cstheme="minorHAnsi"/>
        </w:rPr>
        <w:t>The Age Discrimination Act of 1975, as amended, (</w:t>
      </w:r>
      <w:hyperlink r:id="rId765" w:history="1">
        <w:r w:rsidRPr="00020D20">
          <w:rPr>
            <w:rStyle w:val="TitleChar"/>
          </w:rPr>
          <w:t>42 U.S.C. § 6101</w:t>
        </w:r>
        <w:r w:rsidRPr="007853DD">
          <w:t xml:space="preserve"> et seq</w:t>
        </w:r>
      </w:hyperlink>
      <w:r w:rsidRPr="007853DD">
        <w:t>.), (prohibits discrimination on the basis of</w:t>
      </w:r>
      <w:r w:rsidRPr="000B701F">
        <w:rPr>
          <w:rFonts w:cstheme="minorHAnsi"/>
        </w:rPr>
        <w:t xml:space="preserve"> age)</w:t>
      </w:r>
    </w:p>
    <w:p w14:paraId="2B10417A" w14:textId="77777777" w:rsidR="002A04E2" w:rsidRDefault="002A04E2" w:rsidP="00020D20">
      <w:pPr>
        <w:pStyle w:val="ListParagraph"/>
        <w:jc w:val="both"/>
        <w:rPr>
          <w:rFonts w:cstheme="minorHAnsi"/>
        </w:rPr>
        <w:sectPr w:rsidR="002A04E2" w:rsidSect="00F43B1D">
          <w:type w:val="continuous"/>
          <w:pgSz w:w="12240" w:h="15840"/>
          <w:pgMar w:top="1440" w:right="1440" w:bottom="1440" w:left="1440" w:header="720" w:footer="720" w:gutter="0"/>
          <w:cols w:num="2" w:space="720"/>
          <w:docGrid w:linePitch="360"/>
        </w:sectPr>
      </w:pPr>
    </w:p>
    <w:p w14:paraId="75C719DB" w14:textId="2B8AE196" w:rsidR="001565FC" w:rsidRDefault="001565FC" w:rsidP="00020D20">
      <w:pPr>
        <w:pStyle w:val="Heading4"/>
        <w:jc w:val="both"/>
      </w:pPr>
      <w:r w:rsidRPr="000B701F">
        <w:t>Figure 12-1 | Nondiscrimination Programs</w:t>
      </w:r>
    </w:p>
    <w:p w14:paraId="5A9EEA41" w14:textId="6AF96500" w:rsidR="003E7BC3" w:rsidRPr="003E7BC3" w:rsidRDefault="002A04E2" w:rsidP="00020D20">
      <w:pPr>
        <w:jc w:val="both"/>
      </w:pPr>
      <w:r>
        <w:rPr>
          <w:noProof/>
        </w:rPr>
        <w:drawing>
          <wp:inline distT="0" distB="0" distL="0" distR="0" wp14:anchorId="7CA491A7" wp14:editId="7090248F">
            <wp:extent cx="5845955" cy="250167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_Figure12-1_Civil_Rights-Graphic.jpg"/>
                    <pic:cNvPicPr/>
                  </pic:nvPicPr>
                  <pic:blipFill>
                    <a:blip r:embed="rId766" cstate="hqprint">
                      <a:extLst>
                        <a:ext uri="{28A0092B-C50C-407E-A947-70E740481C1C}">
                          <a14:useLocalDpi xmlns:a14="http://schemas.microsoft.com/office/drawing/2010/main" val="0"/>
                        </a:ext>
                      </a:extLst>
                    </a:blip>
                    <a:stretch>
                      <a:fillRect/>
                    </a:stretch>
                  </pic:blipFill>
                  <pic:spPr>
                    <a:xfrm>
                      <a:off x="0" y="0"/>
                      <a:ext cx="5893840" cy="2522170"/>
                    </a:xfrm>
                    <a:prstGeom prst="rect">
                      <a:avLst/>
                    </a:prstGeom>
                  </pic:spPr>
                </pic:pic>
              </a:graphicData>
            </a:graphic>
          </wp:inline>
        </w:drawing>
      </w:r>
    </w:p>
    <w:p w14:paraId="09FD0D83" w14:textId="1E4051FA" w:rsidR="001565FC" w:rsidRPr="001565FC" w:rsidRDefault="001565FC" w:rsidP="00020D20">
      <w:pPr>
        <w:jc w:val="both"/>
      </w:pPr>
    </w:p>
    <w:p w14:paraId="27C19286" w14:textId="77777777" w:rsidR="001565FC" w:rsidRDefault="001565FC" w:rsidP="00020D20">
      <w:pPr>
        <w:pStyle w:val="TableSub-HeaderADOTTable"/>
        <w:numPr>
          <w:ilvl w:val="0"/>
          <w:numId w:val="134"/>
        </w:numPr>
        <w:jc w:val="both"/>
        <w:rPr>
          <w:rFonts w:cstheme="minorHAnsi"/>
        </w:rPr>
        <w:sectPr w:rsidR="001565FC" w:rsidSect="00020D20">
          <w:type w:val="continuous"/>
          <w:pgSz w:w="12240" w:h="15840"/>
          <w:pgMar w:top="1440" w:right="1440" w:bottom="1440" w:left="1440" w:header="720" w:footer="720" w:gutter="0"/>
          <w:pgNumType w:chapStyle="1"/>
          <w:cols w:space="720"/>
          <w:docGrid w:linePitch="360"/>
        </w:sectPr>
      </w:pPr>
    </w:p>
    <w:p w14:paraId="38B91135" w14:textId="57A794AC" w:rsidR="000B701F" w:rsidRPr="000B701F" w:rsidRDefault="000B701F" w:rsidP="00020D20">
      <w:pPr>
        <w:pStyle w:val="Body-Bullets"/>
        <w:jc w:val="both"/>
      </w:pPr>
      <w:r w:rsidRPr="000B701F">
        <w:t>The Civil Rights Restoration Act of 1987, (PL 100-209), (broadened the score, coverage and applicability of Title VI of the Civil Rights Act of 1964, The Age Discrimination Act of 1975, and Section 504 of the Rehabilitation Act of 1973, by expanding the definition of the terms “programs or activities: to include all of the programs or activities of Federal-aid recipients and contractors, whether such programs or activities are Federally funded or not);</w:t>
      </w:r>
    </w:p>
    <w:p w14:paraId="2ED5F95E" w14:textId="5F98677E" w:rsidR="000B701F" w:rsidRPr="000B701F" w:rsidRDefault="000B701F" w:rsidP="00020D20">
      <w:pPr>
        <w:pStyle w:val="Body-Bullets"/>
        <w:jc w:val="both"/>
      </w:pPr>
      <w:r w:rsidRPr="000B701F">
        <w:t xml:space="preserve">Americans with Disabilities Act of 1990, as amended, </w:t>
      </w:r>
      <w:r w:rsidRPr="007853DD">
        <w:t>(</w:t>
      </w:r>
      <w:hyperlink r:id="rId767" w:history="1">
        <w:r w:rsidRPr="00020D20">
          <w:rPr>
            <w:rStyle w:val="TitleChar"/>
          </w:rPr>
          <w:t>42 U.S.C. §</w:t>
        </w:r>
        <w:r w:rsidR="008216A0" w:rsidRPr="00020D20">
          <w:rPr>
            <w:rStyle w:val="TitleChar"/>
          </w:rPr>
          <w:t xml:space="preserve"> </w:t>
        </w:r>
        <w:r w:rsidRPr="00020D20">
          <w:rPr>
            <w:rStyle w:val="TitleChar"/>
          </w:rPr>
          <w:t>12101 et seq</w:t>
        </w:r>
      </w:hyperlink>
      <w:r w:rsidRPr="00020D20">
        <w:rPr>
          <w:rStyle w:val="TitleChar"/>
        </w:rPr>
        <w:t>.</w:t>
      </w:r>
      <w:r w:rsidRPr="007853DD">
        <w:t>), (prohibits</w:t>
      </w:r>
      <w:r w:rsidRPr="000B701F">
        <w:t xml:space="preserve"> discrimination on the basis of disability);</w:t>
      </w:r>
    </w:p>
    <w:p w14:paraId="61CC6031" w14:textId="0C3CD052" w:rsidR="000B701F" w:rsidRPr="000B701F" w:rsidRDefault="00202C92" w:rsidP="00020D20">
      <w:pPr>
        <w:pStyle w:val="Body-Bullets"/>
        <w:jc w:val="both"/>
      </w:pPr>
      <w:hyperlink r:id="rId768" w:history="1">
        <w:r w:rsidR="00784202" w:rsidRPr="00020D20">
          <w:rPr>
            <w:rStyle w:val="TitleChar"/>
          </w:rPr>
          <w:t xml:space="preserve">49 </w:t>
        </w:r>
        <w:r w:rsidR="009628C0">
          <w:rPr>
            <w:rStyle w:val="TitleChar"/>
          </w:rPr>
          <w:t xml:space="preserve">C.F.R. </w:t>
        </w:r>
        <w:r w:rsidR="00784202" w:rsidRPr="00020D20">
          <w:rPr>
            <w:rStyle w:val="TitleChar"/>
          </w:rPr>
          <w:t>Part 21</w:t>
        </w:r>
      </w:hyperlink>
      <w:r w:rsidR="000B701F" w:rsidRPr="000B701F">
        <w:t xml:space="preserve"> (entitled Nondiscrimination In Federally-Assisted Programs Of The Department of Transportation – Effectuation of Title VI of the Civil Rights Act of 1964);</w:t>
      </w:r>
    </w:p>
    <w:p w14:paraId="789317DB" w14:textId="5B3BCD89" w:rsidR="000B701F" w:rsidRPr="000B701F" w:rsidRDefault="00202C92" w:rsidP="00020D20">
      <w:pPr>
        <w:pStyle w:val="Body-Bullets"/>
        <w:jc w:val="both"/>
      </w:pPr>
      <w:hyperlink r:id="rId769" w:history="1">
        <w:r w:rsidR="00784202" w:rsidRPr="00020D20">
          <w:rPr>
            <w:rStyle w:val="TitleChar"/>
          </w:rPr>
          <w:t xml:space="preserve">49 </w:t>
        </w:r>
        <w:r w:rsidR="009628C0">
          <w:rPr>
            <w:rStyle w:val="TitleChar"/>
          </w:rPr>
          <w:t xml:space="preserve">C.F.R. </w:t>
        </w:r>
        <w:r w:rsidR="00784202" w:rsidRPr="00020D20">
          <w:rPr>
            <w:rStyle w:val="TitleChar"/>
          </w:rPr>
          <w:t>Part 27</w:t>
        </w:r>
      </w:hyperlink>
      <w:r w:rsidR="000B701F" w:rsidRPr="000B701F">
        <w:t xml:space="preserve"> (entitled Nondiscrimination On The Basis of Disability In Programs Or Activities Receiving Federal Financial Assistance); </w:t>
      </w:r>
    </w:p>
    <w:p w14:paraId="3E072784" w14:textId="28CEA3A0" w:rsidR="000B701F" w:rsidRPr="000B701F" w:rsidRDefault="00202C92" w:rsidP="00020D20">
      <w:pPr>
        <w:pStyle w:val="Body-Bullets"/>
        <w:jc w:val="both"/>
      </w:pPr>
      <w:hyperlink r:id="rId770" w:history="1">
        <w:r w:rsidR="00784202" w:rsidRPr="00020D20">
          <w:rPr>
            <w:rStyle w:val="TitleChar"/>
          </w:rPr>
          <w:t xml:space="preserve">49 </w:t>
        </w:r>
        <w:r w:rsidR="009628C0">
          <w:rPr>
            <w:rStyle w:val="TitleChar"/>
          </w:rPr>
          <w:t xml:space="preserve">C.F.R. </w:t>
        </w:r>
        <w:r w:rsidR="00784202" w:rsidRPr="00020D20">
          <w:rPr>
            <w:rStyle w:val="TitleChar"/>
          </w:rPr>
          <w:t>Part 28</w:t>
        </w:r>
      </w:hyperlink>
      <w:r w:rsidR="000B701F" w:rsidRPr="000B701F">
        <w:t xml:space="preserve"> (entitled Enforcement Of Nondiscrimination On The Basis Of Handicap In Programs Or Activities Conducted By The Department of Transportation);</w:t>
      </w:r>
    </w:p>
    <w:p w14:paraId="3383CFA4" w14:textId="2362A3F3" w:rsidR="000B701F" w:rsidRPr="000B701F" w:rsidRDefault="00202C92" w:rsidP="00020D20">
      <w:pPr>
        <w:pStyle w:val="Body-Bullets"/>
        <w:jc w:val="both"/>
      </w:pPr>
      <w:hyperlink r:id="rId771" w:history="1">
        <w:r w:rsidR="00784202" w:rsidRPr="00020D20">
          <w:rPr>
            <w:rStyle w:val="TitleChar"/>
          </w:rPr>
          <w:t xml:space="preserve">49 </w:t>
        </w:r>
        <w:r w:rsidR="009628C0">
          <w:rPr>
            <w:rStyle w:val="TitleChar"/>
          </w:rPr>
          <w:t xml:space="preserve">C.F.R. </w:t>
        </w:r>
        <w:r w:rsidR="00784202" w:rsidRPr="00020D20">
          <w:rPr>
            <w:rStyle w:val="TitleChar"/>
          </w:rPr>
          <w:t>Part 37</w:t>
        </w:r>
      </w:hyperlink>
      <w:r w:rsidR="000B701F" w:rsidRPr="000B701F">
        <w:t xml:space="preserve"> (entitled Transportation Services For Individuals With Disabilities (ADA);</w:t>
      </w:r>
    </w:p>
    <w:p w14:paraId="62C19480" w14:textId="007106C3" w:rsidR="000B701F" w:rsidRPr="000B701F" w:rsidRDefault="00202C92" w:rsidP="00020D20">
      <w:pPr>
        <w:pStyle w:val="Body-Bullets"/>
        <w:jc w:val="both"/>
      </w:pPr>
      <w:hyperlink r:id="rId772" w:history="1">
        <w:r w:rsidR="00784202" w:rsidRPr="00020D20">
          <w:rPr>
            <w:rStyle w:val="TitleChar"/>
          </w:rPr>
          <w:t xml:space="preserve">23 </w:t>
        </w:r>
        <w:r w:rsidR="009628C0">
          <w:rPr>
            <w:rStyle w:val="TitleChar"/>
          </w:rPr>
          <w:t xml:space="preserve">C.F.R. </w:t>
        </w:r>
        <w:r w:rsidR="00784202" w:rsidRPr="00020D20">
          <w:rPr>
            <w:rStyle w:val="TitleChar"/>
          </w:rPr>
          <w:t>Part 200</w:t>
        </w:r>
      </w:hyperlink>
      <w:r w:rsidR="000B701F" w:rsidRPr="000B701F">
        <w:t xml:space="preserve"> (FHWA’s Title VI/Nondiscrimination Regulation);</w:t>
      </w:r>
    </w:p>
    <w:p w14:paraId="46F31D91" w14:textId="73DE25BF" w:rsidR="007C27BD" w:rsidRPr="00460CF0" w:rsidRDefault="00202C92" w:rsidP="00020D20">
      <w:pPr>
        <w:pStyle w:val="Body-Bullets"/>
        <w:jc w:val="both"/>
      </w:pPr>
      <w:hyperlink r:id="rId773" w:history="1">
        <w:r w:rsidR="00784202" w:rsidRPr="00020D20">
          <w:rPr>
            <w:rStyle w:val="TitleChar"/>
          </w:rPr>
          <w:t xml:space="preserve">28 </w:t>
        </w:r>
        <w:r w:rsidR="009628C0">
          <w:rPr>
            <w:rStyle w:val="TitleChar"/>
          </w:rPr>
          <w:t xml:space="preserve">C.F.R. </w:t>
        </w:r>
        <w:r w:rsidR="00784202" w:rsidRPr="00020D20">
          <w:rPr>
            <w:rStyle w:val="TitleChar"/>
          </w:rPr>
          <w:t>Part 35</w:t>
        </w:r>
      </w:hyperlink>
      <w:r w:rsidR="000B701F" w:rsidRPr="000B701F">
        <w:t xml:space="preserve"> (entitled Discrimination On The Basis Of Disability In State And Local Government Services);</w:t>
      </w:r>
    </w:p>
    <w:p w14:paraId="0463D489" w14:textId="49E7ABBD" w:rsidR="001565FC" w:rsidRDefault="00202C92" w:rsidP="00020D20">
      <w:pPr>
        <w:pStyle w:val="Body-Bullets"/>
        <w:jc w:val="both"/>
        <w:sectPr w:rsidR="001565FC" w:rsidSect="00020D20">
          <w:type w:val="continuous"/>
          <w:pgSz w:w="12240" w:h="15840"/>
          <w:pgMar w:top="1440" w:right="1440" w:bottom="1440" w:left="1440" w:header="720" w:footer="720" w:gutter="0"/>
          <w:pgNumType w:chapStyle="1"/>
          <w:cols w:num="2" w:space="720"/>
          <w:docGrid w:linePitch="360"/>
        </w:sectPr>
      </w:pPr>
      <w:hyperlink r:id="rId774" w:history="1">
        <w:r w:rsidR="00784202" w:rsidRPr="00020D20">
          <w:rPr>
            <w:rStyle w:val="TitleChar"/>
          </w:rPr>
          <w:t xml:space="preserve">28 </w:t>
        </w:r>
        <w:r w:rsidR="009628C0">
          <w:rPr>
            <w:rStyle w:val="TitleChar"/>
          </w:rPr>
          <w:t xml:space="preserve">C.F.R. </w:t>
        </w:r>
        <w:r w:rsidR="00784202" w:rsidRPr="00020D20">
          <w:rPr>
            <w:rStyle w:val="TitleChar"/>
          </w:rPr>
          <w:t>§ 50.3</w:t>
        </w:r>
      </w:hyperlink>
      <w:r w:rsidR="007C27BD" w:rsidRPr="007C27BD">
        <w:t xml:space="preserve"> (DOJ Guidelines for Enforcements of Title VI of the Civil Rights Act of 1964);</w:t>
      </w:r>
    </w:p>
    <w:p w14:paraId="04DD4279" w14:textId="399EEC3C" w:rsidR="001565FC" w:rsidRDefault="001565FC" w:rsidP="00020D20">
      <w:pPr>
        <w:pStyle w:val="Heading4"/>
        <w:jc w:val="both"/>
      </w:pPr>
      <w:r w:rsidRPr="000B701F">
        <w:t>Table 12-1 | Authorit</w:t>
      </w:r>
      <w:r w:rsidR="00B11592">
        <w:t>y</w:t>
      </w:r>
    </w:p>
    <w:tbl>
      <w:tblPr>
        <w:tblW w:w="9540" w:type="dxa"/>
        <w:tblInd w:w="-185" w:type="dxa"/>
        <w:tblLayout w:type="fixed"/>
        <w:tblCellMar>
          <w:left w:w="0" w:type="dxa"/>
          <w:right w:w="0" w:type="dxa"/>
        </w:tblCellMar>
        <w:tblLook w:val="0000" w:firstRow="0" w:lastRow="0" w:firstColumn="0" w:lastColumn="0" w:noHBand="0" w:noVBand="0"/>
      </w:tblPr>
      <w:tblGrid>
        <w:gridCol w:w="360"/>
        <w:gridCol w:w="1260"/>
        <w:gridCol w:w="7920"/>
      </w:tblGrid>
      <w:tr w:rsidR="00E337F2" w:rsidRPr="000B701F" w14:paraId="0AC95FAF" w14:textId="77777777" w:rsidTr="00020D20">
        <w:trPr>
          <w:trHeight w:val="45"/>
        </w:trPr>
        <w:tc>
          <w:tcPr>
            <w:tcW w:w="1620"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374BCE5F" w14:textId="77777777" w:rsidR="001565FC" w:rsidRPr="00020D20" w:rsidRDefault="001565FC" w:rsidP="00020D20">
            <w:pPr>
              <w:spacing w:before="0" w:after="0" w:line="240" w:lineRule="auto"/>
              <w:jc w:val="center"/>
              <w:rPr>
                <w:sz w:val="22"/>
              </w:rPr>
            </w:pPr>
            <w:r w:rsidRPr="00020D20">
              <w:rPr>
                <w:sz w:val="22"/>
              </w:rPr>
              <w:t>Code</w:t>
            </w:r>
          </w:p>
        </w:tc>
        <w:tc>
          <w:tcPr>
            <w:tcW w:w="7920"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7238DED4" w14:textId="77777777" w:rsidR="001565FC" w:rsidRPr="00020D20" w:rsidRDefault="001565FC" w:rsidP="00020D20">
            <w:pPr>
              <w:spacing w:before="0" w:after="0" w:line="240" w:lineRule="auto"/>
              <w:jc w:val="center"/>
              <w:rPr>
                <w:sz w:val="22"/>
              </w:rPr>
            </w:pPr>
            <w:r w:rsidRPr="00020D20">
              <w:rPr>
                <w:sz w:val="22"/>
              </w:rPr>
              <w:t>Description</w:t>
            </w:r>
          </w:p>
        </w:tc>
      </w:tr>
      <w:tr w:rsidR="000B23E4" w:rsidRPr="000B701F" w14:paraId="427320CB" w14:textId="77777777" w:rsidTr="00020D20">
        <w:trPr>
          <w:cantSplit/>
          <w:trHeight w:val="144"/>
        </w:trPr>
        <w:tc>
          <w:tcPr>
            <w:tcW w:w="360"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6A686901" w14:textId="77777777" w:rsidR="00531878" w:rsidRPr="00020D20" w:rsidRDefault="00531878" w:rsidP="00020D20">
            <w:pPr>
              <w:spacing w:before="0" w:after="0" w:line="240" w:lineRule="auto"/>
              <w:jc w:val="center"/>
              <w:rPr>
                <w:sz w:val="22"/>
              </w:rPr>
            </w:pPr>
            <w:r w:rsidRPr="00020D20">
              <w:rPr>
                <w:sz w:val="22"/>
              </w:rPr>
              <w:t>Federal</w:t>
            </w:r>
          </w:p>
        </w:tc>
        <w:tc>
          <w:tcPr>
            <w:tcW w:w="12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291408D" w14:textId="4D817B56" w:rsidR="00531878" w:rsidRPr="00020D20" w:rsidRDefault="00202C92">
            <w:pPr>
              <w:pStyle w:val="Title"/>
              <w:rPr>
                <w:sz w:val="16"/>
                <w:szCs w:val="16"/>
              </w:rPr>
            </w:pPr>
            <w:hyperlink r:id="rId775" w:history="1">
              <w:r w:rsidR="00531878" w:rsidRPr="00020D20">
                <w:rPr>
                  <w:rStyle w:val="Hyperlink"/>
                  <w:rFonts w:asciiTheme="minorHAnsi" w:hAnsiTheme="minorHAnsi" w:cstheme="majorBidi"/>
                  <w:i/>
                  <w:iCs w:val="0"/>
                  <w:color w:val="CE5B18"/>
                  <w:u w:val="none"/>
                </w:rPr>
                <w:t>42 U.S.C. § 2000d</w:t>
              </w:r>
            </w:hyperlink>
          </w:p>
        </w:tc>
        <w:tc>
          <w:tcPr>
            <w:tcW w:w="79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9663E5B" w14:textId="77777777" w:rsidR="00531878" w:rsidRPr="00020D20" w:rsidRDefault="00531878" w:rsidP="00020D20">
            <w:pPr>
              <w:spacing w:before="0" w:after="0" w:line="240" w:lineRule="auto"/>
              <w:jc w:val="both"/>
              <w:rPr>
                <w:sz w:val="16"/>
                <w:szCs w:val="16"/>
              </w:rPr>
            </w:pPr>
            <w:r w:rsidRPr="00020D20">
              <w:rPr>
                <w:sz w:val="16"/>
                <w:szCs w:val="16"/>
              </w:rPr>
              <w:t xml:space="preserve">Addresses discrimination based on race, color, and national origin in any program or activities financed by Federal aid. </w:t>
            </w:r>
          </w:p>
        </w:tc>
      </w:tr>
      <w:tr w:rsidR="002522E0" w:rsidRPr="000B701F" w14:paraId="5AD3E2C6"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55BDEFA0"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29EABD5" w14:textId="20D98D6B" w:rsidR="00531878" w:rsidRPr="00020D20" w:rsidRDefault="00202C92">
            <w:pPr>
              <w:pStyle w:val="Title"/>
              <w:rPr>
                <w:sz w:val="16"/>
                <w:szCs w:val="16"/>
              </w:rPr>
            </w:pPr>
            <w:hyperlink r:id="rId776" w:history="1">
              <w:r w:rsidR="00531878" w:rsidRPr="00020D20">
                <w:rPr>
                  <w:rStyle w:val="Hyperlink"/>
                  <w:rFonts w:asciiTheme="minorHAnsi" w:hAnsiTheme="minorHAnsi" w:cstheme="majorBidi"/>
                  <w:i/>
                  <w:iCs w:val="0"/>
                  <w:color w:val="CE5B18"/>
                  <w:u w:val="none"/>
                </w:rPr>
                <w:t xml:space="preserve">49 </w:t>
              </w:r>
              <w:r w:rsidR="009628C0">
                <w:rPr>
                  <w:rStyle w:val="Hyperlink"/>
                  <w:rFonts w:asciiTheme="minorHAnsi" w:hAnsiTheme="minorHAnsi" w:cstheme="majorBidi"/>
                  <w:i/>
                  <w:iCs w:val="0"/>
                  <w:color w:val="CE5B18"/>
                  <w:u w:val="none"/>
                </w:rPr>
                <w:t xml:space="preserve">C.F.R. </w:t>
              </w:r>
              <w:r w:rsidR="00531878" w:rsidRPr="00020D20">
                <w:rPr>
                  <w:rStyle w:val="Hyperlink"/>
                  <w:rFonts w:asciiTheme="minorHAnsi" w:hAnsiTheme="minorHAnsi" w:cstheme="majorBidi"/>
                  <w:i/>
                  <w:iCs w:val="0"/>
                  <w:color w:val="CE5B18"/>
                  <w:u w:val="none"/>
                </w:rPr>
                <w:t>Part 21</w:t>
              </w:r>
            </w:hyperlink>
          </w:p>
        </w:tc>
        <w:tc>
          <w:tcPr>
            <w:tcW w:w="7920" w:type="dxa"/>
            <w:vMerge w:val="restart"/>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C32FAFF" w14:textId="5513109F" w:rsidR="00531878" w:rsidRPr="00020D20" w:rsidRDefault="00531878" w:rsidP="00020D20">
            <w:pPr>
              <w:spacing w:before="0" w:after="0" w:line="240" w:lineRule="auto"/>
              <w:jc w:val="both"/>
              <w:rPr>
                <w:sz w:val="16"/>
                <w:szCs w:val="16"/>
              </w:rPr>
            </w:pPr>
            <w:r w:rsidRPr="00020D20">
              <w:rPr>
                <w:sz w:val="16"/>
                <w:szCs w:val="16"/>
              </w:rPr>
              <w:t xml:space="preserve">Addresses nondiscrimination in federally assisted programs of the </w:t>
            </w:r>
            <w:r w:rsidR="00C4588A" w:rsidRPr="00020D20">
              <w:rPr>
                <w:sz w:val="16"/>
                <w:szCs w:val="16"/>
              </w:rPr>
              <w:t>USDOT</w:t>
            </w:r>
            <w:r w:rsidRPr="00020D20">
              <w:rPr>
                <w:sz w:val="16"/>
                <w:szCs w:val="16"/>
              </w:rPr>
              <w:t>—effectuation of the provisions of title vi of the Civil Rights Act of 1964.</w:t>
            </w:r>
          </w:p>
        </w:tc>
      </w:tr>
      <w:tr w:rsidR="002522E0" w:rsidRPr="000B701F" w14:paraId="1E32A7C7"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0DAFB37A"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2885183A" w14:textId="577179EE" w:rsidR="00531878" w:rsidRPr="00020D20" w:rsidRDefault="00202C92">
            <w:pPr>
              <w:pStyle w:val="Title"/>
              <w:rPr>
                <w:sz w:val="16"/>
                <w:szCs w:val="16"/>
              </w:rPr>
            </w:pPr>
            <w:hyperlink r:id="rId777" w:history="1">
              <w:r w:rsidR="00531878"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531878" w:rsidRPr="00020D20">
                <w:rPr>
                  <w:rStyle w:val="Hyperlink"/>
                  <w:rFonts w:asciiTheme="minorHAnsi" w:hAnsiTheme="minorHAnsi" w:cstheme="majorBidi"/>
                  <w:i/>
                  <w:iCs w:val="0"/>
                  <w:color w:val="CE5B18"/>
                  <w:u w:val="none"/>
                </w:rPr>
                <w:t>Part 200</w:t>
              </w:r>
            </w:hyperlink>
          </w:p>
        </w:tc>
        <w:tc>
          <w:tcPr>
            <w:tcW w:w="7920" w:type="dxa"/>
            <w:vMerge/>
            <w:tcBorders>
              <w:top w:val="single" w:sz="4" w:space="0" w:color="auto"/>
              <w:left w:val="single" w:sz="4" w:space="0" w:color="auto"/>
              <w:bottom w:val="single" w:sz="4" w:space="0" w:color="auto"/>
              <w:right w:val="single" w:sz="4" w:space="0" w:color="auto"/>
            </w:tcBorders>
          </w:tcPr>
          <w:p w14:paraId="14FF38CC" w14:textId="77777777" w:rsidR="00531878" w:rsidRPr="00020D20" w:rsidRDefault="00531878" w:rsidP="00020D20">
            <w:pPr>
              <w:spacing w:before="0" w:after="0" w:line="240" w:lineRule="auto"/>
              <w:jc w:val="both"/>
              <w:rPr>
                <w:sz w:val="16"/>
                <w:szCs w:val="16"/>
              </w:rPr>
            </w:pPr>
          </w:p>
        </w:tc>
      </w:tr>
      <w:tr w:rsidR="002522E0" w:rsidRPr="000B701F" w14:paraId="3840BA58"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185B4394"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03C46C8" w14:textId="51BF3284" w:rsidR="00531878" w:rsidRPr="00020D20" w:rsidRDefault="00202C92">
            <w:pPr>
              <w:pStyle w:val="Title"/>
              <w:rPr>
                <w:sz w:val="16"/>
                <w:szCs w:val="16"/>
              </w:rPr>
            </w:pPr>
            <w:hyperlink r:id="rId778" w:history="1">
              <w:r w:rsidR="00531878" w:rsidRPr="00020D20">
                <w:rPr>
                  <w:rStyle w:val="Hyperlink"/>
                  <w:rFonts w:asciiTheme="minorHAnsi" w:hAnsiTheme="minorHAnsi" w:cstheme="majorBidi"/>
                  <w:i/>
                  <w:iCs w:val="0"/>
                  <w:color w:val="CE5B18"/>
                  <w:u w:val="none"/>
                </w:rPr>
                <w:t>49 U.S.C. § 5332</w:t>
              </w:r>
            </w:hyperlink>
          </w:p>
        </w:tc>
        <w:tc>
          <w:tcPr>
            <w:tcW w:w="79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3741B1C" w14:textId="77777777" w:rsidR="00531878" w:rsidRPr="00020D20" w:rsidRDefault="00531878" w:rsidP="00020D20">
            <w:pPr>
              <w:spacing w:before="0" w:after="0" w:line="240" w:lineRule="auto"/>
              <w:jc w:val="both"/>
              <w:rPr>
                <w:sz w:val="16"/>
                <w:szCs w:val="16"/>
              </w:rPr>
            </w:pPr>
            <w:r w:rsidRPr="00020D20">
              <w:rPr>
                <w:sz w:val="16"/>
                <w:szCs w:val="16"/>
              </w:rPr>
              <w:t>Prohibits discrimination on the basis of race, color, creed, national origin, sex, or age in employment or business opportunity.</w:t>
            </w:r>
          </w:p>
        </w:tc>
      </w:tr>
      <w:tr w:rsidR="002522E0" w:rsidRPr="000B701F" w14:paraId="7E92AB31"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26399A89"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AEA4813" w14:textId="387CBE8B" w:rsidR="00531878" w:rsidRPr="00020D20" w:rsidRDefault="00202C92">
            <w:pPr>
              <w:pStyle w:val="Title"/>
              <w:rPr>
                <w:sz w:val="16"/>
                <w:szCs w:val="16"/>
              </w:rPr>
            </w:pPr>
            <w:hyperlink r:id="rId779" w:history="1">
              <w:r w:rsidR="00531878" w:rsidRPr="00020D20">
                <w:rPr>
                  <w:rStyle w:val="Hyperlink"/>
                  <w:rFonts w:asciiTheme="minorHAnsi" w:hAnsiTheme="minorHAnsi" w:cstheme="majorBidi"/>
                  <w:i/>
                  <w:iCs w:val="0"/>
                  <w:color w:val="CE5B18"/>
                  <w:u w:val="none"/>
                </w:rPr>
                <w:t>42 U.S.C. § 6101</w:t>
              </w:r>
            </w:hyperlink>
          </w:p>
        </w:tc>
        <w:tc>
          <w:tcPr>
            <w:tcW w:w="79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8DBAD42" w14:textId="77777777" w:rsidR="00531878" w:rsidRPr="00020D20" w:rsidRDefault="00531878" w:rsidP="00020D20">
            <w:pPr>
              <w:spacing w:before="0" w:after="0" w:line="240" w:lineRule="auto"/>
              <w:jc w:val="both"/>
              <w:rPr>
                <w:sz w:val="16"/>
                <w:szCs w:val="16"/>
              </w:rPr>
            </w:pPr>
            <w:r w:rsidRPr="00020D20">
              <w:rPr>
                <w:sz w:val="16"/>
                <w:szCs w:val="16"/>
              </w:rPr>
              <w:t>Prohibits discrimination on the basis of age in programs or activities receiving federal financial assistance.</w:t>
            </w:r>
          </w:p>
        </w:tc>
      </w:tr>
      <w:tr w:rsidR="002522E0" w:rsidRPr="000B701F" w14:paraId="32C12E7A"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5BBE7E6B"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604C662" w14:textId="375F74F4" w:rsidR="00531878" w:rsidRPr="00020D20" w:rsidRDefault="00202C92">
            <w:pPr>
              <w:pStyle w:val="Title"/>
              <w:rPr>
                <w:sz w:val="16"/>
                <w:szCs w:val="16"/>
              </w:rPr>
            </w:pPr>
            <w:hyperlink r:id="rId780" w:history="1">
              <w:r w:rsidR="00531878" w:rsidRPr="00020D20">
                <w:rPr>
                  <w:rStyle w:val="Hyperlink"/>
                  <w:rFonts w:asciiTheme="minorHAnsi" w:hAnsiTheme="minorHAnsi" w:cstheme="majorBidi"/>
                  <w:i/>
                  <w:iCs w:val="0"/>
                  <w:color w:val="CE5B18"/>
                  <w:u w:val="none"/>
                </w:rPr>
                <w:t xml:space="preserve">23 </w:t>
              </w:r>
              <w:r w:rsidR="009628C0">
                <w:rPr>
                  <w:rStyle w:val="Hyperlink"/>
                  <w:rFonts w:asciiTheme="minorHAnsi" w:hAnsiTheme="minorHAnsi" w:cstheme="majorBidi"/>
                  <w:i/>
                  <w:iCs w:val="0"/>
                  <w:color w:val="CE5B18"/>
                  <w:u w:val="none"/>
                </w:rPr>
                <w:t xml:space="preserve">C.F.R. </w:t>
              </w:r>
              <w:r w:rsidR="00531878" w:rsidRPr="00020D20">
                <w:rPr>
                  <w:rStyle w:val="Hyperlink"/>
                  <w:rFonts w:asciiTheme="minorHAnsi" w:hAnsiTheme="minorHAnsi" w:cstheme="majorBidi"/>
                  <w:i/>
                  <w:iCs w:val="0"/>
                  <w:color w:val="CE5B18"/>
                  <w:u w:val="none"/>
                </w:rPr>
                <w:t>Part 230</w:t>
              </w:r>
            </w:hyperlink>
          </w:p>
        </w:tc>
        <w:tc>
          <w:tcPr>
            <w:tcW w:w="79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03B6C93" w14:textId="77777777" w:rsidR="00531878" w:rsidRPr="00020D20" w:rsidRDefault="00531878" w:rsidP="00020D20">
            <w:pPr>
              <w:spacing w:before="0" w:after="0" w:line="240" w:lineRule="auto"/>
              <w:jc w:val="both"/>
              <w:rPr>
                <w:sz w:val="16"/>
                <w:szCs w:val="16"/>
              </w:rPr>
            </w:pPr>
            <w:r w:rsidRPr="00020D20">
              <w:rPr>
                <w:sz w:val="16"/>
                <w:szCs w:val="16"/>
              </w:rPr>
              <w:t>Addresses implementation of an Equal Employment Opportunity (EEO) program on federal and federal-aid highway construction contracts.</w:t>
            </w:r>
          </w:p>
        </w:tc>
      </w:tr>
      <w:tr w:rsidR="002522E0" w:rsidRPr="000B701F" w14:paraId="514EEF63"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3820C787"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C934B46" w14:textId="56A973A9" w:rsidR="00531878" w:rsidRPr="00020D20" w:rsidRDefault="00202C92">
            <w:pPr>
              <w:pStyle w:val="Title"/>
              <w:rPr>
                <w:sz w:val="16"/>
                <w:szCs w:val="16"/>
              </w:rPr>
            </w:pPr>
            <w:hyperlink r:id="rId781" w:history="1">
              <w:r w:rsidR="00531878" w:rsidRPr="00020D20">
                <w:rPr>
                  <w:rStyle w:val="Hyperlink"/>
                  <w:rFonts w:asciiTheme="minorHAnsi" w:hAnsiTheme="minorHAnsi" w:cstheme="majorBidi"/>
                  <w:i/>
                  <w:iCs w:val="0"/>
                  <w:color w:val="CE5B18"/>
                  <w:u w:val="none"/>
                </w:rPr>
                <w:t>29 U.S.C § 794</w:t>
              </w:r>
            </w:hyperlink>
          </w:p>
        </w:tc>
        <w:tc>
          <w:tcPr>
            <w:tcW w:w="79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19BBB657" w14:textId="77777777" w:rsidR="00531878" w:rsidRPr="00020D20" w:rsidRDefault="00531878" w:rsidP="00020D20">
            <w:pPr>
              <w:spacing w:before="0" w:after="0" w:line="240" w:lineRule="auto"/>
              <w:jc w:val="both"/>
              <w:rPr>
                <w:sz w:val="16"/>
                <w:szCs w:val="16"/>
              </w:rPr>
            </w:pPr>
            <w:r w:rsidRPr="00020D20">
              <w:rPr>
                <w:sz w:val="16"/>
                <w:szCs w:val="16"/>
              </w:rPr>
              <w:t>Addresses discrimination against individuals with disabilities.</w:t>
            </w:r>
          </w:p>
        </w:tc>
      </w:tr>
      <w:tr w:rsidR="002522E0" w:rsidRPr="000B701F" w14:paraId="253E9AEB"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5C428341"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EB229BA" w14:textId="3E24FE43" w:rsidR="00531878" w:rsidRPr="00020D20" w:rsidRDefault="00202C92">
            <w:pPr>
              <w:pStyle w:val="Title"/>
              <w:rPr>
                <w:sz w:val="16"/>
                <w:szCs w:val="16"/>
              </w:rPr>
            </w:pPr>
            <w:hyperlink r:id="rId782" w:history="1">
              <w:r w:rsidR="00531878" w:rsidRPr="00020D20">
                <w:rPr>
                  <w:rStyle w:val="Hyperlink"/>
                  <w:rFonts w:asciiTheme="minorHAnsi" w:hAnsiTheme="minorHAnsi" w:cstheme="majorBidi"/>
                  <w:i/>
                  <w:iCs w:val="0"/>
                  <w:color w:val="CE5B18"/>
                  <w:u w:val="none"/>
                </w:rPr>
                <w:t>42 U.S.C § 4601</w:t>
              </w:r>
            </w:hyperlink>
          </w:p>
        </w:tc>
        <w:tc>
          <w:tcPr>
            <w:tcW w:w="79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3F7D1F7" w14:textId="77777777" w:rsidR="00531878" w:rsidRPr="00020D20" w:rsidRDefault="00531878" w:rsidP="00020D20">
            <w:pPr>
              <w:spacing w:before="0" w:after="0" w:line="240" w:lineRule="auto"/>
              <w:jc w:val="both"/>
              <w:rPr>
                <w:sz w:val="16"/>
                <w:szCs w:val="16"/>
              </w:rPr>
            </w:pPr>
            <w:r w:rsidRPr="00020D20">
              <w:rPr>
                <w:sz w:val="16"/>
                <w:szCs w:val="16"/>
              </w:rPr>
              <w:t>Addresses nondiscrimination with respect to persons displaced and property acquired.</w:t>
            </w:r>
          </w:p>
        </w:tc>
      </w:tr>
      <w:tr w:rsidR="002522E0" w:rsidRPr="000B701F" w14:paraId="1FC43F29"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6DC9E6F6"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75AE510B" w14:textId="26803F90" w:rsidR="00531878" w:rsidRPr="00020D20" w:rsidRDefault="00202C92">
            <w:pPr>
              <w:pStyle w:val="Title"/>
              <w:rPr>
                <w:sz w:val="16"/>
                <w:szCs w:val="16"/>
              </w:rPr>
            </w:pPr>
            <w:hyperlink r:id="rId783" w:history="1">
              <w:r w:rsidR="00531878" w:rsidRPr="00020D20">
                <w:rPr>
                  <w:rStyle w:val="Hyperlink"/>
                  <w:rFonts w:asciiTheme="minorHAnsi" w:hAnsiTheme="minorHAnsi" w:cstheme="majorBidi"/>
                  <w:i/>
                  <w:iCs w:val="0"/>
                  <w:color w:val="CE5B18"/>
                  <w:u w:val="none"/>
                </w:rPr>
                <w:t>23 U.S.C. § 324</w:t>
              </w:r>
            </w:hyperlink>
          </w:p>
        </w:tc>
        <w:tc>
          <w:tcPr>
            <w:tcW w:w="79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B67FF91" w14:textId="77777777" w:rsidR="00531878" w:rsidRPr="00020D20" w:rsidRDefault="00531878" w:rsidP="00020D20">
            <w:pPr>
              <w:spacing w:before="0" w:after="0" w:line="240" w:lineRule="auto"/>
              <w:jc w:val="both"/>
              <w:rPr>
                <w:sz w:val="16"/>
                <w:szCs w:val="16"/>
              </w:rPr>
            </w:pPr>
            <w:r w:rsidRPr="00020D20">
              <w:rPr>
                <w:sz w:val="16"/>
                <w:szCs w:val="16"/>
              </w:rPr>
              <w:t>Adds gender to the list of Title VI protections.</w:t>
            </w:r>
          </w:p>
        </w:tc>
      </w:tr>
      <w:tr w:rsidR="002522E0" w:rsidRPr="000B701F" w14:paraId="38718D1A"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46B7C76F"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36AC85D" w14:textId="69E16F76" w:rsidR="00531878" w:rsidRPr="00020D20" w:rsidRDefault="00202C92">
            <w:pPr>
              <w:pStyle w:val="Title"/>
              <w:rPr>
                <w:sz w:val="16"/>
                <w:szCs w:val="16"/>
              </w:rPr>
            </w:pPr>
            <w:hyperlink r:id="rId784" w:history="1">
              <w:r w:rsidR="00531878" w:rsidRPr="00020D20">
                <w:rPr>
                  <w:rStyle w:val="Hyperlink"/>
                  <w:rFonts w:asciiTheme="minorHAnsi" w:hAnsiTheme="minorHAnsi" w:cstheme="majorBidi"/>
                  <w:i/>
                  <w:iCs w:val="0"/>
                  <w:color w:val="CE5B18"/>
                  <w:u w:val="none"/>
                </w:rPr>
                <w:t>42 U.S.C. § 12101</w:t>
              </w:r>
            </w:hyperlink>
          </w:p>
        </w:tc>
        <w:tc>
          <w:tcPr>
            <w:tcW w:w="79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29565DD" w14:textId="64169825" w:rsidR="00531878" w:rsidRPr="00020D20" w:rsidRDefault="00531878" w:rsidP="00020D20">
            <w:pPr>
              <w:spacing w:before="0" w:after="0" w:line="240" w:lineRule="auto"/>
              <w:jc w:val="both"/>
              <w:rPr>
                <w:sz w:val="16"/>
                <w:szCs w:val="16"/>
              </w:rPr>
            </w:pPr>
            <w:r w:rsidRPr="00020D20">
              <w:rPr>
                <w:sz w:val="16"/>
                <w:szCs w:val="16"/>
              </w:rPr>
              <w:t xml:space="preserve">Adds </w:t>
            </w:r>
            <w:r w:rsidR="00C4588A" w:rsidRPr="00020D20">
              <w:rPr>
                <w:sz w:val="16"/>
                <w:szCs w:val="16"/>
              </w:rPr>
              <w:t xml:space="preserve">disability </w:t>
            </w:r>
            <w:r w:rsidRPr="00020D20">
              <w:rPr>
                <w:sz w:val="16"/>
                <w:szCs w:val="16"/>
              </w:rPr>
              <w:t>to the list of Title VI protections.</w:t>
            </w:r>
          </w:p>
        </w:tc>
      </w:tr>
      <w:tr w:rsidR="002522E0" w:rsidRPr="000B701F" w14:paraId="33A759FF"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773EF2AA"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44F05AE5" w14:textId="76206413" w:rsidR="00531878" w:rsidRPr="00020D20" w:rsidRDefault="00202C92">
            <w:pPr>
              <w:pStyle w:val="Title"/>
              <w:rPr>
                <w:sz w:val="16"/>
                <w:szCs w:val="16"/>
              </w:rPr>
            </w:pPr>
            <w:hyperlink r:id="rId785" w:history="1">
              <w:r w:rsidR="00531878" w:rsidRPr="00020D20">
                <w:rPr>
                  <w:rStyle w:val="Hyperlink"/>
                  <w:rFonts w:asciiTheme="minorHAnsi" w:hAnsiTheme="minorHAnsi" w:cstheme="majorBidi"/>
                  <w:i/>
                  <w:iCs w:val="0"/>
                  <w:color w:val="CE5B18"/>
                  <w:u w:val="none"/>
                </w:rPr>
                <w:t>65 F.R. 50121</w:t>
              </w:r>
            </w:hyperlink>
          </w:p>
        </w:tc>
        <w:tc>
          <w:tcPr>
            <w:tcW w:w="79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3DBD5D6" w14:textId="51D7A5AC" w:rsidR="00531878" w:rsidRPr="00020D20" w:rsidRDefault="00C4588A" w:rsidP="00020D20">
            <w:pPr>
              <w:spacing w:before="0" w:after="0" w:line="240" w:lineRule="auto"/>
              <w:jc w:val="both"/>
              <w:rPr>
                <w:sz w:val="16"/>
                <w:szCs w:val="16"/>
              </w:rPr>
            </w:pPr>
            <w:r w:rsidRPr="00020D20">
              <w:rPr>
                <w:sz w:val="16"/>
                <w:szCs w:val="16"/>
              </w:rPr>
              <w:t>Improves access to services for persons with limited English proficiency</w:t>
            </w:r>
            <w:r w:rsidR="00531878" w:rsidRPr="00020D20">
              <w:rPr>
                <w:sz w:val="16"/>
                <w:szCs w:val="16"/>
              </w:rPr>
              <w:t>.</w:t>
            </w:r>
          </w:p>
        </w:tc>
      </w:tr>
      <w:tr w:rsidR="002522E0" w:rsidRPr="000B701F" w14:paraId="435FD944" w14:textId="77777777" w:rsidTr="00020D20">
        <w:trPr>
          <w:trHeight w:val="20"/>
        </w:trPr>
        <w:tc>
          <w:tcPr>
            <w:tcW w:w="360" w:type="dxa"/>
            <w:vMerge/>
            <w:tcBorders>
              <w:left w:val="single" w:sz="4" w:space="0" w:color="auto"/>
              <w:bottom w:val="single" w:sz="4" w:space="0" w:color="auto"/>
              <w:right w:val="single" w:sz="4" w:space="0" w:color="auto"/>
            </w:tcBorders>
            <w:shd w:val="clear" w:color="auto" w:fill="012768"/>
          </w:tcPr>
          <w:p w14:paraId="3A53AE30" w14:textId="77777777" w:rsidR="00531878" w:rsidRPr="000B701F" w:rsidRDefault="00531878" w:rsidP="00020D20">
            <w:pPr>
              <w:spacing w:before="0" w:after="0" w:line="240" w:lineRule="auto"/>
              <w:jc w:val="center"/>
              <w:rPr>
                <w:rFonts w:cstheme="minorHAnsi"/>
              </w:rPr>
            </w:pPr>
          </w:p>
        </w:tc>
        <w:tc>
          <w:tcPr>
            <w:tcW w:w="1260" w:type="dxa"/>
            <w:tcBorders>
              <w:top w:val="single" w:sz="4" w:space="0" w:color="auto"/>
              <w:left w:val="single" w:sz="4" w:space="0" w:color="auto"/>
              <w:bottom w:val="single" w:sz="4" w:space="0" w:color="auto"/>
              <w:right w:val="single" w:sz="4" w:space="0" w:color="auto"/>
            </w:tcBorders>
            <w:shd w:val="solid" w:color="DBDCDE" w:fill="auto"/>
            <w:tcMar>
              <w:top w:w="80" w:type="dxa"/>
              <w:left w:w="80" w:type="dxa"/>
              <w:bottom w:w="80" w:type="dxa"/>
              <w:right w:w="80" w:type="dxa"/>
            </w:tcMar>
            <w:vAlign w:val="center"/>
          </w:tcPr>
          <w:p w14:paraId="374E2DA5" w14:textId="58FB9658" w:rsidR="00531878" w:rsidRPr="00020D20" w:rsidRDefault="00202C92">
            <w:pPr>
              <w:pStyle w:val="Title"/>
              <w:rPr>
                <w:sz w:val="16"/>
                <w:szCs w:val="16"/>
              </w:rPr>
            </w:pPr>
            <w:hyperlink r:id="rId786" w:history="1">
              <w:r w:rsidR="00531878" w:rsidRPr="00020D20">
                <w:rPr>
                  <w:rStyle w:val="Hyperlink"/>
                  <w:rFonts w:asciiTheme="minorHAnsi" w:hAnsiTheme="minorHAnsi" w:cstheme="majorBidi"/>
                  <w:i/>
                  <w:iCs w:val="0"/>
                  <w:color w:val="CE5B18"/>
                  <w:u w:val="none"/>
                </w:rPr>
                <w:t xml:space="preserve">49 </w:t>
              </w:r>
              <w:r w:rsidR="009628C0">
                <w:rPr>
                  <w:rStyle w:val="Hyperlink"/>
                  <w:rFonts w:asciiTheme="minorHAnsi" w:hAnsiTheme="minorHAnsi" w:cstheme="majorBidi"/>
                  <w:i/>
                  <w:iCs w:val="0"/>
                  <w:color w:val="CE5B18"/>
                  <w:u w:val="none"/>
                </w:rPr>
                <w:t xml:space="preserve">C.F.R. </w:t>
              </w:r>
              <w:r w:rsidR="00531878" w:rsidRPr="00020D20">
                <w:rPr>
                  <w:rStyle w:val="Hyperlink"/>
                  <w:rFonts w:asciiTheme="minorHAnsi" w:hAnsiTheme="minorHAnsi" w:cstheme="majorBidi"/>
                  <w:i/>
                  <w:iCs w:val="0"/>
                  <w:color w:val="CE5B18"/>
                  <w:u w:val="none"/>
                </w:rPr>
                <w:t>Part 26</w:t>
              </w:r>
            </w:hyperlink>
          </w:p>
        </w:tc>
        <w:tc>
          <w:tcPr>
            <w:tcW w:w="7920" w:type="dxa"/>
            <w:tcBorders>
              <w:top w:val="single" w:sz="4" w:space="0" w:color="auto"/>
              <w:left w:val="single" w:sz="4" w:space="0" w:color="auto"/>
              <w:bottom w:val="single" w:sz="4" w:space="0" w:color="auto"/>
              <w:right w:val="single" w:sz="4" w:space="0" w:color="auto"/>
            </w:tcBorders>
            <w:shd w:val="solid" w:color="DBDCDE" w:fill="auto"/>
            <w:tcMar>
              <w:top w:w="80" w:type="dxa"/>
              <w:left w:w="80" w:type="dxa"/>
              <w:bottom w:w="80" w:type="dxa"/>
              <w:right w:w="80" w:type="dxa"/>
            </w:tcMar>
            <w:vAlign w:val="center"/>
          </w:tcPr>
          <w:p w14:paraId="4D39F459" w14:textId="46C38629" w:rsidR="00531878" w:rsidRPr="00020D20" w:rsidRDefault="00531878" w:rsidP="00020D20">
            <w:pPr>
              <w:spacing w:before="0" w:after="0" w:line="240" w:lineRule="auto"/>
              <w:jc w:val="both"/>
              <w:rPr>
                <w:sz w:val="16"/>
                <w:szCs w:val="16"/>
              </w:rPr>
            </w:pPr>
            <w:r w:rsidRPr="00020D20">
              <w:rPr>
                <w:sz w:val="16"/>
                <w:szCs w:val="16"/>
              </w:rPr>
              <w:t xml:space="preserve">Addresses the involvement of Disadvantaged Business Enterprises (DBEs) in </w:t>
            </w:r>
            <w:r w:rsidR="00C4588A" w:rsidRPr="00020D20">
              <w:rPr>
                <w:sz w:val="16"/>
                <w:szCs w:val="16"/>
              </w:rPr>
              <w:t>USD</w:t>
            </w:r>
            <w:r w:rsidRPr="00020D20">
              <w:rPr>
                <w:sz w:val="16"/>
                <w:szCs w:val="16"/>
              </w:rPr>
              <w:t>-funded projects.</w:t>
            </w:r>
          </w:p>
        </w:tc>
      </w:tr>
    </w:tbl>
    <w:p w14:paraId="4F1EE4DD" w14:textId="77777777" w:rsidR="001565FC" w:rsidRDefault="001565FC" w:rsidP="00020D20">
      <w:pPr>
        <w:pStyle w:val="Heading2"/>
        <w:rPr>
          <w:b w:val="0"/>
        </w:rPr>
        <w:sectPr w:rsidR="001565FC" w:rsidSect="00EC12BF">
          <w:type w:val="continuous"/>
          <w:pgSz w:w="12240" w:h="15840"/>
          <w:pgMar w:top="1440" w:right="1440" w:bottom="1440" w:left="1440" w:header="720" w:footer="720" w:gutter="0"/>
          <w:cols w:space="720"/>
          <w:docGrid w:linePitch="360"/>
        </w:sectPr>
      </w:pPr>
    </w:p>
    <w:p w14:paraId="7ABE70BC" w14:textId="554A924B" w:rsidR="000B701F" w:rsidRPr="000B701F" w:rsidRDefault="000B701F" w:rsidP="00020D20">
      <w:pPr>
        <w:pStyle w:val="Body-Bullets"/>
        <w:jc w:val="both"/>
      </w:pPr>
      <w:r w:rsidRPr="000B701F">
        <w:t>Executive Order 12898, Federal Actions to Address Environmental Justice in Minority Populations and Low-Income Populations, which ensures non-discrimination against minority and low-income populations by discouraging programs, policies, and activities with disproportionately high and adverse human health or environmental effects on minority and low-income populations;</w:t>
      </w:r>
    </w:p>
    <w:p w14:paraId="31A9B51A" w14:textId="0A9882C2" w:rsidR="000B701F" w:rsidRPr="000B701F" w:rsidRDefault="00961614" w:rsidP="00020D20">
      <w:pPr>
        <w:pStyle w:val="Body-Bullets"/>
        <w:jc w:val="both"/>
      </w:pPr>
      <w:r>
        <w:rPr>
          <w:rFonts w:cstheme="minorHAnsi"/>
          <w:noProof/>
        </w:rPr>
        <mc:AlternateContent>
          <mc:Choice Requires="wpg">
            <w:drawing>
              <wp:anchor distT="0" distB="0" distL="114300" distR="114300" simplePos="0" relativeHeight="251618624" behindDoc="0" locked="0" layoutInCell="1" allowOverlap="1" wp14:anchorId="1BF6D0B2" wp14:editId="64D780F3">
                <wp:simplePos x="0" y="0"/>
                <wp:positionH relativeFrom="column">
                  <wp:posOffset>3148330</wp:posOffset>
                </wp:positionH>
                <wp:positionV relativeFrom="paragraph">
                  <wp:posOffset>1043305</wp:posOffset>
                </wp:positionV>
                <wp:extent cx="2792730" cy="2504440"/>
                <wp:effectExtent l="76200" t="0" r="102870" b="86360"/>
                <wp:wrapSquare wrapText="bothSides"/>
                <wp:docPr id="1690911473" name="Group 1690911473"/>
                <wp:cNvGraphicFramePr/>
                <a:graphic xmlns:a="http://schemas.openxmlformats.org/drawingml/2006/main">
                  <a:graphicData uri="http://schemas.microsoft.com/office/word/2010/wordprocessingGroup">
                    <wpg:wgp>
                      <wpg:cNvGrpSpPr/>
                      <wpg:grpSpPr>
                        <a:xfrm>
                          <a:off x="0" y="0"/>
                          <a:ext cx="2792730" cy="2504440"/>
                          <a:chOff x="0" y="0"/>
                          <a:chExt cx="2793374" cy="2403779"/>
                        </a:xfrm>
                      </wpg:grpSpPr>
                      <wps:wsp>
                        <wps:cNvPr id="816286143" name="Text Box 816286143"/>
                        <wps:cNvSpPr txBox="1"/>
                        <wps:spPr>
                          <a:xfrm>
                            <a:off x="21407" y="252982"/>
                            <a:ext cx="2771967" cy="2150797"/>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720"/>
                                <w:gridCol w:w="3780"/>
                              </w:tblGrid>
                              <w:tr w:rsidR="00C6444C" w14:paraId="1B10E145" w14:textId="77777777" w:rsidTr="00E27FF7">
                                <w:trPr>
                                  <w:trHeight w:val="541"/>
                                </w:trPr>
                                <w:tc>
                                  <w:tcPr>
                                    <w:tcW w:w="720" w:type="dxa"/>
                                    <w:tcBorders>
                                      <w:bottom w:val="single" w:sz="4" w:space="0" w:color="auto"/>
                                    </w:tcBorders>
                                    <w:vAlign w:val="center"/>
                                  </w:tcPr>
                                  <w:p w14:paraId="5A92E45D" w14:textId="77777777" w:rsidR="00C6444C" w:rsidRPr="00484631" w:rsidRDefault="00C6444C">
                                    <w:pPr>
                                      <w:pStyle w:val="Calloutboxes"/>
                                      <w:rPr>
                                        <w:noProof/>
                                      </w:rPr>
                                    </w:pPr>
                                  </w:p>
                                </w:tc>
                                <w:tc>
                                  <w:tcPr>
                                    <w:tcW w:w="3780" w:type="dxa"/>
                                    <w:tcBorders>
                                      <w:bottom w:val="single" w:sz="4" w:space="0" w:color="auto"/>
                                    </w:tcBorders>
                                  </w:tcPr>
                                  <w:p w14:paraId="504FA8F0" w14:textId="77777777" w:rsidR="00C6444C" w:rsidRDefault="00C6444C" w:rsidP="00347D6E">
                                    <w:pPr>
                                      <w:pStyle w:val="Calloutboxes"/>
                                      <w:jc w:val="left"/>
                                    </w:pPr>
                                  </w:p>
                                </w:tc>
                              </w:tr>
                              <w:tr w:rsidR="00C6444C" w14:paraId="54907E2B" w14:textId="77777777" w:rsidTr="00020D20">
                                <w:trPr>
                                  <w:trHeight w:val="541"/>
                                </w:trPr>
                                <w:tc>
                                  <w:tcPr>
                                    <w:tcW w:w="720" w:type="dxa"/>
                                    <w:tcBorders>
                                      <w:bottom w:val="single" w:sz="4" w:space="0" w:color="auto"/>
                                    </w:tcBorders>
                                    <w:vAlign w:val="center"/>
                                  </w:tcPr>
                                  <w:p w14:paraId="4338B3EC" w14:textId="77777777" w:rsidR="00C6444C" w:rsidRDefault="00C6444C">
                                    <w:pPr>
                                      <w:pStyle w:val="Calloutboxes"/>
                                    </w:pPr>
                                    <w:r w:rsidRPr="00484631">
                                      <w:rPr>
                                        <w:noProof/>
                                      </w:rPr>
                                      <w:drawing>
                                        <wp:inline distT="0" distB="0" distL="0" distR="0" wp14:anchorId="2B674E9E" wp14:editId="353FE016">
                                          <wp:extent cx="91440" cy="91440"/>
                                          <wp:effectExtent l="0" t="0" r="3810" b="3810"/>
                                          <wp:docPr id="816286079" name="Picture 81628607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bottom w:val="single" w:sz="4" w:space="0" w:color="auto"/>
                                    </w:tcBorders>
                                  </w:tcPr>
                                  <w:p w14:paraId="715B3F18" w14:textId="4BB37A85" w:rsidR="00C6444C" w:rsidRPr="00347D6E" w:rsidRDefault="00C6444C" w:rsidP="00347D6E">
                                    <w:pPr>
                                      <w:pStyle w:val="Calloutboxes"/>
                                      <w:jc w:val="left"/>
                                    </w:pPr>
                                    <w:r>
                                      <w:t>Identify the presence of Environmental Justice populations.</w:t>
                                    </w:r>
                                  </w:p>
                                </w:tc>
                              </w:tr>
                              <w:tr w:rsidR="00C6444C" w14:paraId="628BD72E" w14:textId="77777777" w:rsidTr="00020D20">
                                <w:trPr>
                                  <w:trHeight w:val="531"/>
                                </w:trPr>
                                <w:tc>
                                  <w:tcPr>
                                    <w:tcW w:w="720" w:type="dxa"/>
                                    <w:tcBorders>
                                      <w:top w:val="single" w:sz="4" w:space="0" w:color="auto"/>
                                      <w:bottom w:val="single" w:sz="4" w:space="0" w:color="auto"/>
                                    </w:tcBorders>
                                    <w:vAlign w:val="center"/>
                                  </w:tcPr>
                                  <w:p w14:paraId="46451A9A" w14:textId="5ED128E9" w:rsidR="00C6444C" w:rsidRDefault="00C6444C">
                                    <w:pPr>
                                      <w:pStyle w:val="Calloutboxes"/>
                                    </w:pPr>
                                    <w:r w:rsidRPr="00484631">
                                      <w:rPr>
                                        <w:noProof/>
                                      </w:rPr>
                                      <w:drawing>
                                        <wp:inline distT="0" distB="0" distL="0" distR="0" wp14:anchorId="3ACAA75B" wp14:editId="7DA5DB0B">
                                          <wp:extent cx="88900" cy="88900"/>
                                          <wp:effectExtent l="0" t="0" r="6350" b="6350"/>
                                          <wp:docPr id="1690911562" name="Picture 169091156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641A5DC2" w14:textId="41FC76EF" w:rsidR="00C6444C" w:rsidRPr="00347D6E" w:rsidRDefault="00C6444C" w:rsidP="00347D6E">
                                    <w:pPr>
                                      <w:pStyle w:val="Calloutboxes"/>
                                      <w:jc w:val="left"/>
                                    </w:pPr>
                                    <w:r>
                                      <w:t>Evaluate policy and project options considering the complex mix of the metropolitan area.</w:t>
                                    </w:r>
                                  </w:p>
                                </w:tc>
                              </w:tr>
                              <w:tr w:rsidR="00C6444C" w14:paraId="790FA9D4" w14:textId="77777777" w:rsidTr="00020D20">
                                <w:trPr>
                                  <w:trHeight w:val="711"/>
                                </w:trPr>
                                <w:tc>
                                  <w:tcPr>
                                    <w:tcW w:w="720" w:type="dxa"/>
                                    <w:tcBorders>
                                      <w:top w:val="single" w:sz="4" w:space="0" w:color="auto"/>
                                      <w:bottom w:val="single" w:sz="4" w:space="0" w:color="auto"/>
                                    </w:tcBorders>
                                    <w:vAlign w:val="center"/>
                                  </w:tcPr>
                                  <w:p w14:paraId="29CAFBA5" w14:textId="77777777" w:rsidR="00C6444C" w:rsidRDefault="00C6444C">
                                    <w:pPr>
                                      <w:pStyle w:val="Calloutboxes"/>
                                    </w:pPr>
                                    <w:r w:rsidRPr="00484631">
                                      <w:rPr>
                                        <w:noProof/>
                                      </w:rPr>
                                      <w:drawing>
                                        <wp:inline distT="0" distB="0" distL="0" distR="0" wp14:anchorId="6E8479EA" wp14:editId="6B46029C">
                                          <wp:extent cx="91440" cy="91440"/>
                                          <wp:effectExtent l="0" t="0" r="3810" b="3810"/>
                                          <wp:docPr id="1690911563" name="Picture 169091156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6B24AD0D" w14:textId="2CD34695" w:rsidR="00C6444C" w:rsidRPr="00347D6E" w:rsidRDefault="00C6444C" w:rsidP="00347D6E">
                                    <w:pPr>
                                      <w:pStyle w:val="Calloutboxes"/>
                                      <w:jc w:val="left"/>
                                    </w:pPr>
                                    <w:r>
                                      <w:t>Determine benefits to and potential negative impacts on Environmental Justice populations relative to proposed investments or actions.</w:t>
                                    </w:r>
                                  </w:p>
                                </w:tc>
                              </w:tr>
                              <w:tr w:rsidR="00C6444C" w14:paraId="5E84B2D7" w14:textId="77777777" w:rsidTr="00020D20">
                                <w:trPr>
                                  <w:trHeight w:val="531"/>
                                </w:trPr>
                                <w:tc>
                                  <w:tcPr>
                                    <w:tcW w:w="720" w:type="dxa"/>
                                    <w:tcBorders>
                                      <w:top w:val="single" w:sz="4" w:space="0" w:color="auto"/>
                                      <w:bottom w:val="single" w:sz="4" w:space="0" w:color="auto"/>
                                    </w:tcBorders>
                                    <w:vAlign w:val="center"/>
                                  </w:tcPr>
                                  <w:p w14:paraId="68F32F9C" w14:textId="77777777" w:rsidR="00C6444C" w:rsidRDefault="00C6444C">
                                    <w:pPr>
                                      <w:pStyle w:val="Calloutboxes"/>
                                    </w:pPr>
                                    <w:r w:rsidRPr="00484631">
                                      <w:rPr>
                                        <w:noProof/>
                                      </w:rPr>
                                      <w:drawing>
                                        <wp:inline distT="0" distB="0" distL="0" distR="0" wp14:anchorId="77DF1D92" wp14:editId="457E5077">
                                          <wp:extent cx="91440" cy="91440"/>
                                          <wp:effectExtent l="0" t="0" r="3810" b="3810"/>
                                          <wp:docPr id="1690911564" name="Picture 169091156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54766EC7" w14:textId="3207AB91" w:rsidR="00C6444C" w:rsidRPr="00347D6E" w:rsidRDefault="00C6444C" w:rsidP="00347D6E">
                                    <w:pPr>
                                      <w:pStyle w:val="Calloutboxes"/>
                                      <w:jc w:val="left"/>
                                    </w:pPr>
                                    <w:r>
                                      <w:t>Quantitatively and qualitatively define potential effects.</w:t>
                                    </w:r>
                                  </w:p>
                                </w:tc>
                              </w:tr>
                              <w:tr w:rsidR="00C6444C" w14:paraId="66EED37B" w14:textId="77777777" w:rsidTr="00020D20">
                                <w:trPr>
                                  <w:trHeight w:val="423"/>
                                </w:trPr>
                                <w:tc>
                                  <w:tcPr>
                                    <w:tcW w:w="720" w:type="dxa"/>
                                    <w:tcBorders>
                                      <w:top w:val="single" w:sz="4" w:space="0" w:color="auto"/>
                                    </w:tcBorders>
                                    <w:vAlign w:val="center"/>
                                  </w:tcPr>
                                  <w:p w14:paraId="23CDC730" w14:textId="77777777" w:rsidR="00C6444C" w:rsidRDefault="00C6444C">
                                    <w:pPr>
                                      <w:pStyle w:val="Calloutboxes"/>
                                    </w:pPr>
                                    <w:r w:rsidRPr="00484631">
                                      <w:rPr>
                                        <w:noProof/>
                                      </w:rPr>
                                      <w:drawing>
                                        <wp:inline distT="0" distB="0" distL="0" distR="0" wp14:anchorId="19E1CAC3" wp14:editId="062C530A">
                                          <wp:extent cx="91440" cy="91440"/>
                                          <wp:effectExtent l="0" t="0" r="3810" b="3810"/>
                                          <wp:docPr id="1690911567" name="Picture 169091156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tcBorders>
                                  </w:tcPr>
                                  <w:p w14:paraId="285F3130" w14:textId="29FB523E" w:rsidR="00C6444C" w:rsidRPr="00347D6E" w:rsidRDefault="00C6444C" w:rsidP="00347D6E">
                                    <w:pPr>
                                      <w:pStyle w:val="Calloutboxes"/>
                                      <w:jc w:val="left"/>
                                    </w:pPr>
                                    <w:r>
                                      <w:t>Identify an appropriate course of action, whether avoidance, minimization, or mitigation.</w:t>
                                    </w:r>
                                  </w:p>
                                </w:tc>
                              </w:tr>
                            </w:tbl>
                            <w:p w14:paraId="7333F5BD"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144" name="Group 816286144"/>
                        <wpg:cNvGrpSpPr/>
                        <wpg:grpSpPr>
                          <a:xfrm>
                            <a:off x="0" y="0"/>
                            <a:ext cx="2783840" cy="723900"/>
                            <a:chOff x="0" y="0"/>
                            <a:chExt cx="2784285" cy="684316"/>
                          </a:xfrm>
                        </wpg:grpSpPr>
                        <wps:wsp>
                          <wps:cNvPr id="816286145" name="Rectangle 816286145"/>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146" name="Text Box 816286146"/>
                          <wps:cNvSpPr txBox="1"/>
                          <wps:spPr>
                            <a:xfrm>
                              <a:off x="0" y="0"/>
                              <a:ext cx="684316" cy="684316"/>
                            </a:xfrm>
                            <a:prstGeom prst="rect">
                              <a:avLst/>
                            </a:prstGeom>
                            <a:noFill/>
                            <a:ln w="6350">
                              <a:noFill/>
                            </a:ln>
                            <a:effectLst/>
                          </wps:spPr>
                          <wps:txbx>
                            <w:txbxContent>
                              <w:p w14:paraId="6D7A62F3" w14:textId="77777777" w:rsidR="00C6444C" w:rsidRDefault="00C6444C" w:rsidP="00475434">
                                <w:r>
                                  <w:rPr>
                                    <w:noProof/>
                                  </w:rPr>
                                  <w:drawing>
                                    <wp:inline distT="0" distB="0" distL="0" distR="0" wp14:anchorId="0B32E696" wp14:editId="3AC4C7F5">
                                      <wp:extent cx="457200" cy="457200"/>
                                      <wp:effectExtent l="0" t="0" r="0" b="0"/>
                                      <wp:docPr id="1690911568" name="Picture 169091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6286147" name="Text Box 816286147"/>
                          <wps:cNvSpPr txBox="1"/>
                          <wps:spPr>
                            <a:xfrm>
                              <a:off x="581891" y="29688"/>
                              <a:ext cx="2198131" cy="570016"/>
                            </a:xfrm>
                            <a:prstGeom prst="rect">
                              <a:avLst/>
                            </a:prstGeom>
                            <a:noFill/>
                            <a:ln w="6350">
                              <a:noFill/>
                            </a:ln>
                            <a:effectLst/>
                          </wps:spPr>
                          <wps:txbx>
                            <w:txbxContent>
                              <w:p w14:paraId="2A37D613" w14:textId="298EDC3B" w:rsidR="00C6444C" w:rsidRPr="00020D20" w:rsidRDefault="00C6444C">
                                <w:pPr>
                                  <w:rPr>
                                    <w:color w:val="FFFFFF" w:themeColor="background1"/>
                                  </w:rPr>
                                </w:pPr>
                                <w:r w:rsidRPr="00020D20">
                                  <w:rPr>
                                    <w:color w:val="FFFFFF" w:themeColor="background1"/>
                                  </w:rPr>
                                  <w:t>ENVIRONMENTAL JUSTICE EARLY</w:t>
                                </w:r>
                                <w:r w:rsidRPr="004D26AE">
                                  <w:rPr>
                                    <w:color w:val="FFFFFF" w:themeColor="background1"/>
                                  </w:rPr>
                                  <w:t xml:space="preserve"> </w:t>
                                </w:r>
                                <w:r w:rsidRPr="00020D20">
                                  <w:rPr>
                                    <w:color w:val="FFFFFF" w:themeColor="background1"/>
                                  </w:rPr>
                                  <w:t>IDENTIFICATION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F6D0B2" id="Group 1690911473" o:spid="_x0000_s1187" style="position:absolute;left:0;text-align:left;margin-left:247.9pt;margin-top:82.15pt;width:219.9pt;height:197.2pt;z-index:251618624;mso-width-relative:margin;mso-height-relative:margin" coordsize="27933,2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">
                <v:shape id="Text Box 816286143" o:spid="_x0000_s1188" type="#_x0000_t202" style="position:absolute;left:214;top:2529;width:27719;height:2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720"/>
                          <w:gridCol w:w="3780"/>
                        </w:tblGrid>
                        <w:tr w:rsidR="00C6444C" w14:paraId="1B10E145" w14:textId="77777777" w:rsidTr="00E27FF7">
                          <w:trPr>
                            <w:trHeight w:val="541"/>
                          </w:trPr>
                          <w:tc>
                            <w:tcPr>
                              <w:tcW w:w="720" w:type="dxa"/>
                              <w:tcBorders>
                                <w:bottom w:val="single" w:sz="4" w:space="0" w:color="auto"/>
                              </w:tcBorders>
                              <w:vAlign w:val="center"/>
                            </w:tcPr>
                            <w:p w14:paraId="5A92E45D" w14:textId="77777777" w:rsidR="00C6444C" w:rsidRPr="00484631" w:rsidRDefault="00C6444C">
                              <w:pPr>
                                <w:pStyle w:val="Calloutboxes"/>
                                <w:rPr>
                                  <w:noProof/>
                                </w:rPr>
                              </w:pPr>
                            </w:p>
                          </w:tc>
                          <w:tc>
                            <w:tcPr>
                              <w:tcW w:w="3780" w:type="dxa"/>
                              <w:tcBorders>
                                <w:bottom w:val="single" w:sz="4" w:space="0" w:color="auto"/>
                              </w:tcBorders>
                            </w:tcPr>
                            <w:p w14:paraId="504FA8F0" w14:textId="77777777" w:rsidR="00C6444C" w:rsidRDefault="00C6444C" w:rsidP="00347D6E">
                              <w:pPr>
                                <w:pStyle w:val="Calloutboxes"/>
                                <w:jc w:val="left"/>
                              </w:pPr>
                            </w:p>
                          </w:tc>
                        </w:tr>
                        <w:tr w:rsidR="00C6444C" w14:paraId="54907E2B" w14:textId="77777777" w:rsidTr="00020D20">
                          <w:trPr>
                            <w:trHeight w:val="541"/>
                          </w:trPr>
                          <w:tc>
                            <w:tcPr>
                              <w:tcW w:w="720" w:type="dxa"/>
                              <w:tcBorders>
                                <w:bottom w:val="single" w:sz="4" w:space="0" w:color="auto"/>
                              </w:tcBorders>
                              <w:vAlign w:val="center"/>
                            </w:tcPr>
                            <w:p w14:paraId="4338B3EC" w14:textId="77777777" w:rsidR="00C6444C" w:rsidRDefault="00C6444C">
                              <w:pPr>
                                <w:pStyle w:val="Calloutboxes"/>
                              </w:pPr>
                              <w:r w:rsidRPr="00484631">
                                <w:rPr>
                                  <w:noProof/>
                                </w:rPr>
                                <w:drawing>
                                  <wp:inline distT="0" distB="0" distL="0" distR="0" wp14:anchorId="2B674E9E" wp14:editId="353FE016">
                                    <wp:extent cx="91440" cy="91440"/>
                                    <wp:effectExtent l="0" t="0" r="3810" b="3810"/>
                                    <wp:docPr id="816286079" name="Picture 81628607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bottom w:val="single" w:sz="4" w:space="0" w:color="auto"/>
                              </w:tcBorders>
                            </w:tcPr>
                            <w:p w14:paraId="715B3F18" w14:textId="4BB37A85" w:rsidR="00C6444C" w:rsidRPr="00347D6E" w:rsidRDefault="00C6444C" w:rsidP="00347D6E">
                              <w:pPr>
                                <w:pStyle w:val="Calloutboxes"/>
                                <w:jc w:val="left"/>
                              </w:pPr>
                              <w:r>
                                <w:t>Identify the presence of Environmental Justice populations.</w:t>
                              </w:r>
                            </w:p>
                          </w:tc>
                        </w:tr>
                        <w:tr w:rsidR="00C6444C" w14:paraId="628BD72E" w14:textId="77777777" w:rsidTr="00020D20">
                          <w:trPr>
                            <w:trHeight w:val="531"/>
                          </w:trPr>
                          <w:tc>
                            <w:tcPr>
                              <w:tcW w:w="720" w:type="dxa"/>
                              <w:tcBorders>
                                <w:top w:val="single" w:sz="4" w:space="0" w:color="auto"/>
                                <w:bottom w:val="single" w:sz="4" w:space="0" w:color="auto"/>
                              </w:tcBorders>
                              <w:vAlign w:val="center"/>
                            </w:tcPr>
                            <w:p w14:paraId="46451A9A" w14:textId="5ED128E9" w:rsidR="00C6444C" w:rsidRDefault="00C6444C">
                              <w:pPr>
                                <w:pStyle w:val="Calloutboxes"/>
                              </w:pPr>
                              <w:r w:rsidRPr="00484631">
                                <w:rPr>
                                  <w:noProof/>
                                </w:rPr>
                                <w:drawing>
                                  <wp:inline distT="0" distB="0" distL="0" distR="0" wp14:anchorId="3ACAA75B" wp14:editId="7DA5DB0B">
                                    <wp:extent cx="88900" cy="88900"/>
                                    <wp:effectExtent l="0" t="0" r="6350" b="6350"/>
                                    <wp:docPr id="1690911562" name="Picture 169091156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641A5DC2" w14:textId="41FC76EF" w:rsidR="00C6444C" w:rsidRPr="00347D6E" w:rsidRDefault="00C6444C" w:rsidP="00347D6E">
                              <w:pPr>
                                <w:pStyle w:val="Calloutboxes"/>
                                <w:jc w:val="left"/>
                              </w:pPr>
                              <w:r>
                                <w:t>Evaluate policy and project options considering the complex mix of the metropolitan area.</w:t>
                              </w:r>
                            </w:p>
                          </w:tc>
                        </w:tr>
                        <w:tr w:rsidR="00C6444C" w14:paraId="790FA9D4" w14:textId="77777777" w:rsidTr="00020D20">
                          <w:trPr>
                            <w:trHeight w:val="711"/>
                          </w:trPr>
                          <w:tc>
                            <w:tcPr>
                              <w:tcW w:w="720" w:type="dxa"/>
                              <w:tcBorders>
                                <w:top w:val="single" w:sz="4" w:space="0" w:color="auto"/>
                                <w:bottom w:val="single" w:sz="4" w:space="0" w:color="auto"/>
                              </w:tcBorders>
                              <w:vAlign w:val="center"/>
                            </w:tcPr>
                            <w:p w14:paraId="29CAFBA5" w14:textId="77777777" w:rsidR="00C6444C" w:rsidRDefault="00C6444C">
                              <w:pPr>
                                <w:pStyle w:val="Calloutboxes"/>
                              </w:pPr>
                              <w:r w:rsidRPr="00484631">
                                <w:rPr>
                                  <w:noProof/>
                                </w:rPr>
                                <w:drawing>
                                  <wp:inline distT="0" distB="0" distL="0" distR="0" wp14:anchorId="6E8479EA" wp14:editId="6B46029C">
                                    <wp:extent cx="91440" cy="91440"/>
                                    <wp:effectExtent l="0" t="0" r="3810" b="3810"/>
                                    <wp:docPr id="1690911563" name="Picture 169091156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6B24AD0D" w14:textId="2CD34695" w:rsidR="00C6444C" w:rsidRPr="00347D6E" w:rsidRDefault="00C6444C" w:rsidP="00347D6E">
                              <w:pPr>
                                <w:pStyle w:val="Calloutboxes"/>
                                <w:jc w:val="left"/>
                              </w:pPr>
                              <w:r>
                                <w:t>Determine benefits to and potential negative impacts on Environmental Justice populations relative to proposed investments or actions.</w:t>
                              </w:r>
                            </w:p>
                          </w:tc>
                        </w:tr>
                        <w:tr w:rsidR="00C6444C" w14:paraId="5E84B2D7" w14:textId="77777777" w:rsidTr="00020D20">
                          <w:trPr>
                            <w:trHeight w:val="531"/>
                          </w:trPr>
                          <w:tc>
                            <w:tcPr>
                              <w:tcW w:w="720" w:type="dxa"/>
                              <w:tcBorders>
                                <w:top w:val="single" w:sz="4" w:space="0" w:color="auto"/>
                                <w:bottom w:val="single" w:sz="4" w:space="0" w:color="auto"/>
                              </w:tcBorders>
                              <w:vAlign w:val="center"/>
                            </w:tcPr>
                            <w:p w14:paraId="68F32F9C" w14:textId="77777777" w:rsidR="00C6444C" w:rsidRDefault="00C6444C">
                              <w:pPr>
                                <w:pStyle w:val="Calloutboxes"/>
                              </w:pPr>
                              <w:r w:rsidRPr="00484631">
                                <w:rPr>
                                  <w:noProof/>
                                </w:rPr>
                                <w:drawing>
                                  <wp:inline distT="0" distB="0" distL="0" distR="0" wp14:anchorId="77DF1D92" wp14:editId="457E5077">
                                    <wp:extent cx="91440" cy="91440"/>
                                    <wp:effectExtent l="0" t="0" r="3810" b="3810"/>
                                    <wp:docPr id="1690911564" name="Picture 169091156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54766EC7" w14:textId="3207AB91" w:rsidR="00C6444C" w:rsidRPr="00347D6E" w:rsidRDefault="00C6444C" w:rsidP="00347D6E">
                              <w:pPr>
                                <w:pStyle w:val="Calloutboxes"/>
                                <w:jc w:val="left"/>
                              </w:pPr>
                              <w:r>
                                <w:t>Quantitatively and qualitatively define potential effects.</w:t>
                              </w:r>
                            </w:p>
                          </w:tc>
                        </w:tr>
                        <w:tr w:rsidR="00C6444C" w14:paraId="66EED37B" w14:textId="77777777" w:rsidTr="00020D20">
                          <w:trPr>
                            <w:trHeight w:val="423"/>
                          </w:trPr>
                          <w:tc>
                            <w:tcPr>
                              <w:tcW w:w="720" w:type="dxa"/>
                              <w:tcBorders>
                                <w:top w:val="single" w:sz="4" w:space="0" w:color="auto"/>
                              </w:tcBorders>
                              <w:vAlign w:val="center"/>
                            </w:tcPr>
                            <w:p w14:paraId="23CDC730" w14:textId="77777777" w:rsidR="00C6444C" w:rsidRDefault="00C6444C">
                              <w:pPr>
                                <w:pStyle w:val="Calloutboxes"/>
                              </w:pPr>
                              <w:r w:rsidRPr="00484631">
                                <w:rPr>
                                  <w:noProof/>
                                </w:rPr>
                                <w:drawing>
                                  <wp:inline distT="0" distB="0" distL="0" distR="0" wp14:anchorId="19E1CAC3" wp14:editId="062C530A">
                                    <wp:extent cx="91440" cy="91440"/>
                                    <wp:effectExtent l="0" t="0" r="3810" b="3810"/>
                                    <wp:docPr id="1690911567" name="Picture 169091156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tcBorders>
                            </w:tcPr>
                            <w:p w14:paraId="285F3130" w14:textId="29FB523E" w:rsidR="00C6444C" w:rsidRPr="00347D6E" w:rsidRDefault="00C6444C" w:rsidP="00347D6E">
                              <w:pPr>
                                <w:pStyle w:val="Calloutboxes"/>
                                <w:jc w:val="left"/>
                              </w:pPr>
                              <w:r>
                                <w:t>Identify an appropriate course of action, whether avoidance, minimization, or mitigation.</w:t>
                              </w:r>
                            </w:p>
                          </w:tc>
                        </w:tr>
                      </w:tbl>
                      <w:p w14:paraId="7333F5BD" w14:textId="77777777" w:rsidR="00C6444C" w:rsidRPr="00347D6E" w:rsidRDefault="00C6444C" w:rsidP="00020D20"/>
                    </w:txbxContent>
                  </v:textbox>
                </v:shape>
                <v:group id="Group 816286144" o:spid="_x0000_s1189" style="position:absolute;width:27838;height:7239" coordsize="27842,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">
                  <v:rect id="Rectangle 816286145" o:spid="_x0000_s1190"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" fillcolor="#012768" strokecolor="#1f4d78 [1604]" strokeweight="1pt"/>
                  <v:shape id="Text Box 816286146" o:spid="_x0000_s1191" type="#_x0000_t202" style="position:absolute;width:6843;height:6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" filled="f" stroked="f" strokeweight=".5pt">
                    <v:textbox>
                      <w:txbxContent>
                        <w:p w14:paraId="6D7A62F3" w14:textId="77777777" w:rsidR="00C6444C" w:rsidRDefault="00C6444C" w:rsidP="00475434">
                          <w:r>
                            <w:rPr>
                              <w:noProof/>
                            </w:rPr>
                            <w:drawing>
                              <wp:inline distT="0" distB="0" distL="0" distR="0" wp14:anchorId="0B32E696" wp14:editId="3AC4C7F5">
                                <wp:extent cx="457200" cy="457200"/>
                                <wp:effectExtent l="0" t="0" r="0" b="0"/>
                                <wp:docPr id="1690911568" name="Picture 169091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xbxContent>
                    </v:textbox>
                  </v:shape>
                  <v:shape id="Text Box 816286147" o:spid="_x0000_s1192" type="#_x0000_t202" style="position:absolute;left:5818;top:296;width:2198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" filled="f" stroked="f" strokeweight=".5pt">
                    <v:textbox>
                      <w:txbxContent>
                        <w:p w14:paraId="2A37D613" w14:textId="298EDC3B" w:rsidR="00C6444C" w:rsidRPr="00020D20" w:rsidRDefault="00C6444C">
                          <w:pPr>
                            <w:rPr>
                              <w:color w:val="FFFFFF" w:themeColor="background1"/>
                            </w:rPr>
                          </w:pPr>
                          <w:r w:rsidRPr="00020D20">
                            <w:rPr>
                              <w:color w:val="FFFFFF" w:themeColor="background1"/>
                            </w:rPr>
                            <w:t>ENVIRONMENTAL JUSTICE EARLY</w:t>
                          </w:r>
                          <w:r w:rsidRPr="004D26AE">
                            <w:rPr>
                              <w:color w:val="FFFFFF" w:themeColor="background1"/>
                            </w:rPr>
                            <w:t xml:space="preserve"> </w:t>
                          </w:r>
                          <w:r w:rsidRPr="00020D20">
                            <w:rPr>
                              <w:color w:val="FFFFFF" w:themeColor="background1"/>
                            </w:rPr>
                            <w:t>IDENTIFICATION PROCEDURES</w:t>
                          </w:r>
                        </w:p>
                      </w:txbxContent>
                    </v:textbox>
                  </v:shape>
                </v:group>
                <w10:wrap type="square"/>
              </v:group>
            </w:pict>
          </mc:Fallback>
        </mc:AlternateContent>
      </w:r>
      <w:r w:rsidR="000B701F" w:rsidRPr="000B701F">
        <w:t>Executive Order 13161, Improving Access to Services for Persons with Limited English Proficiency, and resulting agency guidance, national origin discrimination includes discrimination because of limited English proficiency (LEP).</w:t>
      </w:r>
    </w:p>
    <w:p w14:paraId="51A4D969" w14:textId="1DA2DE27" w:rsidR="000B701F" w:rsidRPr="000B701F" w:rsidRDefault="000B701F" w:rsidP="00020D20">
      <w:pPr>
        <w:pStyle w:val="Heading2"/>
      </w:pPr>
      <w:bookmarkStart w:id="453" w:name="_Ref50034542"/>
      <w:r w:rsidRPr="000B701F">
        <w:t>12.3 | SCOPE</w:t>
      </w:r>
      <w:bookmarkEnd w:id="453"/>
    </w:p>
    <w:p w14:paraId="21244454" w14:textId="55FEA4B7" w:rsidR="0082411B" w:rsidRDefault="00784202" w:rsidP="00020D20">
      <w:pPr>
        <w:jc w:val="both"/>
        <w:rPr>
          <w:rFonts w:cstheme="minorHAnsi"/>
          <w:b/>
        </w:rPr>
      </w:pPr>
      <w:r>
        <w:rPr>
          <w:rFonts w:cstheme="minorHAnsi"/>
          <w:noProof/>
        </w:rPr>
        <mc:AlternateContent>
          <mc:Choice Requires="wpg">
            <w:drawing>
              <wp:anchor distT="0" distB="0" distL="114300" distR="114300" simplePos="0" relativeHeight="251618623" behindDoc="0" locked="0" layoutInCell="1" allowOverlap="1" wp14:anchorId="748F31BB" wp14:editId="3A7AE5FC">
                <wp:simplePos x="0" y="0"/>
                <wp:positionH relativeFrom="column">
                  <wp:posOffset>-47625</wp:posOffset>
                </wp:positionH>
                <wp:positionV relativeFrom="paragraph">
                  <wp:posOffset>1466215</wp:posOffset>
                </wp:positionV>
                <wp:extent cx="2771775" cy="390525"/>
                <wp:effectExtent l="0" t="0" r="28575" b="28575"/>
                <wp:wrapSquare wrapText="bothSides"/>
                <wp:docPr id="816286116" name="Group 816286116"/>
                <wp:cNvGraphicFramePr/>
                <a:graphic xmlns:a="http://schemas.openxmlformats.org/drawingml/2006/main">
                  <a:graphicData uri="http://schemas.microsoft.com/office/word/2010/wordprocessingGroup">
                    <wpg:wgp>
                      <wpg:cNvGrpSpPr/>
                      <wpg:grpSpPr>
                        <a:xfrm>
                          <a:off x="0" y="0"/>
                          <a:ext cx="2771775" cy="390525"/>
                          <a:chOff x="11875" y="-11644"/>
                          <a:chExt cx="2772410" cy="611348"/>
                        </a:xfrm>
                      </wpg:grpSpPr>
                      <wps:wsp>
                        <wps:cNvPr id="816286117" name="Rectangle 816286117"/>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118" name="Text Box 816286118"/>
                        <wps:cNvSpPr txBox="1"/>
                        <wps:spPr>
                          <a:xfrm>
                            <a:off x="69776" y="-11644"/>
                            <a:ext cx="2714509" cy="610731"/>
                          </a:xfrm>
                          <a:prstGeom prst="rect">
                            <a:avLst/>
                          </a:prstGeom>
                          <a:noFill/>
                          <a:ln w="6350">
                            <a:noFill/>
                          </a:ln>
                          <a:effectLst/>
                        </wps:spPr>
                        <wps:txbx>
                          <w:txbxContent>
                            <w:p w14:paraId="4A1B1AEF" w14:textId="66DB435A" w:rsidR="00C6444C" w:rsidRPr="00020D20" w:rsidRDefault="00C6444C" w:rsidP="00020D20">
                              <w:pPr>
                                <w:jc w:val="center"/>
                                <w:rPr>
                                  <w:color w:val="FFFFFF" w:themeColor="background1"/>
                                </w:rPr>
                              </w:pPr>
                              <w:r w:rsidRPr="00020D20">
                                <w:rPr>
                                  <w:color w:val="FFFFFF" w:themeColor="background1"/>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48F31BB" id="Group 816286116" o:spid="_x0000_s1193" style="position:absolute;left:0;text-align:left;margin-left:-3.75pt;margin-top:115.45pt;width:218.25pt;height:30.75pt;z-index:251618623;mso-height-relative:margin" coordorigin="118,-116" coordsize="27724,6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">
                <v:rect id="Rectangle 816286117" o:spid="_x0000_s1194"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" fillcolor="#012768" strokecolor="#1f4d78 [1604]" strokeweight="1pt"/>
                <v:shape id="Text Box 816286118" o:spid="_x0000_s1195" type="#_x0000_t202" style="position:absolute;left:697;top:-116;width:27145;height:6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" filled="f" stroked="f" strokeweight=".5pt">
                  <v:textbox>
                    <w:txbxContent>
                      <w:p w14:paraId="4A1B1AEF" w14:textId="66DB435A" w:rsidR="00C6444C" w:rsidRPr="00020D20" w:rsidRDefault="00C6444C" w:rsidP="00020D20">
                        <w:pPr>
                          <w:jc w:val="center"/>
                          <w:rPr>
                            <w:color w:val="FFFFFF" w:themeColor="background1"/>
                          </w:rPr>
                        </w:pPr>
                        <w:r w:rsidRPr="00020D20">
                          <w:rPr>
                            <w:color w:val="FFFFFF" w:themeColor="background1"/>
                          </w:rPr>
                          <w:t>DID YOU KNOW</w:t>
                        </w:r>
                      </w:p>
                    </w:txbxContent>
                  </v:textbox>
                </v:shape>
                <w10:wrap type="square"/>
              </v:group>
            </w:pict>
          </mc:Fallback>
        </mc:AlternateContent>
      </w:r>
      <w:r>
        <w:rPr>
          <w:rFonts w:cstheme="minorHAnsi"/>
          <w:noProof/>
        </w:rPr>
        <mc:AlternateContent>
          <mc:Choice Requires="wps">
            <w:drawing>
              <wp:anchor distT="0" distB="0" distL="114300" distR="114300" simplePos="0" relativeHeight="251618515" behindDoc="0" locked="0" layoutInCell="1" allowOverlap="1" wp14:anchorId="3FC27B2E" wp14:editId="17D5CA1E">
                <wp:simplePos x="0" y="0"/>
                <wp:positionH relativeFrom="column">
                  <wp:posOffset>-47625</wp:posOffset>
                </wp:positionH>
                <wp:positionV relativeFrom="paragraph">
                  <wp:posOffset>1493520</wp:posOffset>
                </wp:positionV>
                <wp:extent cx="2771775" cy="847725"/>
                <wp:effectExtent l="95250" t="76200" r="104775" b="85725"/>
                <wp:wrapSquare wrapText="bothSides"/>
                <wp:docPr id="816286115" name="Text Box 816286115"/>
                <wp:cNvGraphicFramePr/>
                <a:graphic xmlns:a="http://schemas.openxmlformats.org/drawingml/2006/main">
                  <a:graphicData uri="http://schemas.microsoft.com/office/word/2010/wordprocessingShape">
                    <wps:wsp>
                      <wps:cNvSpPr txBox="1"/>
                      <wps:spPr>
                        <a:xfrm>
                          <a:off x="0" y="0"/>
                          <a:ext cx="2771775" cy="847725"/>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410" w:type="dxa"/>
                              <w:tblInd w:w="-180" w:type="dxa"/>
                              <w:tblLook w:val="04A0" w:firstRow="1" w:lastRow="0" w:firstColumn="1" w:lastColumn="0" w:noHBand="0" w:noVBand="1"/>
                            </w:tblPr>
                            <w:tblGrid>
                              <w:gridCol w:w="1260"/>
                              <w:gridCol w:w="3150"/>
                            </w:tblGrid>
                            <w:tr w:rsidR="00C6444C" w14:paraId="79054613" w14:textId="77777777" w:rsidTr="00020D20">
                              <w:trPr>
                                <w:trHeight w:val="540"/>
                              </w:trPr>
                              <w:tc>
                                <w:tcPr>
                                  <w:tcW w:w="1260" w:type="dxa"/>
                                  <w:shd w:val="clear" w:color="auto" w:fill="auto"/>
                                </w:tcPr>
                                <w:p w14:paraId="46E13EAF" w14:textId="77777777" w:rsidR="00C6444C" w:rsidRPr="00020D20" w:rsidRDefault="00C6444C">
                                  <w:pPr>
                                    <w:pStyle w:val="Calloutboxes"/>
                                    <w:rPr>
                                      <w:color w:val="012768"/>
                                    </w:rPr>
                                  </w:pPr>
                                </w:p>
                              </w:tc>
                              <w:tc>
                                <w:tcPr>
                                  <w:tcW w:w="3150" w:type="dxa"/>
                                  <w:shd w:val="clear" w:color="auto" w:fill="auto"/>
                                </w:tcPr>
                                <w:p w14:paraId="4A2E9B36" w14:textId="77777777" w:rsidR="00C6444C" w:rsidRPr="00020D20" w:rsidRDefault="00C6444C" w:rsidP="00D30138">
                                  <w:pPr>
                                    <w:pStyle w:val="Calloutboxes"/>
                                    <w:jc w:val="left"/>
                                    <w:rPr>
                                      <w:color w:val="FFFFFF" w:themeColor="background1"/>
                                      <w:sz w:val="24"/>
                                      <w:szCs w:val="24"/>
                                    </w:rPr>
                                  </w:pPr>
                                </w:p>
                              </w:tc>
                            </w:tr>
                            <w:tr w:rsidR="00C6444C" w14:paraId="617044F6" w14:textId="77777777" w:rsidTr="00020D20">
                              <w:trPr>
                                <w:trHeight w:val="360"/>
                              </w:trPr>
                              <w:tc>
                                <w:tcPr>
                                  <w:tcW w:w="4410" w:type="dxa"/>
                                  <w:gridSpan w:val="2"/>
                                </w:tcPr>
                                <w:p w14:paraId="6A768F9C" w14:textId="2758907A" w:rsidR="00C6444C" w:rsidRPr="00347D6E" w:rsidRDefault="00C6444C" w:rsidP="00BC73D5">
                                  <w:pPr>
                                    <w:pStyle w:val="Calloutboxes"/>
                                  </w:pPr>
                                  <w:r>
                                    <w:t xml:space="preserve">ADOT and all local public agencies that use funding through Federal and ADOT funding resources must comply with all federal Title VI and Environmental Justice </w:t>
                                  </w:r>
                                  <w:r w:rsidRPr="00BC73D5">
                                    <w:t>requirements</w:t>
                                  </w:r>
                                  <w:r>
                                    <w:t>.</w:t>
                                  </w:r>
                                </w:p>
                              </w:tc>
                            </w:tr>
                          </w:tbl>
                          <w:p w14:paraId="23A9F4A5"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27B2E" id="Text Box 816286115" o:spid="_x0000_s1196" type="#_x0000_t202" style="position:absolute;left:0;text-align:left;margin-left:-3.75pt;margin-top:117.6pt;width:218.25pt;height:66.75pt;z-index:25161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" fillcolor="#f7f7f7" stroked="f" strokeweight=".5pt">
                <v:shadow on="t" type="perspective" color="#012768" opacity="26214f" offset="0,0" matrix="66847f,,,66847f"/>
                <v:textbox>
                  <w:txbxContent>
                    <w:tbl>
                      <w:tblPr>
                        <w:tblW w:w="4410" w:type="dxa"/>
                        <w:tblInd w:w="-180" w:type="dxa"/>
                        <w:tblLook w:val="04A0" w:firstRow="1" w:lastRow="0" w:firstColumn="1" w:lastColumn="0" w:noHBand="0" w:noVBand="1"/>
                      </w:tblPr>
                      <w:tblGrid>
                        <w:gridCol w:w="1260"/>
                        <w:gridCol w:w="3150"/>
                      </w:tblGrid>
                      <w:tr w:rsidR="00C6444C" w14:paraId="79054613" w14:textId="77777777" w:rsidTr="00020D20">
                        <w:trPr>
                          <w:trHeight w:val="540"/>
                        </w:trPr>
                        <w:tc>
                          <w:tcPr>
                            <w:tcW w:w="1260" w:type="dxa"/>
                            <w:shd w:val="clear" w:color="auto" w:fill="auto"/>
                          </w:tcPr>
                          <w:p w14:paraId="46E13EAF" w14:textId="77777777" w:rsidR="00C6444C" w:rsidRPr="00020D20" w:rsidRDefault="00C6444C">
                            <w:pPr>
                              <w:pStyle w:val="Calloutboxes"/>
                              <w:rPr>
                                <w:color w:val="012768"/>
                              </w:rPr>
                            </w:pPr>
                          </w:p>
                        </w:tc>
                        <w:tc>
                          <w:tcPr>
                            <w:tcW w:w="3150" w:type="dxa"/>
                            <w:shd w:val="clear" w:color="auto" w:fill="auto"/>
                          </w:tcPr>
                          <w:p w14:paraId="4A2E9B36" w14:textId="77777777" w:rsidR="00C6444C" w:rsidRPr="00020D20" w:rsidRDefault="00C6444C" w:rsidP="00D30138">
                            <w:pPr>
                              <w:pStyle w:val="Calloutboxes"/>
                              <w:jc w:val="left"/>
                              <w:rPr>
                                <w:color w:val="FFFFFF" w:themeColor="background1"/>
                                <w:sz w:val="24"/>
                                <w:szCs w:val="24"/>
                              </w:rPr>
                            </w:pPr>
                          </w:p>
                        </w:tc>
                      </w:tr>
                      <w:tr w:rsidR="00C6444C" w14:paraId="617044F6" w14:textId="77777777" w:rsidTr="00020D20">
                        <w:trPr>
                          <w:trHeight w:val="360"/>
                        </w:trPr>
                        <w:tc>
                          <w:tcPr>
                            <w:tcW w:w="4410" w:type="dxa"/>
                            <w:gridSpan w:val="2"/>
                          </w:tcPr>
                          <w:p w14:paraId="6A768F9C" w14:textId="2758907A" w:rsidR="00C6444C" w:rsidRPr="00347D6E" w:rsidRDefault="00C6444C" w:rsidP="00BC73D5">
                            <w:pPr>
                              <w:pStyle w:val="Calloutboxes"/>
                            </w:pPr>
                            <w:r>
                              <w:t xml:space="preserve">ADOT and all local public agencies that use funding through Federal and ADOT funding resources must comply with all federal Title VI and Environmental Justice </w:t>
                            </w:r>
                            <w:r w:rsidRPr="00BC73D5">
                              <w:t>requirements</w:t>
                            </w:r>
                            <w:r>
                              <w:t>.</w:t>
                            </w:r>
                          </w:p>
                        </w:tc>
                      </w:tr>
                    </w:tbl>
                    <w:p w14:paraId="23A9F4A5" w14:textId="77777777" w:rsidR="00C6444C" w:rsidRPr="00347D6E" w:rsidRDefault="00C6444C" w:rsidP="00020D20"/>
                  </w:txbxContent>
                </v:textbox>
                <w10:wrap type="square"/>
              </v:shape>
            </w:pict>
          </mc:Fallback>
        </mc:AlternateContent>
      </w:r>
      <w:r w:rsidR="000B701F" w:rsidRPr="000B701F">
        <w:rPr>
          <w:rFonts w:cstheme="minorHAnsi"/>
        </w:rPr>
        <w:t xml:space="preserve">This chapter provides guidance for reviewing </w:t>
      </w:r>
      <w:r w:rsidR="00FC0F84">
        <w:rPr>
          <w:rFonts w:cstheme="minorHAnsi"/>
        </w:rPr>
        <w:t xml:space="preserve">the </w:t>
      </w:r>
      <w:r w:rsidR="000B701F" w:rsidRPr="000B701F">
        <w:rPr>
          <w:rFonts w:cstheme="minorHAnsi"/>
        </w:rPr>
        <w:t xml:space="preserve">metropolitan planning process compliance with Title VI of the Civil Rights Act of 1964 (as amended) and related statutes; NEPA; </w:t>
      </w:r>
      <w:hyperlink r:id="rId787" w:history="1">
        <w:r w:rsidR="000B701F" w:rsidRPr="00020D20">
          <w:rPr>
            <w:rStyle w:val="TitleChar"/>
          </w:rPr>
          <w:t>23 U.S.C. § 109(h)</w:t>
        </w:r>
      </w:hyperlink>
      <w:r w:rsidR="000B701F" w:rsidRPr="000B701F">
        <w:rPr>
          <w:rFonts w:cstheme="minorHAnsi"/>
        </w:rPr>
        <w:t xml:space="preserve">; </w:t>
      </w:r>
      <w:hyperlink r:id="rId788" w:history="1">
        <w:r w:rsidR="000B701F" w:rsidRPr="00020D20">
          <w:rPr>
            <w:rStyle w:val="TitleChar"/>
          </w:rPr>
          <w:t xml:space="preserve">49 </w:t>
        </w:r>
        <w:r w:rsidR="009628C0">
          <w:rPr>
            <w:rStyle w:val="TitleChar"/>
          </w:rPr>
          <w:t xml:space="preserve">C.F.R. </w:t>
        </w:r>
        <w:r w:rsidR="000B701F" w:rsidRPr="00020D20">
          <w:rPr>
            <w:rStyle w:val="TitleChar"/>
          </w:rPr>
          <w:t>Part 26</w:t>
        </w:r>
      </w:hyperlink>
      <w:r w:rsidR="000B701F" w:rsidRPr="000B701F">
        <w:rPr>
          <w:rFonts w:cstheme="minorHAnsi"/>
        </w:rPr>
        <w:t>; other federal environmental laws; and directives of the USDOT</w:t>
      </w:r>
      <w:r w:rsidR="00FC0F84">
        <w:rPr>
          <w:rFonts w:cstheme="minorHAnsi"/>
        </w:rPr>
        <w:t xml:space="preserve"> and all federal modes including</w:t>
      </w:r>
      <w:r w:rsidR="000B701F" w:rsidRPr="000B701F">
        <w:rPr>
          <w:rFonts w:cstheme="minorHAnsi"/>
        </w:rPr>
        <w:t>, FHWA and FTA.</w:t>
      </w:r>
    </w:p>
    <w:p w14:paraId="6AA63C93" w14:textId="1D04F3B4" w:rsidR="000B701F" w:rsidRPr="000B701F" w:rsidRDefault="000B701F" w:rsidP="00020D20">
      <w:pPr>
        <w:jc w:val="both"/>
        <w:rPr>
          <w:rFonts w:cstheme="minorHAnsi"/>
        </w:rPr>
      </w:pPr>
      <w:r w:rsidRPr="000B701F">
        <w:rPr>
          <w:rFonts w:cstheme="minorHAnsi"/>
        </w:rPr>
        <w:t xml:space="preserve">Title VI/Nondiscrimination and its subprogram, Environmental Justice, have been determined to be an essential part of the planning process conducted by MPOs and COGs. Environmental Justice must be considered in all phases of transportation planning, including the development and implementation of RTPs, TIPs, WPs, and UPWPs. As the primary forum for addressing a metropolitan area’s transportation needs and plans for improvement, MPOs and COGs facilitate the integration of needs and plans with Environmental Justice concerns. A truly integrated and effective planning process ensures active consideration and promotion of Environmental Justice within plans, projects, and groups of projects. Ultimately, successful plans and policy decisions rely on comprehensive public involvement efforts, engaging ADOT, transit providers (as may be applicable), local agencies, stakeholders, </w:t>
      </w:r>
      <w:r w:rsidR="00923EDE">
        <w:rPr>
          <w:rFonts w:cstheme="minorHAnsi"/>
        </w:rPr>
        <w:t>the public</w:t>
      </w:r>
      <w:r w:rsidRPr="000B701F">
        <w:rPr>
          <w:rFonts w:cstheme="minorHAnsi"/>
        </w:rPr>
        <w:t>, and</w:t>
      </w:r>
      <w:r w:rsidR="00923EDE">
        <w:rPr>
          <w:rFonts w:cstheme="minorHAnsi"/>
        </w:rPr>
        <w:t xml:space="preserve"> targeted engagement of</w:t>
      </w:r>
      <w:r w:rsidRPr="000B701F">
        <w:rPr>
          <w:rFonts w:cstheme="minorHAnsi"/>
        </w:rPr>
        <w:t xml:space="preserve"> Environmental Justice populations in the 3-C planning process.</w:t>
      </w:r>
    </w:p>
    <w:p w14:paraId="066ECE37" w14:textId="6205F810" w:rsidR="000B701F" w:rsidRDefault="000B701F" w:rsidP="00020D20">
      <w:pPr>
        <w:jc w:val="both"/>
        <w:rPr>
          <w:rFonts w:cstheme="minorHAnsi"/>
        </w:rPr>
      </w:pPr>
      <w:r w:rsidRPr="000B701F">
        <w:rPr>
          <w:rFonts w:cstheme="minorHAnsi"/>
        </w:rPr>
        <w:t>Advance planning relating to Environmental Justice, allows MPO and COG officials and staff to focus on relevant issues early in the plan</w:t>
      </w:r>
      <w:r w:rsidR="00923EDE">
        <w:rPr>
          <w:rFonts w:cstheme="minorHAnsi"/>
        </w:rPr>
        <w:t>ning</w:t>
      </w:r>
      <w:r w:rsidRPr="000B701F">
        <w:rPr>
          <w:rFonts w:cstheme="minorHAnsi"/>
        </w:rPr>
        <w:t xml:space="preserve"> development process and use data and other information related to</w:t>
      </w:r>
      <w:r w:rsidR="00923EDE">
        <w:rPr>
          <w:rFonts w:cstheme="minorHAnsi"/>
        </w:rPr>
        <w:t xml:space="preserve"> the</w:t>
      </w:r>
      <w:r w:rsidRPr="000B701F">
        <w:rPr>
          <w:rFonts w:cstheme="minorHAnsi"/>
        </w:rPr>
        <w:t xml:space="preserve"> early</w:t>
      </w:r>
      <w:r w:rsidR="00923EDE">
        <w:rPr>
          <w:rFonts w:cstheme="minorHAnsi"/>
        </w:rPr>
        <w:t xml:space="preserve"> identification of</w:t>
      </w:r>
      <w:r w:rsidRPr="000B701F">
        <w:rPr>
          <w:rFonts w:cstheme="minorHAnsi"/>
        </w:rPr>
        <w:t xml:space="preserve"> Environmental Justice p</w:t>
      </w:r>
      <w:r w:rsidR="00923EDE">
        <w:rPr>
          <w:rFonts w:cstheme="minorHAnsi"/>
        </w:rPr>
        <w:t>opulations and engagement</w:t>
      </w:r>
      <w:r w:rsidRPr="000B701F">
        <w:rPr>
          <w:rFonts w:cstheme="minorHAnsi"/>
        </w:rPr>
        <w:t>.</w:t>
      </w:r>
    </w:p>
    <w:p w14:paraId="22DE3D5E" w14:textId="0857CABC" w:rsidR="000B2B72" w:rsidRPr="007853DD" w:rsidRDefault="00961614" w:rsidP="00020D20">
      <w:pPr>
        <w:jc w:val="both"/>
      </w:pPr>
      <w:r>
        <w:rPr>
          <w:rFonts w:cstheme="minorHAnsi"/>
          <w:noProof/>
        </w:rPr>
        <mc:AlternateContent>
          <mc:Choice Requires="wps">
            <w:drawing>
              <wp:anchor distT="0" distB="0" distL="114300" distR="114300" simplePos="0" relativeHeight="251618349" behindDoc="1" locked="0" layoutInCell="1" allowOverlap="1" wp14:anchorId="4EFD61C2" wp14:editId="7FB7A501">
                <wp:simplePos x="0" y="0"/>
                <wp:positionH relativeFrom="column">
                  <wp:posOffset>1374775</wp:posOffset>
                </wp:positionH>
                <wp:positionV relativeFrom="paragraph">
                  <wp:posOffset>3801745</wp:posOffset>
                </wp:positionV>
                <wp:extent cx="1258570" cy="1597025"/>
                <wp:effectExtent l="76200" t="95250" r="74930" b="98425"/>
                <wp:wrapTight wrapText="bothSides">
                  <wp:wrapPolygon edited="0">
                    <wp:start x="-1308" y="-1288"/>
                    <wp:lineTo x="-1308" y="22674"/>
                    <wp:lineTo x="22559" y="22674"/>
                    <wp:lineTo x="22559" y="-1288"/>
                    <wp:lineTo x="-1308" y="-1288"/>
                  </wp:wrapPolygon>
                </wp:wrapTight>
                <wp:docPr id="816286044" name="Text Box 816286044"/>
                <wp:cNvGraphicFramePr/>
                <a:graphic xmlns:a="http://schemas.openxmlformats.org/drawingml/2006/main">
                  <a:graphicData uri="http://schemas.microsoft.com/office/word/2010/wordprocessingShape">
                    <wps:wsp>
                      <wps:cNvSpPr txBox="1"/>
                      <wps:spPr>
                        <a:xfrm>
                          <a:off x="0" y="0"/>
                          <a:ext cx="1258570" cy="15970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4B0856C" w14:textId="77777777" w:rsidR="00C6444C" w:rsidRDefault="00C6444C" w:rsidP="00020D20">
                            <w:pPr>
                              <w:jc w:val="center"/>
                            </w:pPr>
                            <w:r>
                              <w:rPr>
                                <w:noProof/>
                              </w:rPr>
                              <w:drawing>
                                <wp:inline distT="0" distB="0" distL="0" distR="0" wp14:anchorId="3E59FCE7" wp14:editId="483B7627">
                                  <wp:extent cx="457200" cy="457200"/>
                                  <wp:effectExtent l="0" t="0" r="0" b="0"/>
                                  <wp:docPr id="1690911569" name="Picture 169091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2FB6875" w14:textId="7D1F3651" w:rsidR="00C6444C" w:rsidRPr="0052715B" w:rsidRDefault="00C6444C" w:rsidP="00020D20">
                            <w:pPr>
                              <w:pStyle w:val="Calloutboxes"/>
                            </w:pPr>
                            <w:r w:rsidRPr="00394A74">
                              <w:t xml:space="preserve">Almost every project that involves ADOT </w:t>
                            </w:r>
                            <w:r w:rsidRPr="00954116">
                              <w:t>uses federal funds. As an ambassador of taxpayer funds, all projects must comply with</w:t>
                            </w:r>
                          </w:p>
                          <w:p w14:paraId="6EBE042D" w14:textId="355A92C6" w:rsidR="00C6444C" w:rsidRPr="007C5C3C" w:rsidRDefault="00202C92">
                            <w:pPr>
                              <w:pStyle w:val="Title"/>
                            </w:pPr>
                            <w:hyperlink r:id="rId789" w:history="1">
                              <w:r w:rsidR="00C6444C" w:rsidRPr="000D0BB3">
                                <w:rPr>
                                  <w:rStyle w:val="Hyperlink"/>
                                  <w:rFonts w:asciiTheme="minorHAnsi" w:hAnsiTheme="minorHAnsi" w:cstheme="majorBidi"/>
                                  <w:i/>
                                  <w:iCs w:val="0"/>
                                  <w:color w:val="CE5B18"/>
                                  <w:u w:val="none"/>
                                </w:rPr>
                                <w:t>https://www.epa.gov/ocr</w:t>
                              </w:r>
                            </w:hyperlink>
                          </w:p>
                          <w:p w14:paraId="66AAB7CC" w14:textId="4FDAC720" w:rsidR="00C6444C" w:rsidRPr="00267D04" w:rsidRDefault="00C6444C">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FD61C2" id="Text Box 816286044" o:spid="_x0000_s1197" type="#_x0000_t202" style="position:absolute;left:0;text-align:left;margin-left:108.25pt;margin-top:299.35pt;width:99.1pt;height:125.75pt;z-index:-251698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" fillcolor="#f7f7f7" stroked="f" strokeweight=".5pt">
                <v:shadow on="t" type="perspective" color="black" opacity="26214f" offset="0,0" matrix="66847f,,,66847f"/>
                <v:textbox>
                  <w:txbxContent>
                    <w:p w14:paraId="64B0856C" w14:textId="77777777" w:rsidR="00C6444C" w:rsidRDefault="00C6444C" w:rsidP="00020D20">
                      <w:pPr>
                        <w:jc w:val="center"/>
                      </w:pPr>
                      <w:r>
                        <w:rPr>
                          <w:noProof/>
                        </w:rPr>
                        <w:drawing>
                          <wp:inline distT="0" distB="0" distL="0" distR="0" wp14:anchorId="3E59FCE7" wp14:editId="483B7627">
                            <wp:extent cx="457200" cy="457200"/>
                            <wp:effectExtent l="0" t="0" r="0" b="0"/>
                            <wp:docPr id="1690911569" name="Picture 169091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2FB6875" w14:textId="7D1F3651" w:rsidR="00C6444C" w:rsidRPr="0052715B" w:rsidRDefault="00C6444C" w:rsidP="00020D20">
                      <w:pPr>
                        <w:pStyle w:val="Calloutboxes"/>
                      </w:pPr>
                      <w:r w:rsidRPr="00394A74">
                        <w:t xml:space="preserve">Almost every project that involves ADOT </w:t>
                      </w:r>
                      <w:r w:rsidRPr="00954116">
                        <w:t>uses federal funds. As an ambassador of taxpayer funds, all projects must comply with</w:t>
                      </w:r>
                    </w:p>
                    <w:p w14:paraId="6EBE042D" w14:textId="355A92C6" w:rsidR="00C6444C" w:rsidRPr="007C5C3C" w:rsidRDefault="00C6444C">
                      <w:pPr>
                        <w:pStyle w:val="Title"/>
                      </w:pPr>
                      <w:hyperlink r:id="rId790" w:history="1">
                        <w:r w:rsidRPr="000D0BB3">
                          <w:rPr>
                            <w:rStyle w:val="Hyperlink"/>
                            <w:rFonts w:asciiTheme="minorHAnsi" w:hAnsiTheme="minorHAnsi" w:cstheme="majorBidi"/>
                            <w:i/>
                            <w:iCs w:val="0"/>
                            <w:color w:val="CE5B18"/>
                            <w:u w:val="none"/>
                          </w:rPr>
                          <w:t>https://www.epa.gov/ocr</w:t>
                        </w:r>
                      </w:hyperlink>
                    </w:p>
                    <w:p w14:paraId="66AAB7CC" w14:textId="4FDAC720" w:rsidR="00C6444C" w:rsidRPr="00267D04" w:rsidRDefault="00C6444C">
                      <w:pPr>
                        <w:pStyle w:val="Title"/>
                      </w:pPr>
                    </w:p>
                  </w:txbxContent>
                </v:textbox>
                <w10:wrap type="tight"/>
              </v:shape>
            </w:pict>
          </mc:Fallback>
        </mc:AlternateContent>
      </w:r>
      <w:r w:rsidR="000B701F" w:rsidRPr="000B701F">
        <w:rPr>
          <w:rFonts w:cstheme="minorHAnsi"/>
        </w:rPr>
        <w:t xml:space="preserve">USDOT planning </w:t>
      </w:r>
      <w:r w:rsidR="000B701F" w:rsidRPr="007853DD">
        <w:t>regulations (</w:t>
      </w:r>
      <w:hyperlink r:id="rId791" w:history="1">
        <w:r w:rsidR="000B701F" w:rsidRPr="00020D20">
          <w:rPr>
            <w:rStyle w:val="TitleChar"/>
          </w:rPr>
          <w:t xml:space="preserve">23 </w:t>
        </w:r>
        <w:r w:rsidR="009628C0">
          <w:rPr>
            <w:rStyle w:val="TitleChar"/>
          </w:rPr>
          <w:t xml:space="preserve">C.F.R. </w:t>
        </w:r>
        <w:r w:rsidR="000B701F" w:rsidRPr="00020D20">
          <w:rPr>
            <w:rStyle w:val="TitleChar"/>
          </w:rPr>
          <w:t>§§ 450.210</w:t>
        </w:r>
      </w:hyperlink>
      <w:r w:rsidR="000B701F" w:rsidRPr="007853DD">
        <w:t xml:space="preserve"> and </w:t>
      </w:r>
      <w:hyperlink r:id="rId792" w:history="1">
        <w:r w:rsidR="000B701F" w:rsidRPr="00020D20">
          <w:rPr>
            <w:rStyle w:val="TitleChar"/>
          </w:rPr>
          <w:t>450.316</w:t>
        </w:r>
      </w:hyperlink>
      <w:r w:rsidR="000B701F" w:rsidRPr="007853DD">
        <w:t>) require MPOs and states to</w:t>
      </w:r>
      <w:r w:rsidR="000B701F" w:rsidRPr="000B701F">
        <w:rPr>
          <w:rFonts w:cstheme="minorHAnsi"/>
        </w:rPr>
        <w:t xml:space="preserve"> seek and consider “the needs of those traditionally underserved by existing transportation systems, such as low-income and minority households, who may face challenges accessing employment and other services.” In addition, Title </w:t>
      </w:r>
      <w:hyperlink r:id="rId793" w:history="1">
        <w:r w:rsidR="000B701F" w:rsidRPr="0075399C">
          <w:rPr>
            <w:rStyle w:val="TitleChar"/>
          </w:rPr>
          <w:t xml:space="preserve">23 </w:t>
        </w:r>
        <w:r w:rsidR="009628C0">
          <w:rPr>
            <w:rStyle w:val="TitleChar"/>
          </w:rPr>
          <w:t xml:space="preserve">C.F.R. </w:t>
        </w:r>
        <w:r w:rsidR="000B701F" w:rsidRPr="0075399C">
          <w:rPr>
            <w:rStyle w:val="TitleChar"/>
          </w:rPr>
          <w:t>§ 450.334</w:t>
        </w:r>
      </w:hyperlink>
      <w:r w:rsidR="000B701F" w:rsidRPr="000B701F">
        <w:rPr>
          <w:rFonts w:cstheme="minorHAnsi"/>
        </w:rPr>
        <w:t xml:space="preserve"> specifies that “the State and MPO shall certify at least every four years that the metropolitan transportation planning process is being carried out in </w:t>
      </w:r>
      <w:r w:rsidR="000B701F" w:rsidRPr="007853DD">
        <w:t xml:space="preserve">accordance with all applicable requirements.” Title </w:t>
      </w:r>
      <w:hyperlink r:id="rId794" w:history="1">
        <w:r w:rsidR="000B701F" w:rsidRPr="00020D20">
          <w:rPr>
            <w:rStyle w:val="TitleChar"/>
          </w:rPr>
          <w:t xml:space="preserve">23 </w:t>
        </w:r>
        <w:r w:rsidR="009628C0">
          <w:rPr>
            <w:rStyle w:val="TitleChar"/>
          </w:rPr>
          <w:t xml:space="preserve">C.F.R. </w:t>
        </w:r>
        <w:r w:rsidR="000B701F" w:rsidRPr="00020D20">
          <w:rPr>
            <w:rStyle w:val="TitleChar"/>
          </w:rPr>
          <w:t>§ 450.334(a)(3)</w:t>
        </w:r>
      </w:hyperlink>
      <w:r w:rsidR="000B701F" w:rsidRPr="007853DD">
        <w:t xml:space="preserve"> requires the FHWA and FTA to certify that the “planning process … is being conducted in accordance with all applicable requirements of … Title VI of the Civil Rights Act of 1964 and the Title VI assurance executed by each State under </w:t>
      </w:r>
      <w:hyperlink r:id="rId795" w:history="1">
        <w:r w:rsidR="000B701F" w:rsidRPr="007853DD">
          <w:t>23 U.S.C 324</w:t>
        </w:r>
      </w:hyperlink>
      <w:r w:rsidR="000B701F" w:rsidRPr="007853DD">
        <w:t xml:space="preserve"> and </w:t>
      </w:r>
      <w:hyperlink r:id="rId796" w:history="1">
        <w:r w:rsidR="000B701F" w:rsidRPr="007853DD">
          <w:t>29 U.S.C. 794</w:t>
        </w:r>
      </w:hyperlink>
      <w:r w:rsidR="000B701F" w:rsidRPr="000B701F">
        <w:rPr>
          <w:rFonts w:cstheme="minorHAnsi"/>
        </w:rPr>
        <w:t>.” This certification of compliance must be submitted concurrently with the MPO’s entire proposed TIP to the FHWA and FTA, as part of the STIP approval process.</w:t>
      </w:r>
    </w:p>
    <w:p w14:paraId="2B3D0F9C" w14:textId="41A524C2" w:rsidR="000B701F" w:rsidRPr="000B701F" w:rsidRDefault="000B701F" w:rsidP="00020D20">
      <w:pPr>
        <w:jc w:val="both"/>
        <w:rPr>
          <w:rFonts w:cstheme="minorHAnsi"/>
        </w:rPr>
      </w:pPr>
      <w:r w:rsidRPr="000B701F">
        <w:rPr>
          <w:rFonts w:cstheme="minorHAnsi"/>
        </w:rPr>
        <w:t xml:space="preserve">It is important that these matters be addressed early </w:t>
      </w:r>
      <w:r w:rsidR="00923EDE">
        <w:rPr>
          <w:rFonts w:cstheme="minorHAnsi"/>
        </w:rPr>
        <w:t xml:space="preserve">and continuously </w:t>
      </w:r>
      <w:r w:rsidRPr="000B701F">
        <w:rPr>
          <w:rFonts w:cstheme="minorHAnsi"/>
        </w:rPr>
        <w:t>in the planning stage, as conflicts with Environmental Justice principles may arise during project development or later, when mitigation may be more difficult and project implementation delayed.</w:t>
      </w:r>
    </w:p>
    <w:p w14:paraId="608CA5A4" w14:textId="77777777" w:rsidR="000B701F" w:rsidRPr="000B701F" w:rsidRDefault="000B701F" w:rsidP="00020D20">
      <w:pPr>
        <w:pStyle w:val="Heading2"/>
      </w:pPr>
      <w:bookmarkStart w:id="454" w:name="_Ref50034549"/>
      <w:r w:rsidRPr="000B701F">
        <w:t>12.4 | COMPLIANCE WITH TITLE VI OF THE CIVIL RIGHTS ACT OF 1964 &amp; ENVIRONMENTAL JUSTICE</w:t>
      </w:r>
      <w:bookmarkEnd w:id="454"/>
    </w:p>
    <w:p w14:paraId="0EBB79D8" w14:textId="72C4115A" w:rsidR="000B701F" w:rsidRPr="000B701F" w:rsidRDefault="000B701F" w:rsidP="00020D20">
      <w:pPr>
        <w:jc w:val="both"/>
        <w:rPr>
          <w:rFonts w:cstheme="minorHAnsi"/>
        </w:rPr>
      </w:pPr>
      <w:r w:rsidRPr="000B701F">
        <w:rPr>
          <w:rFonts w:cstheme="minorHAnsi"/>
        </w:rPr>
        <w:t xml:space="preserve">Compliance with Title VI and Environmental Justice provisions of federal law is accomplished within the framework of the MPO program. The certification process is a check to ensure that compliance is </w:t>
      </w:r>
      <w:r w:rsidR="000F19C9" w:rsidRPr="000B701F">
        <w:rPr>
          <w:rFonts w:cstheme="minorHAnsi"/>
        </w:rPr>
        <w:t>occurring</w:t>
      </w:r>
      <w:r w:rsidRPr="000B701F">
        <w:rPr>
          <w:rFonts w:cstheme="minorHAnsi"/>
        </w:rPr>
        <w:t>. There are two forms of MPO certification: self-certification and federal certification. COGs do not self-certify for work through federal certification; however, as an extension of ADOT, COGs are required to comply with all Title VI and Environmental Justice provisions.</w:t>
      </w:r>
    </w:p>
    <w:p w14:paraId="493E1136" w14:textId="77777777" w:rsidR="000B701F" w:rsidRPr="000B701F" w:rsidRDefault="000B701F" w:rsidP="00020D20">
      <w:pPr>
        <w:pStyle w:val="Heading3"/>
        <w:jc w:val="both"/>
      </w:pPr>
      <w:bookmarkStart w:id="455" w:name="_Ref50034553"/>
      <w:r w:rsidRPr="000B701F">
        <w:t>12.4.1 | Self-Certification</w:t>
      </w:r>
      <w:bookmarkEnd w:id="455"/>
    </w:p>
    <w:p w14:paraId="6D2711DE" w14:textId="2B0948F8" w:rsidR="000B701F" w:rsidRPr="000B701F" w:rsidRDefault="000B701F" w:rsidP="00020D20">
      <w:pPr>
        <w:jc w:val="both"/>
        <w:rPr>
          <w:rFonts w:cstheme="minorHAnsi"/>
        </w:rPr>
      </w:pPr>
      <w:r w:rsidRPr="000B701F">
        <w:rPr>
          <w:rFonts w:cstheme="minorHAnsi"/>
        </w:rPr>
        <w:t xml:space="preserve">Self-certification is a process by which ADOT and MPOs with </w:t>
      </w:r>
      <w:r w:rsidR="005D22AE">
        <w:rPr>
          <w:rFonts w:cstheme="minorHAnsi"/>
        </w:rPr>
        <w:t>UZAs</w:t>
      </w:r>
      <w:r w:rsidR="005D22AE" w:rsidRPr="000B701F">
        <w:rPr>
          <w:rFonts w:cstheme="minorHAnsi"/>
        </w:rPr>
        <w:t xml:space="preserve"> </w:t>
      </w:r>
      <w:r w:rsidRPr="000B701F">
        <w:rPr>
          <w:rFonts w:cstheme="minorHAnsi"/>
        </w:rPr>
        <w:t xml:space="preserve">having a population of less than 200,000 </w:t>
      </w:r>
      <w:r w:rsidRPr="007853DD">
        <w:t xml:space="preserve">residents verify and document their compliance with the requirements of </w:t>
      </w:r>
      <w:hyperlink r:id="rId797" w:history="1">
        <w:r w:rsidRPr="00020D20">
          <w:rPr>
            <w:rStyle w:val="TitleChar"/>
          </w:rPr>
          <w:t>23 U.S.C. § 134</w:t>
        </w:r>
      </w:hyperlink>
      <w:r w:rsidRPr="007853DD">
        <w:t xml:space="preserve">, </w:t>
      </w:r>
      <w:hyperlink r:id="rId798" w:history="1">
        <w:r w:rsidRPr="00020D20">
          <w:rPr>
            <w:rStyle w:val="TitleChar"/>
          </w:rPr>
          <w:t>49 U.S.C. § 5303</w:t>
        </w:r>
      </w:hyperlink>
      <w:r w:rsidRPr="007853DD">
        <w:t>, and other</w:t>
      </w:r>
      <w:r w:rsidRPr="000B701F">
        <w:rPr>
          <w:rFonts w:cstheme="minorHAnsi"/>
        </w:rPr>
        <w:t xml:space="preserve"> applicable statutes and regulations. The ADOT and MPO jointly certify and submit to FHWA and FTA (as may be applicable) that the planning process fully addresses major transportation issues facing the area. Certification is required at least every three years as part of the approval process of the STIP. To certify compliance with Title VI and adequately address Environmental Justice, MPOs need to:</w:t>
      </w:r>
    </w:p>
    <w:p w14:paraId="0EE555E8" w14:textId="77777777" w:rsidR="000B701F" w:rsidRPr="000B701F" w:rsidRDefault="000B701F" w:rsidP="00020D20">
      <w:pPr>
        <w:pStyle w:val="Body-Bullets"/>
        <w:jc w:val="both"/>
      </w:pPr>
      <w:r w:rsidRPr="000B701F">
        <w:t>establish analytical capabilities to ensure that the LRTP and the TIP comply with Title VI and related federal nondiscrimination requirements;</w:t>
      </w:r>
    </w:p>
    <w:p w14:paraId="0F1D5A42" w14:textId="77777777" w:rsidR="000B701F" w:rsidRPr="000B701F" w:rsidRDefault="000B701F" w:rsidP="00020D20">
      <w:pPr>
        <w:pStyle w:val="Body-Bullets"/>
        <w:jc w:val="both"/>
      </w:pPr>
      <w:r w:rsidRPr="000B701F">
        <w:t>identify residential, employment, and transportation patterns of Environmental Justice populations in such a manner to permit identifying and addressing whether the benefits and burdens of transportation investments area fairly distributed and demonstrating the extent to which members of Environmental Justice populations are beneficiaries of programs and projects and not disproportionately impacted; and</w:t>
      </w:r>
    </w:p>
    <w:p w14:paraId="741C598F" w14:textId="77777777" w:rsidR="000B701F" w:rsidRPr="000B701F" w:rsidRDefault="000B701F" w:rsidP="00020D20">
      <w:pPr>
        <w:pStyle w:val="Body-Bullets"/>
        <w:jc w:val="both"/>
      </w:pPr>
      <w:r w:rsidRPr="000B701F">
        <w:t xml:space="preserve">evaluate and improve where necessary their public involvement process to eliminate participation barriers and engage Environmental Justice populations in the transportation decision-making activities within the MPA. </w:t>
      </w:r>
    </w:p>
    <w:p w14:paraId="7EA4BD01" w14:textId="40CA14D7" w:rsidR="000B701F" w:rsidRPr="000B701F" w:rsidRDefault="000B701F" w:rsidP="00020D20">
      <w:pPr>
        <w:jc w:val="both"/>
        <w:rPr>
          <w:rFonts w:cstheme="minorHAnsi"/>
        </w:rPr>
      </w:pPr>
      <w:r w:rsidRPr="000B701F">
        <w:rPr>
          <w:rFonts w:cstheme="minorHAnsi"/>
        </w:rPr>
        <w:t xml:space="preserve">In </w:t>
      </w:r>
      <w:r w:rsidRPr="007853DD">
        <w:t xml:space="preserve">addition, </w:t>
      </w:r>
      <w:hyperlink r:id="rId799" w:history="1">
        <w:r w:rsidRPr="00020D20">
          <w:rPr>
            <w:rStyle w:val="TitleChar"/>
          </w:rPr>
          <w:t xml:space="preserve">23 </w:t>
        </w:r>
        <w:r w:rsidR="009628C0">
          <w:rPr>
            <w:rStyle w:val="TitleChar"/>
          </w:rPr>
          <w:t xml:space="preserve">C.F.R. </w:t>
        </w:r>
        <w:r w:rsidRPr="00020D20">
          <w:rPr>
            <w:rStyle w:val="TitleChar"/>
          </w:rPr>
          <w:t>§ 200.9</w:t>
        </w:r>
      </w:hyperlink>
      <w:r w:rsidRPr="007853DD">
        <w:t xml:space="preserve"> requires assurances that state program officials</w:t>
      </w:r>
      <w:r w:rsidRPr="000B701F">
        <w:rPr>
          <w:rFonts w:cstheme="minorHAnsi"/>
        </w:rPr>
        <w:t xml:space="preserve"> and Title VI specialists conduct annual reviews </w:t>
      </w:r>
      <w:r w:rsidR="00923EDE">
        <w:rPr>
          <w:rFonts w:cstheme="minorHAnsi"/>
        </w:rPr>
        <w:t>to</w:t>
      </w:r>
      <w:r w:rsidR="00923EDE" w:rsidRPr="000B701F">
        <w:rPr>
          <w:rFonts w:cstheme="minorHAnsi"/>
        </w:rPr>
        <w:t xml:space="preserve"> </w:t>
      </w:r>
      <w:r w:rsidRPr="000B701F">
        <w:rPr>
          <w:rFonts w:cstheme="minorHAnsi"/>
        </w:rPr>
        <w:t>determine compliance with Title VI, which includes Environmental Justice matters. Section 200.9(b)(7) stipulates that the state “conduct Title VI reviews of cities, counties, consultant contractors, suppliers, universities, colleges, planning agencies [e.g., MPOs], and other recipients of Federal-Aid Highway funds.” ADOT also is charged in Section 200.9(b)(14) with establishing “procedures to identify and eliminate discrimination when found to exist.” Thus, compliance documentation maintained by an MPO provides the appropriate vehicle for the state’s compliance with this requirement.</w:t>
      </w:r>
    </w:p>
    <w:p w14:paraId="68A69600" w14:textId="22285854" w:rsidR="000B701F" w:rsidRDefault="000B701F" w:rsidP="00020D20">
      <w:pPr>
        <w:jc w:val="both"/>
        <w:rPr>
          <w:rFonts w:cstheme="minorHAnsi"/>
          <w:b/>
        </w:rPr>
      </w:pPr>
      <w:r w:rsidRPr="000B701F">
        <w:rPr>
          <w:rFonts w:cstheme="minorHAnsi"/>
        </w:rPr>
        <w:t>Self-certification is conducted as part of the UPWP development process and supports compliance with Title VI and Environmental Justice guidance through citations of policies relating to equal employment</w:t>
      </w:r>
      <w:r>
        <w:rPr>
          <w:rFonts w:cstheme="minorHAnsi"/>
        </w:rPr>
        <w:t xml:space="preserve"> </w:t>
      </w:r>
      <w:r w:rsidRPr="000B701F">
        <w:rPr>
          <w:rFonts w:cstheme="minorHAnsi"/>
        </w:rPr>
        <w:t>opportunity, affirmative action, sexual harassment, and other related policies and actions aimed at implementing the various nondiscrimination requirements associated with the authorities listed in Section 10.2.3. During regional planning documentation is also provided to demonstrate that the MPO has considered the effects its policies and plans have on the travel times, accessibility, and socioeconomic impacts of Environmental Justice populations. Section 10.6 provides guidance for developing a Title VI/Environmental Justice Plan to address these aspects of the MPO’s operations. The head of the MPO board or executive director, if present, and the ADOT district engineer sign the self-certification, which they forward to FHWA for review and approval.</w:t>
      </w:r>
      <w:r w:rsidR="00584DEB">
        <w:rPr>
          <w:rFonts w:cstheme="minorHAnsi"/>
          <w:b/>
        </w:rPr>
        <w:t xml:space="preserve"> </w:t>
      </w:r>
    </w:p>
    <w:p w14:paraId="59D57429" w14:textId="77777777" w:rsidR="000B701F" w:rsidRPr="000B701F" w:rsidRDefault="000B701F" w:rsidP="00020D20">
      <w:pPr>
        <w:pStyle w:val="Heading3"/>
        <w:jc w:val="both"/>
      </w:pPr>
      <w:bookmarkStart w:id="456" w:name="_Ref50034556"/>
      <w:r w:rsidRPr="000B701F">
        <w:t>12.4.2| Federal Certification</w:t>
      </w:r>
      <w:bookmarkEnd w:id="456"/>
    </w:p>
    <w:p w14:paraId="6F76EA60" w14:textId="3462F1AD" w:rsidR="00D61808" w:rsidRPr="00020D20" w:rsidRDefault="001F640F" w:rsidP="00020D20">
      <w:pPr>
        <w:jc w:val="both"/>
        <w:rPr>
          <w:rFonts w:cstheme="minorHAnsi"/>
          <w:b/>
        </w:rPr>
      </w:pPr>
      <w:r>
        <w:rPr>
          <w:rFonts w:cstheme="minorHAnsi"/>
          <w:noProof/>
        </w:rPr>
        <mc:AlternateContent>
          <mc:Choice Requires="wps">
            <w:drawing>
              <wp:anchor distT="0" distB="0" distL="114300" distR="114300" simplePos="0" relativeHeight="251618545" behindDoc="0" locked="0" layoutInCell="1" allowOverlap="1" wp14:anchorId="782C9D03" wp14:editId="43421BD6">
                <wp:simplePos x="0" y="0"/>
                <wp:positionH relativeFrom="column">
                  <wp:posOffset>0</wp:posOffset>
                </wp:positionH>
                <wp:positionV relativeFrom="paragraph">
                  <wp:posOffset>929640</wp:posOffset>
                </wp:positionV>
                <wp:extent cx="1810385" cy="1156335"/>
                <wp:effectExtent l="95250" t="76200" r="75565" b="81915"/>
                <wp:wrapSquare wrapText="bothSides"/>
                <wp:docPr id="816286136" name="Text Box 816286136"/>
                <wp:cNvGraphicFramePr/>
                <a:graphic xmlns:a="http://schemas.openxmlformats.org/drawingml/2006/main">
                  <a:graphicData uri="http://schemas.microsoft.com/office/word/2010/wordprocessingShape">
                    <wps:wsp>
                      <wps:cNvSpPr txBox="1"/>
                      <wps:spPr>
                        <a:xfrm>
                          <a:off x="0" y="0"/>
                          <a:ext cx="1810385" cy="1156335"/>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1260"/>
                              <w:gridCol w:w="3240"/>
                            </w:tblGrid>
                            <w:tr w:rsidR="00C6444C" w14:paraId="19FA5ED3" w14:textId="77777777" w:rsidTr="00020D20">
                              <w:trPr>
                                <w:trHeight w:val="541"/>
                              </w:trPr>
                              <w:tc>
                                <w:tcPr>
                                  <w:tcW w:w="1260" w:type="dxa"/>
                                  <w:shd w:val="clear" w:color="auto" w:fill="auto"/>
                                </w:tcPr>
                                <w:p w14:paraId="772933FF" w14:textId="77777777" w:rsidR="00C6444C" w:rsidRPr="00020D20" w:rsidRDefault="00C6444C">
                                  <w:pPr>
                                    <w:pStyle w:val="Calloutboxes"/>
                                    <w:rPr>
                                      <w:color w:val="012768"/>
                                    </w:rPr>
                                  </w:pPr>
                                </w:p>
                              </w:tc>
                              <w:tc>
                                <w:tcPr>
                                  <w:tcW w:w="3240" w:type="dxa"/>
                                  <w:shd w:val="clear" w:color="auto" w:fill="auto"/>
                                </w:tcPr>
                                <w:p w14:paraId="02BCA45E" w14:textId="77777777" w:rsidR="00C6444C" w:rsidRPr="00020D20" w:rsidRDefault="00C6444C" w:rsidP="00D30138">
                                  <w:pPr>
                                    <w:pStyle w:val="Calloutboxes"/>
                                    <w:jc w:val="left"/>
                                    <w:rPr>
                                      <w:color w:val="FFFFFF" w:themeColor="background1"/>
                                      <w:sz w:val="24"/>
                                      <w:szCs w:val="24"/>
                                    </w:rPr>
                                  </w:pPr>
                                </w:p>
                              </w:tc>
                            </w:tr>
                            <w:tr w:rsidR="00C6444C" w14:paraId="3DE490BC" w14:textId="77777777" w:rsidTr="00020D20">
                              <w:trPr>
                                <w:trHeight w:val="351"/>
                              </w:trPr>
                              <w:tc>
                                <w:tcPr>
                                  <w:tcW w:w="1260" w:type="dxa"/>
                                  <w:tcBorders>
                                    <w:bottom w:val="single" w:sz="4" w:space="0" w:color="auto"/>
                                    <w:right w:val="single" w:sz="4" w:space="0" w:color="auto"/>
                                  </w:tcBorders>
                                  <w:vAlign w:val="center"/>
                                </w:tcPr>
                                <w:p w14:paraId="294D5FF9" w14:textId="1E8294E5" w:rsidR="00C6444C" w:rsidRPr="00347D6E" w:rsidDel="0082411B" w:rsidRDefault="00C6444C" w:rsidP="00D554CF">
                                  <w:pPr>
                                    <w:pStyle w:val="Calloutboxes"/>
                                  </w:pPr>
                                  <w:r>
                                    <w:t>COG</w:t>
                                  </w:r>
                                </w:p>
                              </w:tc>
                              <w:tc>
                                <w:tcPr>
                                  <w:tcW w:w="3240" w:type="dxa"/>
                                  <w:tcBorders>
                                    <w:left w:val="single" w:sz="4" w:space="0" w:color="auto"/>
                                    <w:bottom w:val="single" w:sz="4" w:space="0" w:color="auto"/>
                                  </w:tcBorders>
                                  <w:vAlign w:val="center"/>
                                </w:tcPr>
                                <w:p w14:paraId="544D8B44" w14:textId="2D4CE2A1" w:rsidR="00C6444C" w:rsidRPr="00347D6E" w:rsidRDefault="00C6444C" w:rsidP="00D554CF">
                                  <w:pPr>
                                    <w:pStyle w:val="Calloutboxes"/>
                                    <w:jc w:val="left"/>
                                  </w:pPr>
                                  <w:r>
                                    <w:t>Not Required</w:t>
                                  </w:r>
                                </w:p>
                              </w:tc>
                            </w:tr>
                            <w:tr w:rsidR="00C6444C" w14:paraId="6CC475B4" w14:textId="77777777" w:rsidTr="00AB07E4">
                              <w:trPr>
                                <w:trHeight w:val="369"/>
                              </w:trPr>
                              <w:tc>
                                <w:tcPr>
                                  <w:tcW w:w="1260" w:type="dxa"/>
                                  <w:tcBorders>
                                    <w:top w:val="single" w:sz="4" w:space="0" w:color="auto"/>
                                    <w:bottom w:val="single" w:sz="4" w:space="0" w:color="auto"/>
                                    <w:right w:val="single" w:sz="4" w:space="0" w:color="auto"/>
                                  </w:tcBorders>
                                  <w:vAlign w:val="center"/>
                                </w:tcPr>
                                <w:p w14:paraId="57ECDF83" w14:textId="3B880AA4" w:rsidR="00C6444C" w:rsidRDefault="00C6444C" w:rsidP="00D554CF">
                                  <w:pPr>
                                    <w:pStyle w:val="Calloutboxes"/>
                                  </w:pPr>
                                  <w:r>
                                    <w:t>MPO</w:t>
                                  </w:r>
                                </w:p>
                              </w:tc>
                              <w:tc>
                                <w:tcPr>
                                  <w:tcW w:w="3240" w:type="dxa"/>
                                  <w:tcBorders>
                                    <w:top w:val="single" w:sz="4" w:space="0" w:color="auto"/>
                                    <w:left w:val="single" w:sz="4" w:space="0" w:color="auto"/>
                                    <w:bottom w:val="single" w:sz="4" w:space="0" w:color="auto"/>
                                  </w:tcBorders>
                                  <w:vAlign w:val="center"/>
                                </w:tcPr>
                                <w:p w14:paraId="1670499B" w14:textId="000CC9CC" w:rsidR="00C6444C" w:rsidRPr="00347D6E" w:rsidRDefault="00C6444C" w:rsidP="00D554CF">
                                  <w:pPr>
                                    <w:pStyle w:val="Calloutboxes"/>
                                    <w:jc w:val="left"/>
                                  </w:pPr>
                                  <w:r>
                                    <w:t>Self-certification</w:t>
                                  </w:r>
                                </w:p>
                              </w:tc>
                            </w:tr>
                            <w:tr w:rsidR="00C6444C" w14:paraId="2C310D37" w14:textId="77777777" w:rsidTr="00020D20">
                              <w:trPr>
                                <w:trHeight w:val="351"/>
                              </w:trPr>
                              <w:tc>
                                <w:tcPr>
                                  <w:tcW w:w="1260" w:type="dxa"/>
                                  <w:tcBorders>
                                    <w:top w:val="single" w:sz="4" w:space="0" w:color="auto"/>
                                    <w:right w:val="single" w:sz="4" w:space="0" w:color="auto"/>
                                  </w:tcBorders>
                                  <w:vAlign w:val="center"/>
                                </w:tcPr>
                                <w:p w14:paraId="5AC23AAE" w14:textId="55E3985C" w:rsidR="00C6444C" w:rsidDel="00BC73D5" w:rsidRDefault="00C6444C" w:rsidP="00D554CF">
                                  <w:pPr>
                                    <w:pStyle w:val="Calloutboxes"/>
                                  </w:pPr>
                                  <w:r>
                                    <w:t>TMA</w:t>
                                  </w:r>
                                </w:p>
                              </w:tc>
                              <w:tc>
                                <w:tcPr>
                                  <w:tcW w:w="3240" w:type="dxa"/>
                                  <w:tcBorders>
                                    <w:top w:val="single" w:sz="4" w:space="0" w:color="auto"/>
                                    <w:left w:val="single" w:sz="4" w:space="0" w:color="auto"/>
                                  </w:tcBorders>
                                  <w:vAlign w:val="center"/>
                                </w:tcPr>
                                <w:p w14:paraId="6851FBAD" w14:textId="53454D5E" w:rsidR="00C6444C" w:rsidDel="00BC73D5" w:rsidRDefault="00C6444C" w:rsidP="00D554CF">
                                  <w:pPr>
                                    <w:pStyle w:val="Calloutboxes"/>
                                    <w:jc w:val="left"/>
                                  </w:pPr>
                                  <w:r>
                                    <w:t>Federal Certification</w:t>
                                  </w:r>
                                </w:p>
                              </w:tc>
                            </w:tr>
                          </w:tbl>
                          <w:p w14:paraId="47E475A6"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2C9D03" id="Text Box 816286136" o:spid="_x0000_s1198" type="#_x0000_t202" style="position:absolute;left:0;text-align:left;margin-left:0;margin-top:73.2pt;width:142.55pt;height:91.05pt;z-index:2516185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1260"/>
                        <w:gridCol w:w="3240"/>
                      </w:tblGrid>
                      <w:tr w:rsidR="00C6444C" w14:paraId="19FA5ED3" w14:textId="77777777" w:rsidTr="00020D20">
                        <w:trPr>
                          <w:trHeight w:val="541"/>
                        </w:trPr>
                        <w:tc>
                          <w:tcPr>
                            <w:tcW w:w="1260" w:type="dxa"/>
                            <w:shd w:val="clear" w:color="auto" w:fill="auto"/>
                          </w:tcPr>
                          <w:p w14:paraId="772933FF" w14:textId="77777777" w:rsidR="00C6444C" w:rsidRPr="00020D20" w:rsidRDefault="00C6444C">
                            <w:pPr>
                              <w:pStyle w:val="Calloutboxes"/>
                              <w:rPr>
                                <w:color w:val="012768"/>
                              </w:rPr>
                            </w:pPr>
                          </w:p>
                        </w:tc>
                        <w:tc>
                          <w:tcPr>
                            <w:tcW w:w="3240" w:type="dxa"/>
                            <w:shd w:val="clear" w:color="auto" w:fill="auto"/>
                          </w:tcPr>
                          <w:p w14:paraId="02BCA45E" w14:textId="77777777" w:rsidR="00C6444C" w:rsidRPr="00020D20" w:rsidRDefault="00C6444C" w:rsidP="00D30138">
                            <w:pPr>
                              <w:pStyle w:val="Calloutboxes"/>
                              <w:jc w:val="left"/>
                              <w:rPr>
                                <w:color w:val="FFFFFF" w:themeColor="background1"/>
                                <w:sz w:val="24"/>
                                <w:szCs w:val="24"/>
                              </w:rPr>
                            </w:pPr>
                          </w:p>
                        </w:tc>
                      </w:tr>
                      <w:tr w:rsidR="00C6444C" w14:paraId="3DE490BC" w14:textId="77777777" w:rsidTr="00020D20">
                        <w:trPr>
                          <w:trHeight w:val="351"/>
                        </w:trPr>
                        <w:tc>
                          <w:tcPr>
                            <w:tcW w:w="1260" w:type="dxa"/>
                            <w:tcBorders>
                              <w:bottom w:val="single" w:sz="4" w:space="0" w:color="auto"/>
                              <w:right w:val="single" w:sz="4" w:space="0" w:color="auto"/>
                            </w:tcBorders>
                            <w:vAlign w:val="center"/>
                          </w:tcPr>
                          <w:p w14:paraId="294D5FF9" w14:textId="1E8294E5" w:rsidR="00C6444C" w:rsidRPr="00347D6E" w:rsidDel="0082411B" w:rsidRDefault="00C6444C" w:rsidP="00D554CF">
                            <w:pPr>
                              <w:pStyle w:val="Calloutboxes"/>
                            </w:pPr>
                            <w:r>
                              <w:t>COG</w:t>
                            </w:r>
                          </w:p>
                        </w:tc>
                        <w:tc>
                          <w:tcPr>
                            <w:tcW w:w="3240" w:type="dxa"/>
                            <w:tcBorders>
                              <w:left w:val="single" w:sz="4" w:space="0" w:color="auto"/>
                              <w:bottom w:val="single" w:sz="4" w:space="0" w:color="auto"/>
                            </w:tcBorders>
                            <w:vAlign w:val="center"/>
                          </w:tcPr>
                          <w:p w14:paraId="544D8B44" w14:textId="2D4CE2A1" w:rsidR="00C6444C" w:rsidRPr="00347D6E" w:rsidRDefault="00C6444C" w:rsidP="00D554CF">
                            <w:pPr>
                              <w:pStyle w:val="Calloutboxes"/>
                              <w:jc w:val="left"/>
                            </w:pPr>
                            <w:r>
                              <w:t>Not Required</w:t>
                            </w:r>
                          </w:p>
                        </w:tc>
                      </w:tr>
                      <w:tr w:rsidR="00C6444C" w14:paraId="6CC475B4" w14:textId="77777777" w:rsidTr="00AB07E4">
                        <w:trPr>
                          <w:trHeight w:val="369"/>
                        </w:trPr>
                        <w:tc>
                          <w:tcPr>
                            <w:tcW w:w="1260" w:type="dxa"/>
                            <w:tcBorders>
                              <w:top w:val="single" w:sz="4" w:space="0" w:color="auto"/>
                              <w:bottom w:val="single" w:sz="4" w:space="0" w:color="auto"/>
                              <w:right w:val="single" w:sz="4" w:space="0" w:color="auto"/>
                            </w:tcBorders>
                            <w:vAlign w:val="center"/>
                          </w:tcPr>
                          <w:p w14:paraId="57ECDF83" w14:textId="3B880AA4" w:rsidR="00C6444C" w:rsidRDefault="00C6444C" w:rsidP="00D554CF">
                            <w:pPr>
                              <w:pStyle w:val="Calloutboxes"/>
                            </w:pPr>
                            <w:r>
                              <w:t>MPO</w:t>
                            </w:r>
                          </w:p>
                        </w:tc>
                        <w:tc>
                          <w:tcPr>
                            <w:tcW w:w="3240" w:type="dxa"/>
                            <w:tcBorders>
                              <w:top w:val="single" w:sz="4" w:space="0" w:color="auto"/>
                              <w:left w:val="single" w:sz="4" w:space="0" w:color="auto"/>
                              <w:bottom w:val="single" w:sz="4" w:space="0" w:color="auto"/>
                            </w:tcBorders>
                            <w:vAlign w:val="center"/>
                          </w:tcPr>
                          <w:p w14:paraId="1670499B" w14:textId="000CC9CC" w:rsidR="00C6444C" w:rsidRPr="00347D6E" w:rsidRDefault="00C6444C" w:rsidP="00D554CF">
                            <w:pPr>
                              <w:pStyle w:val="Calloutboxes"/>
                              <w:jc w:val="left"/>
                            </w:pPr>
                            <w:r>
                              <w:t>Self-certification</w:t>
                            </w:r>
                          </w:p>
                        </w:tc>
                      </w:tr>
                      <w:tr w:rsidR="00C6444C" w14:paraId="2C310D37" w14:textId="77777777" w:rsidTr="00020D20">
                        <w:trPr>
                          <w:trHeight w:val="351"/>
                        </w:trPr>
                        <w:tc>
                          <w:tcPr>
                            <w:tcW w:w="1260" w:type="dxa"/>
                            <w:tcBorders>
                              <w:top w:val="single" w:sz="4" w:space="0" w:color="auto"/>
                              <w:right w:val="single" w:sz="4" w:space="0" w:color="auto"/>
                            </w:tcBorders>
                            <w:vAlign w:val="center"/>
                          </w:tcPr>
                          <w:p w14:paraId="5AC23AAE" w14:textId="55E3985C" w:rsidR="00C6444C" w:rsidDel="00BC73D5" w:rsidRDefault="00C6444C" w:rsidP="00D554CF">
                            <w:pPr>
                              <w:pStyle w:val="Calloutboxes"/>
                            </w:pPr>
                            <w:r>
                              <w:t>TMA</w:t>
                            </w:r>
                          </w:p>
                        </w:tc>
                        <w:tc>
                          <w:tcPr>
                            <w:tcW w:w="3240" w:type="dxa"/>
                            <w:tcBorders>
                              <w:top w:val="single" w:sz="4" w:space="0" w:color="auto"/>
                              <w:left w:val="single" w:sz="4" w:space="0" w:color="auto"/>
                            </w:tcBorders>
                            <w:vAlign w:val="center"/>
                          </w:tcPr>
                          <w:p w14:paraId="6851FBAD" w14:textId="53454D5E" w:rsidR="00C6444C" w:rsidDel="00BC73D5" w:rsidRDefault="00C6444C" w:rsidP="00D554CF">
                            <w:pPr>
                              <w:pStyle w:val="Calloutboxes"/>
                              <w:jc w:val="left"/>
                            </w:pPr>
                            <w:r>
                              <w:t>Federal Certification</w:t>
                            </w:r>
                          </w:p>
                        </w:tc>
                      </w:tr>
                    </w:tbl>
                    <w:p w14:paraId="47E475A6" w14:textId="77777777" w:rsidR="00C6444C" w:rsidRPr="00347D6E" w:rsidRDefault="00C6444C" w:rsidP="00020D20"/>
                  </w:txbxContent>
                </v:textbox>
                <w10:wrap type="square"/>
              </v:shape>
            </w:pict>
          </mc:Fallback>
        </mc:AlternateContent>
      </w:r>
      <w:r>
        <w:rPr>
          <w:rFonts w:cstheme="minorHAnsi"/>
          <w:noProof/>
        </w:rPr>
        <mc:AlternateContent>
          <mc:Choice Requires="wpg">
            <w:drawing>
              <wp:anchor distT="0" distB="0" distL="114300" distR="114300" simplePos="0" relativeHeight="251618625" behindDoc="0" locked="0" layoutInCell="1" allowOverlap="1" wp14:anchorId="1E4BFDC9" wp14:editId="5A32BFFA">
                <wp:simplePos x="0" y="0"/>
                <wp:positionH relativeFrom="column">
                  <wp:posOffset>0</wp:posOffset>
                </wp:positionH>
                <wp:positionV relativeFrom="paragraph">
                  <wp:posOffset>873760</wp:posOffset>
                </wp:positionV>
                <wp:extent cx="1810385" cy="412115"/>
                <wp:effectExtent l="0" t="0" r="18415" b="26035"/>
                <wp:wrapSquare wrapText="bothSides"/>
                <wp:docPr id="816286137" name="Group 816286137"/>
                <wp:cNvGraphicFramePr/>
                <a:graphic xmlns:a="http://schemas.openxmlformats.org/drawingml/2006/main">
                  <a:graphicData uri="http://schemas.microsoft.com/office/word/2010/wordprocessingGroup">
                    <wpg:wgp>
                      <wpg:cNvGrpSpPr/>
                      <wpg:grpSpPr>
                        <a:xfrm>
                          <a:off x="0" y="0"/>
                          <a:ext cx="1810385" cy="412115"/>
                          <a:chOff x="11875" y="-30164"/>
                          <a:chExt cx="2772410" cy="629868"/>
                        </a:xfrm>
                      </wpg:grpSpPr>
                      <wps:wsp>
                        <wps:cNvPr id="816286138" name="Rectangle 816286138"/>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139" name="Text Box 816286139"/>
                        <wps:cNvSpPr txBox="1"/>
                        <wps:spPr>
                          <a:xfrm>
                            <a:off x="65324" y="-30164"/>
                            <a:ext cx="2714510" cy="629868"/>
                          </a:xfrm>
                          <a:prstGeom prst="rect">
                            <a:avLst/>
                          </a:prstGeom>
                          <a:noFill/>
                          <a:ln w="6350">
                            <a:noFill/>
                          </a:ln>
                          <a:effectLst/>
                        </wps:spPr>
                        <wps:txbx>
                          <w:txbxContent>
                            <w:p w14:paraId="29C715DA" w14:textId="565A5BBE" w:rsidR="00C6444C" w:rsidRPr="00020D20" w:rsidRDefault="00C6444C" w:rsidP="00020D20">
                              <w:pPr>
                                <w:spacing w:before="0" w:after="0"/>
                                <w:jc w:val="center"/>
                                <w:rPr>
                                  <w:color w:val="FFFFFF" w:themeColor="background1"/>
                                </w:rPr>
                              </w:pPr>
                              <w:r w:rsidRPr="00020D20">
                                <w:rPr>
                                  <w:color w:val="FFFFFF" w:themeColor="background1"/>
                                </w:rPr>
                                <w:t>CERTIFICATION</w:t>
                              </w:r>
                            </w:p>
                            <w:p w14:paraId="22823381" w14:textId="77777777" w:rsidR="00C6444C" w:rsidRPr="00020D20" w:rsidRDefault="00C6444C" w:rsidP="00020D20">
                              <w:pPr>
                                <w:spacing w:before="0" w:after="0"/>
                                <w:jc w:val="center"/>
                                <w:rPr>
                                  <w:color w:val="FFFFFF" w:themeColor="background1"/>
                                </w:rPr>
                              </w:pPr>
                              <w:r w:rsidRPr="00020D20">
                                <w:rPr>
                                  <w:color w:val="FFFFFF" w:themeColor="background1"/>
                                </w:rPr>
                                <w:t>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4BFDC9" id="Group 816286137" o:spid="_x0000_s1199" style="position:absolute;left:0;text-align:left;margin-left:0;margin-top:68.8pt;width:142.55pt;height:32.45pt;z-index:251618625;mso-height-relative:margin" coordorigin="118,-301" coordsize="27724,6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">
                <v:rect id="Rectangle 816286138" o:spid="_x0000_s1200"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" fillcolor="#012768" strokecolor="#1f4d78 [1604]" strokeweight="1pt"/>
                <v:shape id="Text Box 816286139" o:spid="_x0000_s1201" type="#_x0000_t202" style="position:absolute;left:653;top:-301;width:27145;height:6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" filled="f" stroked="f" strokeweight=".5pt">
                  <v:textbox>
                    <w:txbxContent>
                      <w:p w14:paraId="29C715DA" w14:textId="565A5BBE" w:rsidR="00C6444C" w:rsidRPr="00020D20" w:rsidRDefault="00C6444C" w:rsidP="00020D20">
                        <w:pPr>
                          <w:spacing w:before="0" w:after="0"/>
                          <w:jc w:val="center"/>
                          <w:rPr>
                            <w:color w:val="FFFFFF" w:themeColor="background1"/>
                          </w:rPr>
                        </w:pPr>
                        <w:r w:rsidRPr="00020D20">
                          <w:rPr>
                            <w:color w:val="FFFFFF" w:themeColor="background1"/>
                          </w:rPr>
                          <w:t>CERTIFICATION</w:t>
                        </w:r>
                      </w:p>
                      <w:p w14:paraId="22823381" w14:textId="77777777" w:rsidR="00C6444C" w:rsidRPr="00020D20" w:rsidRDefault="00C6444C" w:rsidP="00020D20">
                        <w:pPr>
                          <w:spacing w:before="0" w:after="0"/>
                          <w:jc w:val="center"/>
                          <w:rPr>
                            <w:color w:val="FFFFFF" w:themeColor="background1"/>
                          </w:rPr>
                        </w:pPr>
                        <w:r w:rsidRPr="00020D20">
                          <w:rPr>
                            <w:color w:val="FFFFFF" w:themeColor="background1"/>
                          </w:rPr>
                          <w:t>REQUIREMENTS</w:t>
                        </w:r>
                      </w:p>
                    </w:txbxContent>
                  </v:textbox>
                </v:shape>
                <w10:wrap type="square"/>
              </v:group>
            </w:pict>
          </mc:Fallback>
        </mc:AlternateContent>
      </w:r>
      <w:r w:rsidR="000B701F" w:rsidRPr="000B701F">
        <w:rPr>
          <w:rFonts w:cstheme="minorHAnsi"/>
        </w:rPr>
        <w:t xml:space="preserve">Self-certification by ADOT and the state’s MPOs was the process in place prior to passage of ISTEA in 1991. ISTEA instituted the requirement that the federal government certify the transportation planning processes of </w:t>
      </w:r>
      <w:r w:rsidR="00FE561E">
        <w:rPr>
          <w:rFonts w:cstheme="minorHAnsi"/>
        </w:rPr>
        <w:t xml:space="preserve">TMAs, which are those MPOs </w:t>
      </w:r>
      <w:r w:rsidR="000B701F" w:rsidRPr="000B701F">
        <w:rPr>
          <w:rFonts w:cstheme="minorHAnsi"/>
        </w:rPr>
        <w:t>a population of 200,000 or more residents. The federal certification assesses how well a</w:t>
      </w:r>
      <w:r w:rsidR="00FE561E">
        <w:rPr>
          <w:rFonts w:cstheme="minorHAnsi"/>
        </w:rPr>
        <w:t xml:space="preserve"> TMA </w:t>
      </w:r>
      <w:r w:rsidR="000B701F" w:rsidRPr="000B701F">
        <w:rPr>
          <w:rFonts w:cstheme="minorHAnsi"/>
        </w:rPr>
        <w:t xml:space="preserve">is working with transportation-related organizations, local governments, and </w:t>
      </w:r>
      <w:r w:rsidR="00923EDE">
        <w:rPr>
          <w:rFonts w:cstheme="minorHAnsi"/>
        </w:rPr>
        <w:t>the public</w:t>
      </w:r>
      <w:r w:rsidR="000B701F" w:rsidRPr="000B701F">
        <w:rPr>
          <w:rFonts w:cstheme="minorHAnsi"/>
        </w:rPr>
        <w:t xml:space="preserve">, as well as with ADOT to meet the many statutory requirements applicable to the planning process. Certifications must be renewed every three years by joint action of the FHWA and FTA for </w:t>
      </w:r>
      <w:r w:rsidR="00FE561E">
        <w:rPr>
          <w:rFonts w:cstheme="minorHAnsi"/>
        </w:rPr>
        <w:t>TMAs</w:t>
      </w:r>
      <w:r w:rsidR="000B701F" w:rsidRPr="000B701F">
        <w:rPr>
          <w:rFonts w:cstheme="minorHAnsi"/>
        </w:rPr>
        <w:t xml:space="preserve"> to maintain full eligibility for federal highway and transit funding. An essential part of the certification process is evidence of compliance with applicable provisions of Title VI of the Civil Right Act and related Environmental Justice guidance.</w:t>
      </w:r>
    </w:p>
    <w:p w14:paraId="70919A5A" w14:textId="52DE39E9" w:rsidR="000B701F" w:rsidRPr="000B701F" w:rsidRDefault="000B701F" w:rsidP="00020D20">
      <w:pPr>
        <w:jc w:val="both"/>
        <w:rPr>
          <w:rFonts w:cstheme="minorHAnsi"/>
          <w:b/>
        </w:rPr>
      </w:pPr>
      <w:r w:rsidRPr="000B701F">
        <w:rPr>
          <w:rFonts w:cstheme="minorHAnsi"/>
        </w:rPr>
        <w:t xml:space="preserve">Certification with respect </w:t>
      </w:r>
      <w:r w:rsidR="005D22AE">
        <w:rPr>
          <w:rFonts w:cstheme="minorHAnsi"/>
        </w:rPr>
        <w:t>to</w:t>
      </w:r>
      <w:r w:rsidR="005D22AE" w:rsidRPr="000B701F">
        <w:rPr>
          <w:rFonts w:cstheme="minorHAnsi"/>
        </w:rPr>
        <w:t xml:space="preserve"> </w:t>
      </w:r>
      <w:r w:rsidRPr="000B701F">
        <w:rPr>
          <w:rFonts w:cstheme="minorHAnsi"/>
        </w:rPr>
        <w:t>Title VI and Environmental Justice compliance involves satisfaction of a number of stipulations outlined in the USDOT Order 5610.2(a). Specifically, in addition to satisfying the requirements cited for the self-certification, the MPO must demonstrate early in the development of programs, policies, and projects (activities) that it is proactive in obtaining, where relevant, appropriate, and practical, information pertinent to and including:</w:t>
      </w:r>
      <w:r>
        <w:rPr>
          <w:rFonts w:cstheme="minorHAnsi"/>
        </w:rPr>
        <w:t xml:space="preserve"> </w:t>
      </w:r>
    </w:p>
    <w:p w14:paraId="1CDB5786" w14:textId="77777777" w:rsidR="000B701F" w:rsidRPr="000B701F" w:rsidRDefault="000B701F" w:rsidP="00020D20">
      <w:pPr>
        <w:pStyle w:val="Body-Bullets"/>
        <w:jc w:val="both"/>
      </w:pPr>
      <w:r w:rsidRPr="000B701F">
        <w:t>Environmental Justice populations served and/or affected;</w:t>
      </w:r>
    </w:p>
    <w:p w14:paraId="25B967A7" w14:textId="77777777" w:rsidR="000B701F" w:rsidRPr="000B701F" w:rsidRDefault="000B701F" w:rsidP="00020D20">
      <w:pPr>
        <w:pStyle w:val="Body-Bullets"/>
        <w:jc w:val="both"/>
      </w:pPr>
      <w:r w:rsidRPr="000B701F">
        <w:t xml:space="preserve">optional steps to guard against and avoid discrimination and disproportionately high and adverse effects on Environmental Justice populations; </w:t>
      </w:r>
    </w:p>
    <w:p w14:paraId="54CA3F71" w14:textId="77777777" w:rsidR="000B701F" w:rsidRPr="000B701F" w:rsidRDefault="000B701F" w:rsidP="00020D20">
      <w:pPr>
        <w:pStyle w:val="Body-Bullets"/>
        <w:jc w:val="both"/>
      </w:pPr>
      <w:r w:rsidRPr="000B701F">
        <w:t>potential alternatives and measures to avoid, minimize, and/or mitigate disproportionately high and adverse environmental and public health effects and interrelated social and economic effects;</w:t>
      </w:r>
    </w:p>
    <w:p w14:paraId="6DF0C0B8" w14:textId="5CEA5486" w:rsidR="000B701F" w:rsidRPr="000B701F" w:rsidRDefault="000B701F" w:rsidP="00020D20">
      <w:pPr>
        <w:pStyle w:val="Body-Bullets"/>
        <w:jc w:val="both"/>
      </w:pPr>
      <w:r w:rsidRPr="000B701F">
        <w:t>offsetting benefits and opportunities to enhance communities, neighborhoods, and individuals affected; and</w:t>
      </w:r>
    </w:p>
    <w:p w14:paraId="481E378C" w14:textId="0C8FF92A" w:rsidR="000B701F" w:rsidRPr="000B701F" w:rsidRDefault="000B701F" w:rsidP="00020D20">
      <w:pPr>
        <w:pStyle w:val="Body-Bullets"/>
        <w:jc w:val="both"/>
      </w:pPr>
      <w:r w:rsidRPr="000B701F">
        <w:t>public involvement opportunities and consideration of the results thereof, including soliciting input from Environmental Justice populations during consideration of alternatives.</w:t>
      </w:r>
    </w:p>
    <w:p w14:paraId="4A45D47E" w14:textId="4031C7D2" w:rsidR="000B701F" w:rsidRPr="000B701F" w:rsidRDefault="000B701F" w:rsidP="00020D20">
      <w:pPr>
        <w:pStyle w:val="Body-Bullets"/>
        <w:jc w:val="both"/>
      </w:pPr>
      <w:r w:rsidRPr="000B701F">
        <w:t>As guidance for completing and ensuring satisfaction of the federal certification process, items of relevance to Title VI and Environmental Justice compliance should be addressed.</w:t>
      </w:r>
    </w:p>
    <w:p w14:paraId="153F713E" w14:textId="77777777" w:rsidR="000B701F" w:rsidRPr="000B701F" w:rsidRDefault="000B701F" w:rsidP="00020D20">
      <w:pPr>
        <w:jc w:val="both"/>
        <w:rPr>
          <w:rFonts w:cstheme="minorHAnsi"/>
        </w:rPr>
      </w:pPr>
      <w:r w:rsidRPr="000B701F">
        <w:rPr>
          <w:rFonts w:cstheme="minorHAnsi"/>
        </w:rPr>
        <w:t>The federal certification process is carried out to ensure the MPO’s 3 C planning process meets the requirements of applicable provisions of federal laws and regulations. It is much more detailed and comprehensive than the self-certification process. The federal certification review consists of four parts: a document review, site visit, written report,</w:t>
      </w:r>
      <w:r>
        <w:rPr>
          <w:rFonts w:cstheme="minorHAnsi"/>
        </w:rPr>
        <w:t xml:space="preserve"> </w:t>
      </w:r>
      <w:r w:rsidRPr="000B701F">
        <w:rPr>
          <w:rFonts w:cstheme="minorHAnsi"/>
        </w:rPr>
        <w:t>and closeout meeting. Title VI and Environmental Justice is one of the specific topics addressed during this review. Even so, in each of these areas of activity, the issues and concerns of Title VI and Environmental Justice typically vary in their degrees of relevance and importance.</w:t>
      </w:r>
    </w:p>
    <w:p w14:paraId="3DE8029C" w14:textId="32608519" w:rsidR="000B701F" w:rsidRPr="000B701F" w:rsidRDefault="000B701F" w:rsidP="00020D20">
      <w:pPr>
        <w:pStyle w:val="Heading3"/>
        <w:jc w:val="both"/>
      </w:pPr>
      <w:bookmarkStart w:id="457" w:name="_Ref50034559"/>
      <w:r w:rsidRPr="000B701F">
        <w:t xml:space="preserve">12.4.3 | </w:t>
      </w:r>
      <w:r w:rsidR="00923EDE">
        <w:t xml:space="preserve">Title VI </w:t>
      </w:r>
      <w:r w:rsidRPr="000B701F">
        <w:t xml:space="preserve">Nondiscrimination </w:t>
      </w:r>
      <w:r w:rsidR="00923EDE">
        <w:t>Implementation Plan</w:t>
      </w:r>
      <w:bookmarkEnd w:id="457"/>
    </w:p>
    <w:p w14:paraId="08B8DF29" w14:textId="51216BDC" w:rsidR="000B701F" w:rsidRPr="000B701F" w:rsidRDefault="000B701F" w:rsidP="00020D20">
      <w:pPr>
        <w:jc w:val="both"/>
        <w:rPr>
          <w:rFonts w:cstheme="minorHAnsi"/>
        </w:rPr>
      </w:pPr>
      <w:r w:rsidRPr="000B701F">
        <w:rPr>
          <w:rFonts w:cstheme="minorHAnsi"/>
        </w:rPr>
        <w:t>ADOT is required to have a Title VI</w:t>
      </w:r>
      <w:r w:rsidR="00923EDE">
        <w:rPr>
          <w:rFonts w:cstheme="minorHAnsi"/>
        </w:rPr>
        <w:t xml:space="preserve"> </w:t>
      </w:r>
      <w:r w:rsidRPr="000B701F">
        <w:rPr>
          <w:rFonts w:cstheme="minorHAnsi"/>
        </w:rPr>
        <w:t>Nondiscrimination Plan, which includes</w:t>
      </w:r>
      <w:r w:rsidR="00923EDE">
        <w:rPr>
          <w:rFonts w:cstheme="minorHAnsi"/>
        </w:rPr>
        <w:t xml:space="preserve"> FHWA</w:t>
      </w:r>
      <w:r w:rsidRPr="000B701F">
        <w:rPr>
          <w:rFonts w:cstheme="minorHAnsi"/>
        </w:rPr>
        <w:t xml:space="preserve"> Title VI Assurance</w:t>
      </w:r>
      <w:r w:rsidR="00923EDE">
        <w:rPr>
          <w:rFonts w:cstheme="minorHAnsi"/>
        </w:rPr>
        <w:t>s</w:t>
      </w:r>
      <w:r w:rsidRPr="000B701F">
        <w:rPr>
          <w:rFonts w:cstheme="minorHAnsi"/>
        </w:rPr>
        <w:t xml:space="preserve">. ADOT also is required to maintain an effective program to monitor subrecipients’ efforts to effectively implement Title VI, Environmental Justice, and related nondiscrimination requirements. As a subrecipient of federal assistance through ADOT, MPOs must have a nondiscrimination </w:t>
      </w:r>
      <w:r w:rsidR="00923EDE">
        <w:rPr>
          <w:rFonts w:cstheme="minorHAnsi"/>
        </w:rPr>
        <w:t>plan</w:t>
      </w:r>
      <w:r w:rsidR="00923EDE" w:rsidRPr="000B701F">
        <w:rPr>
          <w:rFonts w:cstheme="minorHAnsi"/>
        </w:rPr>
        <w:t xml:space="preserve"> </w:t>
      </w:r>
      <w:r w:rsidRPr="000B701F">
        <w:rPr>
          <w:rFonts w:cstheme="minorHAnsi"/>
        </w:rPr>
        <w:t>with the state to ensure compliance with Title VI</w:t>
      </w:r>
      <w:r w:rsidR="000B668D">
        <w:rPr>
          <w:rFonts w:cstheme="minorHAnsi"/>
        </w:rPr>
        <w:t>,</w:t>
      </w:r>
      <w:r w:rsidRPr="000B701F">
        <w:rPr>
          <w:rFonts w:cstheme="minorHAnsi"/>
        </w:rPr>
        <w:t xml:space="preserve"> Environmental Justice</w:t>
      </w:r>
      <w:r w:rsidR="000B668D">
        <w:rPr>
          <w:rFonts w:cstheme="minorHAnsi"/>
        </w:rPr>
        <w:t>,</w:t>
      </w:r>
      <w:r w:rsidRPr="000B701F">
        <w:rPr>
          <w:rFonts w:cstheme="minorHAnsi"/>
        </w:rPr>
        <w:t xml:space="preserve"> and related statutes. </w:t>
      </w:r>
    </w:p>
    <w:p w14:paraId="3755DC1F" w14:textId="0FCA2C5A" w:rsidR="000B701F" w:rsidRPr="00EE1741" w:rsidRDefault="000B701F" w:rsidP="00020D20">
      <w:pPr>
        <w:jc w:val="both"/>
      </w:pPr>
      <w:r w:rsidRPr="000B701F">
        <w:rPr>
          <w:rFonts w:cstheme="minorHAnsi"/>
        </w:rPr>
        <w:t>The Title VI</w:t>
      </w:r>
      <w:r w:rsidR="000B668D">
        <w:rPr>
          <w:rFonts w:cstheme="minorHAnsi"/>
        </w:rPr>
        <w:t xml:space="preserve"> </w:t>
      </w:r>
      <w:r w:rsidRPr="000B701F">
        <w:rPr>
          <w:rFonts w:cstheme="minorHAnsi"/>
        </w:rPr>
        <w:t xml:space="preserve">Nondiscrimination </w:t>
      </w:r>
      <w:r w:rsidR="000B668D">
        <w:rPr>
          <w:rFonts w:cstheme="minorHAnsi"/>
        </w:rPr>
        <w:t>Implementation Plan</w:t>
      </w:r>
      <w:r w:rsidR="000B668D" w:rsidRPr="000B701F">
        <w:rPr>
          <w:rFonts w:cstheme="minorHAnsi"/>
        </w:rPr>
        <w:t xml:space="preserve"> </w:t>
      </w:r>
      <w:r w:rsidRPr="000B701F">
        <w:rPr>
          <w:rFonts w:cstheme="minorHAnsi"/>
        </w:rPr>
        <w:t xml:space="preserve">acts as the MPO’s Title VI Plan </w:t>
      </w:r>
      <w:r w:rsidRPr="00EE1741">
        <w:t xml:space="preserve">pursuant to </w:t>
      </w:r>
      <w:hyperlink r:id="rId800" w:history="1">
        <w:r w:rsidR="000B668D" w:rsidRPr="00020D20">
          <w:rPr>
            <w:rStyle w:val="TitleChar"/>
          </w:rPr>
          <w:t xml:space="preserve">49 </w:t>
        </w:r>
        <w:r w:rsidR="009628C0">
          <w:rPr>
            <w:rStyle w:val="TitleChar"/>
          </w:rPr>
          <w:t xml:space="preserve">C.F.R. </w:t>
        </w:r>
        <w:r w:rsidR="000B668D" w:rsidRPr="00020D20">
          <w:rPr>
            <w:rStyle w:val="TitleChar"/>
          </w:rPr>
          <w:t>Part 21</w:t>
        </w:r>
      </w:hyperlink>
      <w:r w:rsidR="000B668D">
        <w:t xml:space="preserve"> </w:t>
      </w:r>
      <w:r w:rsidRPr="00EE1741">
        <w:t xml:space="preserve">and the Title VI </w:t>
      </w:r>
      <w:r w:rsidR="000B668D">
        <w:t>requirements for FHWA and FTA</w:t>
      </w:r>
      <w:r w:rsidRPr="00EE1741">
        <w:t>. The</w:t>
      </w:r>
      <w:r w:rsidR="000B668D">
        <w:t xml:space="preserve"> Title VI Nondiscrimination Implementation Plan</w:t>
      </w:r>
      <w:r w:rsidRPr="00EE1741">
        <w:t xml:space="preserve"> must include all Title VI requirements</w:t>
      </w:r>
      <w:r w:rsidRPr="000B701F">
        <w:rPr>
          <w:rFonts w:cstheme="minorHAnsi"/>
        </w:rPr>
        <w:t xml:space="preserve"> that an MPO agrees to take on in return for receiving federally assisted planning funding from the state, including: Title VI assurances; a nondiscrimination policy statement; a discrimination complaint procedure; and mandatory </w:t>
      </w:r>
      <w:r w:rsidR="00DB3779">
        <w:rPr>
          <w:rFonts w:cstheme="minorHAnsi"/>
        </w:rPr>
        <w:t>Title VI nondiscrimination</w:t>
      </w:r>
      <w:r w:rsidR="00DB3779" w:rsidRPr="000B701F">
        <w:rPr>
          <w:rFonts w:cstheme="minorHAnsi"/>
        </w:rPr>
        <w:t xml:space="preserve"> </w:t>
      </w:r>
      <w:r w:rsidRPr="000B701F">
        <w:rPr>
          <w:rFonts w:cstheme="minorHAnsi"/>
        </w:rPr>
        <w:t>language in all MPO bids, contracts, and agreements. The signed Title VI</w:t>
      </w:r>
      <w:r w:rsidR="00DB3779">
        <w:rPr>
          <w:rFonts w:cstheme="minorHAnsi"/>
        </w:rPr>
        <w:t xml:space="preserve"> </w:t>
      </w:r>
      <w:r w:rsidRPr="000B701F">
        <w:rPr>
          <w:rFonts w:cstheme="minorHAnsi"/>
        </w:rPr>
        <w:t xml:space="preserve">Nondiscrimination </w:t>
      </w:r>
      <w:r w:rsidR="00DB3779">
        <w:rPr>
          <w:rFonts w:cstheme="minorHAnsi"/>
        </w:rPr>
        <w:t>Implementation Plan</w:t>
      </w:r>
      <w:r w:rsidRPr="000B701F">
        <w:rPr>
          <w:rFonts w:cstheme="minorHAnsi"/>
        </w:rPr>
        <w:t xml:space="preserve"> also must include assurances that programs will be conducted </w:t>
      </w:r>
      <w:r w:rsidRPr="00EE1741">
        <w:t>and facilities operated in compliance with Title VI and Environmental Justice requirements (</w:t>
      </w:r>
      <w:hyperlink r:id="rId801" w:history="1">
        <w:r w:rsidRPr="00020D20">
          <w:rPr>
            <w:rStyle w:val="TitleChar"/>
          </w:rPr>
          <w:t xml:space="preserve">49 </w:t>
        </w:r>
        <w:r w:rsidR="009628C0">
          <w:rPr>
            <w:rStyle w:val="TitleChar"/>
          </w:rPr>
          <w:t xml:space="preserve">C.F.R. </w:t>
        </w:r>
        <w:r w:rsidRPr="00020D20">
          <w:rPr>
            <w:rStyle w:val="TitleChar"/>
          </w:rPr>
          <w:t>§ 21.7</w:t>
        </w:r>
      </w:hyperlink>
      <w:r w:rsidRPr="00EE1741">
        <w:t xml:space="preserve">). In addition, the MPO must </w:t>
      </w:r>
      <w:r w:rsidR="00DB3779">
        <w:t>include Title VI</w:t>
      </w:r>
      <w:r w:rsidR="00DB3779" w:rsidRPr="00EE1741">
        <w:t xml:space="preserve"> </w:t>
      </w:r>
      <w:r w:rsidRPr="00EE1741">
        <w:t xml:space="preserve">assurances </w:t>
      </w:r>
      <w:r w:rsidR="00DB3779">
        <w:t xml:space="preserve">in all </w:t>
      </w:r>
      <w:r w:rsidRPr="00EE1741">
        <w:t>contracts and bids (</w:t>
      </w:r>
      <w:hyperlink r:id="rId802" w:history="1">
        <w:r w:rsidR="00DB3779" w:rsidRPr="00020D20">
          <w:rPr>
            <w:rStyle w:val="TitleChar"/>
          </w:rPr>
          <w:t>USDOT Order 1050.2A</w:t>
        </w:r>
      </w:hyperlink>
      <w:r w:rsidR="00DB3779">
        <w:t>).</w:t>
      </w:r>
      <w:r w:rsidRPr="00EE1741">
        <w:t xml:space="preserve"> </w:t>
      </w:r>
    </w:p>
    <w:p w14:paraId="73D6271F" w14:textId="73B47362" w:rsidR="000B701F" w:rsidRPr="00020D20" w:rsidRDefault="003325FD" w:rsidP="00020D20">
      <w:pPr>
        <w:jc w:val="both"/>
        <w:rPr>
          <w:rFonts w:cstheme="minorHAnsi"/>
          <w:b/>
        </w:rPr>
      </w:pPr>
      <w:r>
        <w:rPr>
          <w:rFonts w:cstheme="minorHAnsi"/>
          <w:noProof/>
        </w:rPr>
        <mc:AlternateContent>
          <mc:Choice Requires="wps">
            <w:drawing>
              <wp:anchor distT="0" distB="0" distL="114300" distR="114300" simplePos="0" relativeHeight="251618350" behindDoc="1" locked="0" layoutInCell="1" allowOverlap="1" wp14:anchorId="2AEFDDA9" wp14:editId="67FBAE7D">
                <wp:simplePos x="0" y="0"/>
                <wp:positionH relativeFrom="margin">
                  <wp:posOffset>4684395</wp:posOffset>
                </wp:positionH>
                <wp:positionV relativeFrom="paragraph">
                  <wp:posOffset>951865</wp:posOffset>
                </wp:positionV>
                <wp:extent cx="1258570" cy="1487170"/>
                <wp:effectExtent l="76200" t="95250" r="74930" b="93980"/>
                <wp:wrapTight wrapText="bothSides">
                  <wp:wrapPolygon edited="0">
                    <wp:start x="-1308" y="-1383"/>
                    <wp:lineTo x="-1308" y="22688"/>
                    <wp:lineTo x="22559" y="22688"/>
                    <wp:lineTo x="22559" y="-1383"/>
                    <wp:lineTo x="-1308" y="-1383"/>
                  </wp:wrapPolygon>
                </wp:wrapTight>
                <wp:docPr id="816286050" name="Text Box 816286050"/>
                <wp:cNvGraphicFramePr/>
                <a:graphic xmlns:a="http://schemas.openxmlformats.org/drawingml/2006/main">
                  <a:graphicData uri="http://schemas.microsoft.com/office/word/2010/wordprocessingShape">
                    <wps:wsp>
                      <wps:cNvSpPr txBox="1"/>
                      <wps:spPr>
                        <a:xfrm>
                          <a:off x="0" y="0"/>
                          <a:ext cx="1258570" cy="14871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B418330" w14:textId="77777777" w:rsidR="00C6444C" w:rsidRDefault="00C6444C" w:rsidP="00020D20">
                            <w:pPr>
                              <w:jc w:val="center"/>
                            </w:pPr>
                            <w:r>
                              <w:rPr>
                                <w:noProof/>
                              </w:rPr>
                              <w:drawing>
                                <wp:inline distT="0" distB="0" distL="0" distR="0" wp14:anchorId="4A3A67E0" wp14:editId="6D9CA73D">
                                  <wp:extent cx="457200" cy="457200"/>
                                  <wp:effectExtent l="0" t="0" r="0" b="0"/>
                                  <wp:docPr id="1690911570" name="Picture 169091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B52A2B9" w14:textId="48F2C150" w:rsidR="00C6444C" w:rsidRPr="00977A9B" w:rsidRDefault="00C6444C" w:rsidP="00020D20">
                            <w:pPr>
                              <w:pStyle w:val="Calloutboxes"/>
                            </w:pPr>
                            <w:r w:rsidRPr="00394A74">
                              <w:t>The ADOT Title VI/</w:t>
                            </w:r>
                            <w:r w:rsidRPr="00954116">
                              <w:t xml:space="preserve">: </w:t>
                            </w:r>
                            <w:r w:rsidRPr="0052715B">
                              <w:t>Nondiscrimination P</w:t>
                            </w:r>
                            <w:r w:rsidRPr="005A6734">
                              <w:t>lan can be found at:</w:t>
                            </w:r>
                          </w:p>
                          <w:p w14:paraId="5475E904" w14:textId="5CE3FE17" w:rsidR="00C6444C" w:rsidRPr="00AA5DC5" w:rsidRDefault="00202C92">
                            <w:pPr>
                              <w:pStyle w:val="Title"/>
                            </w:pPr>
                            <w:hyperlink r:id="rId803" w:history="1">
                              <w:r w:rsidR="00C6444C" w:rsidRPr="00020D20">
                                <w:rPr>
                                  <w:rStyle w:val="Hyperlink"/>
                                  <w:rFonts w:asciiTheme="minorHAnsi" w:hAnsiTheme="minorHAnsi" w:cstheme="majorBidi"/>
                                  <w:color w:val="CE5B18"/>
                                  <w:u w:val="none"/>
                                </w:rPr>
                                <w:t>https://azdot.gov/business/civil-rights/title-vi-nondiscrimination-program</w:t>
                              </w:r>
                            </w:hyperlink>
                          </w:p>
                          <w:p w14:paraId="3723DCF7" w14:textId="3206376A" w:rsidR="00C6444C" w:rsidRPr="00267D04" w:rsidRDefault="00C6444C">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EFDDA9" id="Text Box 816286050" o:spid="_x0000_s1202" type="#_x0000_t202" style="position:absolute;left:0;text-align:left;margin-left:368.85pt;margin-top:74.95pt;width:99.1pt;height:117.1pt;z-index:-2516981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" fillcolor="#f7f7f7" stroked="f" strokeweight=".5pt">
                <v:shadow on="t" type="perspective" color="black" opacity="26214f" offset="0,0" matrix="66847f,,,66847f"/>
                <v:textbox>
                  <w:txbxContent>
                    <w:p w14:paraId="5B418330" w14:textId="77777777" w:rsidR="00C6444C" w:rsidRDefault="00C6444C" w:rsidP="00020D20">
                      <w:pPr>
                        <w:jc w:val="center"/>
                      </w:pPr>
                      <w:r>
                        <w:rPr>
                          <w:noProof/>
                        </w:rPr>
                        <w:drawing>
                          <wp:inline distT="0" distB="0" distL="0" distR="0" wp14:anchorId="4A3A67E0" wp14:editId="6D9CA73D">
                            <wp:extent cx="457200" cy="457200"/>
                            <wp:effectExtent l="0" t="0" r="0" b="0"/>
                            <wp:docPr id="1690911570" name="Picture 169091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B52A2B9" w14:textId="48F2C150" w:rsidR="00C6444C" w:rsidRPr="00977A9B" w:rsidRDefault="00C6444C" w:rsidP="00020D20">
                      <w:pPr>
                        <w:pStyle w:val="Calloutboxes"/>
                      </w:pPr>
                      <w:r w:rsidRPr="00394A74">
                        <w:t>The ADOT Title VI/</w:t>
                      </w:r>
                      <w:r w:rsidRPr="00954116">
                        <w:t xml:space="preserve">: </w:t>
                      </w:r>
                      <w:r w:rsidRPr="0052715B">
                        <w:t>Nondiscrimination P</w:t>
                      </w:r>
                      <w:r w:rsidRPr="005A6734">
                        <w:t>lan can be found at:</w:t>
                      </w:r>
                    </w:p>
                    <w:p w14:paraId="5475E904" w14:textId="5CE3FE17" w:rsidR="00C6444C" w:rsidRPr="00AA5DC5" w:rsidRDefault="00C6444C">
                      <w:pPr>
                        <w:pStyle w:val="Title"/>
                      </w:pPr>
                      <w:hyperlink r:id="rId804" w:history="1">
                        <w:r w:rsidRPr="00020D20">
                          <w:rPr>
                            <w:rStyle w:val="Hyperlink"/>
                            <w:rFonts w:asciiTheme="minorHAnsi" w:hAnsiTheme="minorHAnsi" w:cstheme="majorBidi"/>
                            <w:color w:val="CE5B18"/>
                            <w:u w:val="none"/>
                          </w:rPr>
                          <w:t>https://azdot.gov/business/civil-rights/title-vi-nondiscrimination-program</w:t>
                        </w:r>
                      </w:hyperlink>
                    </w:p>
                    <w:p w14:paraId="3723DCF7" w14:textId="3206376A" w:rsidR="00C6444C" w:rsidRPr="00267D04" w:rsidRDefault="00C6444C">
                      <w:pPr>
                        <w:pStyle w:val="Title"/>
                      </w:pPr>
                    </w:p>
                  </w:txbxContent>
                </v:textbox>
                <w10:wrap type="tight" anchorx="margin"/>
              </v:shape>
            </w:pict>
          </mc:Fallback>
        </mc:AlternateContent>
      </w:r>
      <w:r w:rsidR="000B701F" w:rsidRPr="000B701F">
        <w:rPr>
          <w:rFonts w:cstheme="minorHAnsi"/>
        </w:rPr>
        <w:t xml:space="preserve">The </w:t>
      </w:r>
      <w:r w:rsidR="00DB3779" w:rsidRPr="000B701F">
        <w:rPr>
          <w:rFonts w:cstheme="minorHAnsi"/>
        </w:rPr>
        <w:t>Title VI</w:t>
      </w:r>
      <w:r w:rsidR="00DB3779">
        <w:rPr>
          <w:rFonts w:cstheme="minorHAnsi"/>
        </w:rPr>
        <w:t xml:space="preserve"> </w:t>
      </w:r>
      <w:r w:rsidR="00DB3779" w:rsidRPr="000B701F">
        <w:rPr>
          <w:rFonts w:cstheme="minorHAnsi"/>
        </w:rPr>
        <w:t xml:space="preserve">Nondiscrimination </w:t>
      </w:r>
      <w:r w:rsidR="00DB3779">
        <w:rPr>
          <w:rFonts w:cstheme="minorHAnsi"/>
        </w:rPr>
        <w:t>Implementation Plan</w:t>
      </w:r>
      <w:r w:rsidR="00DB3779" w:rsidRPr="000B701F" w:rsidDel="00DB3779">
        <w:rPr>
          <w:rFonts w:cstheme="minorHAnsi"/>
        </w:rPr>
        <w:t xml:space="preserve"> </w:t>
      </w:r>
      <w:r w:rsidR="000B701F" w:rsidRPr="000B701F">
        <w:rPr>
          <w:rFonts w:cstheme="minorHAnsi"/>
        </w:rPr>
        <w:t>must be</w:t>
      </w:r>
      <w:r w:rsidR="000A528F">
        <w:rPr>
          <w:rFonts w:cstheme="minorHAnsi"/>
        </w:rPr>
        <w:t xml:space="preserve"> reviewed by the ADOT Civil Rights Office and </w:t>
      </w:r>
      <w:r w:rsidR="000B701F" w:rsidRPr="000B701F">
        <w:rPr>
          <w:rFonts w:cstheme="minorHAnsi"/>
        </w:rPr>
        <w:t xml:space="preserve">signed annually by the MPO’s signature authority. The ADOT </w:t>
      </w:r>
      <w:r w:rsidR="00DD7168">
        <w:rPr>
          <w:rFonts w:cstheme="minorHAnsi"/>
        </w:rPr>
        <w:t>Civil Rights Office</w:t>
      </w:r>
      <w:r w:rsidR="000B701F" w:rsidRPr="000B701F">
        <w:rPr>
          <w:rFonts w:cstheme="minorHAnsi"/>
        </w:rPr>
        <w:t xml:space="preserve"> is </w:t>
      </w:r>
      <w:r w:rsidR="000A528F">
        <w:rPr>
          <w:rFonts w:cstheme="minorHAnsi"/>
        </w:rPr>
        <w:t>required</w:t>
      </w:r>
      <w:r w:rsidR="000A528F" w:rsidRPr="000B701F">
        <w:rPr>
          <w:rFonts w:cstheme="minorHAnsi"/>
        </w:rPr>
        <w:t xml:space="preserve"> </w:t>
      </w:r>
      <w:r w:rsidR="000B701F" w:rsidRPr="000B701F">
        <w:rPr>
          <w:rFonts w:cstheme="minorHAnsi"/>
        </w:rPr>
        <w:t xml:space="preserve">to review </w:t>
      </w:r>
      <w:r w:rsidR="000A528F">
        <w:rPr>
          <w:rFonts w:cstheme="minorHAnsi"/>
        </w:rPr>
        <w:t xml:space="preserve">regional MPO Title VI </w:t>
      </w:r>
      <w:r w:rsidR="000B701F" w:rsidRPr="000B701F">
        <w:rPr>
          <w:rFonts w:cstheme="minorHAnsi"/>
        </w:rPr>
        <w:t>agreements</w:t>
      </w:r>
      <w:r w:rsidR="000A528F">
        <w:rPr>
          <w:rFonts w:cstheme="minorHAnsi"/>
        </w:rPr>
        <w:t xml:space="preserve"> submitted with the UPWP</w:t>
      </w:r>
      <w:r w:rsidR="00507C55">
        <w:rPr>
          <w:rFonts w:cstheme="minorHAnsi"/>
        </w:rPr>
        <w:t xml:space="preserve"> </w:t>
      </w:r>
      <w:r w:rsidR="000A528F">
        <w:rPr>
          <w:rFonts w:cstheme="minorHAnsi"/>
        </w:rPr>
        <w:t xml:space="preserve">that are required to be updated bi-annually </w:t>
      </w:r>
      <w:r w:rsidR="00507C55">
        <w:rPr>
          <w:rFonts w:cstheme="minorHAnsi"/>
        </w:rPr>
        <w:t xml:space="preserve">in </w:t>
      </w:r>
      <w:r w:rsidR="000B701F" w:rsidRPr="000B701F">
        <w:rPr>
          <w:rFonts w:cstheme="minorHAnsi"/>
        </w:rPr>
        <w:t xml:space="preserve">compliance with the </w:t>
      </w:r>
      <w:r w:rsidR="000B701F" w:rsidRPr="00FC2846">
        <w:rPr>
          <w:rStyle w:val="Heading5Char"/>
        </w:rPr>
        <w:t>ADOT Title VI</w:t>
      </w:r>
      <w:r w:rsidR="00507C55">
        <w:rPr>
          <w:rStyle w:val="Heading5Char"/>
        </w:rPr>
        <w:t xml:space="preserve"> </w:t>
      </w:r>
      <w:r w:rsidR="000B701F" w:rsidRPr="00FC2846">
        <w:rPr>
          <w:rStyle w:val="Heading5Char"/>
        </w:rPr>
        <w:t>Nondiscrimination Plan</w:t>
      </w:r>
      <w:r w:rsidR="000B701F" w:rsidRPr="000B701F">
        <w:rPr>
          <w:rFonts w:cstheme="minorHAnsi"/>
        </w:rPr>
        <w:t xml:space="preserve"> and related federal statutes. State COGs must have</w:t>
      </w:r>
      <w:r w:rsidR="00FE561E">
        <w:rPr>
          <w:rFonts w:cstheme="minorHAnsi"/>
        </w:rPr>
        <w:t xml:space="preserve"> a</w:t>
      </w:r>
      <w:r w:rsidR="000B701F" w:rsidRPr="000B701F">
        <w:rPr>
          <w:rFonts w:cstheme="minorHAnsi"/>
        </w:rPr>
        <w:t xml:space="preserve"> Title VI plan. </w:t>
      </w:r>
    </w:p>
    <w:p w14:paraId="00D41060" w14:textId="6AB65D50" w:rsidR="000B701F" w:rsidRPr="000B701F" w:rsidRDefault="000B701F" w:rsidP="00020D20">
      <w:pPr>
        <w:pStyle w:val="Heading2"/>
      </w:pPr>
      <w:bookmarkStart w:id="458" w:name="_Ref50034573"/>
      <w:r w:rsidRPr="000B701F">
        <w:t>12.5 | LIMITED ENGLISH PROFICIENCY</w:t>
      </w:r>
      <w:bookmarkEnd w:id="458"/>
      <w:r w:rsidRPr="000B701F">
        <w:t xml:space="preserve"> </w:t>
      </w:r>
    </w:p>
    <w:p w14:paraId="6284DE8E" w14:textId="6A6B60F7" w:rsidR="000B701F" w:rsidRPr="000B701F" w:rsidRDefault="000B701F" w:rsidP="00020D20">
      <w:pPr>
        <w:jc w:val="both"/>
        <w:rPr>
          <w:rFonts w:cstheme="minorHAnsi"/>
        </w:rPr>
      </w:pPr>
      <w:r w:rsidRPr="000B701F">
        <w:rPr>
          <w:rFonts w:cstheme="minorHAnsi"/>
        </w:rPr>
        <w:t>Persons with a limited ability to read, write, speak, or understand English are designated the status LEP within the construct of Title VI and implementing regulations. The LEP population includes “persons for whom English is not their primary language and who have a limited ability to speak, understand, read, or write English” (FTA 2012).</w:t>
      </w:r>
    </w:p>
    <w:p w14:paraId="1E5AE9D2" w14:textId="77777777" w:rsidR="000B701F" w:rsidRPr="000B701F" w:rsidRDefault="000B701F" w:rsidP="00020D20">
      <w:pPr>
        <w:pStyle w:val="Heading3"/>
        <w:jc w:val="both"/>
      </w:pPr>
      <w:bookmarkStart w:id="459" w:name="_Ref50034580"/>
      <w:r w:rsidRPr="000B701F">
        <w:t>12.5.1 | Background</w:t>
      </w:r>
      <w:bookmarkEnd w:id="459"/>
      <w:r w:rsidRPr="000B701F">
        <w:t xml:space="preserve"> </w:t>
      </w:r>
    </w:p>
    <w:p w14:paraId="5C4C437B" w14:textId="33B87E6F" w:rsidR="00A13A5D" w:rsidRPr="00020D20" w:rsidRDefault="000B701F" w:rsidP="00020D20">
      <w:pPr>
        <w:jc w:val="both"/>
        <w:rPr>
          <w:rFonts w:cstheme="minorHAnsi"/>
          <w:b/>
        </w:rPr>
      </w:pPr>
      <w:r w:rsidRPr="000B701F">
        <w:rPr>
          <w:rFonts w:cstheme="minorHAnsi"/>
        </w:rPr>
        <w:t xml:space="preserve">The U.S. Supreme Court, in Lau v. Nichols (414 U.S. 563 [1974]), ruled that Title VI regulations promulgated by the former </w:t>
      </w:r>
      <w:r w:rsidRPr="00722750">
        <w:rPr>
          <w:rStyle w:val="Heading5Char"/>
        </w:rPr>
        <w:t>Department of Health, Education, and Welfare</w:t>
      </w:r>
      <w:r w:rsidRPr="000B701F">
        <w:rPr>
          <w:rFonts w:cstheme="minorHAnsi"/>
        </w:rPr>
        <w:t xml:space="preserve"> (HEW) prohibit federal actions that have a disproportionate effect on LEP persons, because such conduct constitutes discrimination with respect to national origin. In response, Executive Order 13166, “Improving Access to Services for Persons with Limited English Proficiency” both established that differing treatment based upon a person’s inability to speak, read, write or understand English is a type of national origin discrimination and directed each federal agency to publish guidance clarifying the obligation of recipients of federal assistance to ensure such discrimination does not occur. Subsequently, USDOT issued “Policy Guidance Concerning Recipients’ Responsibilities to Limited English Proficient Persons,” dated December 14, 2005</w:t>
      </w:r>
      <w:r>
        <w:rPr>
          <w:rFonts w:cstheme="minorHAnsi"/>
        </w:rPr>
        <w:t xml:space="preserve"> </w:t>
      </w:r>
      <w:r w:rsidRPr="000B701F">
        <w:rPr>
          <w:rFonts w:cstheme="minorHAnsi"/>
        </w:rPr>
        <w:t xml:space="preserve">(70 FR 74087). Additional guidance is provided in </w:t>
      </w:r>
      <w:r w:rsidRPr="00100EA4">
        <w:rPr>
          <w:rStyle w:val="Heading5Char"/>
        </w:rPr>
        <w:t>Implementing the Department of Transportation’s Policy Guidance Concerning Recipients’ Responsibilities to Limited English Proficient (LEP) Persons: A Handbook for Public Transportation Providers,</w:t>
      </w:r>
      <w:r w:rsidRPr="000B701F">
        <w:rPr>
          <w:rFonts w:cstheme="minorHAnsi"/>
        </w:rPr>
        <w:t xml:space="preserve"> issued by the FTA Office of Civil Rights, </w:t>
      </w:r>
      <w:r w:rsidR="00853B0C">
        <w:rPr>
          <w:rFonts w:cstheme="minorHAnsi"/>
          <w:noProof/>
        </w:rPr>
        <mc:AlternateContent>
          <mc:Choice Requires="wpg">
            <w:drawing>
              <wp:anchor distT="0" distB="0" distL="114300" distR="114300" simplePos="0" relativeHeight="251618626" behindDoc="0" locked="0" layoutInCell="1" allowOverlap="1" wp14:anchorId="3CE36EF7" wp14:editId="3D61D4FE">
                <wp:simplePos x="0" y="0"/>
                <wp:positionH relativeFrom="column">
                  <wp:posOffset>12867</wp:posOffset>
                </wp:positionH>
                <wp:positionV relativeFrom="paragraph">
                  <wp:posOffset>2726745</wp:posOffset>
                </wp:positionV>
                <wp:extent cx="2783840" cy="2858770"/>
                <wp:effectExtent l="76200" t="57150" r="92710" b="93980"/>
                <wp:wrapSquare wrapText="bothSides"/>
                <wp:docPr id="816286057" name="Group 816286057"/>
                <wp:cNvGraphicFramePr/>
                <a:graphic xmlns:a="http://schemas.openxmlformats.org/drawingml/2006/main">
                  <a:graphicData uri="http://schemas.microsoft.com/office/word/2010/wordprocessingGroup">
                    <wpg:wgp>
                      <wpg:cNvGrpSpPr/>
                      <wpg:grpSpPr>
                        <a:xfrm>
                          <a:off x="0" y="0"/>
                          <a:ext cx="2783840" cy="2858770"/>
                          <a:chOff x="0" y="0"/>
                          <a:chExt cx="2784285" cy="2687481"/>
                        </a:xfrm>
                      </wpg:grpSpPr>
                      <wps:wsp>
                        <wps:cNvPr id="816286058" name="Text Box 816286058"/>
                        <wps:cNvSpPr txBox="1"/>
                        <wps:spPr>
                          <a:xfrm>
                            <a:off x="11875" y="29688"/>
                            <a:ext cx="2772410" cy="2657793"/>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720"/>
                                <w:gridCol w:w="3780"/>
                              </w:tblGrid>
                              <w:tr w:rsidR="00C6444C" w14:paraId="6422C545" w14:textId="77777777" w:rsidTr="00020D20">
                                <w:trPr>
                                  <w:trHeight w:val="901"/>
                                </w:trPr>
                                <w:tc>
                                  <w:tcPr>
                                    <w:tcW w:w="720" w:type="dxa"/>
                                    <w:shd w:val="clear" w:color="auto" w:fill="auto"/>
                                  </w:tcPr>
                                  <w:p w14:paraId="119ABAA7" w14:textId="77777777" w:rsidR="00C6444C" w:rsidRPr="00020D20" w:rsidRDefault="00C6444C">
                                    <w:pPr>
                                      <w:pStyle w:val="Calloutboxes"/>
                                      <w:rPr>
                                        <w:color w:val="012768"/>
                                      </w:rPr>
                                    </w:pPr>
                                  </w:p>
                                </w:tc>
                                <w:tc>
                                  <w:tcPr>
                                    <w:tcW w:w="3780" w:type="dxa"/>
                                    <w:shd w:val="clear" w:color="auto" w:fill="auto"/>
                                  </w:tcPr>
                                  <w:p w14:paraId="77F74519" w14:textId="77777777" w:rsidR="00C6444C" w:rsidRPr="00020D20" w:rsidRDefault="00C6444C" w:rsidP="00D30138">
                                    <w:pPr>
                                      <w:pStyle w:val="Calloutboxes"/>
                                      <w:jc w:val="left"/>
                                      <w:rPr>
                                        <w:color w:val="FFFFFF" w:themeColor="background1"/>
                                        <w:sz w:val="24"/>
                                        <w:szCs w:val="24"/>
                                      </w:rPr>
                                    </w:pPr>
                                  </w:p>
                                </w:tc>
                              </w:tr>
                              <w:tr w:rsidR="00C6444C" w14:paraId="30ED4738" w14:textId="77777777" w:rsidTr="00020D20">
                                <w:trPr>
                                  <w:trHeight w:val="352"/>
                                </w:trPr>
                                <w:tc>
                                  <w:tcPr>
                                    <w:tcW w:w="720" w:type="dxa"/>
                                    <w:tcBorders>
                                      <w:bottom w:val="single" w:sz="4" w:space="0" w:color="auto"/>
                                    </w:tcBorders>
                                    <w:vAlign w:val="center"/>
                                  </w:tcPr>
                                  <w:p w14:paraId="24F6C534" w14:textId="77777777" w:rsidR="00C6444C" w:rsidRDefault="00C6444C">
                                    <w:pPr>
                                      <w:pStyle w:val="Calloutboxes"/>
                                    </w:pPr>
                                    <w:r w:rsidRPr="00484631">
                                      <w:rPr>
                                        <w:noProof/>
                                      </w:rPr>
                                      <w:drawing>
                                        <wp:inline distT="0" distB="0" distL="0" distR="0" wp14:anchorId="1D3F2120" wp14:editId="19E68AA4">
                                          <wp:extent cx="91440" cy="91440"/>
                                          <wp:effectExtent l="0" t="0" r="3810" b="3810"/>
                                          <wp:docPr id="1690911571" name="Picture 169091157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bottom w:val="single" w:sz="4" w:space="0" w:color="auto"/>
                                    </w:tcBorders>
                                  </w:tcPr>
                                  <w:p w14:paraId="29F82D44" w14:textId="4F6FAAC9" w:rsidR="00C6444C" w:rsidRPr="00347D6E" w:rsidRDefault="00C6444C" w:rsidP="00347D6E">
                                    <w:pPr>
                                      <w:pStyle w:val="Calloutboxes"/>
                                      <w:jc w:val="left"/>
                                    </w:pPr>
                                    <w:r>
                                      <w:t>Identify LEP individuals and populations that need language assistance</w:t>
                                    </w:r>
                                  </w:p>
                                </w:tc>
                              </w:tr>
                              <w:tr w:rsidR="00C6444C" w14:paraId="717758AB" w14:textId="77777777" w:rsidTr="00020D20">
                                <w:trPr>
                                  <w:trHeight w:val="135"/>
                                </w:trPr>
                                <w:tc>
                                  <w:tcPr>
                                    <w:tcW w:w="720" w:type="dxa"/>
                                    <w:tcBorders>
                                      <w:top w:val="single" w:sz="4" w:space="0" w:color="auto"/>
                                      <w:bottom w:val="single" w:sz="4" w:space="0" w:color="auto"/>
                                    </w:tcBorders>
                                    <w:vAlign w:val="center"/>
                                  </w:tcPr>
                                  <w:p w14:paraId="19D20E0E" w14:textId="77777777" w:rsidR="00C6444C" w:rsidRDefault="00C6444C">
                                    <w:pPr>
                                      <w:pStyle w:val="Calloutboxes"/>
                                    </w:pPr>
                                    <w:r w:rsidRPr="00484631">
                                      <w:rPr>
                                        <w:noProof/>
                                      </w:rPr>
                                      <w:drawing>
                                        <wp:inline distT="0" distB="0" distL="0" distR="0" wp14:anchorId="3C616A07" wp14:editId="002D6E15">
                                          <wp:extent cx="88900" cy="88900"/>
                                          <wp:effectExtent l="0" t="0" r="6350" b="6350"/>
                                          <wp:docPr id="1690911572" name="Picture 169091157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2A71F957" w14:textId="5563377C" w:rsidR="00C6444C" w:rsidRPr="00347D6E" w:rsidRDefault="00C6444C" w:rsidP="00347D6E">
                                    <w:pPr>
                                      <w:pStyle w:val="Calloutboxes"/>
                                      <w:jc w:val="left"/>
                                    </w:pPr>
                                    <w:r>
                                      <w:t>Identify the methods and means by which language assistance will be provided under varying circumstances.</w:t>
                                    </w:r>
                                  </w:p>
                                </w:tc>
                              </w:tr>
                              <w:tr w:rsidR="00C6444C" w14:paraId="1278D64F" w14:textId="77777777" w:rsidTr="00020D20">
                                <w:trPr>
                                  <w:trHeight w:val="534"/>
                                </w:trPr>
                                <w:tc>
                                  <w:tcPr>
                                    <w:tcW w:w="720" w:type="dxa"/>
                                    <w:tcBorders>
                                      <w:top w:val="single" w:sz="4" w:space="0" w:color="auto"/>
                                      <w:bottom w:val="single" w:sz="4" w:space="0" w:color="auto"/>
                                    </w:tcBorders>
                                    <w:vAlign w:val="center"/>
                                  </w:tcPr>
                                  <w:p w14:paraId="0A917EB4" w14:textId="77777777" w:rsidR="00C6444C" w:rsidRDefault="00C6444C">
                                    <w:pPr>
                                      <w:pStyle w:val="Calloutboxes"/>
                                    </w:pPr>
                                    <w:r w:rsidRPr="00484631">
                                      <w:rPr>
                                        <w:noProof/>
                                      </w:rPr>
                                      <w:drawing>
                                        <wp:inline distT="0" distB="0" distL="0" distR="0" wp14:anchorId="69E4BF71" wp14:editId="07914B84">
                                          <wp:extent cx="91440" cy="91440"/>
                                          <wp:effectExtent l="0" t="0" r="3810" b="3810"/>
                                          <wp:docPr id="1690911573" name="Picture 169091157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0AB66622" w14:textId="731036B4" w:rsidR="00C6444C" w:rsidRPr="00347D6E" w:rsidRDefault="00C6444C" w:rsidP="00347D6E">
                                    <w:pPr>
                                      <w:pStyle w:val="Calloutboxes"/>
                                      <w:jc w:val="left"/>
                                    </w:pPr>
                                    <w:r>
                                      <w:t>Establish appropriate orientation and training practices to ensure employees (management and staff) in public contact positions have a full understanding of the importance of the LEP Plan and its implementation.</w:t>
                                    </w:r>
                                  </w:p>
                                </w:tc>
                              </w:tr>
                              <w:tr w:rsidR="00C6444C" w14:paraId="7B706335" w14:textId="77777777" w:rsidTr="00020D20">
                                <w:trPr>
                                  <w:trHeight w:val="47"/>
                                </w:trPr>
                                <w:tc>
                                  <w:tcPr>
                                    <w:tcW w:w="720" w:type="dxa"/>
                                    <w:tcBorders>
                                      <w:top w:val="single" w:sz="4" w:space="0" w:color="auto"/>
                                      <w:bottom w:val="single" w:sz="4" w:space="0" w:color="auto"/>
                                    </w:tcBorders>
                                    <w:vAlign w:val="center"/>
                                  </w:tcPr>
                                  <w:p w14:paraId="40C251C4" w14:textId="77777777" w:rsidR="00C6444C" w:rsidRDefault="00C6444C">
                                    <w:pPr>
                                      <w:pStyle w:val="Calloutboxes"/>
                                    </w:pPr>
                                    <w:r w:rsidRPr="00484631">
                                      <w:rPr>
                                        <w:noProof/>
                                      </w:rPr>
                                      <w:drawing>
                                        <wp:inline distT="0" distB="0" distL="0" distR="0" wp14:anchorId="6C0AB34F" wp14:editId="718DCBEB">
                                          <wp:extent cx="91440" cy="91440"/>
                                          <wp:effectExtent l="0" t="0" r="3810" b="3810"/>
                                          <wp:docPr id="1690911574" name="Picture 169091157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79C7A776" w14:textId="655C75B2" w:rsidR="00C6444C" w:rsidRPr="00347D6E" w:rsidRDefault="00C6444C" w:rsidP="00347D6E">
                                    <w:pPr>
                                      <w:pStyle w:val="Calloutboxes"/>
                                      <w:jc w:val="left"/>
                                    </w:pPr>
                                    <w:r>
                                      <w:t xml:space="preserve">Identify and create appropriate methods and means for informing LEP populations that language services are available. </w:t>
                                    </w:r>
                                  </w:p>
                                </w:tc>
                              </w:tr>
                              <w:tr w:rsidR="00C6444C" w14:paraId="1B3A9074" w14:textId="77777777" w:rsidTr="00020D20">
                                <w:trPr>
                                  <w:trHeight w:val="483"/>
                                </w:trPr>
                                <w:tc>
                                  <w:tcPr>
                                    <w:tcW w:w="720" w:type="dxa"/>
                                    <w:tcBorders>
                                      <w:top w:val="single" w:sz="4" w:space="0" w:color="auto"/>
                                    </w:tcBorders>
                                    <w:vAlign w:val="center"/>
                                  </w:tcPr>
                                  <w:p w14:paraId="219AE683" w14:textId="77777777" w:rsidR="00C6444C" w:rsidRDefault="00C6444C">
                                    <w:pPr>
                                      <w:pStyle w:val="Calloutboxes"/>
                                    </w:pPr>
                                    <w:r w:rsidRPr="00484631">
                                      <w:rPr>
                                        <w:noProof/>
                                      </w:rPr>
                                      <w:drawing>
                                        <wp:inline distT="0" distB="0" distL="0" distR="0" wp14:anchorId="67D4D7B3" wp14:editId="6B63EC6E">
                                          <wp:extent cx="91440" cy="91440"/>
                                          <wp:effectExtent l="0" t="0" r="3810" b="3810"/>
                                          <wp:docPr id="1690911575" name="Picture 169091157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tcBorders>
                                  </w:tcPr>
                                  <w:p w14:paraId="4E89E59D" w14:textId="4DCBD149" w:rsidR="00C6444C" w:rsidRPr="00347D6E" w:rsidRDefault="00C6444C" w:rsidP="00347D6E">
                                    <w:pPr>
                                      <w:pStyle w:val="Calloutboxes"/>
                                      <w:jc w:val="left"/>
                                    </w:pPr>
                                    <w:r>
                                      <w:t>Establish a process to monitor the accessibility of agency documents, programs, services, and activities as well as update both the LEP Plan and employees regarding any changes in services.</w:t>
                                    </w:r>
                                  </w:p>
                                </w:tc>
                              </w:tr>
                            </w:tbl>
                            <w:p w14:paraId="30C47281"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 name="Group 816286059"/>
                        <wpg:cNvGrpSpPr/>
                        <wpg:grpSpPr>
                          <a:xfrm>
                            <a:off x="0" y="0"/>
                            <a:ext cx="2784285" cy="684316"/>
                            <a:chOff x="0" y="0"/>
                            <a:chExt cx="2784285" cy="684316"/>
                          </a:xfrm>
                        </wpg:grpSpPr>
                        <wps:wsp>
                          <wps:cNvPr id="816286060" name="Rectangle 816286060"/>
                          <wps:cNvSpPr/>
                          <wps:spPr>
                            <a:xfrm>
                              <a:off x="11875" y="29688"/>
                              <a:ext cx="2772410" cy="57001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065" name="Text Box 816286065"/>
                          <wps:cNvSpPr txBox="1"/>
                          <wps:spPr>
                            <a:xfrm>
                              <a:off x="0" y="0"/>
                              <a:ext cx="684316" cy="684316"/>
                            </a:xfrm>
                            <a:prstGeom prst="rect">
                              <a:avLst/>
                            </a:prstGeom>
                            <a:noFill/>
                            <a:ln w="6350">
                              <a:noFill/>
                            </a:ln>
                            <a:effectLst/>
                          </wps:spPr>
                          <wps:txbx>
                            <w:txbxContent>
                              <w:p w14:paraId="73722235" w14:textId="77777777" w:rsidR="00C6444C" w:rsidRDefault="00C6444C" w:rsidP="00A13A5D">
                                <w:r>
                                  <w:rPr>
                                    <w:noProof/>
                                  </w:rPr>
                                  <w:drawing>
                                    <wp:inline distT="0" distB="0" distL="0" distR="0" wp14:anchorId="50BE35B4" wp14:editId="2C1F0CBD">
                                      <wp:extent cx="457200" cy="457200"/>
                                      <wp:effectExtent l="0" t="0" r="0" b="0"/>
                                      <wp:docPr id="1690911576" name="Picture 169091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6286067" name="Text Box 816286067"/>
                          <wps:cNvSpPr txBox="1"/>
                          <wps:spPr>
                            <a:xfrm>
                              <a:off x="581984" y="171293"/>
                              <a:ext cx="2047429" cy="428411"/>
                            </a:xfrm>
                            <a:prstGeom prst="rect">
                              <a:avLst/>
                            </a:prstGeom>
                            <a:noFill/>
                            <a:ln w="6350">
                              <a:noFill/>
                            </a:ln>
                            <a:effectLst/>
                          </wps:spPr>
                          <wps:txbx>
                            <w:txbxContent>
                              <w:p w14:paraId="3E387A0A" w14:textId="1F28C2FA" w:rsidR="00C6444C" w:rsidRPr="00020D20" w:rsidRDefault="00C6444C" w:rsidP="00020D20">
                                <w:pPr>
                                  <w:jc w:val="center"/>
                                  <w:rPr>
                                    <w:color w:val="FFFFFF" w:themeColor="background1"/>
                                  </w:rPr>
                                </w:pPr>
                                <w:r w:rsidRPr="00020D20">
                                  <w:rPr>
                                    <w:color w:val="FFFFFF" w:themeColor="background1"/>
                                  </w:rPr>
                                  <w:t>LEP PLAN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CE36EF7" id="Group 816286057" o:spid="_x0000_s1203" style="position:absolute;left:0;text-align:left;margin-left:1pt;margin-top:214.7pt;width:219.2pt;height:225.1pt;z-index:251618626;mso-width-relative:margin;mso-height-relative:margin" coordsize="27842,26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">
                <v:shape id="Text Box 816286058" o:spid="_x0000_s1204" type="#_x0000_t202" style="position:absolute;left:118;top:296;width:27724;height:2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720"/>
                          <w:gridCol w:w="3780"/>
                        </w:tblGrid>
                        <w:tr w:rsidR="00C6444C" w14:paraId="6422C545" w14:textId="77777777" w:rsidTr="00020D20">
                          <w:trPr>
                            <w:trHeight w:val="901"/>
                          </w:trPr>
                          <w:tc>
                            <w:tcPr>
                              <w:tcW w:w="720" w:type="dxa"/>
                              <w:shd w:val="clear" w:color="auto" w:fill="auto"/>
                            </w:tcPr>
                            <w:p w14:paraId="119ABAA7" w14:textId="77777777" w:rsidR="00C6444C" w:rsidRPr="00020D20" w:rsidRDefault="00C6444C">
                              <w:pPr>
                                <w:pStyle w:val="Calloutboxes"/>
                                <w:rPr>
                                  <w:color w:val="012768"/>
                                </w:rPr>
                              </w:pPr>
                            </w:p>
                          </w:tc>
                          <w:tc>
                            <w:tcPr>
                              <w:tcW w:w="3780" w:type="dxa"/>
                              <w:shd w:val="clear" w:color="auto" w:fill="auto"/>
                            </w:tcPr>
                            <w:p w14:paraId="77F74519" w14:textId="77777777" w:rsidR="00C6444C" w:rsidRPr="00020D20" w:rsidRDefault="00C6444C" w:rsidP="00D30138">
                              <w:pPr>
                                <w:pStyle w:val="Calloutboxes"/>
                                <w:jc w:val="left"/>
                                <w:rPr>
                                  <w:color w:val="FFFFFF" w:themeColor="background1"/>
                                  <w:sz w:val="24"/>
                                  <w:szCs w:val="24"/>
                                </w:rPr>
                              </w:pPr>
                            </w:p>
                          </w:tc>
                        </w:tr>
                        <w:tr w:rsidR="00C6444C" w14:paraId="30ED4738" w14:textId="77777777" w:rsidTr="00020D20">
                          <w:trPr>
                            <w:trHeight w:val="352"/>
                          </w:trPr>
                          <w:tc>
                            <w:tcPr>
                              <w:tcW w:w="720" w:type="dxa"/>
                              <w:tcBorders>
                                <w:bottom w:val="single" w:sz="4" w:space="0" w:color="auto"/>
                              </w:tcBorders>
                              <w:vAlign w:val="center"/>
                            </w:tcPr>
                            <w:p w14:paraId="24F6C534" w14:textId="77777777" w:rsidR="00C6444C" w:rsidRDefault="00C6444C">
                              <w:pPr>
                                <w:pStyle w:val="Calloutboxes"/>
                              </w:pPr>
                              <w:r w:rsidRPr="00484631">
                                <w:rPr>
                                  <w:noProof/>
                                </w:rPr>
                                <w:drawing>
                                  <wp:inline distT="0" distB="0" distL="0" distR="0" wp14:anchorId="1D3F2120" wp14:editId="19E68AA4">
                                    <wp:extent cx="91440" cy="91440"/>
                                    <wp:effectExtent l="0" t="0" r="3810" b="3810"/>
                                    <wp:docPr id="1690911571" name="Picture 169091157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bottom w:val="single" w:sz="4" w:space="0" w:color="auto"/>
                              </w:tcBorders>
                            </w:tcPr>
                            <w:p w14:paraId="29F82D44" w14:textId="4F6FAAC9" w:rsidR="00C6444C" w:rsidRPr="00347D6E" w:rsidRDefault="00C6444C" w:rsidP="00347D6E">
                              <w:pPr>
                                <w:pStyle w:val="Calloutboxes"/>
                                <w:jc w:val="left"/>
                              </w:pPr>
                              <w:r>
                                <w:t>Identify LEP individuals and populations that need language assistance</w:t>
                              </w:r>
                            </w:p>
                          </w:tc>
                        </w:tr>
                        <w:tr w:rsidR="00C6444C" w14:paraId="717758AB" w14:textId="77777777" w:rsidTr="00020D20">
                          <w:trPr>
                            <w:trHeight w:val="135"/>
                          </w:trPr>
                          <w:tc>
                            <w:tcPr>
                              <w:tcW w:w="720" w:type="dxa"/>
                              <w:tcBorders>
                                <w:top w:val="single" w:sz="4" w:space="0" w:color="auto"/>
                                <w:bottom w:val="single" w:sz="4" w:space="0" w:color="auto"/>
                              </w:tcBorders>
                              <w:vAlign w:val="center"/>
                            </w:tcPr>
                            <w:p w14:paraId="19D20E0E" w14:textId="77777777" w:rsidR="00C6444C" w:rsidRDefault="00C6444C">
                              <w:pPr>
                                <w:pStyle w:val="Calloutboxes"/>
                              </w:pPr>
                              <w:r w:rsidRPr="00484631">
                                <w:rPr>
                                  <w:noProof/>
                                </w:rPr>
                                <w:drawing>
                                  <wp:inline distT="0" distB="0" distL="0" distR="0" wp14:anchorId="3C616A07" wp14:editId="002D6E15">
                                    <wp:extent cx="88900" cy="88900"/>
                                    <wp:effectExtent l="0" t="0" r="6350" b="6350"/>
                                    <wp:docPr id="1690911572" name="Picture 169091157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2A71F957" w14:textId="5563377C" w:rsidR="00C6444C" w:rsidRPr="00347D6E" w:rsidRDefault="00C6444C" w:rsidP="00347D6E">
                              <w:pPr>
                                <w:pStyle w:val="Calloutboxes"/>
                                <w:jc w:val="left"/>
                              </w:pPr>
                              <w:r>
                                <w:t>Identify the methods and means by which language assistance will be provided under varying circumstances.</w:t>
                              </w:r>
                            </w:p>
                          </w:tc>
                        </w:tr>
                        <w:tr w:rsidR="00C6444C" w14:paraId="1278D64F" w14:textId="77777777" w:rsidTr="00020D20">
                          <w:trPr>
                            <w:trHeight w:val="534"/>
                          </w:trPr>
                          <w:tc>
                            <w:tcPr>
                              <w:tcW w:w="720" w:type="dxa"/>
                              <w:tcBorders>
                                <w:top w:val="single" w:sz="4" w:space="0" w:color="auto"/>
                                <w:bottom w:val="single" w:sz="4" w:space="0" w:color="auto"/>
                              </w:tcBorders>
                              <w:vAlign w:val="center"/>
                            </w:tcPr>
                            <w:p w14:paraId="0A917EB4" w14:textId="77777777" w:rsidR="00C6444C" w:rsidRDefault="00C6444C">
                              <w:pPr>
                                <w:pStyle w:val="Calloutboxes"/>
                              </w:pPr>
                              <w:r w:rsidRPr="00484631">
                                <w:rPr>
                                  <w:noProof/>
                                </w:rPr>
                                <w:drawing>
                                  <wp:inline distT="0" distB="0" distL="0" distR="0" wp14:anchorId="69E4BF71" wp14:editId="07914B84">
                                    <wp:extent cx="91440" cy="91440"/>
                                    <wp:effectExtent l="0" t="0" r="3810" b="3810"/>
                                    <wp:docPr id="1690911573" name="Picture 169091157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0AB66622" w14:textId="731036B4" w:rsidR="00C6444C" w:rsidRPr="00347D6E" w:rsidRDefault="00C6444C" w:rsidP="00347D6E">
                              <w:pPr>
                                <w:pStyle w:val="Calloutboxes"/>
                                <w:jc w:val="left"/>
                              </w:pPr>
                              <w:r>
                                <w:t>Establish appropriate orientation and training practices to ensure employees (management and staff) in public contact positions have a full understanding of the importance of the LEP Plan and its implementation.</w:t>
                              </w:r>
                            </w:p>
                          </w:tc>
                        </w:tr>
                        <w:tr w:rsidR="00C6444C" w14:paraId="7B706335" w14:textId="77777777" w:rsidTr="00020D20">
                          <w:trPr>
                            <w:trHeight w:val="47"/>
                          </w:trPr>
                          <w:tc>
                            <w:tcPr>
                              <w:tcW w:w="720" w:type="dxa"/>
                              <w:tcBorders>
                                <w:top w:val="single" w:sz="4" w:space="0" w:color="auto"/>
                                <w:bottom w:val="single" w:sz="4" w:space="0" w:color="auto"/>
                              </w:tcBorders>
                              <w:vAlign w:val="center"/>
                            </w:tcPr>
                            <w:p w14:paraId="40C251C4" w14:textId="77777777" w:rsidR="00C6444C" w:rsidRDefault="00C6444C">
                              <w:pPr>
                                <w:pStyle w:val="Calloutboxes"/>
                              </w:pPr>
                              <w:r w:rsidRPr="00484631">
                                <w:rPr>
                                  <w:noProof/>
                                </w:rPr>
                                <w:drawing>
                                  <wp:inline distT="0" distB="0" distL="0" distR="0" wp14:anchorId="6C0AB34F" wp14:editId="718DCBEB">
                                    <wp:extent cx="91440" cy="91440"/>
                                    <wp:effectExtent l="0" t="0" r="3810" b="3810"/>
                                    <wp:docPr id="1690911574" name="Picture 169091157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bottom w:val="single" w:sz="4" w:space="0" w:color="auto"/>
                              </w:tcBorders>
                            </w:tcPr>
                            <w:p w14:paraId="79C7A776" w14:textId="655C75B2" w:rsidR="00C6444C" w:rsidRPr="00347D6E" w:rsidRDefault="00C6444C" w:rsidP="00347D6E">
                              <w:pPr>
                                <w:pStyle w:val="Calloutboxes"/>
                                <w:jc w:val="left"/>
                              </w:pPr>
                              <w:r>
                                <w:t xml:space="preserve">Identify and create appropriate methods and means for informing LEP populations that language services are available. </w:t>
                              </w:r>
                            </w:p>
                          </w:tc>
                        </w:tr>
                        <w:tr w:rsidR="00C6444C" w14:paraId="1B3A9074" w14:textId="77777777" w:rsidTr="00020D20">
                          <w:trPr>
                            <w:trHeight w:val="483"/>
                          </w:trPr>
                          <w:tc>
                            <w:tcPr>
                              <w:tcW w:w="720" w:type="dxa"/>
                              <w:tcBorders>
                                <w:top w:val="single" w:sz="4" w:space="0" w:color="auto"/>
                              </w:tcBorders>
                              <w:vAlign w:val="center"/>
                            </w:tcPr>
                            <w:p w14:paraId="219AE683" w14:textId="77777777" w:rsidR="00C6444C" w:rsidRDefault="00C6444C">
                              <w:pPr>
                                <w:pStyle w:val="Calloutboxes"/>
                              </w:pPr>
                              <w:r w:rsidRPr="00484631">
                                <w:rPr>
                                  <w:noProof/>
                                </w:rPr>
                                <w:drawing>
                                  <wp:inline distT="0" distB="0" distL="0" distR="0" wp14:anchorId="67D4D7B3" wp14:editId="6B63EC6E">
                                    <wp:extent cx="91440" cy="91440"/>
                                    <wp:effectExtent l="0" t="0" r="3810" b="3810"/>
                                    <wp:docPr id="1690911575" name="Picture 169091157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tcBorders>
                            </w:tcPr>
                            <w:p w14:paraId="4E89E59D" w14:textId="4DCBD149" w:rsidR="00C6444C" w:rsidRPr="00347D6E" w:rsidRDefault="00C6444C" w:rsidP="00347D6E">
                              <w:pPr>
                                <w:pStyle w:val="Calloutboxes"/>
                                <w:jc w:val="left"/>
                              </w:pPr>
                              <w:r>
                                <w:t>Establish a process to monitor the accessibility of agency documents, programs, services, and activities as well as update both the LEP Plan and employees regarding any changes in services.</w:t>
                              </w:r>
                            </w:p>
                          </w:tc>
                        </w:tr>
                      </w:tbl>
                      <w:p w14:paraId="30C47281" w14:textId="77777777" w:rsidR="00C6444C" w:rsidRPr="00347D6E" w:rsidRDefault="00C6444C" w:rsidP="00020D20"/>
                    </w:txbxContent>
                  </v:textbox>
                </v:shape>
                <v:group id="Group 816286059" o:spid="_x0000_s1205" style="position:absolute;width:27842;height:6843" coordsize="27842,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816286060" o:spid="_x0000_s1206" style="position:absolute;left:118;top:296;width:27724;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" fillcolor="#012768" strokecolor="#1f4d78 [1604]" strokeweight="1pt"/>
                  <v:shape id="Text Box 816286065" o:spid="_x0000_s1207" type="#_x0000_t202" style="position:absolute;width:6843;height:6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" filled="f" stroked="f" strokeweight=".5pt">
                    <v:textbox>
                      <w:txbxContent>
                        <w:p w14:paraId="73722235" w14:textId="77777777" w:rsidR="00C6444C" w:rsidRDefault="00C6444C" w:rsidP="00A13A5D">
                          <w:r>
                            <w:rPr>
                              <w:noProof/>
                            </w:rPr>
                            <w:drawing>
                              <wp:inline distT="0" distB="0" distL="0" distR="0" wp14:anchorId="50BE35B4" wp14:editId="2C1F0CBD">
                                <wp:extent cx="457200" cy="457200"/>
                                <wp:effectExtent l="0" t="0" r="0" b="0"/>
                                <wp:docPr id="1690911576" name="Picture 169091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xbxContent>
                    </v:textbox>
                  </v:shape>
                  <v:shape id="Text Box 816286067" o:spid="_x0000_s1208" type="#_x0000_t202" style="position:absolute;left:5819;top:1712;width:20475;height: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" filled="f" stroked="f" strokeweight=".5pt">
                    <v:textbox>
                      <w:txbxContent>
                        <w:p w14:paraId="3E387A0A" w14:textId="1F28C2FA" w:rsidR="00C6444C" w:rsidRPr="00020D20" w:rsidRDefault="00C6444C" w:rsidP="00020D20">
                          <w:pPr>
                            <w:jc w:val="center"/>
                            <w:rPr>
                              <w:color w:val="FFFFFF" w:themeColor="background1"/>
                            </w:rPr>
                          </w:pPr>
                          <w:r w:rsidRPr="00020D20">
                            <w:rPr>
                              <w:color w:val="FFFFFF" w:themeColor="background1"/>
                            </w:rPr>
                            <w:t>LEP PLAN PROCEDURES</w:t>
                          </w:r>
                        </w:p>
                      </w:txbxContent>
                    </v:textbox>
                  </v:shape>
                </v:group>
                <w10:wrap type="square"/>
              </v:group>
            </w:pict>
          </mc:Fallback>
        </mc:AlternateContent>
      </w:r>
      <w:r w:rsidRPr="000B701F">
        <w:rPr>
          <w:rFonts w:cstheme="minorHAnsi"/>
        </w:rPr>
        <w:t>April 13, 2007.</w:t>
      </w:r>
    </w:p>
    <w:p w14:paraId="168B05D8" w14:textId="361C9CE9" w:rsidR="000B701F" w:rsidRPr="000B701F" w:rsidRDefault="000B701F" w:rsidP="00020D20">
      <w:pPr>
        <w:pStyle w:val="Heading3"/>
        <w:jc w:val="both"/>
      </w:pPr>
      <w:bookmarkStart w:id="460" w:name="_Ref50034584"/>
      <w:r w:rsidRPr="000B701F">
        <w:t>12.5.2 | LEP Plan</w:t>
      </w:r>
      <w:bookmarkEnd w:id="460"/>
      <w:r w:rsidRPr="000B701F">
        <w:t xml:space="preserve"> </w:t>
      </w:r>
    </w:p>
    <w:p w14:paraId="6E6BE38B" w14:textId="7EFA3EF4" w:rsidR="000B701F" w:rsidRPr="000B701F" w:rsidRDefault="000B701F" w:rsidP="00020D20">
      <w:pPr>
        <w:jc w:val="both"/>
        <w:rPr>
          <w:rFonts w:cstheme="minorHAnsi"/>
          <w:b/>
        </w:rPr>
      </w:pPr>
      <w:r w:rsidRPr="000B701F">
        <w:rPr>
          <w:rFonts w:cstheme="minorHAnsi"/>
        </w:rPr>
        <w:t>USDOT LEP guidance specifies that recipients of federal assistance are required to take reasonable steps to ensure LEP persons are afforded meaningful access to their programs and activities. This requires development of a plan that is fact dependent, yet flexible, and balances the four critical factors defined by the U.S. Department of Justice (DOJ):</w:t>
      </w:r>
    </w:p>
    <w:p w14:paraId="3C052E8D" w14:textId="77777777" w:rsidR="000B701F" w:rsidRPr="000B701F" w:rsidRDefault="000B701F" w:rsidP="00020D20">
      <w:pPr>
        <w:pStyle w:val="NumberedList"/>
        <w:numPr>
          <w:ilvl w:val="0"/>
          <w:numId w:val="280"/>
        </w:numPr>
        <w:jc w:val="both"/>
      </w:pPr>
      <w:r w:rsidRPr="000B701F">
        <w:t>Number or proportion of LEP persons eligible to be served or likely to be encountered by a program, activity, or service of the recipient or grantee;</w:t>
      </w:r>
    </w:p>
    <w:p w14:paraId="2DD7B629" w14:textId="77777777" w:rsidR="000B701F" w:rsidRPr="000B701F" w:rsidRDefault="000B701F" w:rsidP="00020D20">
      <w:pPr>
        <w:pStyle w:val="NumberedList"/>
        <w:jc w:val="both"/>
      </w:pPr>
      <w:r w:rsidRPr="000B701F">
        <w:t xml:space="preserve">Frequency with which LEP individuals come in contact with the program; </w:t>
      </w:r>
    </w:p>
    <w:p w14:paraId="4773FBB1" w14:textId="77777777" w:rsidR="000B701F" w:rsidRPr="000B701F" w:rsidRDefault="000B701F" w:rsidP="00020D20">
      <w:pPr>
        <w:pStyle w:val="NumberedList"/>
        <w:jc w:val="both"/>
      </w:pPr>
      <w:r w:rsidRPr="000B701F">
        <w:t xml:space="preserve">Nature and importance of the program, activity, or service provided by the recipient to people’s lives; and </w:t>
      </w:r>
    </w:p>
    <w:p w14:paraId="478B8300" w14:textId="77777777" w:rsidR="000B701F" w:rsidRPr="000B701F" w:rsidRDefault="000B701F" w:rsidP="00020D20">
      <w:pPr>
        <w:pStyle w:val="NumberedList"/>
        <w:jc w:val="both"/>
      </w:pPr>
      <w:r w:rsidRPr="000B701F">
        <w:t xml:space="preserve">Resources available to the recipient and costs. </w:t>
      </w:r>
    </w:p>
    <w:p w14:paraId="4E2D7EB3" w14:textId="47D736A0" w:rsidR="000B701F" w:rsidRPr="000B701F" w:rsidRDefault="000B701F" w:rsidP="00020D20">
      <w:pPr>
        <w:jc w:val="both"/>
        <w:rPr>
          <w:rFonts w:cstheme="minorHAnsi"/>
        </w:rPr>
      </w:pPr>
      <w:r w:rsidRPr="000B701F">
        <w:rPr>
          <w:rFonts w:cstheme="minorHAnsi"/>
        </w:rPr>
        <w:t>The results of this analysis provide a reasonable basis for identifying different language assistance measures necessary to ensure meaningful access for LEP persons to the different types of programs or activities in which the recipient engages. The following steps are recommended for MPOs that determine an LEP Plan is useful and beneficial to the conduct of its Title VI/Environmental Justice Program and in meeting compliance requirements.</w:t>
      </w:r>
    </w:p>
    <w:p w14:paraId="426281DA" w14:textId="302EAA2A" w:rsidR="000B701F" w:rsidRPr="000B701F" w:rsidRDefault="000B701F" w:rsidP="00020D20">
      <w:pPr>
        <w:jc w:val="both"/>
        <w:rPr>
          <w:rFonts w:cstheme="minorHAnsi"/>
        </w:rPr>
      </w:pPr>
      <w:r w:rsidRPr="000B701F">
        <w:rPr>
          <w:rFonts w:cstheme="minorHAnsi"/>
        </w:rPr>
        <w:t>The LEP Plan establish</w:t>
      </w:r>
      <w:r w:rsidR="00795380">
        <w:rPr>
          <w:rFonts w:cstheme="minorHAnsi"/>
        </w:rPr>
        <w:t>es</w:t>
      </w:r>
      <w:r w:rsidRPr="000B701F">
        <w:rPr>
          <w:rFonts w:cstheme="minorHAnsi"/>
        </w:rPr>
        <w:t xml:space="preserve"> a framework for consistently determining the types of documents and activities (e.g., public meetings, workshops) critical to ensuring meaningful access for LEP person and full participation in federally assisted systems and services. The LEP Plan should serve to document compliance as well as establish a process for providing timely and reasonable language assistance. The plan </w:t>
      </w:r>
      <w:r w:rsidR="00795380">
        <w:rPr>
          <w:rFonts w:cstheme="minorHAnsi"/>
        </w:rPr>
        <w:t>should</w:t>
      </w:r>
      <w:r w:rsidRPr="000B701F">
        <w:rPr>
          <w:rFonts w:cstheme="minorHAnsi"/>
        </w:rPr>
        <w:t xml:space="preserve"> incorporate procedures and guidance for training, administration, planning, and budgeting to aid agency managers and staff. </w:t>
      </w:r>
    </w:p>
    <w:p w14:paraId="581C6674" w14:textId="77777777" w:rsidR="000B701F" w:rsidRPr="000B701F" w:rsidRDefault="000B701F" w:rsidP="00020D20">
      <w:pPr>
        <w:pStyle w:val="Heading2"/>
      </w:pPr>
      <w:bookmarkStart w:id="461" w:name="_Ref50034592"/>
      <w:r w:rsidRPr="000B701F">
        <w:t>12.6 | PUBLIC INVOLVEMENT, TITLE VI, &amp; ENVIRONMENTAL JUSTICE</w:t>
      </w:r>
      <w:bookmarkEnd w:id="461"/>
    </w:p>
    <w:p w14:paraId="54935D4F" w14:textId="4379D841" w:rsidR="000B701F" w:rsidRPr="000B701F" w:rsidRDefault="000B701F" w:rsidP="00020D20">
      <w:pPr>
        <w:jc w:val="both"/>
        <w:rPr>
          <w:rFonts w:cstheme="minorHAnsi"/>
        </w:rPr>
      </w:pPr>
      <w:r w:rsidRPr="000B701F">
        <w:rPr>
          <w:rFonts w:cstheme="minorHAnsi"/>
        </w:rPr>
        <w:t>Public involvement is an integral part of transportation planning and project development decision making</w:t>
      </w:r>
      <w:r w:rsidR="00FE561E">
        <w:rPr>
          <w:rFonts w:cstheme="minorHAnsi"/>
        </w:rPr>
        <w:t xml:space="preserve"> and </w:t>
      </w:r>
      <w:r w:rsidRPr="000B701F">
        <w:rPr>
          <w:rFonts w:cstheme="minorHAnsi"/>
        </w:rPr>
        <w:t>Title VI and Environmental Justice should be considered in</w:t>
      </w:r>
      <w:r w:rsidR="00FE561E">
        <w:rPr>
          <w:rFonts w:cstheme="minorHAnsi"/>
        </w:rPr>
        <w:t xml:space="preserve"> this, and</w:t>
      </w:r>
      <w:r w:rsidRPr="000B701F">
        <w:rPr>
          <w:rFonts w:cstheme="minorHAnsi"/>
        </w:rPr>
        <w:t xml:space="preserve"> all</w:t>
      </w:r>
      <w:r w:rsidR="00FE561E">
        <w:rPr>
          <w:rFonts w:cstheme="minorHAnsi"/>
        </w:rPr>
        <w:t>,</w:t>
      </w:r>
      <w:r w:rsidRPr="000B701F">
        <w:rPr>
          <w:rFonts w:cstheme="minorHAnsi"/>
        </w:rPr>
        <w:t xml:space="preserve"> aspects of </w:t>
      </w:r>
      <w:r w:rsidR="00FE561E">
        <w:rPr>
          <w:rFonts w:cstheme="minorHAnsi"/>
        </w:rPr>
        <w:t>the process.</w:t>
      </w:r>
    </w:p>
    <w:p w14:paraId="346F927E" w14:textId="0DB6F861" w:rsidR="000B701F" w:rsidRPr="000B701F" w:rsidRDefault="000B701F" w:rsidP="00020D20">
      <w:pPr>
        <w:pStyle w:val="Heading3"/>
        <w:jc w:val="both"/>
      </w:pPr>
      <w:bookmarkStart w:id="462" w:name="_Ref50034598"/>
      <w:r w:rsidRPr="000B701F">
        <w:t>12.6.1 | Public Involvement During Planning</w:t>
      </w:r>
      <w:bookmarkEnd w:id="462"/>
    </w:p>
    <w:p w14:paraId="76270506" w14:textId="45C5A34D" w:rsidR="000B701F" w:rsidRPr="000B701F" w:rsidRDefault="000B701F" w:rsidP="00020D20">
      <w:pPr>
        <w:jc w:val="both"/>
        <w:rPr>
          <w:rFonts w:cstheme="minorHAnsi"/>
        </w:rPr>
      </w:pPr>
      <w:r w:rsidRPr="000B701F">
        <w:rPr>
          <w:rFonts w:cstheme="minorHAnsi"/>
        </w:rPr>
        <w:t>The USDOT Order 5610.2(a) directs that access to information relating to federally assisted policies, programs, and activities must be made</w:t>
      </w:r>
      <w:r w:rsidR="00FC2846">
        <w:rPr>
          <w:rFonts w:cstheme="minorHAnsi"/>
        </w:rPr>
        <w:t xml:space="preserve"> </w:t>
      </w:r>
      <w:r w:rsidRPr="000B701F">
        <w:rPr>
          <w:rFonts w:cstheme="minorHAnsi"/>
        </w:rPr>
        <w:t xml:space="preserve">available to </w:t>
      </w:r>
      <w:r w:rsidR="00795380">
        <w:rPr>
          <w:rFonts w:cstheme="minorHAnsi"/>
        </w:rPr>
        <w:t xml:space="preserve">all those impacted by an agency’s actions and specifically to identified </w:t>
      </w:r>
      <w:r w:rsidRPr="000B701F">
        <w:rPr>
          <w:rFonts w:cstheme="minorHAnsi"/>
        </w:rPr>
        <w:t>Environmental Justice populations</w:t>
      </w:r>
      <w:r w:rsidR="00795380">
        <w:rPr>
          <w:rFonts w:cstheme="minorHAnsi"/>
        </w:rPr>
        <w:t xml:space="preserve"> within a study area</w:t>
      </w:r>
      <w:r w:rsidRPr="000B701F">
        <w:rPr>
          <w:rFonts w:cstheme="minorHAnsi"/>
        </w:rPr>
        <w:t xml:space="preserve">. In addition, </w:t>
      </w:r>
      <w:r w:rsidR="00795380">
        <w:rPr>
          <w:rFonts w:cstheme="minorHAnsi"/>
        </w:rPr>
        <w:t>to Environmental Justice</w:t>
      </w:r>
      <w:r w:rsidR="00795380" w:rsidRPr="000B701F">
        <w:rPr>
          <w:rFonts w:cstheme="minorHAnsi"/>
        </w:rPr>
        <w:t xml:space="preserve"> </w:t>
      </w:r>
      <w:r w:rsidRPr="000B701F">
        <w:rPr>
          <w:rFonts w:cstheme="minorHAnsi"/>
        </w:rPr>
        <w:t xml:space="preserve">populations </w:t>
      </w:r>
      <w:r w:rsidR="00795380">
        <w:rPr>
          <w:rFonts w:cstheme="minorHAnsi"/>
        </w:rPr>
        <w:t xml:space="preserve">all those impacted </w:t>
      </w:r>
      <w:r w:rsidRPr="000B701F">
        <w:rPr>
          <w:rFonts w:cstheme="minorHAnsi"/>
        </w:rPr>
        <w:t>must be afforded opportunities to participate in policy and planning matters that may impact human health and the environment</w:t>
      </w:r>
      <w:r w:rsidR="00795380">
        <w:rPr>
          <w:rFonts w:cstheme="minorHAnsi"/>
        </w:rPr>
        <w:t xml:space="preserve"> in compliance with Title VI</w:t>
      </w:r>
      <w:r w:rsidRPr="000B701F">
        <w:rPr>
          <w:rFonts w:cstheme="minorHAnsi"/>
        </w:rPr>
        <w:t xml:space="preserve">. </w:t>
      </w:r>
      <w:r w:rsidR="00795380">
        <w:rPr>
          <w:rFonts w:cstheme="minorHAnsi"/>
        </w:rPr>
        <w:t>The FAST Act</w:t>
      </w:r>
      <w:r w:rsidRPr="000B701F">
        <w:rPr>
          <w:rFonts w:cstheme="minorHAnsi"/>
        </w:rPr>
        <w:t xml:space="preserve"> also emphasizes the meaningful involvement by all the public in transportation decision making. The USDOT order specifies</w:t>
      </w:r>
      <w:r w:rsidR="00FE561E">
        <w:rPr>
          <w:rFonts w:cstheme="minorHAnsi"/>
        </w:rPr>
        <w:t xml:space="preserve"> these</w:t>
      </w:r>
      <w:r w:rsidR="00795380">
        <w:rPr>
          <w:rFonts w:cstheme="minorHAnsi"/>
        </w:rPr>
        <w:t xml:space="preserve"> as</w:t>
      </w:r>
      <w:r w:rsidRPr="000B701F">
        <w:rPr>
          <w:rFonts w:cstheme="minorHAnsi"/>
        </w:rPr>
        <w:t xml:space="preserve"> two guiding principles</w:t>
      </w:r>
      <w:r w:rsidR="00E71AD9">
        <w:rPr>
          <w:rFonts w:cstheme="minorHAnsi"/>
        </w:rPr>
        <w:t>,</w:t>
      </w:r>
      <w:r w:rsidRPr="000B701F">
        <w:rPr>
          <w:rFonts w:cstheme="minorHAnsi"/>
        </w:rPr>
        <w:t xml:space="preserve"> for integrating Environmental Justice into the operations of organizations receiving federal assistance.</w:t>
      </w:r>
    </w:p>
    <w:p w14:paraId="1342A359" w14:textId="05A67375" w:rsidR="000B701F" w:rsidRPr="000B701F" w:rsidRDefault="006F18AB" w:rsidP="00020D20">
      <w:pPr>
        <w:jc w:val="both"/>
        <w:rPr>
          <w:rFonts w:cstheme="minorHAnsi"/>
          <w:b/>
        </w:rPr>
      </w:pPr>
      <w:r>
        <w:rPr>
          <w:rFonts w:cstheme="minorHAnsi"/>
          <w:noProof/>
        </w:rPr>
        <mc:AlternateContent>
          <mc:Choice Requires="wps">
            <w:drawing>
              <wp:anchor distT="0" distB="0" distL="114300" distR="114300" simplePos="0" relativeHeight="251618351" behindDoc="1" locked="0" layoutInCell="1" allowOverlap="1" wp14:anchorId="52EA1788" wp14:editId="6D34D71B">
                <wp:simplePos x="0" y="0"/>
                <wp:positionH relativeFrom="column">
                  <wp:posOffset>0</wp:posOffset>
                </wp:positionH>
                <wp:positionV relativeFrom="paragraph">
                  <wp:posOffset>49530</wp:posOffset>
                </wp:positionV>
                <wp:extent cx="1258570" cy="1235075"/>
                <wp:effectExtent l="76200" t="76200" r="74930" b="79375"/>
                <wp:wrapTight wrapText="bothSides">
                  <wp:wrapPolygon edited="0">
                    <wp:start x="-981" y="-1333"/>
                    <wp:lineTo x="-1308" y="-999"/>
                    <wp:lineTo x="-1308" y="22655"/>
                    <wp:lineTo x="22559" y="22655"/>
                    <wp:lineTo x="22559" y="4331"/>
                    <wp:lineTo x="22232" y="-666"/>
                    <wp:lineTo x="22232" y="-1333"/>
                    <wp:lineTo x="-981" y="-1333"/>
                  </wp:wrapPolygon>
                </wp:wrapTight>
                <wp:docPr id="816286074" name="Text Box 816286074"/>
                <wp:cNvGraphicFramePr/>
                <a:graphic xmlns:a="http://schemas.openxmlformats.org/drawingml/2006/main">
                  <a:graphicData uri="http://schemas.microsoft.com/office/word/2010/wordprocessingShape">
                    <wps:wsp>
                      <wps:cNvSpPr txBox="1"/>
                      <wps:spPr>
                        <a:xfrm>
                          <a:off x="0" y="0"/>
                          <a:ext cx="1258570" cy="12350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B873E8B" w14:textId="77777777" w:rsidR="00C6444C" w:rsidRDefault="00C6444C" w:rsidP="00020D20">
                            <w:pPr>
                              <w:jc w:val="center"/>
                            </w:pPr>
                            <w:r>
                              <w:rPr>
                                <w:noProof/>
                              </w:rPr>
                              <w:drawing>
                                <wp:inline distT="0" distB="0" distL="0" distR="0" wp14:anchorId="24939A3E" wp14:editId="75D3DEDA">
                                  <wp:extent cx="457200" cy="457200"/>
                                  <wp:effectExtent l="0" t="0" r="0" b="0"/>
                                  <wp:docPr id="1690911577" name="Picture 169091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3B9F889" w14:textId="555A4F08" w:rsidR="00C6444C" w:rsidRPr="00267D04" w:rsidRDefault="00C6444C">
                            <w:pPr>
                              <w:pStyle w:val="Calloutboxes"/>
                            </w:pPr>
                            <w:r>
                              <w:t>Each MPO and COG should identify and post a specific Title VI contact Person.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EA1788" id="Text Box 816286074" o:spid="_x0000_s1209" type="#_x0000_t202" style="position:absolute;left:0;text-align:left;margin-left:0;margin-top:3.9pt;width:99.1pt;height:97.25pt;z-index:-251698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" fillcolor="#f7f7f7" stroked="f" strokeweight=".5pt">
                <v:shadow on="t" type="perspective" color="black" opacity="26214f" offset="0,0" matrix="66847f,,,66847f"/>
                <v:textbox>
                  <w:txbxContent>
                    <w:p w14:paraId="6B873E8B" w14:textId="77777777" w:rsidR="00C6444C" w:rsidRDefault="00C6444C" w:rsidP="00020D20">
                      <w:pPr>
                        <w:jc w:val="center"/>
                      </w:pPr>
                      <w:r>
                        <w:rPr>
                          <w:noProof/>
                        </w:rPr>
                        <w:drawing>
                          <wp:inline distT="0" distB="0" distL="0" distR="0" wp14:anchorId="24939A3E" wp14:editId="75D3DEDA">
                            <wp:extent cx="457200" cy="457200"/>
                            <wp:effectExtent l="0" t="0" r="0" b="0"/>
                            <wp:docPr id="1690911577" name="Picture 169091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3B9F889" w14:textId="555A4F08" w:rsidR="00C6444C" w:rsidRPr="00267D04" w:rsidRDefault="00C6444C">
                      <w:pPr>
                        <w:pStyle w:val="Calloutboxes"/>
                      </w:pPr>
                      <w:r>
                        <w:t>Each MPO and COG should identify and post a specific Title VI contact Person.</w:t>
                      </w:r>
                    </w:p>
                  </w:txbxContent>
                </v:textbox>
                <w10:wrap type="tight"/>
              </v:shape>
            </w:pict>
          </mc:Fallback>
        </mc:AlternateContent>
      </w:r>
      <w:r w:rsidR="00585077">
        <w:rPr>
          <w:rFonts w:cstheme="minorHAnsi"/>
          <w:noProof/>
        </w:rPr>
        <mc:AlternateContent>
          <mc:Choice Requires="wps">
            <w:drawing>
              <wp:anchor distT="0" distB="0" distL="114300" distR="114300" simplePos="0" relativeHeight="251618352" behindDoc="1" locked="0" layoutInCell="1" allowOverlap="1" wp14:anchorId="60B9299E" wp14:editId="1F2D27EA">
                <wp:simplePos x="0" y="0"/>
                <wp:positionH relativeFrom="column">
                  <wp:posOffset>0</wp:posOffset>
                </wp:positionH>
                <wp:positionV relativeFrom="paragraph">
                  <wp:posOffset>1359535</wp:posOffset>
                </wp:positionV>
                <wp:extent cx="1258570" cy="1469390"/>
                <wp:effectExtent l="76200" t="95250" r="74930" b="92710"/>
                <wp:wrapTight wrapText="bothSides">
                  <wp:wrapPolygon edited="0">
                    <wp:start x="-1308" y="-1400"/>
                    <wp:lineTo x="-1308" y="22683"/>
                    <wp:lineTo x="22559" y="22683"/>
                    <wp:lineTo x="22559" y="-1400"/>
                    <wp:lineTo x="-1308" y="-1400"/>
                  </wp:wrapPolygon>
                </wp:wrapTight>
                <wp:docPr id="816286076" name="Text Box 816286076"/>
                <wp:cNvGraphicFramePr/>
                <a:graphic xmlns:a="http://schemas.openxmlformats.org/drawingml/2006/main">
                  <a:graphicData uri="http://schemas.microsoft.com/office/word/2010/wordprocessingShape">
                    <wps:wsp>
                      <wps:cNvSpPr txBox="1"/>
                      <wps:spPr>
                        <a:xfrm>
                          <a:off x="0" y="0"/>
                          <a:ext cx="1258570" cy="146939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8DF009D" w14:textId="77777777" w:rsidR="00C6444C" w:rsidRDefault="00C6444C" w:rsidP="00020D20">
                            <w:pPr>
                              <w:jc w:val="center"/>
                            </w:pPr>
                            <w:r>
                              <w:rPr>
                                <w:noProof/>
                              </w:rPr>
                              <w:drawing>
                                <wp:inline distT="0" distB="0" distL="0" distR="0" wp14:anchorId="690CF5BA" wp14:editId="322A356A">
                                  <wp:extent cx="457200" cy="457200"/>
                                  <wp:effectExtent l="0" t="0" r="0" b="0"/>
                                  <wp:docPr id="1690911578" name="Picture 169091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1DA06D1" w14:textId="37C063CA" w:rsidR="00C6444C" w:rsidRPr="00267D04" w:rsidRDefault="00C6444C">
                            <w:pPr>
                              <w:pStyle w:val="Calloutboxes"/>
                            </w:pPr>
                            <w:r>
                              <w:t>Arizona Department of Transportation Civil Rights Office 1135 N. 22nd Ave., 2nd Floor Phoenix, AZ 85009 #: 602-712-7761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B9299E" id="Text Box 816286076" o:spid="_x0000_s1210" type="#_x0000_t202" style="position:absolute;left:0;text-align:left;margin-left:0;margin-top:107.05pt;width:99.1pt;height:115.7pt;z-index:-25169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" fillcolor="#f7f7f7" stroked="f" strokeweight=".5pt">
                <v:shadow on="t" type="perspective" color="black" opacity="26214f" offset="0,0" matrix="66847f,,,66847f"/>
                <v:textbox>
                  <w:txbxContent>
                    <w:p w14:paraId="18DF009D" w14:textId="77777777" w:rsidR="00C6444C" w:rsidRDefault="00C6444C" w:rsidP="00020D20">
                      <w:pPr>
                        <w:jc w:val="center"/>
                      </w:pPr>
                      <w:r>
                        <w:rPr>
                          <w:noProof/>
                        </w:rPr>
                        <w:drawing>
                          <wp:inline distT="0" distB="0" distL="0" distR="0" wp14:anchorId="690CF5BA" wp14:editId="322A356A">
                            <wp:extent cx="457200" cy="457200"/>
                            <wp:effectExtent l="0" t="0" r="0" b="0"/>
                            <wp:docPr id="1690911578" name="Picture 169091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1DA06D1" w14:textId="37C063CA" w:rsidR="00C6444C" w:rsidRPr="00267D04" w:rsidRDefault="00C6444C">
                      <w:pPr>
                        <w:pStyle w:val="Calloutboxes"/>
                      </w:pPr>
                      <w:r>
                        <w:t>Arizona Department of Transportation Civil Rights Office 1135 N. 22nd Ave., 2nd Floor Phoenix, AZ 85009 #: 602-712-7761</w:t>
                      </w:r>
                    </w:p>
                  </w:txbxContent>
                </v:textbox>
                <w10:wrap type="tight"/>
              </v:shape>
            </w:pict>
          </mc:Fallback>
        </mc:AlternateContent>
      </w:r>
      <w:r w:rsidR="000B701F" w:rsidRPr="000B701F">
        <w:rPr>
          <w:rFonts w:cstheme="minorHAnsi"/>
        </w:rPr>
        <w:t xml:space="preserve">USDOT Order 5610.2(a) further stipulates that “DOT managers and staff must administer their programs in a manner to assure that no person is excluded from participating in, denied the benefits of, or subjected to discrimination by any program or activity” (USDOT 2012a, 27535). Because recipients of federal assistance are subject to administration by DOT, they are expected to comply with this </w:t>
      </w:r>
      <w:r w:rsidR="00795380">
        <w:rPr>
          <w:rFonts w:cstheme="minorHAnsi"/>
        </w:rPr>
        <w:t>order</w:t>
      </w:r>
      <w:r w:rsidR="000B701F" w:rsidRPr="000B701F">
        <w:rPr>
          <w:rFonts w:cstheme="minorHAnsi"/>
        </w:rPr>
        <w:t>. To actively administer and monitor to identify the risk of discrimination and disproportionate effects, USDOT requires organizations receiving federal assistance to identify:</w:t>
      </w:r>
    </w:p>
    <w:p w14:paraId="7E8136EA" w14:textId="77777777" w:rsidR="000B701F" w:rsidRPr="000B701F" w:rsidRDefault="000B701F" w:rsidP="00020D20">
      <w:pPr>
        <w:pStyle w:val="Body-Bullets"/>
        <w:jc w:val="both"/>
      </w:pPr>
      <w:r w:rsidRPr="000B701F">
        <w:t>the population served and/or affected by race, color or national origin, and income level;</w:t>
      </w:r>
    </w:p>
    <w:p w14:paraId="3E24A7F1" w14:textId="77777777" w:rsidR="000B701F" w:rsidRPr="000B701F" w:rsidRDefault="000B701F" w:rsidP="00020D20">
      <w:pPr>
        <w:pStyle w:val="Body-Bullets"/>
        <w:jc w:val="both"/>
      </w:pPr>
      <w:r w:rsidRPr="000B701F">
        <w:t xml:space="preserve">proposed steps to guard against disproportionately high and adverse effects on persons on the basis of race, color or national origin, and income level; and </w:t>
      </w:r>
    </w:p>
    <w:p w14:paraId="1F4BA8FC" w14:textId="77777777" w:rsidR="000B701F" w:rsidRPr="000B701F" w:rsidRDefault="000B701F" w:rsidP="00020D20">
      <w:pPr>
        <w:pStyle w:val="Body-Bullets"/>
        <w:jc w:val="both"/>
      </w:pPr>
      <w:r w:rsidRPr="000B701F">
        <w:t xml:space="preserve">present and proposed membership, by race, color, or national origin, in any planning or advisory body that is part of policies, programs, and activities. </w:t>
      </w:r>
    </w:p>
    <w:p w14:paraId="349E9C9F" w14:textId="77777777" w:rsidR="000B701F" w:rsidRPr="000B701F" w:rsidRDefault="000B701F" w:rsidP="00020D20">
      <w:pPr>
        <w:jc w:val="both"/>
        <w:rPr>
          <w:rFonts w:cstheme="minorHAnsi"/>
        </w:rPr>
      </w:pPr>
      <w:r w:rsidRPr="000B701F">
        <w:rPr>
          <w:rFonts w:cstheme="minorHAnsi"/>
        </w:rPr>
        <w:t xml:space="preserve">The stipulations above have a direct effect on the makeup of the MPO membership. Although, as indicated in chapter 3, “MPO Formation &amp; Modification,” there are no specific federal laws or regulations guiding the composition of MPO membership, the gathering and referencing of such information by USDOT indicates that MPO composition can be a factor in evaluating the risk of discrimination and disproportionate effects. </w:t>
      </w:r>
    </w:p>
    <w:p w14:paraId="45D74CFF" w14:textId="3A57F2EF" w:rsidR="000B701F" w:rsidRDefault="00E106D2" w:rsidP="00020D20">
      <w:pPr>
        <w:jc w:val="both"/>
        <w:rPr>
          <w:rFonts w:cstheme="minorHAnsi"/>
        </w:rPr>
      </w:pPr>
      <w:r>
        <w:rPr>
          <w:rFonts w:cstheme="minorHAnsi"/>
          <w:noProof/>
        </w:rPr>
        <mc:AlternateContent>
          <mc:Choice Requires="wps">
            <w:drawing>
              <wp:anchor distT="0" distB="0" distL="114300" distR="114300" simplePos="0" relativeHeight="251618354" behindDoc="1" locked="0" layoutInCell="1" allowOverlap="1" wp14:anchorId="41C3B389" wp14:editId="2260EE49">
                <wp:simplePos x="0" y="0"/>
                <wp:positionH relativeFrom="column">
                  <wp:posOffset>1483360</wp:posOffset>
                </wp:positionH>
                <wp:positionV relativeFrom="paragraph">
                  <wp:posOffset>2329180</wp:posOffset>
                </wp:positionV>
                <wp:extent cx="1258570" cy="2447925"/>
                <wp:effectExtent l="76200" t="95250" r="74930" b="104775"/>
                <wp:wrapTight wrapText="bothSides">
                  <wp:wrapPolygon edited="0">
                    <wp:start x="-981" y="-840"/>
                    <wp:lineTo x="-1308" y="-672"/>
                    <wp:lineTo x="-1308" y="21516"/>
                    <wp:lineTo x="-981" y="22356"/>
                    <wp:lineTo x="22232" y="22356"/>
                    <wp:lineTo x="22559" y="21012"/>
                    <wp:lineTo x="22559" y="2017"/>
                    <wp:lineTo x="22232" y="-504"/>
                    <wp:lineTo x="22232" y="-840"/>
                    <wp:lineTo x="-981" y="-840"/>
                  </wp:wrapPolygon>
                </wp:wrapTight>
                <wp:docPr id="816286319" name="Text Box 816286319"/>
                <wp:cNvGraphicFramePr/>
                <a:graphic xmlns:a="http://schemas.openxmlformats.org/drawingml/2006/main">
                  <a:graphicData uri="http://schemas.microsoft.com/office/word/2010/wordprocessingShape">
                    <wps:wsp>
                      <wps:cNvSpPr txBox="1"/>
                      <wps:spPr>
                        <a:xfrm>
                          <a:off x="0" y="0"/>
                          <a:ext cx="1258570" cy="24479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7E6C14B" w14:textId="77777777" w:rsidR="00C6444C" w:rsidRDefault="00C6444C" w:rsidP="00020D20">
                            <w:pPr>
                              <w:jc w:val="center"/>
                            </w:pPr>
                            <w:r>
                              <w:rPr>
                                <w:noProof/>
                              </w:rPr>
                              <w:drawing>
                                <wp:inline distT="0" distB="0" distL="0" distR="0" wp14:anchorId="5CD325F8" wp14:editId="2B64881E">
                                  <wp:extent cx="457200" cy="457200"/>
                                  <wp:effectExtent l="0" t="0" r="0" b="0"/>
                                  <wp:docPr id="1690911579" name="Picture 169091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A9264A3" w14:textId="77777777" w:rsidR="00C6444C" w:rsidRPr="00020D20" w:rsidRDefault="00C6444C">
                            <w:pPr>
                              <w:pStyle w:val="Calloutboxes"/>
                              <w:rPr>
                                <w:u w:val="single"/>
                              </w:rPr>
                            </w:pPr>
                            <w:r w:rsidRPr="00020D20">
                              <w:rPr>
                                <w:u w:val="single"/>
                              </w:rPr>
                              <w:t>GUIDING PRINCIPLES</w:t>
                            </w:r>
                          </w:p>
                          <w:p w14:paraId="5FBC992B" w14:textId="4AE37E77" w:rsidR="00C6444C" w:rsidRPr="00267D04" w:rsidRDefault="00C6444C">
                            <w:pPr>
                              <w:pStyle w:val="Calloutboxes"/>
                            </w:pPr>
                            <w:r>
                              <w:t>Environmental Justice procedures must ensure early involvement by protected populations during planning and programming activities, formulation of policies, and identification and evaluation of potential impacts to avoid disproportionately high and adverse effects.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C3B389" id="Text Box 816286319" o:spid="_x0000_s1211" type="#_x0000_t202" style="position:absolute;left:0;text-align:left;margin-left:116.8pt;margin-top:183.4pt;width:99.1pt;height:192.75pt;z-index:-251698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" fillcolor="#f7f7f7" stroked="f" strokeweight=".5pt">
                <v:shadow on="t" type="perspective" color="black" opacity="26214f" offset="0,0" matrix="66847f,,,66847f"/>
                <v:textbox>
                  <w:txbxContent>
                    <w:p w14:paraId="77E6C14B" w14:textId="77777777" w:rsidR="00C6444C" w:rsidRDefault="00C6444C" w:rsidP="00020D20">
                      <w:pPr>
                        <w:jc w:val="center"/>
                      </w:pPr>
                      <w:r>
                        <w:rPr>
                          <w:noProof/>
                        </w:rPr>
                        <w:drawing>
                          <wp:inline distT="0" distB="0" distL="0" distR="0" wp14:anchorId="5CD325F8" wp14:editId="2B64881E">
                            <wp:extent cx="457200" cy="457200"/>
                            <wp:effectExtent l="0" t="0" r="0" b="0"/>
                            <wp:docPr id="1690911579" name="Picture 169091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A9264A3" w14:textId="77777777" w:rsidR="00C6444C" w:rsidRPr="00020D20" w:rsidRDefault="00C6444C">
                      <w:pPr>
                        <w:pStyle w:val="Calloutboxes"/>
                        <w:rPr>
                          <w:u w:val="single"/>
                        </w:rPr>
                      </w:pPr>
                      <w:r w:rsidRPr="00020D20">
                        <w:rPr>
                          <w:u w:val="single"/>
                        </w:rPr>
                        <w:t>GUIDING PRINCIPLES</w:t>
                      </w:r>
                    </w:p>
                    <w:p w14:paraId="5FBC992B" w14:textId="4AE37E77" w:rsidR="00C6444C" w:rsidRPr="00267D04" w:rsidRDefault="00C6444C">
                      <w:pPr>
                        <w:pStyle w:val="Calloutboxes"/>
                      </w:pPr>
                      <w:r>
                        <w:t>Environmental Justice procedures must ensure early involvement by protected populations during planning and programming activities, formulation of policies, and identification and evaluation of potential impacts to avoid disproportionately high and adverse effects.</w:t>
                      </w:r>
                    </w:p>
                  </w:txbxContent>
                </v:textbox>
                <w10:wrap type="tight"/>
              </v:shape>
            </w:pict>
          </mc:Fallback>
        </mc:AlternateContent>
      </w:r>
      <w:r>
        <w:rPr>
          <w:rFonts w:cstheme="minorHAnsi"/>
          <w:noProof/>
        </w:rPr>
        <mc:AlternateContent>
          <mc:Choice Requires="wps">
            <w:drawing>
              <wp:anchor distT="0" distB="0" distL="114300" distR="114300" simplePos="0" relativeHeight="251618353" behindDoc="1" locked="0" layoutInCell="1" allowOverlap="1" wp14:anchorId="0E7A3F66" wp14:editId="7BA23BC9">
                <wp:simplePos x="0" y="0"/>
                <wp:positionH relativeFrom="column">
                  <wp:posOffset>1481924</wp:posOffset>
                </wp:positionH>
                <wp:positionV relativeFrom="paragraph">
                  <wp:posOffset>272056</wp:posOffset>
                </wp:positionV>
                <wp:extent cx="1258570" cy="1971675"/>
                <wp:effectExtent l="76200" t="95250" r="74930" b="104775"/>
                <wp:wrapTight wrapText="bothSides">
                  <wp:wrapPolygon edited="0">
                    <wp:start x="-1308" y="-1043"/>
                    <wp:lineTo x="-1308" y="21496"/>
                    <wp:lineTo x="-981" y="22539"/>
                    <wp:lineTo x="22232" y="22539"/>
                    <wp:lineTo x="22559" y="19617"/>
                    <wp:lineTo x="22559" y="-1043"/>
                    <wp:lineTo x="-1308" y="-1043"/>
                  </wp:wrapPolygon>
                </wp:wrapTight>
                <wp:docPr id="816286078" name="Text Box 816286078"/>
                <wp:cNvGraphicFramePr/>
                <a:graphic xmlns:a="http://schemas.openxmlformats.org/drawingml/2006/main">
                  <a:graphicData uri="http://schemas.microsoft.com/office/word/2010/wordprocessingShape">
                    <wps:wsp>
                      <wps:cNvSpPr txBox="1"/>
                      <wps:spPr>
                        <a:xfrm>
                          <a:off x="0" y="0"/>
                          <a:ext cx="1258570" cy="19716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358CE48" w14:textId="77777777" w:rsidR="00C6444C" w:rsidRDefault="00C6444C" w:rsidP="00020D20">
                            <w:pPr>
                              <w:jc w:val="center"/>
                            </w:pPr>
                            <w:r>
                              <w:rPr>
                                <w:noProof/>
                              </w:rPr>
                              <w:drawing>
                                <wp:inline distT="0" distB="0" distL="0" distR="0" wp14:anchorId="653F57F5" wp14:editId="71B8D3BC">
                                  <wp:extent cx="457200" cy="457200"/>
                                  <wp:effectExtent l="0" t="0" r="0" b="0"/>
                                  <wp:docPr id="1690911580" name="Picture 169091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64494D6" w14:textId="77777777" w:rsidR="00C6444C" w:rsidRPr="00020D20" w:rsidRDefault="00C6444C">
                            <w:pPr>
                              <w:pStyle w:val="Calloutboxes"/>
                              <w:rPr>
                                <w:u w:val="single"/>
                              </w:rPr>
                            </w:pPr>
                            <w:r w:rsidRPr="00020D20">
                              <w:rPr>
                                <w:u w:val="single"/>
                              </w:rPr>
                              <w:t>GUIDING PRINCIPLES</w:t>
                            </w:r>
                          </w:p>
                          <w:p w14:paraId="75443A67" w14:textId="439EA161" w:rsidR="00C6444C" w:rsidRPr="00267D04" w:rsidRDefault="00C6444C">
                            <w:pPr>
                              <w:pStyle w:val="Calloutboxes"/>
                            </w:pPr>
                            <w:r>
                              <w:t>Steps must be taken to provide protected populations access to information concerning potential human health or environmental concerns associated with proposed actions. (LEP Plan is an 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7A3F66" id="Text Box 816286078" o:spid="_x0000_s1212" type="#_x0000_t202" style="position:absolute;left:0;text-align:left;margin-left:116.7pt;margin-top:21.4pt;width:99.1pt;height:155.25pt;z-index:-251698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" fillcolor="#f7f7f7" stroked="f" strokeweight=".5pt">
                <v:shadow on="t" type="perspective" color="black" opacity="26214f" offset="0,0" matrix="66847f,,,66847f"/>
                <v:textbox>
                  <w:txbxContent>
                    <w:p w14:paraId="2358CE48" w14:textId="77777777" w:rsidR="00C6444C" w:rsidRDefault="00C6444C" w:rsidP="00020D20">
                      <w:pPr>
                        <w:jc w:val="center"/>
                      </w:pPr>
                      <w:r>
                        <w:rPr>
                          <w:noProof/>
                        </w:rPr>
                        <w:drawing>
                          <wp:inline distT="0" distB="0" distL="0" distR="0" wp14:anchorId="653F57F5" wp14:editId="71B8D3BC">
                            <wp:extent cx="457200" cy="457200"/>
                            <wp:effectExtent l="0" t="0" r="0" b="0"/>
                            <wp:docPr id="1690911580" name="Picture 169091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64494D6" w14:textId="77777777" w:rsidR="00C6444C" w:rsidRPr="00020D20" w:rsidRDefault="00C6444C">
                      <w:pPr>
                        <w:pStyle w:val="Calloutboxes"/>
                        <w:rPr>
                          <w:u w:val="single"/>
                        </w:rPr>
                      </w:pPr>
                      <w:r w:rsidRPr="00020D20">
                        <w:rPr>
                          <w:u w:val="single"/>
                        </w:rPr>
                        <w:t>GUIDING PRINCIPLES</w:t>
                      </w:r>
                    </w:p>
                    <w:p w14:paraId="75443A67" w14:textId="439EA161" w:rsidR="00C6444C" w:rsidRPr="00267D04" w:rsidRDefault="00C6444C">
                      <w:pPr>
                        <w:pStyle w:val="Calloutboxes"/>
                      </w:pPr>
                      <w:r>
                        <w:t>Steps must be taken to provide protected populations access to information concerning potential human health or environmental concerns associated with proposed actions. (LEP Plan is an example.)</w:t>
                      </w:r>
                    </w:p>
                  </w:txbxContent>
                </v:textbox>
                <w10:wrap type="tight"/>
              </v:shape>
            </w:pict>
          </mc:Fallback>
        </mc:AlternateContent>
      </w:r>
      <w:r w:rsidR="000B701F" w:rsidRPr="000B701F">
        <w:rPr>
          <w:rFonts w:cstheme="minorHAnsi"/>
        </w:rPr>
        <w:t xml:space="preserve">Federal guidance clearly directs MPOs to engage </w:t>
      </w:r>
      <w:r w:rsidR="00795380">
        <w:rPr>
          <w:rFonts w:cstheme="minorHAnsi"/>
        </w:rPr>
        <w:t xml:space="preserve">in </w:t>
      </w:r>
      <w:r w:rsidR="000B701F" w:rsidRPr="000B701F">
        <w:rPr>
          <w:rFonts w:cstheme="minorHAnsi"/>
        </w:rPr>
        <w:t xml:space="preserve">early and </w:t>
      </w:r>
      <w:r w:rsidR="00795380">
        <w:rPr>
          <w:rFonts w:cstheme="minorHAnsi"/>
        </w:rPr>
        <w:t>continuous</w:t>
      </w:r>
      <w:r w:rsidR="000B701F" w:rsidRPr="000B701F">
        <w:rPr>
          <w:rFonts w:cstheme="minorHAnsi"/>
        </w:rPr>
        <w:t xml:space="preserve"> public involvement during the planning and project development process. This is encouraged to ensure state and local agencies are alert to Title VI and Environmental Justice concerns, so there are no surprises during the project implementation stage. Efforts must be made to demonstrate that all relevant federal, state, regional, local, and tribal agencies are afforded the opportunity to be engaged in MPO public involvement procedures to ensure full consideration of Title VI and Environmental Justice matters. The procedures provide for an inclusive, representative, and equal opportunity for meaningful two-way communication resulting in appropriate actions that reflect public involvement. Continuous interaction between community members and transportation professionals is critical to successfully identify and resolve potential Title VI and Environmental Justice issues and concerns. Thus, “concern for Environmental Justice should be integrated into every transportation decision—from the first thought about a transportation plan to post construction operations and maintenance.”</w:t>
      </w:r>
      <w:r w:rsidR="00FC2846" w:rsidRPr="00FC2846">
        <w:rPr>
          <w:rFonts w:cstheme="minorHAnsi"/>
          <w:b/>
          <w:highlight w:val="yellow"/>
        </w:rPr>
        <w:t xml:space="preserve"> </w:t>
      </w:r>
    </w:p>
    <w:p w14:paraId="09ACBE41" w14:textId="55838B41" w:rsidR="00FE6F8B" w:rsidRPr="00FE6F8B" w:rsidRDefault="00FE6F8B" w:rsidP="00020D20">
      <w:pPr>
        <w:jc w:val="both"/>
        <w:rPr>
          <w:rFonts w:cstheme="minorHAnsi"/>
        </w:rPr>
      </w:pPr>
      <w:r w:rsidRPr="00FE6F8B">
        <w:rPr>
          <w:rFonts w:cstheme="minorHAnsi"/>
        </w:rPr>
        <w:t xml:space="preserve">The </w:t>
      </w:r>
      <w:r w:rsidRPr="00FC2846">
        <w:rPr>
          <w:rStyle w:val="Heading5Char"/>
        </w:rPr>
        <w:t>Title VI Notice to the Public</w:t>
      </w:r>
      <w:r w:rsidRPr="00FE6F8B">
        <w:rPr>
          <w:rFonts w:cstheme="minorHAnsi"/>
        </w:rPr>
        <w:t xml:space="preserve"> must be posted in all locations where coordination meetings are held for any MPO/COG public/committee meeting, event, or discussion.</w:t>
      </w:r>
      <w:r w:rsidR="00795380">
        <w:rPr>
          <w:rFonts w:cstheme="minorHAnsi"/>
        </w:rPr>
        <w:t xml:space="preserve"> The Title VI Notice notifies the public of their right to file a discrimination complaint based on race, color, or national origin.</w:t>
      </w:r>
    </w:p>
    <w:p w14:paraId="430B8866" w14:textId="7F0D2288" w:rsidR="00FE6F8B" w:rsidRPr="00FE6F8B" w:rsidRDefault="00FE6F8B" w:rsidP="00020D20">
      <w:pPr>
        <w:jc w:val="both"/>
        <w:rPr>
          <w:rFonts w:cstheme="minorHAnsi"/>
        </w:rPr>
      </w:pPr>
      <w:r w:rsidRPr="00FE6F8B">
        <w:rPr>
          <w:rFonts w:cstheme="minorHAnsi"/>
        </w:rPr>
        <w:t>It is important that the initial and routine activities of the MPO are open to public discussion, review, and evaluation. Alternatives are formulated and examined to determine how they affect the planning area, and specific attention is given to potential disproportionate and adverse effects on Environmental Justice populations</w:t>
      </w:r>
      <w:r w:rsidR="00795380">
        <w:rPr>
          <w:rFonts w:cstheme="minorHAnsi"/>
        </w:rPr>
        <w:t xml:space="preserve"> and potential Title VI disparate impacts</w:t>
      </w:r>
      <w:r w:rsidRPr="00FE6F8B">
        <w:rPr>
          <w:rFonts w:cstheme="minorHAnsi"/>
        </w:rPr>
        <w:t xml:space="preserve">. The results of the public involvement processes </w:t>
      </w:r>
      <w:r w:rsidR="00795380">
        <w:rPr>
          <w:rFonts w:cstheme="minorHAnsi"/>
        </w:rPr>
        <w:t>must be</w:t>
      </w:r>
      <w:r w:rsidR="00795380" w:rsidRPr="00FE6F8B">
        <w:rPr>
          <w:rFonts w:cstheme="minorHAnsi"/>
        </w:rPr>
        <w:t xml:space="preserve"> </w:t>
      </w:r>
      <w:r w:rsidRPr="00FE6F8B">
        <w:rPr>
          <w:rFonts w:cstheme="minorHAnsi"/>
        </w:rPr>
        <w:t>recorded and documented. The</w:t>
      </w:r>
      <w:r w:rsidR="00244606" w:rsidRPr="007B6EEE">
        <w:rPr>
          <w:rStyle w:val="TitleChar"/>
        </w:rPr>
        <w:t xml:space="preserve"> </w:t>
      </w:r>
      <w:hyperlink r:id="rId805" w:history="1">
        <w:r w:rsidR="00E71AD9">
          <w:rPr>
            <w:rStyle w:val="TitleChar"/>
          </w:rPr>
          <w:t>ADOT Public Involvement Plan</w:t>
        </w:r>
      </w:hyperlink>
      <w:r w:rsidR="003645F3">
        <w:rPr>
          <w:rFonts w:cstheme="minorHAnsi"/>
        </w:rPr>
        <w:t xml:space="preserve"> </w:t>
      </w:r>
      <w:r w:rsidRPr="00FE6F8B">
        <w:rPr>
          <w:rFonts w:cstheme="minorHAnsi"/>
        </w:rPr>
        <w:t>developed in support of the Arizona LRTP specifically references Environmental Justice and calls for documentation of efforts to be included in documents developed in support of the LRTP. The plan also calls for the development of a list of organizations</w:t>
      </w:r>
      <w:r w:rsidR="00795380">
        <w:rPr>
          <w:rFonts w:cstheme="minorHAnsi"/>
        </w:rPr>
        <w:t>, e.g.</w:t>
      </w:r>
      <w:r w:rsidR="00E71AD9">
        <w:rPr>
          <w:rFonts w:cstheme="minorHAnsi"/>
        </w:rPr>
        <w:t>, nonprofit groups which</w:t>
      </w:r>
      <w:r w:rsidR="00795380">
        <w:rPr>
          <w:rFonts w:cstheme="minorHAnsi"/>
        </w:rPr>
        <w:t xml:space="preserve"> may provide services for low-income and minority groups</w:t>
      </w:r>
      <w:r w:rsidRPr="00FE6F8B">
        <w:rPr>
          <w:rFonts w:cstheme="minorHAnsi"/>
        </w:rPr>
        <w:t xml:space="preserve"> for targeted outreach. </w:t>
      </w:r>
      <w:hyperlink r:id="rId806" w:history="1">
        <w:r w:rsidRPr="000E38B9">
          <w:rPr>
            <w:rStyle w:val="TitleChar"/>
          </w:rPr>
          <w:t>ADOT Communication</w:t>
        </w:r>
        <w:r w:rsidR="00244606" w:rsidRPr="000E38B9">
          <w:rPr>
            <w:rStyle w:val="TitleChar"/>
          </w:rPr>
          <w:t>s</w:t>
        </w:r>
      </w:hyperlink>
      <w:r w:rsidRPr="00FE6F8B">
        <w:rPr>
          <w:rFonts w:cstheme="minorHAnsi"/>
        </w:rPr>
        <w:t xml:space="preserve"> has many contact lists that can be useful in identifying targeted audiences. </w:t>
      </w:r>
    </w:p>
    <w:p w14:paraId="2C7C8128" w14:textId="77777777" w:rsidR="00FE6F8B" w:rsidRPr="00FE6F8B" w:rsidRDefault="00FE6F8B" w:rsidP="00020D20">
      <w:pPr>
        <w:pStyle w:val="Heading3"/>
        <w:jc w:val="both"/>
      </w:pPr>
      <w:bookmarkStart w:id="463" w:name="_Ref50034602"/>
      <w:r w:rsidRPr="00FE6F8B">
        <w:t>12.6.2 | Public Involvement During Federal Certification</w:t>
      </w:r>
      <w:bookmarkEnd w:id="463"/>
    </w:p>
    <w:p w14:paraId="3F7395AD" w14:textId="3A8D3302" w:rsidR="00FE6F8B" w:rsidRPr="00FE6F8B" w:rsidRDefault="00FE6F8B" w:rsidP="00020D20">
      <w:pPr>
        <w:jc w:val="both"/>
        <w:rPr>
          <w:rFonts w:cstheme="minorHAnsi"/>
          <w:b/>
        </w:rPr>
      </w:pPr>
      <w:r w:rsidRPr="00FE6F8B">
        <w:rPr>
          <w:rFonts w:cstheme="minorHAnsi"/>
        </w:rPr>
        <w:t xml:space="preserve">Federal certification is required for </w:t>
      </w:r>
      <w:r w:rsidR="00FE561E">
        <w:rPr>
          <w:rFonts w:cstheme="minorHAnsi"/>
        </w:rPr>
        <w:t>TMA</w:t>
      </w:r>
      <w:r w:rsidRPr="00FE6F8B">
        <w:rPr>
          <w:rFonts w:cstheme="minorHAnsi"/>
        </w:rPr>
        <w:t>s</w:t>
      </w:r>
      <w:r w:rsidR="00FE561E">
        <w:rPr>
          <w:rFonts w:cstheme="minorHAnsi"/>
        </w:rPr>
        <w:t>, which</w:t>
      </w:r>
      <w:r w:rsidRPr="00FE6F8B">
        <w:rPr>
          <w:rFonts w:cstheme="minorHAnsi"/>
        </w:rPr>
        <w:t xml:space="preserve"> represent an area with a population of 200,000 or more residents. Public involvement during the federal certification review has five key points of focus designed to fully and adequately examine the MPOs activities. These points include:</w:t>
      </w:r>
      <w:r>
        <w:rPr>
          <w:rFonts w:cstheme="minorHAnsi"/>
        </w:rPr>
        <w:t xml:space="preserve"> </w:t>
      </w:r>
    </w:p>
    <w:p w14:paraId="5041E5E3" w14:textId="55EAA519" w:rsidR="00FE6F8B" w:rsidRPr="00FE6F8B" w:rsidRDefault="00FE6F8B" w:rsidP="00020D20">
      <w:pPr>
        <w:pStyle w:val="Body-Bullets"/>
        <w:jc w:val="both"/>
      </w:pPr>
      <w:r w:rsidRPr="00FE6F8B">
        <w:t xml:space="preserve">providing </w:t>
      </w:r>
      <w:r w:rsidR="00795380">
        <w:t>the public</w:t>
      </w:r>
      <w:r w:rsidR="00795380" w:rsidRPr="00FE6F8B">
        <w:t xml:space="preserve"> </w:t>
      </w:r>
      <w:r w:rsidRPr="00FE6F8B">
        <w:t>an opportunity to comment on the transportation planning process (specific projects and improvements are not the subject of the federal certification review);</w:t>
      </w:r>
    </w:p>
    <w:p w14:paraId="0B1D1FB7" w14:textId="355E40FA" w:rsidR="00FE6F8B" w:rsidRPr="00FE6F8B" w:rsidRDefault="00FE6F8B" w:rsidP="00020D20">
      <w:pPr>
        <w:pStyle w:val="Body-Bullets"/>
        <w:jc w:val="both"/>
      </w:pPr>
      <w:r w:rsidRPr="00FE6F8B">
        <w:t>informing the public about federal transportation planning requirements;</w:t>
      </w:r>
    </w:p>
    <w:p w14:paraId="775678AF" w14:textId="25DD9E1D" w:rsidR="00FE6F8B" w:rsidRPr="00FE6F8B" w:rsidRDefault="00FE6F8B" w:rsidP="00020D20">
      <w:pPr>
        <w:pStyle w:val="Body-Bullets"/>
        <w:jc w:val="both"/>
      </w:pPr>
      <w:r w:rsidRPr="00FE6F8B">
        <w:t>discussing public concerns regarding the manner in which decisions are made, the equity of those decisions, and the resultant effects;</w:t>
      </w:r>
    </w:p>
    <w:p w14:paraId="4B60BD2C" w14:textId="7162D5AC" w:rsidR="00FE6F8B" w:rsidRPr="00FE6F8B" w:rsidRDefault="006F18AB" w:rsidP="00020D20">
      <w:pPr>
        <w:pStyle w:val="Body-Bullets"/>
        <w:jc w:val="both"/>
      </w:pPr>
      <w:r>
        <w:rPr>
          <w:rFonts w:cstheme="minorHAnsi"/>
          <w:noProof/>
        </w:rPr>
        <mc:AlternateContent>
          <mc:Choice Requires="wps">
            <w:drawing>
              <wp:anchor distT="0" distB="0" distL="114300" distR="114300" simplePos="0" relativeHeight="251618355" behindDoc="1" locked="0" layoutInCell="1" allowOverlap="1" wp14:anchorId="672400C9" wp14:editId="19DC82FC">
                <wp:simplePos x="0" y="0"/>
                <wp:positionH relativeFrom="column">
                  <wp:posOffset>1371600</wp:posOffset>
                </wp:positionH>
                <wp:positionV relativeFrom="paragraph">
                  <wp:posOffset>223520</wp:posOffset>
                </wp:positionV>
                <wp:extent cx="1377315" cy="2276475"/>
                <wp:effectExtent l="95250" t="95250" r="89535" b="104775"/>
                <wp:wrapTight wrapText="bothSides">
                  <wp:wrapPolygon edited="0">
                    <wp:start x="-1195" y="-904"/>
                    <wp:lineTo x="-1494" y="21510"/>
                    <wp:lineTo x="-896" y="22413"/>
                    <wp:lineTo x="22108" y="22413"/>
                    <wp:lineTo x="22705" y="19883"/>
                    <wp:lineTo x="22407" y="-904"/>
                    <wp:lineTo x="-1195" y="-904"/>
                  </wp:wrapPolygon>
                </wp:wrapTight>
                <wp:docPr id="816286326" name="Text Box 816286326"/>
                <wp:cNvGraphicFramePr/>
                <a:graphic xmlns:a="http://schemas.openxmlformats.org/drawingml/2006/main">
                  <a:graphicData uri="http://schemas.microsoft.com/office/word/2010/wordprocessingShape">
                    <wps:wsp>
                      <wps:cNvSpPr txBox="1"/>
                      <wps:spPr>
                        <a:xfrm>
                          <a:off x="0" y="0"/>
                          <a:ext cx="1377315" cy="22764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F963184" w14:textId="77777777" w:rsidR="00C6444C" w:rsidRDefault="00C6444C" w:rsidP="00020D20">
                            <w:pPr>
                              <w:jc w:val="center"/>
                            </w:pPr>
                            <w:r>
                              <w:rPr>
                                <w:noProof/>
                              </w:rPr>
                              <w:drawing>
                                <wp:inline distT="0" distB="0" distL="0" distR="0" wp14:anchorId="551C9519" wp14:editId="383066BD">
                                  <wp:extent cx="457200" cy="457200"/>
                                  <wp:effectExtent l="0" t="0" r="0" b="0"/>
                                  <wp:docPr id="1690911581" name="Picture 1690911581">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89"/>
                                          </pic:cNvPr>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2156DA7" w14:textId="459F8411" w:rsidR="00C6444C" w:rsidRPr="00267D04" w:rsidRDefault="00C6444C">
                            <w:pPr>
                              <w:pStyle w:val="Calloutboxes"/>
                            </w:pPr>
                            <w:r>
                              <w:t>Public involvement associated with the federal certification process focuses not on the programs, products, projects, and activities of the MPO but rather on ensuring public involvement in the review of processes, practices, and procedures followed by the MPO during the course of its planning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2400C9" id="Text Box 816286326" o:spid="_x0000_s1213" type="#_x0000_t202" style="position:absolute;left:0;text-align:left;margin-left:108pt;margin-top:17.6pt;width:108.45pt;height:179.25pt;z-index:-251698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" fillcolor="#f7f7f7" stroked="f" strokeweight=".5pt">
                <v:shadow on="t" type="perspective" color="black" opacity="26214f" offset="0,0" matrix="66847f,,,66847f"/>
                <v:textbox>
                  <w:txbxContent>
                    <w:p w14:paraId="7F963184" w14:textId="77777777" w:rsidR="00C6444C" w:rsidRDefault="00C6444C" w:rsidP="00020D20">
                      <w:pPr>
                        <w:jc w:val="center"/>
                      </w:pPr>
                      <w:r>
                        <w:rPr>
                          <w:noProof/>
                        </w:rPr>
                        <w:drawing>
                          <wp:inline distT="0" distB="0" distL="0" distR="0" wp14:anchorId="551C9519" wp14:editId="383066BD">
                            <wp:extent cx="457200" cy="457200"/>
                            <wp:effectExtent l="0" t="0" r="0" b="0"/>
                            <wp:docPr id="1690911581" name="Picture 1690911581">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391"/>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2156DA7" w14:textId="459F8411" w:rsidR="00C6444C" w:rsidRPr="00267D04" w:rsidRDefault="00C6444C">
                      <w:pPr>
                        <w:pStyle w:val="Calloutboxes"/>
                      </w:pPr>
                      <w:r>
                        <w:t>Public involvement associated with the federal certification process focuses not on the programs, products, projects, and activities of the MPO but rather on ensuring public involvement in the review of processes, practices, and procedures followed by the MPO during the course of its planning activities.</w:t>
                      </w:r>
                    </w:p>
                  </w:txbxContent>
                </v:textbox>
                <w10:wrap type="tight"/>
              </v:shape>
            </w:pict>
          </mc:Fallback>
        </mc:AlternateContent>
      </w:r>
      <w:r w:rsidR="00FE6F8B" w:rsidRPr="00FE6F8B">
        <w:t>providing follow-up action to demonstrate that public concerns are being addressed; and</w:t>
      </w:r>
    </w:p>
    <w:p w14:paraId="59461487" w14:textId="394B8325" w:rsidR="00FE6F8B" w:rsidRDefault="00FE6F8B" w:rsidP="00020D20">
      <w:pPr>
        <w:pStyle w:val="Body-Bullets"/>
        <w:jc w:val="both"/>
      </w:pPr>
      <w:r w:rsidRPr="00FE6F8B">
        <w:t>helping the federal team better understand community issues.</w:t>
      </w:r>
      <w:r w:rsidR="00960844" w:rsidRPr="00960844">
        <w:t xml:space="preserve"> </w:t>
      </w:r>
    </w:p>
    <w:p w14:paraId="708E6D2F" w14:textId="56624861" w:rsidR="00FE6F8B" w:rsidRPr="00FE6F8B" w:rsidRDefault="00FE6F8B">
      <w:pPr>
        <w:pStyle w:val="Heading2"/>
      </w:pPr>
      <w:bookmarkStart w:id="464" w:name="_Ref50034606"/>
      <w:r w:rsidRPr="00FE6F8B">
        <w:t>12.7 | TITLE VI</w:t>
      </w:r>
      <w:r w:rsidR="00763636">
        <w:t xml:space="preserve"> AND </w:t>
      </w:r>
      <w:r w:rsidRPr="00FE6F8B">
        <w:t xml:space="preserve">ENVIRONMENTAL JUSTICE PLAN FORMAT </w:t>
      </w:r>
      <w:r w:rsidR="00763636">
        <w:t>AND</w:t>
      </w:r>
      <w:r w:rsidRPr="00FE6F8B">
        <w:t xml:space="preserve"> CONTENT</w:t>
      </w:r>
      <w:bookmarkEnd w:id="464"/>
    </w:p>
    <w:p w14:paraId="22FFA4BA" w14:textId="4412D49E" w:rsidR="00FE6F8B" w:rsidRPr="00FE6F8B" w:rsidRDefault="00FE6F8B" w:rsidP="00020D20">
      <w:pPr>
        <w:jc w:val="both"/>
        <w:rPr>
          <w:rFonts w:cstheme="minorHAnsi"/>
        </w:rPr>
      </w:pPr>
      <w:r w:rsidRPr="00FE6F8B">
        <w:rPr>
          <w:rFonts w:cstheme="minorHAnsi"/>
        </w:rPr>
        <w:t>MPOs are required to submit a Title VI</w:t>
      </w:r>
      <w:r w:rsidR="00E960F5">
        <w:rPr>
          <w:rFonts w:cstheme="minorHAnsi"/>
        </w:rPr>
        <w:t xml:space="preserve"> Nondiscrimination </w:t>
      </w:r>
      <w:r w:rsidR="00DD7168">
        <w:rPr>
          <w:rFonts w:cstheme="minorHAnsi"/>
        </w:rPr>
        <w:t xml:space="preserve">Implementation </w:t>
      </w:r>
      <w:r w:rsidR="00E960F5">
        <w:rPr>
          <w:rFonts w:cstheme="minorHAnsi"/>
        </w:rPr>
        <w:t>Plan</w:t>
      </w:r>
      <w:r w:rsidRPr="00FE6F8B">
        <w:rPr>
          <w:rFonts w:cstheme="minorHAnsi"/>
        </w:rPr>
        <w:t xml:space="preserve"> </w:t>
      </w:r>
      <w:r w:rsidR="00763636">
        <w:rPr>
          <w:rFonts w:cstheme="minorHAnsi"/>
        </w:rPr>
        <w:t>annually</w:t>
      </w:r>
      <w:r w:rsidR="00DD7168">
        <w:rPr>
          <w:rFonts w:cstheme="minorHAnsi"/>
        </w:rPr>
        <w:t xml:space="preserve"> to the ADOT Civil Rights Office</w:t>
      </w:r>
      <w:r w:rsidRPr="00FE6F8B">
        <w:rPr>
          <w:rFonts w:cstheme="minorHAnsi"/>
        </w:rPr>
        <w:t xml:space="preserve">. Table 12-2 references some existing Title VI Plans that are available on the web. </w:t>
      </w:r>
      <w:r w:rsidR="00795380">
        <w:rPr>
          <w:rFonts w:cstheme="minorHAnsi"/>
        </w:rPr>
        <w:t>In the circumstances when an MPO needs to go beyond what is included in the ADOT Title VI Nondiscrimination Plan, it must at minimum</w:t>
      </w:r>
      <w:r w:rsidRPr="00FE6F8B">
        <w:rPr>
          <w:rFonts w:cstheme="minorHAnsi"/>
        </w:rPr>
        <w:t xml:space="preserve"> include the</w:t>
      </w:r>
      <w:r w:rsidR="00795380">
        <w:rPr>
          <w:rFonts w:cstheme="minorHAnsi"/>
        </w:rPr>
        <w:t xml:space="preserve"> required</w:t>
      </w:r>
      <w:r w:rsidRPr="00FE6F8B">
        <w:rPr>
          <w:rFonts w:cstheme="minorHAnsi"/>
        </w:rPr>
        <w:t xml:space="preserve"> sections that</w:t>
      </w:r>
      <w:r w:rsidR="00E960F5">
        <w:rPr>
          <w:rFonts w:cstheme="minorHAnsi"/>
        </w:rPr>
        <w:t xml:space="preserve"> meet the Title VI requirement</w:t>
      </w:r>
      <w:r w:rsidR="00795380">
        <w:rPr>
          <w:rFonts w:cstheme="minorHAnsi"/>
        </w:rPr>
        <w:t>s of FHWA and FTA.</w:t>
      </w:r>
      <w:r w:rsidRPr="00FE6F8B">
        <w:rPr>
          <w:rFonts w:cstheme="minorHAnsi"/>
        </w:rPr>
        <w:t xml:space="preserve"> </w:t>
      </w:r>
    </w:p>
    <w:p w14:paraId="5F66C0C3" w14:textId="2695A941" w:rsidR="00FE6F8B" w:rsidRDefault="00E960F5" w:rsidP="00020D20">
      <w:pPr>
        <w:jc w:val="both"/>
        <w:rPr>
          <w:rFonts w:cstheme="minorHAnsi"/>
        </w:rPr>
      </w:pPr>
      <w:r>
        <w:rPr>
          <w:rFonts w:cstheme="minorHAnsi"/>
        </w:rPr>
        <w:t xml:space="preserve">As </w:t>
      </w:r>
      <w:r w:rsidR="00FE6F8B" w:rsidRPr="00FE6F8B">
        <w:rPr>
          <w:rFonts w:cstheme="minorHAnsi"/>
        </w:rPr>
        <w:t>FTA and FHWA have different requirements</w:t>
      </w:r>
      <w:r>
        <w:rPr>
          <w:rFonts w:cstheme="minorHAnsi"/>
        </w:rPr>
        <w:t>,</w:t>
      </w:r>
      <w:r w:rsidR="00FE6F8B" w:rsidRPr="00FE6F8B">
        <w:rPr>
          <w:rFonts w:cstheme="minorHAnsi"/>
        </w:rPr>
        <w:t xml:space="preserve"> </w:t>
      </w:r>
      <w:r>
        <w:rPr>
          <w:rFonts w:cstheme="minorHAnsi"/>
        </w:rPr>
        <w:t>t</w:t>
      </w:r>
      <w:r w:rsidR="00FE6F8B" w:rsidRPr="00FE6F8B">
        <w:rPr>
          <w:rFonts w:cstheme="minorHAnsi"/>
        </w:rPr>
        <w:t xml:space="preserve">he MPO/COG should work with ADOT’s Title VI program manager to ensure the plan meets </w:t>
      </w:r>
      <w:r>
        <w:rPr>
          <w:rFonts w:cstheme="minorHAnsi"/>
        </w:rPr>
        <w:t xml:space="preserve">the minimum Title VI </w:t>
      </w:r>
      <w:r w:rsidR="00FE6F8B" w:rsidRPr="00FE6F8B">
        <w:rPr>
          <w:rFonts w:cstheme="minorHAnsi"/>
        </w:rPr>
        <w:t>requirements</w:t>
      </w:r>
      <w:r>
        <w:rPr>
          <w:rFonts w:cstheme="minorHAnsi"/>
        </w:rPr>
        <w:t xml:space="preserve"> for both federal modes</w:t>
      </w:r>
      <w:r w:rsidR="00FE6F8B" w:rsidRPr="00FE6F8B">
        <w:rPr>
          <w:rFonts w:cstheme="minorHAnsi"/>
        </w:rPr>
        <w:t>.</w:t>
      </w:r>
    </w:p>
    <w:p w14:paraId="3FA24425" w14:textId="6A90ED11" w:rsidR="00FE6F8B" w:rsidRDefault="00FE6F8B" w:rsidP="00020D20">
      <w:pPr>
        <w:pStyle w:val="Heading4"/>
        <w:jc w:val="both"/>
      </w:pPr>
      <w:r w:rsidRPr="00FE6F8B">
        <w:t>Table 12-2 | Available Title VI Plans</w:t>
      </w:r>
    </w:p>
    <w:tbl>
      <w:tblPr>
        <w:tblW w:w="4320" w:type="dxa"/>
        <w:tblInd w:w="-5" w:type="dxa"/>
        <w:tblLayout w:type="fixed"/>
        <w:tblCellMar>
          <w:left w:w="0" w:type="dxa"/>
          <w:right w:w="0" w:type="dxa"/>
        </w:tblCellMar>
        <w:tblLook w:val="0000" w:firstRow="0" w:lastRow="0" w:firstColumn="0" w:lastColumn="0" w:noHBand="0" w:noVBand="0"/>
      </w:tblPr>
      <w:tblGrid>
        <w:gridCol w:w="900"/>
        <w:gridCol w:w="3420"/>
      </w:tblGrid>
      <w:tr w:rsidR="00B56BCD" w:rsidRPr="00531878" w14:paraId="6FA73FC4" w14:textId="77777777" w:rsidTr="00020D20">
        <w:trPr>
          <w:trHeight w:val="18"/>
        </w:trPr>
        <w:tc>
          <w:tcPr>
            <w:tcW w:w="900" w:type="dxa"/>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76B6174F" w14:textId="77777777" w:rsidR="00FE6F8B" w:rsidRPr="000E38B9" w:rsidRDefault="00FE6F8B" w:rsidP="00020D20">
            <w:pPr>
              <w:spacing w:before="0" w:after="0" w:line="240" w:lineRule="auto"/>
              <w:jc w:val="center"/>
            </w:pPr>
            <w:r w:rsidRPr="000E38B9">
              <w:t>Agency</w:t>
            </w:r>
          </w:p>
        </w:tc>
        <w:tc>
          <w:tcPr>
            <w:tcW w:w="3420" w:type="dxa"/>
            <w:tcBorders>
              <w:top w:val="single" w:sz="4" w:space="0" w:color="auto"/>
              <w:left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42A9301A" w14:textId="77777777" w:rsidR="00FE6F8B" w:rsidRPr="000E38B9" w:rsidRDefault="00FE6F8B" w:rsidP="00020D20">
            <w:pPr>
              <w:spacing w:before="0" w:after="0" w:line="240" w:lineRule="auto"/>
              <w:jc w:val="center"/>
            </w:pPr>
            <w:r w:rsidRPr="000E38B9">
              <w:t>Title VI Plan Location</w:t>
            </w:r>
          </w:p>
        </w:tc>
      </w:tr>
      <w:tr w:rsidR="00FE6F8B" w:rsidRPr="00FE6F8B" w14:paraId="5C27DC73" w14:textId="77777777" w:rsidTr="00020D20">
        <w:trPr>
          <w:trHeight w:val="20"/>
        </w:trPr>
        <w:tc>
          <w:tcPr>
            <w:tcW w:w="900" w:type="dxa"/>
            <w:tcBorders>
              <w:left w:val="single" w:sz="4" w:space="0" w:color="auto"/>
              <w:bottom w:val="single" w:sz="4" w:space="0" w:color="auto"/>
              <w:right w:val="single" w:sz="4" w:space="0" w:color="auto"/>
            </w:tcBorders>
            <w:tcMar>
              <w:top w:w="80" w:type="dxa"/>
              <w:left w:w="80" w:type="dxa"/>
              <w:bottom w:w="80" w:type="dxa"/>
              <w:right w:w="80" w:type="dxa"/>
            </w:tcMar>
            <w:vAlign w:val="center"/>
          </w:tcPr>
          <w:p w14:paraId="7E4638BC" w14:textId="77777777" w:rsidR="00FE6F8B" w:rsidRPr="00020D20" w:rsidRDefault="00FE6F8B" w:rsidP="00020D20">
            <w:pPr>
              <w:spacing w:before="0" w:after="0" w:line="240" w:lineRule="auto"/>
              <w:jc w:val="center"/>
              <w:rPr>
                <w:sz w:val="16"/>
                <w:szCs w:val="16"/>
              </w:rPr>
            </w:pPr>
            <w:r w:rsidRPr="00020D20">
              <w:rPr>
                <w:sz w:val="16"/>
                <w:szCs w:val="16"/>
              </w:rPr>
              <w:t>ADOT</w:t>
            </w:r>
          </w:p>
        </w:tc>
        <w:tc>
          <w:tcPr>
            <w:tcW w:w="3420" w:type="dxa"/>
            <w:tcBorders>
              <w:left w:val="single" w:sz="4" w:space="0" w:color="auto"/>
              <w:bottom w:val="single" w:sz="4" w:space="0" w:color="auto"/>
              <w:right w:val="single" w:sz="4" w:space="0" w:color="auto"/>
            </w:tcBorders>
            <w:tcMar>
              <w:top w:w="90" w:type="dxa"/>
              <w:left w:w="180" w:type="dxa"/>
              <w:bottom w:w="90" w:type="dxa"/>
              <w:right w:w="90" w:type="dxa"/>
            </w:tcMar>
            <w:vAlign w:val="center"/>
          </w:tcPr>
          <w:p w14:paraId="66FB9249" w14:textId="78ABB20D" w:rsidR="00FE6F8B" w:rsidRPr="00B56BCD" w:rsidRDefault="00202C92">
            <w:pPr>
              <w:pStyle w:val="Title"/>
              <w:rPr>
                <w:sz w:val="16"/>
                <w:szCs w:val="16"/>
              </w:rPr>
            </w:pPr>
            <w:hyperlink r:id="rId807" w:history="1">
              <w:r w:rsidR="00787605" w:rsidRPr="00B56BCD">
                <w:rPr>
                  <w:rStyle w:val="Hyperlink"/>
                  <w:rFonts w:asciiTheme="minorHAnsi" w:hAnsiTheme="minorHAnsi" w:cstheme="majorBidi"/>
                  <w:i/>
                  <w:iCs w:val="0"/>
                  <w:color w:val="CE5B18"/>
                  <w:u w:val="none"/>
                </w:rPr>
                <w:t>https://azdot.gov/business/civil-rights/title-vi-nondiscrimination-program/title-vi-implementation</w:t>
              </w:r>
            </w:hyperlink>
          </w:p>
        </w:tc>
      </w:tr>
      <w:tr w:rsidR="00FE6F8B" w:rsidRPr="00FE6F8B" w14:paraId="7CE2174B" w14:textId="77777777" w:rsidTr="00020D20">
        <w:trPr>
          <w:trHeight w:val="23"/>
        </w:trPr>
        <w:tc>
          <w:tcPr>
            <w:tcW w:w="90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0411121" w14:textId="77777777" w:rsidR="00FE6F8B" w:rsidRPr="00020D20" w:rsidRDefault="00FE6F8B" w:rsidP="00020D20">
            <w:pPr>
              <w:spacing w:before="0" w:after="0" w:line="240" w:lineRule="auto"/>
              <w:jc w:val="center"/>
              <w:rPr>
                <w:sz w:val="16"/>
                <w:szCs w:val="16"/>
              </w:rPr>
            </w:pPr>
            <w:r w:rsidRPr="00020D20">
              <w:rPr>
                <w:sz w:val="16"/>
                <w:szCs w:val="16"/>
              </w:rPr>
              <w:t>MAG</w:t>
            </w:r>
          </w:p>
        </w:tc>
        <w:tc>
          <w:tcPr>
            <w:tcW w:w="3420"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5B3AE14C" w14:textId="0A0C035B" w:rsidR="00FE6F8B" w:rsidRPr="00B56BCD" w:rsidRDefault="00202C92">
            <w:pPr>
              <w:pStyle w:val="Title"/>
              <w:rPr>
                <w:sz w:val="16"/>
                <w:szCs w:val="16"/>
              </w:rPr>
            </w:pPr>
            <w:hyperlink r:id="rId808" w:history="1">
              <w:r w:rsidR="00787605" w:rsidRPr="00B56BCD">
                <w:rPr>
                  <w:rStyle w:val="Hyperlink"/>
                  <w:rFonts w:asciiTheme="minorHAnsi" w:hAnsiTheme="minorHAnsi" w:cstheme="majorBidi"/>
                  <w:i/>
                  <w:iCs w:val="0"/>
                  <w:color w:val="CE5B18"/>
                  <w:u w:val="none"/>
                </w:rPr>
                <w:t>https://azmag.gov/Title-VI</w:t>
              </w:r>
            </w:hyperlink>
          </w:p>
        </w:tc>
      </w:tr>
      <w:tr w:rsidR="00FE6F8B" w:rsidRPr="00FE6F8B" w14:paraId="4DA0E0CA" w14:textId="77777777" w:rsidTr="00020D20">
        <w:trPr>
          <w:trHeight w:val="23"/>
        </w:trPr>
        <w:tc>
          <w:tcPr>
            <w:tcW w:w="90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8A49C0C" w14:textId="77777777" w:rsidR="00FE6F8B" w:rsidRPr="00020D20" w:rsidRDefault="00FE6F8B" w:rsidP="00020D20">
            <w:pPr>
              <w:spacing w:before="0" w:after="0" w:line="240" w:lineRule="auto"/>
              <w:jc w:val="center"/>
              <w:rPr>
                <w:sz w:val="16"/>
                <w:szCs w:val="16"/>
              </w:rPr>
            </w:pPr>
            <w:r w:rsidRPr="00020D20">
              <w:rPr>
                <w:sz w:val="16"/>
                <w:szCs w:val="16"/>
              </w:rPr>
              <w:t>PAG</w:t>
            </w:r>
          </w:p>
        </w:tc>
        <w:tc>
          <w:tcPr>
            <w:tcW w:w="3420"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2E033F51" w14:textId="568AE84C" w:rsidR="00FE6F8B" w:rsidRPr="00B56BCD" w:rsidRDefault="00E71AD9">
            <w:pPr>
              <w:pStyle w:val="Title"/>
              <w:rPr>
                <w:sz w:val="16"/>
                <w:szCs w:val="16"/>
              </w:rPr>
            </w:pPr>
            <w:r w:rsidRPr="00E71AD9">
              <w:rPr>
                <w:sz w:val="16"/>
                <w:szCs w:val="16"/>
              </w:rPr>
              <w:t>https://pagregion.com/title-vi/</w:t>
            </w:r>
          </w:p>
        </w:tc>
      </w:tr>
      <w:tr w:rsidR="00B56BCD" w:rsidRPr="00FE6F8B" w14:paraId="07A5700C" w14:textId="77777777" w:rsidTr="00020D20">
        <w:trPr>
          <w:trHeight w:val="23"/>
        </w:trPr>
        <w:tc>
          <w:tcPr>
            <w:tcW w:w="90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3CCA5CB" w14:textId="77777777" w:rsidR="00FE6F8B" w:rsidRPr="00020D20" w:rsidRDefault="00FE6F8B" w:rsidP="00020D20">
            <w:pPr>
              <w:spacing w:before="0" w:after="0" w:line="240" w:lineRule="auto"/>
              <w:jc w:val="center"/>
              <w:rPr>
                <w:sz w:val="16"/>
                <w:szCs w:val="16"/>
              </w:rPr>
            </w:pPr>
            <w:r w:rsidRPr="00020D20">
              <w:rPr>
                <w:sz w:val="16"/>
                <w:szCs w:val="16"/>
              </w:rPr>
              <w:t>CYMPO</w:t>
            </w:r>
          </w:p>
        </w:tc>
        <w:tc>
          <w:tcPr>
            <w:tcW w:w="3420"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0D01584E" w14:textId="71B65CBB" w:rsidR="00FE6F8B" w:rsidRPr="00B56BCD" w:rsidRDefault="00202C92">
            <w:pPr>
              <w:pStyle w:val="Title"/>
              <w:rPr>
                <w:sz w:val="16"/>
                <w:szCs w:val="16"/>
              </w:rPr>
            </w:pPr>
            <w:hyperlink r:id="rId809" w:history="1">
              <w:r w:rsidR="00787605" w:rsidRPr="00B56BCD">
                <w:rPr>
                  <w:rStyle w:val="Hyperlink"/>
                  <w:rFonts w:asciiTheme="minorHAnsi" w:hAnsiTheme="minorHAnsi" w:cstheme="majorBidi"/>
                  <w:i/>
                  <w:iCs w:val="0"/>
                  <w:color w:val="CE5B18"/>
                  <w:u w:val="none"/>
                </w:rPr>
                <w:t>https://www.cympo.org/federally-required-documents/</w:t>
              </w:r>
              <w:r w:rsidR="00FE6F8B" w:rsidRPr="00B56BCD">
                <w:rPr>
                  <w:rStyle w:val="Hyperlink"/>
                  <w:rFonts w:asciiTheme="minorHAnsi" w:hAnsiTheme="minorHAnsi" w:cstheme="majorBidi"/>
                  <w:i/>
                  <w:iCs w:val="0"/>
                  <w:color w:val="CE5B18"/>
                  <w:u w:val="none"/>
                </w:rPr>
                <w:t>h</w:t>
              </w:r>
            </w:hyperlink>
          </w:p>
        </w:tc>
      </w:tr>
      <w:tr w:rsidR="00FE6F8B" w:rsidRPr="00FE6F8B" w14:paraId="130F1D7D" w14:textId="77777777" w:rsidTr="00020D20">
        <w:trPr>
          <w:trHeight w:val="23"/>
        </w:trPr>
        <w:tc>
          <w:tcPr>
            <w:tcW w:w="90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0C82950" w14:textId="29FE829A" w:rsidR="00FE6F8B" w:rsidRPr="00020D20" w:rsidRDefault="000441B5" w:rsidP="00020D20">
            <w:pPr>
              <w:spacing w:before="0" w:after="0" w:line="240" w:lineRule="auto"/>
              <w:jc w:val="center"/>
              <w:rPr>
                <w:sz w:val="16"/>
                <w:szCs w:val="16"/>
              </w:rPr>
            </w:pPr>
            <w:r>
              <w:rPr>
                <w:sz w:val="16"/>
                <w:szCs w:val="16"/>
              </w:rPr>
              <w:t>FMPO</w:t>
            </w:r>
          </w:p>
        </w:tc>
        <w:tc>
          <w:tcPr>
            <w:tcW w:w="3420"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49E5E1AA" w14:textId="36234091" w:rsidR="00FE6F8B" w:rsidRPr="00020D20" w:rsidRDefault="00202C92">
            <w:pPr>
              <w:pStyle w:val="Title"/>
              <w:rPr>
                <w:sz w:val="16"/>
                <w:szCs w:val="16"/>
              </w:rPr>
            </w:pPr>
            <w:hyperlink r:id="rId810" w:history="1">
              <w:r w:rsidR="00787605" w:rsidRPr="00B56BCD">
                <w:rPr>
                  <w:rStyle w:val="Hyperlink"/>
                  <w:rFonts w:asciiTheme="minorHAnsi" w:hAnsiTheme="minorHAnsi" w:cstheme="majorBidi"/>
                  <w:i/>
                  <w:iCs w:val="0"/>
                  <w:color w:val="CE5B18"/>
                  <w:u w:val="none"/>
                </w:rPr>
                <w:t>https://www.flagstaff.az.gov/DocumentCenter/View/13093/</w:t>
              </w:r>
              <w:r w:rsidR="00983198" w:rsidRPr="00B56BCD">
                <w:rPr>
                  <w:rStyle w:val="Hyperlink"/>
                  <w:rFonts w:asciiTheme="minorHAnsi" w:hAnsiTheme="minorHAnsi" w:cstheme="majorBidi"/>
                  <w:i/>
                  <w:iCs w:val="0"/>
                  <w:color w:val="CE5B18"/>
                  <w:u w:val="none"/>
                </w:rPr>
                <w:t>MetroPlan</w:t>
              </w:r>
              <w:r w:rsidR="00787605" w:rsidRPr="00B56BCD">
                <w:rPr>
                  <w:rStyle w:val="Hyperlink"/>
                  <w:rFonts w:asciiTheme="minorHAnsi" w:hAnsiTheme="minorHAnsi" w:cstheme="majorBidi"/>
                  <w:i/>
                  <w:iCs w:val="0"/>
                  <w:color w:val="CE5B18"/>
                  <w:u w:val="none"/>
                </w:rPr>
                <w:t>-Title-VI-and-Environmental-Justice-Plan?bidId=</w:t>
              </w:r>
            </w:hyperlink>
          </w:p>
        </w:tc>
      </w:tr>
      <w:tr w:rsidR="000441B5" w:rsidRPr="00FE6F8B" w14:paraId="49019521" w14:textId="77777777" w:rsidTr="00E337F2">
        <w:trPr>
          <w:trHeight w:val="23"/>
        </w:trPr>
        <w:tc>
          <w:tcPr>
            <w:tcW w:w="90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2976A8C" w14:textId="25D39506" w:rsidR="000441B5" w:rsidRDefault="000441B5" w:rsidP="00020D20">
            <w:pPr>
              <w:spacing w:before="0" w:after="0" w:line="240" w:lineRule="auto"/>
              <w:jc w:val="center"/>
              <w:rPr>
                <w:sz w:val="16"/>
                <w:szCs w:val="16"/>
              </w:rPr>
            </w:pPr>
            <w:r w:rsidRPr="00353FC1">
              <w:rPr>
                <w:sz w:val="16"/>
                <w:szCs w:val="16"/>
              </w:rPr>
              <w:t>YMPO</w:t>
            </w:r>
          </w:p>
        </w:tc>
        <w:tc>
          <w:tcPr>
            <w:tcW w:w="3420"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65DF77BE" w14:textId="5EEC2EFD" w:rsidR="000441B5" w:rsidRPr="00495A39" w:rsidRDefault="00202C92">
            <w:pPr>
              <w:pStyle w:val="Title"/>
              <w:rPr>
                <w:sz w:val="16"/>
                <w:szCs w:val="16"/>
              </w:rPr>
            </w:pPr>
            <w:hyperlink r:id="rId811" w:history="1">
              <w:r w:rsidR="000441B5" w:rsidRPr="00B56BCD">
                <w:rPr>
                  <w:rStyle w:val="Hyperlink"/>
                  <w:rFonts w:asciiTheme="minorHAnsi" w:hAnsiTheme="minorHAnsi" w:cstheme="majorBidi"/>
                  <w:i/>
                  <w:iCs w:val="0"/>
                  <w:color w:val="CE5B18"/>
                  <w:u w:val="none"/>
                </w:rPr>
                <w:t>http://ympo.org/studies-reports/title-vi-report/</w:t>
              </w:r>
            </w:hyperlink>
          </w:p>
        </w:tc>
      </w:tr>
    </w:tbl>
    <w:p w14:paraId="3EE2B59A" w14:textId="23E5235E" w:rsidR="00FE6F8B" w:rsidRPr="00FE6F8B" w:rsidRDefault="00FE6F8B" w:rsidP="00020D20">
      <w:pPr>
        <w:pStyle w:val="Heading2"/>
      </w:pPr>
      <w:bookmarkStart w:id="465" w:name="_Ref50034610"/>
      <w:r w:rsidRPr="00FE6F8B">
        <w:t xml:space="preserve">12.8 | TITLE VI </w:t>
      </w:r>
      <w:r w:rsidR="00763636">
        <w:t>AND</w:t>
      </w:r>
      <w:r w:rsidRPr="00FE6F8B">
        <w:t xml:space="preserve"> ENVIRONMENTAL JUSTICE COMPONENTS OF MPO TRANSPORTATION PLANNING DOCUMENTS</w:t>
      </w:r>
      <w:bookmarkEnd w:id="465"/>
    </w:p>
    <w:p w14:paraId="19464E41" w14:textId="04D08E91" w:rsidR="001636F2" w:rsidRDefault="00FE6F8B" w:rsidP="00020D20">
      <w:pPr>
        <w:jc w:val="both"/>
        <w:rPr>
          <w:rFonts w:cstheme="minorHAnsi"/>
        </w:rPr>
      </w:pPr>
      <w:r w:rsidRPr="00FE6F8B">
        <w:rPr>
          <w:rFonts w:cstheme="minorHAnsi"/>
        </w:rPr>
        <w:t>In addition to the Title VI</w:t>
      </w:r>
      <w:r w:rsidR="00E960F5">
        <w:rPr>
          <w:rFonts w:cstheme="minorHAnsi"/>
        </w:rPr>
        <w:t xml:space="preserve"> Nondiscrimination Implementation </w:t>
      </w:r>
      <w:r w:rsidRPr="00FE6F8B">
        <w:rPr>
          <w:rFonts w:cstheme="minorHAnsi"/>
        </w:rPr>
        <w:t>Plan, the general planning documents of the MPO need to include certain components directed toward establishing compliance with federal laws and regulations. These documents or reports are directed to ADOT or to the FTA, if the MPO is a direct recipient of FTA assistance. The table below highlights key requirements associated with the UPWP, LRTP, TIP,</w:t>
      </w:r>
      <w:r>
        <w:rPr>
          <w:rFonts w:cstheme="minorHAnsi"/>
        </w:rPr>
        <w:t xml:space="preserve"> and Public </w:t>
      </w:r>
      <w:r w:rsidR="00E960F5">
        <w:rPr>
          <w:rFonts w:cstheme="minorHAnsi"/>
        </w:rPr>
        <w:t xml:space="preserve">Involvement </w:t>
      </w:r>
      <w:r>
        <w:rPr>
          <w:rFonts w:cstheme="minorHAnsi"/>
        </w:rPr>
        <w:t>Plan</w:t>
      </w:r>
      <w:r w:rsidR="004E4D39">
        <w:rPr>
          <w:rFonts w:cstheme="minorHAnsi"/>
        </w:rPr>
        <w:t>.</w:t>
      </w:r>
    </w:p>
    <w:p w14:paraId="12BE2F2D" w14:textId="77777777" w:rsidR="00A02A55" w:rsidRDefault="00A02A55" w:rsidP="00020D20">
      <w:pPr>
        <w:jc w:val="both"/>
        <w:rPr>
          <w:rFonts w:cstheme="minorHAnsi"/>
        </w:rPr>
      </w:pPr>
    </w:p>
    <w:p w14:paraId="0D0FB1AF" w14:textId="77777777" w:rsidR="00A02A55" w:rsidRDefault="00A02A55" w:rsidP="00020D20">
      <w:pPr>
        <w:jc w:val="both"/>
        <w:rPr>
          <w:rFonts w:cstheme="minorHAnsi"/>
        </w:rPr>
      </w:pPr>
    </w:p>
    <w:p w14:paraId="63E7DBB1" w14:textId="5F3B56EE" w:rsidR="00A02A55" w:rsidRDefault="00A02A55" w:rsidP="00020D20">
      <w:pPr>
        <w:jc w:val="both"/>
        <w:rPr>
          <w:rFonts w:cstheme="minorHAnsi"/>
        </w:rPr>
      </w:pPr>
    </w:p>
    <w:p w14:paraId="195BE1FF" w14:textId="77777777" w:rsidR="00A02A55" w:rsidRDefault="00A02A55" w:rsidP="00020D20">
      <w:pPr>
        <w:jc w:val="both"/>
        <w:rPr>
          <w:rFonts w:cstheme="minorHAnsi"/>
        </w:rPr>
      </w:pPr>
    </w:p>
    <w:p w14:paraId="418350AD" w14:textId="77777777" w:rsidR="00A02A55" w:rsidRDefault="00A02A55" w:rsidP="00020D20">
      <w:pPr>
        <w:jc w:val="both"/>
        <w:rPr>
          <w:rFonts w:cstheme="minorHAnsi"/>
        </w:rPr>
        <w:sectPr w:rsidR="00A02A55" w:rsidSect="00020D20">
          <w:type w:val="continuous"/>
          <w:pgSz w:w="12240" w:h="15840"/>
          <w:pgMar w:top="1440" w:right="1440" w:bottom="1440" w:left="1440" w:header="720" w:footer="720" w:gutter="0"/>
          <w:pgNumType w:chapStyle="1"/>
          <w:cols w:num="2" w:space="720"/>
          <w:docGrid w:linePitch="360"/>
        </w:sectPr>
      </w:pPr>
    </w:p>
    <w:p w14:paraId="696023F8" w14:textId="68DE5B9D" w:rsidR="001D3A9A" w:rsidRDefault="001D3A9A" w:rsidP="00020D20">
      <w:pPr>
        <w:jc w:val="both"/>
        <w:rPr>
          <w:rFonts w:asciiTheme="majorHAnsi" w:eastAsiaTheme="majorEastAsia" w:hAnsiTheme="majorHAnsi" w:cstheme="majorBidi"/>
          <w:color w:val="767171" w:themeColor="background2" w:themeShade="80"/>
        </w:rPr>
      </w:pPr>
      <w:r>
        <w:br w:type="page"/>
      </w:r>
    </w:p>
    <w:p w14:paraId="52B368C5" w14:textId="011A4F48" w:rsidR="00FE6F8B" w:rsidRDefault="00FE6F8B" w:rsidP="00020D20">
      <w:pPr>
        <w:pStyle w:val="Heading4"/>
        <w:jc w:val="both"/>
      </w:pPr>
      <w:r w:rsidRPr="00FE6F8B">
        <w:t>Table 12-3 | Key MPO Reports and Requirements for Title VI &amp; Environmental Justice Documentation</w:t>
      </w:r>
    </w:p>
    <w:tbl>
      <w:tblPr>
        <w:tblW w:w="9365" w:type="dxa"/>
        <w:tblInd w:w="-10" w:type="dxa"/>
        <w:tblLayout w:type="fixed"/>
        <w:tblCellMar>
          <w:left w:w="0" w:type="dxa"/>
          <w:right w:w="0" w:type="dxa"/>
        </w:tblCellMar>
        <w:tblLook w:val="0000" w:firstRow="0" w:lastRow="0" w:firstColumn="0" w:lastColumn="0" w:noHBand="0" w:noVBand="0"/>
      </w:tblPr>
      <w:tblGrid>
        <w:gridCol w:w="1718"/>
        <w:gridCol w:w="3060"/>
        <w:gridCol w:w="4587"/>
      </w:tblGrid>
      <w:tr w:rsidR="00531878" w:rsidRPr="00531878" w14:paraId="6C5FBB38" w14:textId="77777777" w:rsidTr="00020D20">
        <w:trPr>
          <w:trHeight w:val="60"/>
        </w:trPr>
        <w:tc>
          <w:tcPr>
            <w:tcW w:w="1718" w:type="dxa"/>
            <w:tcBorders>
              <w:top w:val="single" w:sz="4" w:space="0" w:color="auto"/>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05DE49E8" w14:textId="77777777" w:rsidR="00FE6F8B" w:rsidRPr="000E38B9" w:rsidRDefault="00FE6F8B" w:rsidP="00020D20">
            <w:pPr>
              <w:spacing w:before="0" w:after="0" w:line="240" w:lineRule="auto"/>
              <w:jc w:val="center"/>
            </w:pPr>
            <w:r w:rsidRPr="000E38B9">
              <w:t>Document Name</w:t>
            </w:r>
          </w:p>
        </w:tc>
        <w:tc>
          <w:tcPr>
            <w:tcW w:w="306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3BC5F484" w14:textId="77777777" w:rsidR="00FE6F8B" w:rsidRPr="000E38B9" w:rsidRDefault="00FE6F8B" w:rsidP="00020D20">
            <w:pPr>
              <w:spacing w:before="0" w:after="0" w:line="240" w:lineRule="auto"/>
              <w:jc w:val="center"/>
            </w:pPr>
            <w:r w:rsidRPr="000E38B9">
              <w:t>Required Components</w:t>
            </w:r>
          </w:p>
        </w:tc>
        <w:tc>
          <w:tcPr>
            <w:tcW w:w="4587"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34423E60" w14:textId="77777777" w:rsidR="00FE6F8B" w:rsidRPr="000E38B9" w:rsidRDefault="00FE6F8B" w:rsidP="00020D20">
            <w:pPr>
              <w:spacing w:before="0" w:after="0" w:line="240" w:lineRule="auto"/>
              <w:jc w:val="center"/>
            </w:pPr>
            <w:r w:rsidRPr="000E38B9">
              <w:t>Details</w:t>
            </w:r>
          </w:p>
        </w:tc>
      </w:tr>
      <w:tr w:rsidR="00FE6F8B" w:rsidRPr="00FE6F8B" w14:paraId="059B5B6A" w14:textId="77777777" w:rsidTr="00020D20">
        <w:trPr>
          <w:trHeight w:val="504"/>
        </w:trPr>
        <w:tc>
          <w:tcPr>
            <w:tcW w:w="171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F9E4516" w14:textId="77777777" w:rsidR="00FE6F8B" w:rsidRPr="00020D20" w:rsidRDefault="00FE6F8B" w:rsidP="00020D20">
            <w:pPr>
              <w:pStyle w:val="Heading5"/>
              <w:spacing w:before="0" w:after="0" w:line="240" w:lineRule="auto"/>
              <w:rPr>
                <w:i w:val="0"/>
                <w:color w:val="000000"/>
                <w:sz w:val="16"/>
                <w:szCs w:val="16"/>
              </w:rPr>
            </w:pPr>
            <w:r w:rsidRPr="00020D20">
              <w:rPr>
                <w:i w:val="0"/>
                <w:sz w:val="16"/>
                <w:szCs w:val="16"/>
              </w:rPr>
              <w:t>Unified Planning Work Program (UPWP)</w:t>
            </w:r>
          </w:p>
        </w:tc>
        <w:tc>
          <w:tcPr>
            <w:tcW w:w="30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5CD2CA4" w14:textId="77777777" w:rsidR="00FE6F8B" w:rsidRPr="00020D20" w:rsidRDefault="00FE6F8B" w:rsidP="00020D20">
            <w:pPr>
              <w:pStyle w:val="Heading5"/>
              <w:numPr>
                <w:ilvl w:val="0"/>
                <w:numId w:val="218"/>
              </w:numPr>
              <w:spacing w:before="0" w:after="0" w:line="240" w:lineRule="auto"/>
              <w:ind w:left="360"/>
              <w:rPr>
                <w:i w:val="0"/>
                <w:sz w:val="16"/>
                <w:szCs w:val="16"/>
              </w:rPr>
            </w:pPr>
            <w:r w:rsidRPr="00020D20">
              <w:rPr>
                <w:i w:val="0"/>
                <w:sz w:val="16"/>
                <w:szCs w:val="16"/>
              </w:rPr>
              <w:t>Certification of DBE and EEO</w:t>
            </w:r>
          </w:p>
          <w:p w14:paraId="0B366CA5" w14:textId="77777777" w:rsidR="00FE6F8B" w:rsidRPr="00020D20" w:rsidRDefault="00FE6F8B" w:rsidP="00020D20">
            <w:pPr>
              <w:pStyle w:val="Heading5"/>
              <w:numPr>
                <w:ilvl w:val="0"/>
                <w:numId w:val="218"/>
              </w:numPr>
              <w:spacing w:before="0" w:after="0" w:line="240" w:lineRule="auto"/>
              <w:ind w:left="360"/>
              <w:rPr>
                <w:i w:val="0"/>
                <w:sz w:val="16"/>
                <w:szCs w:val="16"/>
              </w:rPr>
            </w:pPr>
            <w:r w:rsidRPr="00020D20">
              <w:rPr>
                <w:i w:val="0"/>
                <w:sz w:val="16"/>
                <w:szCs w:val="16"/>
              </w:rPr>
              <w:t>Assurance of Title VI compliance</w:t>
            </w:r>
          </w:p>
        </w:tc>
        <w:tc>
          <w:tcPr>
            <w:tcW w:w="4587"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1F299FB" w14:textId="6D7A0005" w:rsidR="00FE6F8B" w:rsidRPr="00020D20" w:rsidRDefault="00FE6F8B" w:rsidP="00020D20">
            <w:pPr>
              <w:pStyle w:val="Heading5"/>
              <w:numPr>
                <w:ilvl w:val="0"/>
                <w:numId w:val="221"/>
              </w:numPr>
              <w:spacing w:before="0" w:after="0" w:line="240" w:lineRule="auto"/>
              <w:ind w:left="360"/>
              <w:jc w:val="both"/>
              <w:rPr>
                <w:sz w:val="16"/>
                <w:szCs w:val="16"/>
              </w:rPr>
            </w:pPr>
            <w:r w:rsidRPr="00020D20">
              <w:rPr>
                <w:sz w:val="16"/>
                <w:szCs w:val="16"/>
              </w:rPr>
              <w:t>Tasks and funds for outreach to low-income, minority populations,</w:t>
            </w:r>
            <w:r w:rsidR="00E960F5" w:rsidRPr="00020D20">
              <w:rPr>
                <w:sz w:val="16"/>
                <w:szCs w:val="16"/>
              </w:rPr>
              <w:t xml:space="preserve"> limited English Proficient persons, and</w:t>
            </w:r>
            <w:r w:rsidRPr="00020D20">
              <w:rPr>
                <w:sz w:val="16"/>
                <w:szCs w:val="16"/>
              </w:rPr>
              <w:t xml:space="preserve"> other populations afforded Title VI protection as well as necessary data.</w:t>
            </w:r>
          </w:p>
          <w:p w14:paraId="130A1A30" w14:textId="77777777" w:rsidR="00FE6F8B" w:rsidRPr="00020D20" w:rsidRDefault="00FE6F8B" w:rsidP="00020D20">
            <w:pPr>
              <w:pStyle w:val="Heading5"/>
              <w:numPr>
                <w:ilvl w:val="0"/>
                <w:numId w:val="221"/>
              </w:numPr>
              <w:spacing w:before="0" w:after="0" w:line="240" w:lineRule="auto"/>
              <w:ind w:left="360"/>
              <w:jc w:val="both"/>
              <w:rPr>
                <w:sz w:val="16"/>
                <w:szCs w:val="16"/>
              </w:rPr>
            </w:pPr>
            <w:r w:rsidRPr="00020D20">
              <w:rPr>
                <w:sz w:val="16"/>
                <w:szCs w:val="16"/>
              </w:rPr>
              <w:t>Tasks related to LEP populations.</w:t>
            </w:r>
          </w:p>
        </w:tc>
      </w:tr>
      <w:tr w:rsidR="00FE6F8B" w:rsidRPr="00FE6F8B" w14:paraId="7A86A4B0" w14:textId="77777777" w:rsidTr="00020D20">
        <w:trPr>
          <w:trHeight w:val="2582"/>
        </w:trPr>
        <w:tc>
          <w:tcPr>
            <w:tcW w:w="171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40E98EC" w14:textId="77777777" w:rsidR="00FE6F8B" w:rsidRPr="00020D20" w:rsidRDefault="00FE6F8B" w:rsidP="00020D20">
            <w:pPr>
              <w:pStyle w:val="Heading5"/>
              <w:spacing w:before="0" w:after="0" w:line="240" w:lineRule="auto"/>
              <w:rPr>
                <w:i w:val="0"/>
                <w:color w:val="000000"/>
                <w:sz w:val="16"/>
                <w:szCs w:val="16"/>
              </w:rPr>
            </w:pPr>
            <w:r w:rsidRPr="00020D20">
              <w:rPr>
                <w:i w:val="0"/>
                <w:sz w:val="16"/>
                <w:szCs w:val="16"/>
              </w:rPr>
              <w:t>Long-Range Transportation Plan (LRTP)</w:t>
            </w:r>
          </w:p>
        </w:tc>
        <w:tc>
          <w:tcPr>
            <w:tcW w:w="30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F0D5E0B" w14:textId="77777777" w:rsidR="00FE6F8B" w:rsidRPr="00020D20" w:rsidRDefault="00FE6F8B" w:rsidP="00020D20">
            <w:pPr>
              <w:pStyle w:val="Heading5"/>
              <w:numPr>
                <w:ilvl w:val="0"/>
                <w:numId w:val="219"/>
              </w:numPr>
              <w:spacing w:before="0" w:after="0" w:line="240" w:lineRule="auto"/>
              <w:ind w:left="360"/>
              <w:rPr>
                <w:i w:val="0"/>
                <w:sz w:val="16"/>
                <w:szCs w:val="16"/>
              </w:rPr>
            </w:pPr>
            <w:r w:rsidRPr="00020D20">
              <w:rPr>
                <w:i w:val="0"/>
                <w:sz w:val="16"/>
                <w:szCs w:val="16"/>
              </w:rPr>
              <w:t>Identify and provide information to interested parties about the LRTP</w:t>
            </w:r>
          </w:p>
          <w:p w14:paraId="2EDD8A56" w14:textId="77777777" w:rsidR="00FE6F8B" w:rsidRPr="00020D20" w:rsidRDefault="00FE6F8B" w:rsidP="00020D20">
            <w:pPr>
              <w:pStyle w:val="Heading5"/>
              <w:numPr>
                <w:ilvl w:val="0"/>
                <w:numId w:val="219"/>
              </w:numPr>
              <w:spacing w:before="0" w:after="0" w:line="240" w:lineRule="auto"/>
              <w:ind w:left="360"/>
              <w:rPr>
                <w:i w:val="0"/>
                <w:sz w:val="16"/>
                <w:szCs w:val="16"/>
              </w:rPr>
            </w:pPr>
            <w:r w:rsidRPr="00020D20">
              <w:rPr>
                <w:i w:val="0"/>
                <w:sz w:val="16"/>
                <w:szCs w:val="16"/>
              </w:rPr>
              <w:t>Assurance of Title VI compliance</w:t>
            </w:r>
          </w:p>
        </w:tc>
        <w:tc>
          <w:tcPr>
            <w:tcW w:w="4587"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410E3E1" w14:textId="5E824A5C" w:rsidR="00FE6F8B" w:rsidRPr="00020D20" w:rsidRDefault="00FE6F8B" w:rsidP="00020D20">
            <w:pPr>
              <w:pStyle w:val="Heading5"/>
              <w:spacing w:before="0" w:after="0" w:line="240" w:lineRule="auto"/>
              <w:jc w:val="both"/>
              <w:rPr>
                <w:sz w:val="16"/>
                <w:szCs w:val="16"/>
              </w:rPr>
            </w:pPr>
            <w:r w:rsidRPr="00020D20">
              <w:rPr>
                <w:sz w:val="16"/>
                <w:szCs w:val="16"/>
              </w:rPr>
              <w:t>Information regarding low income and minority populations</w:t>
            </w:r>
            <w:r w:rsidR="00E960F5" w:rsidRPr="00020D20">
              <w:rPr>
                <w:sz w:val="16"/>
                <w:szCs w:val="16"/>
              </w:rPr>
              <w:t>, limited English Proficient persons,</w:t>
            </w:r>
            <w:r w:rsidRPr="00020D20">
              <w:rPr>
                <w:sz w:val="16"/>
                <w:szCs w:val="16"/>
              </w:rPr>
              <w:t xml:space="preserve"> and other populations afforded protection against discriminatory actions or policies, as identified with respect to Title VI compliance:</w:t>
            </w:r>
          </w:p>
          <w:p w14:paraId="1702F207" w14:textId="77777777" w:rsidR="00FE6F8B" w:rsidRPr="00020D20" w:rsidRDefault="00FE6F8B" w:rsidP="00020D20">
            <w:pPr>
              <w:pStyle w:val="Heading5"/>
              <w:numPr>
                <w:ilvl w:val="0"/>
                <w:numId w:val="222"/>
              </w:numPr>
              <w:spacing w:before="0" w:after="0" w:line="240" w:lineRule="auto"/>
              <w:ind w:left="504"/>
              <w:jc w:val="both"/>
              <w:rPr>
                <w:sz w:val="16"/>
                <w:szCs w:val="16"/>
              </w:rPr>
            </w:pPr>
            <w:r w:rsidRPr="00020D20">
              <w:rPr>
                <w:sz w:val="16"/>
                <w:szCs w:val="16"/>
              </w:rPr>
              <w:t>Data collection and processing</w:t>
            </w:r>
          </w:p>
          <w:p w14:paraId="670BAE5D" w14:textId="77777777" w:rsidR="00FE6F8B" w:rsidRPr="00020D20" w:rsidRDefault="00FE6F8B" w:rsidP="00020D20">
            <w:pPr>
              <w:pStyle w:val="Heading5"/>
              <w:numPr>
                <w:ilvl w:val="0"/>
                <w:numId w:val="222"/>
              </w:numPr>
              <w:spacing w:before="0" w:after="0" w:line="240" w:lineRule="auto"/>
              <w:ind w:left="504"/>
              <w:jc w:val="both"/>
              <w:rPr>
                <w:sz w:val="16"/>
                <w:szCs w:val="16"/>
              </w:rPr>
            </w:pPr>
            <w:r w:rsidRPr="00020D20">
              <w:rPr>
                <w:sz w:val="16"/>
                <w:szCs w:val="16"/>
              </w:rPr>
              <w:t>Analysis of locations/concentrations</w:t>
            </w:r>
          </w:p>
          <w:p w14:paraId="462D0BFD" w14:textId="77777777" w:rsidR="00FE6F8B" w:rsidRPr="00020D20" w:rsidRDefault="00FE6F8B" w:rsidP="00020D20">
            <w:pPr>
              <w:pStyle w:val="Heading5"/>
              <w:numPr>
                <w:ilvl w:val="0"/>
                <w:numId w:val="222"/>
              </w:numPr>
              <w:spacing w:before="0" w:after="0" w:line="240" w:lineRule="auto"/>
              <w:ind w:left="504"/>
              <w:jc w:val="both"/>
              <w:rPr>
                <w:sz w:val="16"/>
                <w:szCs w:val="16"/>
              </w:rPr>
            </w:pPr>
            <w:r w:rsidRPr="00020D20">
              <w:rPr>
                <w:sz w:val="16"/>
                <w:szCs w:val="16"/>
              </w:rPr>
              <w:t>Goals and objectives for serving these groups</w:t>
            </w:r>
          </w:p>
          <w:p w14:paraId="2F825900" w14:textId="77777777" w:rsidR="00584AAC" w:rsidRPr="00020D20" w:rsidRDefault="00FE6F8B" w:rsidP="00020D20">
            <w:pPr>
              <w:pStyle w:val="Heading5"/>
              <w:numPr>
                <w:ilvl w:val="0"/>
                <w:numId w:val="222"/>
              </w:numPr>
              <w:spacing w:before="0" w:after="0" w:line="240" w:lineRule="auto"/>
              <w:ind w:left="504"/>
              <w:jc w:val="both"/>
              <w:rPr>
                <w:sz w:val="16"/>
                <w:szCs w:val="16"/>
              </w:rPr>
            </w:pPr>
            <w:r w:rsidRPr="00020D20">
              <w:rPr>
                <w:sz w:val="16"/>
                <w:szCs w:val="16"/>
              </w:rPr>
              <w:t>Process and criteria for</w:t>
            </w:r>
          </w:p>
          <w:p w14:paraId="13A4A176" w14:textId="44D168A0" w:rsidR="00FE6F8B" w:rsidRPr="00020D20" w:rsidRDefault="00FE6F8B" w:rsidP="00020D20">
            <w:pPr>
              <w:pStyle w:val="Heading5"/>
              <w:numPr>
                <w:ilvl w:val="1"/>
                <w:numId w:val="105"/>
              </w:numPr>
              <w:spacing w:before="0" w:after="0" w:line="240" w:lineRule="auto"/>
              <w:ind w:left="936"/>
              <w:jc w:val="both"/>
              <w:rPr>
                <w:sz w:val="16"/>
                <w:szCs w:val="16"/>
              </w:rPr>
            </w:pPr>
            <w:r w:rsidRPr="00020D20">
              <w:rPr>
                <w:sz w:val="16"/>
                <w:szCs w:val="16"/>
              </w:rPr>
              <w:t>Selecting cost-feasible projects that minimize or avoid disproportionately high and adverse effects</w:t>
            </w:r>
          </w:p>
          <w:p w14:paraId="2DD2EB2F" w14:textId="3DA5CB21" w:rsidR="00FE6F8B" w:rsidRPr="00020D20" w:rsidRDefault="00FE6F8B" w:rsidP="00020D20">
            <w:pPr>
              <w:pStyle w:val="Heading5"/>
              <w:numPr>
                <w:ilvl w:val="1"/>
                <w:numId w:val="105"/>
              </w:numPr>
              <w:spacing w:before="0" w:after="0" w:line="240" w:lineRule="auto"/>
              <w:ind w:left="936"/>
              <w:jc w:val="both"/>
              <w:rPr>
                <w:sz w:val="16"/>
                <w:szCs w:val="16"/>
              </w:rPr>
            </w:pPr>
            <w:r w:rsidRPr="00020D20">
              <w:rPr>
                <w:sz w:val="16"/>
                <w:szCs w:val="16"/>
              </w:rPr>
              <w:t>Defining a cost-feasible plan accounting for potential infrastructure impacts and benefits</w:t>
            </w:r>
          </w:p>
          <w:p w14:paraId="0F953036" w14:textId="77777777" w:rsidR="00FE6F8B" w:rsidRPr="00020D20" w:rsidRDefault="00FE6F8B" w:rsidP="00020D20">
            <w:pPr>
              <w:pStyle w:val="Heading5"/>
              <w:numPr>
                <w:ilvl w:val="0"/>
                <w:numId w:val="115"/>
              </w:numPr>
              <w:spacing w:before="0" w:after="0" w:line="240" w:lineRule="auto"/>
              <w:ind w:left="504"/>
              <w:jc w:val="both"/>
              <w:rPr>
                <w:sz w:val="16"/>
                <w:szCs w:val="16"/>
              </w:rPr>
            </w:pPr>
            <w:r w:rsidRPr="00020D20">
              <w:rPr>
                <w:sz w:val="16"/>
                <w:szCs w:val="16"/>
              </w:rPr>
              <w:t>Execution and documentation of public involvement efforts</w:t>
            </w:r>
          </w:p>
          <w:p w14:paraId="69673BB1" w14:textId="77777777" w:rsidR="00FE6F8B" w:rsidRPr="00020D20" w:rsidRDefault="00FE6F8B" w:rsidP="00020D20">
            <w:pPr>
              <w:pStyle w:val="Heading5"/>
              <w:numPr>
                <w:ilvl w:val="0"/>
                <w:numId w:val="115"/>
              </w:numPr>
              <w:spacing w:before="0" w:after="0" w:line="240" w:lineRule="auto"/>
              <w:ind w:left="504"/>
              <w:jc w:val="both"/>
              <w:rPr>
                <w:sz w:val="16"/>
                <w:szCs w:val="16"/>
              </w:rPr>
            </w:pPr>
            <w:r w:rsidRPr="00020D20">
              <w:rPr>
                <w:sz w:val="16"/>
                <w:szCs w:val="16"/>
              </w:rPr>
              <w:t>Data collection, impact assessment, and project selection criteria for cultural resources</w:t>
            </w:r>
          </w:p>
          <w:p w14:paraId="3869D85B" w14:textId="77777777" w:rsidR="00FE6F8B" w:rsidRPr="00020D20" w:rsidRDefault="00FE6F8B" w:rsidP="00020D20">
            <w:pPr>
              <w:pStyle w:val="Heading5"/>
              <w:numPr>
                <w:ilvl w:val="0"/>
                <w:numId w:val="115"/>
              </w:numPr>
              <w:spacing w:before="0" w:after="0" w:line="240" w:lineRule="auto"/>
              <w:ind w:left="504"/>
              <w:jc w:val="both"/>
              <w:rPr>
                <w:sz w:val="16"/>
                <w:szCs w:val="16"/>
              </w:rPr>
            </w:pPr>
            <w:r w:rsidRPr="00020D20">
              <w:rPr>
                <w:sz w:val="16"/>
                <w:szCs w:val="16"/>
              </w:rPr>
              <w:t>Discussion of mitigation efforts</w:t>
            </w:r>
          </w:p>
          <w:p w14:paraId="4F9DF9D8" w14:textId="77777777" w:rsidR="00FE6F8B" w:rsidRPr="00020D20" w:rsidRDefault="00FE6F8B" w:rsidP="00020D20">
            <w:pPr>
              <w:pStyle w:val="Heading5"/>
              <w:numPr>
                <w:ilvl w:val="0"/>
                <w:numId w:val="115"/>
              </w:numPr>
              <w:spacing w:before="0" w:after="0" w:line="240" w:lineRule="auto"/>
              <w:ind w:left="504"/>
              <w:jc w:val="both"/>
              <w:rPr>
                <w:sz w:val="16"/>
                <w:szCs w:val="16"/>
              </w:rPr>
            </w:pPr>
            <w:r w:rsidRPr="00020D20">
              <w:rPr>
                <w:sz w:val="16"/>
                <w:szCs w:val="16"/>
              </w:rPr>
              <w:t>Preparation of a Coordinated Public Transit-Human Services Transportation Plan</w:t>
            </w:r>
          </w:p>
        </w:tc>
      </w:tr>
      <w:tr w:rsidR="00FE6F8B" w:rsidRPr="00FE6F8B" w14:paraId="58C576F3" w14:textId="77777777" w:rsidTr="00020D20">
        <w:trPr>
          <w:trHeight w:val="143"/>
        </w:trPr>
        <w:tc>
          <w:tcPr>
            <w:tcW w:w="171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A68F03F" w14:textId="77777777" w:rsidR="00FE6F8B" w:rsidRPr="00020D20" w:rsidRDefault="00FE6F8B" w:rsidP="00020D20">
            <w:pPr>
              <w:pStyle w:val="Heading5"/>
              <w:spacing w:before="0" w:after="0" w:line="240" w:lineRule="auto"/>
              <w:rPr>
                <w:i w:val="0"/>
                <w:color w:val="000000"/>
                <w:sz w:val="16"/>
                <w:szCs w:val="16"/>
              </w:rPr>
            </w:pPr>
            <w:r w:rsidRPr="00020D20">
              <w:rPr>
                <w:i w:val="0"/>
                <w:sz w:val="16"/>
                <w:szCs w:val="16"/>
              </w:rPr>
              <w:t>Transportation Improvement Program (TIP)</w:t>
            </w:r>
          </w:p>
        </w:tc>
        <w:tc>
          <w:tcPr>
            <w:tcW w:w="30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6D5618D" w14:textId="77777777" w:rsidR="00FE6F8B" w:rsidRPr="00020D20" w:rsidRDefault="00FE6F8B" w:rsidP="00020D20">
            <w:pPr>
              <w:pStyle w:val="Heading5"/>
              <w:numPr>
                <w:ilvl w:val="0"/>
                <w:numId w:val="220"/>
              </w:numPr>
              <w:spacing w:before="0" w:after="0" w:line="240" w:lineRule="auto"/>
              <w:ind w:left="360"/>
              <w:rPr>
                <w:i w:val="0"/>
                <w:sz w:val="16"/>
                <w:szCs w:val="16"/>
              </w:rPr>
            </w:pPr>
            <w:r w:rsidRPr="00020D20">
              <w:rPr>
                <w:i w:val="0"/>
                <w:sz w:val="16"/>
                <w:szCs w:val="16"/>
              </w:rPr>
              <w:t>Identify and provide “interested parties” information about the TIP and its projects</w:t>
            </w:r>
          </w:p>
          <w:p w14:paraId="030C2EB3" w14:textId="77777777" w:rsidR="00FE6F8B" w:rsidRPr="00020D20" w:rsidRDefault="00FE6F8B" w:rsidP="00020D20">
            <w:pPr>
              <w:pStyle w:val="Heading5"/>
              <w:numPr>
                <w:ilvl w:val="0"/>
                <w:numId w:val="220"/>
              </w:numPr>
              <w:spacing w:before="0" w:after="0" w:line="240" w:lineRule="auto"/>
              <w:ind w:left="360"/>
              <w:rPr>
                <w:i w:val="0"/>
                <w:sz w:val="16"/>
                <w:szCs w:val="16"/>
              </w:rPr>
            </w:pPr>
            <w:r w:rsidRPr="00020D20">
              <w:rPr>
                <w:i w:val="0"/>
                <w:sz w:val="16"/>
                <w:szCs w:val="16"/>
              </w:rPr>
              <w:t>Compliance with previously adopted nondiscrimination statement</w:t>
            </w:r>
          </w:p>
        </w:tc>
        <w:tc>
          <w:tcPr>
            <w:tcW w:w="4587"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5683FA7" w14:textId="65EE2A87" w:rsidR="00FE6F8B" w:rsidRPr="00020D20" w:rsidRDefault="00FE6F8B" w:rsidP="00020D20">
            <w:pPr>
              <w:pStyle w:val="Heading5"/>
              <w:spacing w:before="0" w:after="0" w:line="240" w:lineRule="auto"/>
              <w:jc w:val="both"/>
              <w:rPr>
                <w:sz w:val="16"/>
                <w:szCs w:val="16"/>
              </w:rPr>
            </w:pPr>
            <w:r w:rsidRPr="00020D20">
              <w:rPr>
                <w:sz w:val="16"/>
                <w:szCs w:val="16"/>
              </w:rPr>
              <w:t xml:space="preserve">Information </w:t>
            </w:r>
            <w:r w:rsidR="00841FBC" w:rsidRPr="00020D20">
              <w:rPr>
                <w:sz w:val="16"/>
                <w:szCs w:val="16"/>
              </w:rPr>
              <w:t>regarding</w:t>
            </w:r>
            <w:r w:rsidRPr="00020D20">
              <w:rPr>
                <w:sz w:val="16"/>
                <w:szCs w:val="16"/>
              </w:rPr>
              <w:t xml:space="preserve"> low income and minority populations:</w:t>
            </w:r>
          </w:p>
          <w:p w14:paraId="0B5EAD1C" w14:textId="77777777" w:rsidR="00FE6F8B" w:rsidRPr="00020D20" w:rsidRDefault="00FE6F8B" w:rsidP="00020D20">
            <w:pPr>
              <w:pStyle w:val="Heading5"/>
              <w:numPr>
                <w:ilvl w:val="0"/>
                <w:numId w:val="117"/>
              </w:numPr>
              <w:spacing w:before="0" w:after="0" w:line="240" w:lineRule="auto"/>
              <w:ind w:left="504"/>
              <w:jc w:val="both"/>
              <w:rPr>
                <w:sz w:val="16"/>
                <w:szCs w:val="16"/>
              </w:rPr>
            </w:pPr>
            <w:r w:rsidRPr="00020D20">
              <w:rPr>
                <w:sz w:val="16"/>
                <w:szCs w:val="16"/>
              </w:rPr>
              <w:t>Criteria for selecting cost-feasible projects that account for infrastructure impacts and benefits</w:t>
            </w:r>
          </w:p>
          <w:p w14:paraId="4A23C18F" w14:textId="77777777" w:rsidR="00FE6F8B" w:rsidRPr="00020D20" w:rsidRDefault="00FE6F8B" w:rsidP="00020D20">
            <w:pPr>
              <w:pStyle w:val="Heading5"/>
              <w:numPr>
                <w:ilvl w:val="0"/>
                <w:numId w:val="117"/>
              </w:numPr>
              <w:spacing w:before="0" w:after="0" w:line="240" w:lineRule="auto"/>
              <w:ind w:left="504"/>
              <w:jc w:val="both"/>
              <w:rPr>
                <w:sz w:val="16"/>
                <w:szCs w:val="16"/>
              </w:rPr>
            </w:pPr>
            <w:r w:rsidRPr="00020D20">
              <w:rPr>
                <w:sz w:val="16"/>
                <w:szCs w:val="16"/>
              </w:rPr>
              <w:t>Public involvement efforts</w:t>
            </w:r>
          </w:p>
        </w:tc>
      </w:tr>
      <w:tr w:rsidR="00FE6F8B" w:rsidRPr="00FE6F8B" w14:paraId="2A3A4FB3" w14:textId="77777777" w:rsidTr="00020D20">
        <w:trPr>
          <w:trHeight w:val="20"/>
        </w:trPr>
        <w:tc>
          <w:tcPr>
            <w:tcW w:w="171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A711FB8" w14:textId="4FFA0606" w:rsidR="00FE6F8B" w:rsidRPr="00020D20" w:rsidRDefault="00FE6F8B" w:rsidP="00020D20">
            <w:pPr>
              <w:pStyle w:val="Heading5"/>
              <w:spacing w:before="0" w:after="0" w:line="240" w:lineRule="auto"/>
              <w:rPr>
                <w:i w:val="0"/>
                <w:color w:val="000000"/>
                <w:sz w:val="16"/>
                <w:szCs w:val="16"/>
              </w:rPr>
            </w:pPr>
            <w:r w:rsidRPr="00020D20">
              <w:rPr>
                <w:i w:val="0"/>
                <w:sz w:val="16"/>
                <w:szCs w:val="16"/>
              </w:rPr>
              <w:t xml:space="preserve">Public </w:t>
            </w:r>
            <w:r w:rsidR="00E960F5" w:rsidRPr="00020D20">
              <w:rPr>
                <w:i w:val="0"/>
                <w:sz w:val="16"/>
                <w:szCs w:val="16"/>
              </w:rPr>
              <w:t xml:space="preserve">Involvement </w:t>
            </w:r>
            <w:r w:rsidRPr="00020D20">
              <w:rPr>
                <w:i w:val="0"/>
                <w:sz w:val="16"/>
                <w:szCs w:val="16"/>
              </w:rPr>
              <w:t>Plan</w:t>
            </w:r>
          </w:p>
        </w:tc>
        <w:tc>
          <w:tcPr>
            <w:tcW w:w="306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0DAAEB5" w14:textId="77777777" w:rsidR="00FE6F8B" w:rsidRPr="00020D20" w:rsidRDefault="00FE6F8B" w:rsidP="00020D20">
            <w:pPr>
              <w:pStyle w:val="Heading5"/>
              <w:numPr>
                <w:ilvl w:val="0"/>
                <w:numId w:val="118"/>
              </w:numPr>
              <w:spacing w:before="0" w:after="0" w:line="240" w:lineRule="auto"/>
              <w:ind w:left="360"/>
              <w:rPr>
                <w:i w:val="0"/>
                <w:sz w:val="16"/>
                <w:szCs w:val="16"/>
              </w:rPr>
            </w:pPr>
            <w:r w:rsidRPr="00020D20">
              <w:rPr>
                <w:i w:val="0"/>
                <w:sz w:val="16"/>
                <w:szCs w:val="16"/>
              </w:rPr>
              <w:t>Compliance with previously adopted nondiscrimination statement</w:t>
            </w:r>
          </w:p>
        </w:tc>
        <w:tc>
          <w:tcPr>
            <w:tcW w:w="4587"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06D3FED" w14:textId="77777777" w:rsidR="00FE6F8B" w:rsidRPr="00020D20" w:rsidRDefault="00FE6F8B" w:rsidP="00020D20">
            <w:pPr>
              <w:pStyle w:val="Heading5"/>
              <w:spacing w:before="0" w:after="0" w:line="240" w:lineRule="auto"/>
              <w:jc w:val="both"/>
              <w:rPr>
                <w:sz w:val="16"/>
                <w:szCs w:val="16"/>
              </w:rPr>
            </w:pPr>
            <w:r w:rsidRPr="00020D20">
              <w:rPr>
                <w:sz w:val="16"/>
                <w:szCs w:val="16"/>
              </w:rPr>
              <w:t>A notice that the agency complies with Title VI and procedures the public may follow to file a discrimination complaint.</w:t>
            </w:r>
          </w:p>
        </w:tc>
      </w:tr>
    </w:tbl>
    <w:p w14:paraId="5E19369B" w14:textId="77777777" w:rsidR="00FE6F8B" w:rsidRPr="00FE6F8B" w:rsidRDefault="00FE6F8B" w:rsidP="00020D20">
      <w:pPr>
        <w:jc w:val="both"/>
        <w:rPr>
          <w:rFonts w:cstheme="minorHAnsi"/>
        </w:rPr>
      </w:pPr>
    </w:p>
    <w:p w14:paraId="2C12FB50" w14:textId="77777777" w:rsidR="00A933B5" w:rsidRDefault="00A933B5" w:rsidP="00020D20">
      <w:pPr>
        <w:pStyle w:val="Heading2"/>
        <w:rPr>
          <w:b w:val="0"/>
        </w:rPr>
        <w:sectPr w:rsidR="00A933B5" w:rsidSect="00020D20">
          <w:type w:val="continuous"/>
          <w:pgSz w:w="12240" w:h="15840"/>
          <w:pgMar w:top="1440" w:right="1440" w:bottom="1440" w:left="1440" w:header="720" w:footer="720" w:gutter="0"/>
          <w:pgNumType w:chapStyle="1"/>
          <w:cols w:space="720"/>
          <w:docGrid w:linePitch="360"/>
        </w:sectPr>
      </w:pPr>
    </w:p>
    <w:p w14:paraId="391E090C" w14:textId="10732304" w:rsidR="00FE6F8B" w:rsidRPr="00FE6F8B" w:rsidRDefault="00FE6F8B">
      <w:pPr>
        <w:pStyle w:val="Heading2"/>
      </w:pPr>
      <w:bookmarkStart w:id="466" w:name="_Ref50034637"/>
      <w:r w:rsidRPr="00FE6F8B">
        <w:t>12.9 | Disadvantaged Business Enterprise</w:t>
      </w:r>
      <w:bookmarkEnd w:id="466"/>
      <w:r w:rsidRPr="00FE6F8B">
        <w:t xml:space="preserve"> </w:t>
      </w:r>
    </w:p>
    <w:p w14:paraId="504DE787" w14:textId="28FB8A09" w:rsidR="00FE6F8B" w:rsidRPr="00FE6F8B" w:rsidRDefault="00FE6F8B" w:rsidP="00020D20">
      <w:pPr>
        <w:jc w:val="both"/>
        <w:rPr>
          <w:rFonts w:cstheme="minorHAnsi"/>
        </w:rPr>
      </w:pPr>
      <w:r w:rsidRPr="00FE6F8B">
        <w:rPr>
          <w:rFonts w:cstheme="minorHAnsi"/>
        </w:rPr>
        <w:t>Federal guidelines for participation of Disadvantaged Business Enterprises (DBEs</w:t>
      </w:r>
      <w:r w:rsidRPr="0002675F">
        <w:t xml:space="preserve">) in USDOT-funded contracts are set forth in </w:t>
      </w:r>
      <w:hyperlink r:id="rId812" w:history="1">
        <w:r w:rsidRPr="0002675F">
          <w:t xml:space="preserve">49 </w:t>
        </w:r>
        <w:r w:rsidR="009628C0">
          <w:t xml:space="preserve">C.F.R. </w:t>
        </w:r>
        <w:r w:rsidRPr="0002675F">
          <w:t>Part 26</w:t>
        </w:r>
      </w:hyperlink>
      <w:r w:rsidRPr="0002675F">
        <w:t>. Since DBEs are one of the five core areas of MPO certifications, MPOs, as recipients of federal planning funds, are impacted by the federal requirements (</w:t>
      </w:r>
      <w:hyperlink r:id="rId813" w:history="1">
        <w:r w:rsidRPr="00020D20">
          <w:rPr>
            <w:rStyle w:val="TitleChar"/>
          </w:rPr>
          <w:t xml:space="preserve">49 </w:t>
        </w:r>
        <w:r w:rsidR="009628C0">
          <w:rPr>
            <w:rStyle w:val="TitleChar"/>
          </w:rPr>
          <w:t xml:space="preserve">C.F.R. </w:t>
        </w:r>
        <w:r w:rsidRPr="00020D20">
          <w:rPr>
            <w:rStyle w:val="TitleChar"/>
          </w:rPr>
          <w:t>§ 26</w:t>
        </w:r>
      </w:hyperlink>
      <w:r w:rsidRPr="00FE6F8B">
        <w:rPr>
          <w:rFonts w:cstheme="minorHAnsi"/>
        </w:rPr>
        <w:t xml:space="preserve">). </w:t>
      </w:r>
    </w:p>
    <w:p w14:paraId="69FBE6A2" w14:textId="61107D28" w:rsidR="00FE6F8B" w:rsidRPr="00FE6F8B" w:rsidRDefault="00FE6F8B" w:rsidP="00020D20">
      <w:pPr>
        <w:jc w:val="both"/>
        <w:rPr>
          <w:rFonts w:cstheme="minorHAnsi"/>
        </w:rPr>
      </w:pPr>
      <w:r w:rsidRPr="00FE6F8B">
        <w:rPr>
          <w:rFonts w:cstheme="minorHAnsi"/>
        </w:rPr>
        <w:t xml:space="preserve"> ADOT has established its DBE Program in </w:t>
      </w:r>
      <w:r w:rsidRPr="0002675F">
        <w:t>accordance with regulations promulgated by USDOT (</w:t>
      </w:r>
      <w:hyperlink r:id="rId814" w:history="1">
        <w:r w:rsidR="003A1DF1" w:rsidRPr="0002675F">
          <w:t xml:space="preserve">49 </w:t>
        </w:r>
        <w:r w:rsidR="009628C0">
          <w:t xml:space="preserve">C.F.R. </w:t>
        </w:r>
        <w:r w:rsidR="003A1DF1" w:rsidRPr="0002675F">
          <w:t>Part 26</w:t>
        </w:r>
      </w:hyperlink>
      <w:r w:rsidRPr="0002675F">
        <w:t xml:space="preserve">). As a condition of receipt of federal funding, ADOT has signed an assurance that it will comply with </w:t>
      </w:r>
      <w:hyperlink r:id="rId815" w:history="1">
        <w:r w:rsidR="003A1DF1" w:rsidRPr="0002675F">
          <w:t xml:space="preserve">49 </w:t>
        </w:r>
        <w:r w:rsidR="009628C0">
          <w:t xml:space="preserve">C.F.R. </w:t>
        </w:r>
        <w:r w:rsidR="003A1DF1" w:rsidRPr="0002675F">
          <w:t>Part 26</w:t>
        </w:r>
      </w:hyperlink>
      <w:r w:rsidRPr="0002675F">
        <w:t>. It is ADOT’s policy to ensure that DBEs, as defined in Part</w:t>
      </w:r>
      <w:r w:rsidRPr="00FE6F8B">
        <w:rPr>
          <w:rFonts w:cstheme="minorHAnsi"/>
        </w:rPr>
        <w:t xml:space="preserve"> 26.5, have</w:t>
      </w:r>
      <w:r>
        <w:rPr>
          <w:rFonts w:cstheme="minorHAnsi"/>
        </w:rPr>
        <w:t xml:space="preserve"> </w:t>
      </w:r>
      <w:r w:rsidRPr="00FE6F8B">
        <w:rPr>
          <w:rFonts w:cstheme="minorHAnsi"/>
        </w:rPr>
        <w:t>an equal opportunity to receive and participate in USDOT-assisted contracts. It is also the policy of the department:</w:t>
      </w:r>
    </w:p>
    <w:p w14:paraId="7FCBC6E4" w14:textId="77777777" w:rsidR="00FE6F8B" w:rsidRPr="00FE6F8B" w:rsidRDefault="00FE6F8B" w:rsidP="00020D20">
      <w:pPr>
        <w:pStyle w:val="Body-Bullets"/>
        <w:jc w:val="both"/>
      </w:pPr>
      <w:r w:rsidRPr="00FE6F8B">
        <w:t xml:space="preserve">to ensure nondiscrimination in the award and administration of USDOT-assisted contracts; </w:t>
      </w:r>
    </w:p>
    <w:p w14:paraId="479A0433" w14:textId="26E0C648" w:rsidR="00FE6F8B" w:rsidRPr="00FE6F8B" w:rsidRDefault="00FE6F8B" w:rsidP="00020D20">
      <w:pPr>
        <w:pStyle w:val="Body-Bullets"/>
        <w:jc w:val="both"/>
      </w:pPr>
      <w:r w:rsidRPr="00FE6F8B">
        <w:t xml:space="preserve">to create a level playing field on which DBEs can compete fairly for USDOT-assisted contracts; </w:t>
      </w:r>
    </w:p>
    <w:p w14:paraId="7A9FFD9A" w14:textId="0A610DFB" w:rsidR="00FE6F8B" w:rsidRPr="00FE6F8B" w:rsidRDefault="00FE6F8B" w:rsidP="00020D20">
      <w:pPr>
        <w:pStyle w:val="Body-Bullets"/>
        <w:jc w:val="both"/>
      </w:pPr>
      <w:r w:rsidRPr="00FE6F8B">
        <w:t xml:space="preserve">to ensure the DBE Program is narrowly tailored in accordance with applicable law; </w:t>
      </w:r>
    </w:p>
    <w:p w14:paraId="66D0FE6B" w14:textId="509E486A" w:rsidR="00FE6F8B" w:rsidRPr="00FE6F8B" w:rsidRDefault="00FE6F8B" w:rsidP="00020D20">
      <w:pPr>
        <w:pStyle w:val="Body-Bullets"/>
        <w:jc w:val="both"/>
      </w:pPr>
      <w:r w:rsidRPr="00FE6F8B">
        <w:t xml:space="preserve">to ensure only firms that </w:t>
      </w:r>
      <w:r w:rsidRPr="0002675F">
        <w:t xml:space="preserve">fully meet </w:t>
      </w:r>
      <w:hyperlink r:id="rId816" w:history="1">
        <w:r w:rsidRPr="0002675F">
          <w:t xml:space="preserve">49 </w:t>
        </w:r>
        <w:r w:rsidR="009628C0">
          <w:t xml:space="preserve">C.F.R. </w:t>
        </w:r>
        <w:r w:rsidRPr="0002675F">
          <w:t>Part 26</w:t>
        </w:r>
      </w:hyperlink>
      <w:r w:rsidRPr="0002675F">
        <w:t xml:space="preserve"> eligibility</w:t>
      </w:r>
      <w:r w:rsidRPr="00FE6F8B">
        <w:t xml:space="preserve"> standards qualify as DBEs; </w:t>
      </w:r>
    </w:p>
    <w:p w14:paraId="7ABD4A46" w14:textId="3DCEC39D" w:rsidR="00FE6F8B" w:rsidRPr="00FE6F8B" w:rsidRDefault="00FE6F8B" w:rsidP="00020D20">
      <w:pPr>
        <w:pStyle w:val="Body-Bullets"/>
        <w:jc w:val="both"/>
      </w:pPr>
      <w:r w:rsidRPr="00FE6F8B">
        <w:t xml:space="preserve">to help remove barriers to participation of DBEs in USDOT-assisted contracts; and </w:t>
      </w:r>
    </w:p>
    <w:p w14:paraId="4AD765DA" w14:textId="3DA46228" w:rsidR="00FE6F8B" w:rsidRPr="00FE6F8B" w:rsidRDefault="00FE6F8B" w:rsidP="00020D20">
      <w:pPr>
        <w:pStyle w:val="Body-Bullets"/>
        <w:jc w:val="both"/>
      </w:pPr>
      <w:r w:rsidRPr="00FE6F8B">
        <w:t xml:space="preserve">to assist in the development of firms that can compete successfully in the marketplace outside the DBE Program. </w:t>
      </w:r>
    </w:p>
    <w:p w14:paraId="446B30F0" w14:textId="17A92D85" w:rsidR="00FE6F8B" w:rsidRPr="00FE6F8B" w:rsidRDefault="00F34E5F" w:rsidP="00020D20">
      <w:pPr>
        <w:jc w:val="both"/>
        <w:rPr>
          <w:rFonts w:cstheme="minorHAnsi"/>
          <w:b/>
        </w:rPr>
      </w:pPr>
      <w:r>
        <w:rPr>
          <w:rFonts w:cstheme="minorHAnsi"/>
          <w:noProof/>
        </w:rPr>
        <mc:AlternateContent>
          <mc:Choice Requires="wps">
            <w:drawing>
              <wp:anchor distT="0" distB="0" distL="114300" distR="114300" simplePos="0" relativeHeight="251618356" behindDoc="1" locked="0" layoutInCell="1" allowOverlap="1" wp14:anchorId="6EEB2758" wp14:editId="3B99C5DA">
                <wp:simplePos x="0" y="0"/>
                <wp:positionH relativeFrom="column">
                  <wp:posOffset>-2540</wp:posOffset>
                </wp:positionH>
                <wp:positionV relativeFrom="paragraph">
                  <wp:posOffset>2614295</wp:posOffset>
                </wp:positionV>
                <wp:extent cx="1258570" cy="1139825"/>
                <wp:effectExtent l="76200" t="76200" r="74930" b="79375"/>
                <wp:wrapTight wrapText="bothSides">
                  <wp:wrapPolygon edited="0">
                    <wp:start x="-981" y="-1444"/>
                    <wp:lineTo x="-1308" y="-1083"/>
                    <wp:lineTo x="-1308" y="22743"/>
                    <wp:lineTo x="22559" y="22743"/>
                    <wp:lineTo x="22559" y="4693"/>
                    <wp:lineTo x="22232" y="-722"/>
                    <wp:lineTo x="22232" y="-1444"/>
                    <wp:lineTo x="-981" y="-1444"/>
                  </wp:wrapPolygon>
                </wp:wrapTight>
                <wp:docPr id="816286086" name="Text Box 816286086"/>
                <wp:cNvGraphicFramePr/>
                <a:graphic xmlns:a="http://schemas.openxmlformats.org/drawingml/2006/main">
                  <a:graphicData uri="http://schemas.microsoft.com/office/word/2010/wordprocessingShape">
                    <wps:wsp>
                      <wps:cNvSpPr txBox="1"/>
                      <wps:spPr>
                        <a:xfrm>
                          <a:off x="0" y="0"/>
                          <a:ext cx="1258570" cy="1139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139BD4D" w14:textId="77777777" w:rsidR="00C6444C" w:rsidRDefault="00C6444C" w:rsidP="00020D20">
                            <w:pPr>
                              <w:jc w:val="center"/>
                            </w:pPr>
                            <w:r>
                              <w:rPr>
                                <w:noProof/>
                              </w:rPr>
                              <w:drawing>
                                <wp:inline distT="0" distB="0" distL="0" distR="0" wp14:anchorId="22DC4FDE" wp14:editId="78F0BCCE">
                                  <wp:extent cx="457200" cy="457200"/>
                                  <wp:effectExtent l="0" t="0" r="0" b="0"/>
                                  <wp:docPr id="1690911582" name="Picture 169091158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2EE9298" w14:textId="77777777" w:rsidR="00C6444C" w:rsidRPr="00954116" w:rsidRDefault="00C6444C" w:rsidP="00020D20">
                            <w:pPr>
                              <w:pStyle w:val="Calloutboxes"/>
                            </w:pPr>
                            <w:r w:rsidRPr="00394A74">
                              <w:t>AZUTRACS DBE database:</w:t>
                            </w:r>
                          </w:p>
                          <w:p w14:paraId="492B752B" w14:textId="181FBDE6" w:rsidR="00C6444C" w:rsidRPr="00975ECA" w:rsidRDefault="00202C92">
                            <w:pPr>
                              <w:pStyle w:val="Title"/>
                            </w:pPr>
                            <w:hyperlink r:id="rId817" w:history="1">
                              <w:r w:rsidR="00C6444C" w:rsidRPr="00020D20">
                                <w:rPr>
                                  <w:rStyle w:val="Hyperlink"/>
                                  <w:rFonts w:asciiTheme="minorHAnsi" w:hAnsiTheme="minorHAnsi" w:cstheme="majorBidi"/>
                                  <w:i/>
                                  <w:color w:val="CE5B18"/>
                                  <w:u w:val="none"/>
                                </w:rPr>
                                <w:t>https://adotdoors.dbesystem.com/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EB2758" id="Text Box 816286086" o:spid="_x0000_s1214" type="#_x0000_t202" style="position:absolute;left:0;text-align:left;margin-left:-.2pt;margin-top:205.85pt;width:99.1pt;height:89.75pt;z-index:-251698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" fillcolor="#f7f7f7" stroked="f" strokeweight=".5pt">
                <v:shadow on="t" type="perspective" color="black" opacity="26214f" offset="0,0" matrix="66847f,,,66847f"/>
                <v:textbox>
                  <w:txbxContent>
                    <w:p w14:paraId="2139BD4D" w14:textId="77777777" w:rsidR="00C6444C" w:rsidRDefault="00C6444C" w:rsidP="00020D20">
                      <w:pPr>
                        <w:jc w:val="center"/>
                      </w:pPr>
                      <w:r>
                        <w:rPr>
                          <w:noProof/>
                        </w:rPr>
                        <w:drawing>
                          <wp:inline distT="0" distB="0" distL="0" distR="0" wp14:anchorId="22DC4FDE" wp14:editId="78F0BCCE">
                            <wp:extent cx="457200" cy="457200"/>
                            <wp:effectExtent l="0" t="0" r="0" b="0"/>
                            <wp:docPr id="1690911582" name="Picture 169091158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2EE9298" w14:textId="77777777" w:rsidR="00C6444C" w:rsidRPr="00954116" w:rsidRDefault="00C6444C" w:rsidP="00020D20">
                      <w:pPr>
                        <w:pStyle w:val="Calloutboxes"/>
                      </w:pPr>
                      <w:r w:rsidRPr="00394A74">
                        <w:t>AZUTRACS DBE database:</w:t>
                      </w:r>
                    </w:p>
                    <w:p w14:paraId="492B752B" w14:textId="181FBDE6" w:rsidR="00C6444C" w:rsidRPr="00975ECA" w:rsidRDefault="00C6444C">
                      <w:pPr>
                        <w:pStyle w:val="Title"/>
                      </w:pPr>
                      <w:hyperlink r:id="rId819" w:history="1">
                        <w:r w:rsidRPr="00020D20">
                          <w:rPr>
                            <w:rStyle w:val="Hyperlink"/>
                            <w:rFonts w:asciiTheme="minorHAnsi" w:hAnsiTheme="minorHAnsi" w:cstheme="majorBidi"/>
                            <w:i/>
                            <w:color w:val="CE5B18"/>
                            <w:u w:val="none"/>
                          </w:rPr>
                          <w:t>https://adotdoors.dbesystem.com/</w:t>
                        </w:r>
                      </w:hyperlink>
                    </w:p>
                  </w:txbxContent>
                </v:textbox>
                <w10:wrap type="tight"/>
              </v:shape>
            </w:pict>
          </mc:Fallback>
        </mc:AlternateContent>
      </w:r>
      <w:r w:rsidR="00FE6F8B" w:rsidRPr="00FE6F8B">
        <w:rPr>
          <w:rFonts w:cstheme="minorHAnsi"/>
        </w:rPr>
        <w:t xml:space="preserve">MPOs and COGs are not responsible for determining the eligibility of any </w:t>
      </w:r>
      <w:r w:rsidR="00BE434E" w:rsidRPr="00FE6F8B">
        <w:rPr>
          <w:rFonts w:cstheme="minorHAnsi"/>
        </w:rPr>
        <w:t>company</w:t>
      </w:r>
      <w:r w:rsidR="00FE6F8B" w:rsidRPr="00FE6F8B">
        <w:rPr>
          <w:rFonts w:cstheme="minorHAnsi"/>
        </w:rPr>
        <w:t xml:space="preserve"> to be certified as a DBE. However, they do have several responsibilities when it comes to participation of DBEs in the consultant contracts that they put out to bid. ADOT has developed and implemented </w:t>
      </w:r>
      <w:r w:rsidR="00BE434E" w:rsidRPr="00FE6F8B">
        <w:rPr>
          <w:rFonts w:cstheme="minorHAnsi"/>
        </w:rPr>
        <w:t>an</w:t>
      </w:r>
      <w:r w:rsidR="00FE6F8B" w:rsidRPr="00FE6F8B">
        <w:rPr>
          <w:rFonts w:cstheme="minorHAnsi"/>
        </w:rPr>
        <w:t xml:space="preserve"> </w:t>
      </w:r>
      <w:r w:rsidR="00FE6F8B" w:rsidRPr="003A1DF1">
        <w:rPr>
          <w:rStyle w:val="Heading5Char"/>
        </w:rPr>
        <w:t>Arizona Unified Transportation Registration and Certification System</w:t>
      </w:r>
      <w:r w:rsidR="00FE6F8B" w:rsidRPr="00FE6F8B">
        <w:rPr>
          <w:rFonts w:cstheme="minorHAnsi"/>
        </w:rPr>
        <w:t xml:space="preserve"> (AZUTRACS) that all recipients of USDOT dollars must use as their DBE directory. The Arizona AZUTRACS has been established to facilitate statewide DBE certification. The AZUTRACS eliminates the need for DBE applicant businesses to obtain certification from multiple agencies and provides reciprocity within Arizona. ADOT, the city of Phoenix, and the city of Tucson are members of the Arizona AZUTRACS. The official AZUTRACS DBE database includes certified DBE firms as stated below. </w:t>
      </w:r>
    </w:p>
    <w:p w14:paraId="5F4151BC" w14:textId="2A4059AA" w:rsidR="00FE6F8B" w:rsidRPr="00FE6F8B" w:rsidRDefault="00FE6F8B" w:rsidP="00020D20">
      <w:pPr>
        <w:pStyle w:val="SubHeading3"/>
        <w:jc w:val="both"/>
      </w:pPr>
      <w:bookmarkStart w:id="467" w:name="_Ref50035005"/>
      <w:r w:rsidRPr="00FE6F8B">
        <w:t>DBE Plan</w:t>
      </w:r>
      <w:bookmarkEnd w:id="467"/>
    </w:p>
    <w:p w14:paraId="67E97E5F" w14:textId="16DCDE7E" w:rsidR="00FE6F8B" w:rsidRPr="00FE6F8B" w:rsidRDefault="00FE6F8B" w:rsidP="00020D20">
      <w:pPr>
        <w:jc w:val="both"/>
        <w:rPr>
          <w:rFonts w:cstheme="minorHAnsi"/>
        </w:rPr>
      </w:pPr>
      <w:r w:rsidRPr="00FE6F8B">
        <w:rPr>
          <w:rFonts w:cstheme="minorHAnsi"/>
        </w:rPr>
        <w:t xml:space="preserve">MPOs must follow everything that is in the approved ADOT DBE Plan. A direct recipient may adopt the ADOT Plan or develop their own plan and get approval by the USDOT. On the other hand, sub recipient’s must follow the ADOT Plan. Plans must be updated every 4 years. </w:t>
      </w:r>
      <w:r w:rsidR="00FE561E">
        <w:rPr>
          <w:rFonts w:cstheme="minorHAnsi"/>
        </w:rPr>
        <w:t xml:space="preserve">An </w:t>
      </w:r>
      <w:r w:rsidRPr="00FE6F8B">
        <w:rPr>
          <w:rFonts w:cstheme="minorHAnsi"/>
        </w:rPr>
        <w:t xml:space="preserve">MPO may adopt the ADOT DBE Plan as its own. Though a city or county DBE Plan may have already been approved by another federal agency, the MPO still must receive the approval of USDOT, as there are specific federal requirements for transportation contracts that may not be addressed in other parts of the </w:t>
      </w:r>
      <w:hyperlink r:id="rId820" w:history="1">
        <w:r w:rsidRPr="003A1DF1">
          <w:rPr>
            <w:rStyle w:val="TitleChar"/>
          </w:rPr>
          <w:t>Code of Federal Regulations</w:t>
        </w:r>
      </w:hyperlink>
      <w:r w:rsidRPr="00FE6F8B">
        <w:rPr>
          <w:rFonts w:cstheme="minorHAnsi"/>
        </w:rPr>
        <w:t xml:space="preserve"> (CFR).</w:t>
      </w:r>
    </w:p>
    <w:p w14:paraId="03A203FE" w14:textId="72A50FD2" w:rsidR="00FE6F8B" w:rsidRPr="00FE6F8B" w:rsidRDefault="00FE6F8B" w:rsidP="00020D20">
      <w:pPr>
        <w:pStyle w:val="SubHeading3"/>
        <w:jc w:val="both"/>
      </w:pPr>
      <w:bookmarkStart w:id="468" w:name="_Ref50035008"/>
      <w:r w:rsidRPr="00FE6F8B">
        <w:t>DBE Contract Assurances</w:t>
      </w:r>
      <w:bookmarkEnd w:id="468"/>
    </w:p>
    <w:p w14:paraId="797FD5F3" w14:textId="5043FAF1" w:rsidR="00FE6F8B" w:rsidRPr="00FE6F8B" w:rsidRDefault="00FE6F8B" w:rsidP="00020D20">
      <w:pPr>
        <w:jc w:val="both"/>
        <w:rPr>
          <w:rFonts w:cstheme="minorHAnsi"/>
        </w:rPr>
      </w:pPr>
      <w:r w:rsidRPr="0002675F">
        <w:t xml:space="preserve">Under </w:t>
      </w:r>
      <w:hyperlink r:id="rId821" w:history="1">
        <w:r w:rsidRPr="00020D20">
          <w:rPr>
            <w:rStyle w:val="TitleChar"/>
          </w:rPr>
          <w:t xml:space="preserve">49 </w:t>
        </w:r>
        <w:r w:rsidR="009628C0">
          <w:rPr>
            <w:rStyle w:val="TitleChar"/>
          </w:rPr>
          <w:t xml:space="preserve">C.F.R. </w:t>
        </w:r>
        <w:r w:rsidRPr="00020D20">
          <w:rPr>
            <w:rStyle w:val="TitleChar"/>
          </w:rPr>
          <w:t>§ 26.13</w:t>
        </w:r>
      </w:hyperlink>
      <w:r w:rsidRPr="0002675F">
        <w:t>, MPOs are required to have a signed policy statement</w:t>
      </w:r>
      <w:r w:rsidRPr="00FE6F8B">
        <w:rPr>
          <w:rFonts w:cstheme="minorHAnsi"/>
        </w:rPr>
        <w:t xml:space="preserve"> expressing their commitment to DBE participation. The same federal regulation requires that each contract that an MPO signs with contractors and subcontractors, consultants and subconsultants include the following assurance:</w:t>
      </w:r>
    </w:p>
    <w:p w14:paraId="597C3D54" w14:textId="7C5E290A" w:rsidR="00FE6F8B" w:rsidRDefault="00FE6F8B" w:rsidP="00020D20">
      <w:pPr>
        <w:jc w:val="both"/>
        <w:rPr>
          <w:rFonts w:cstheme="minorHAnsi"/>
        </w:rPr>
      </w:pPr>
      <w:r w:rsidRPr="00FE6F8B">
        <w:rPr>
          <w:rFonts w:cstheme="minorHAnsi"/>
        </w:rPr>
        <w:t xml:space="preserve">“The contractor or subcontractor shall not discriminate on the basis of race, color, national origin, or sex in the performance of this contract. The </w:t>
      </w:r>
      <w:r w:rsidRPr="0002675F">
        <w:t xml:space="preserve">contractor shall carry out applicable requirements of </w:t>
      </w:r>
      <w:hyperlink r:id="rId822" w:history="1">
        <w:r w:rsidRPr="00020D20">
          <w:rPr>
            <w:rStyle w:val="TitleChar"/>
          </w:rPr>
          <w:t xml:space="preserve">49 </w:t>
        </w:r>
        <w:r w:rsidR="009628C0">
          <w:rPr>
            <w:rStyle w:val="TitleChar"/>
          </w:rPr>
          <w:t xml:space="preserve">C.F.R. </w:t>
        </w:r>
        <w:r w:rsidRPr="00020D20">
          <w:rPr>
            <w:rStyle w:val="TitleChar"/>
          </w:rPr>
          <w:t>Part 26</w:t>
        </w:r>
      </w:hyperlink>
      <w:r w:rsidRPr="0002675F">
        <w:t xml:space="preserve"> in the award</w:t>
      </w:r>
      <w:r w:rsidR="00F00AFF" w:rsidRPr="0002675F">
        <w:t xml:space="preserve"> </w:t>
      </w:r>
      <w:r w:rsidRPr="0002675F">
        <w:t>and administration of USDOT assisted contracts. Failure by the contractor to carry out these requirements is a material breach of this contract, which may result in the termination of this contract or such other remedy as the recipient deems appropriate” (</w:t>
      </w:r>
      <w:hyperlink r:id="rId823" w:history="1">
        <w:r w:rsidRPr="00020D20">
          <w:rPr>
            <w:rStyle w:val="TitleChar"/>
          </w:rPr>
          <w:t xml:space="preserve">49 </w:t>
        </w:r>
        <w:r w:rsidR="009628C0">
          <w:rPr>
            <w:rStyle w:val="TitleChar"/>
          </w:rPr>
          <w:t xml:space="preserve">C.F.R. </w:t>
        </w:r>
        <w:r w:rsidRPr="00020D20">
          <w:rPr>
            <w:rStyle w:val="TitleChar"/>
          </w:rPr>
          <w:t>§ 26.13(b</w:t>
        </w:r>
        <w:r w:rsidR="00F00AFF" w:rsidRPr="00020D20">
          <w:rPr>
            <w:rStyle w:val="TitleChar"/>
          </w:rPr>
          <w:t>)</w:t>
        </w:r>
      </w:hyperlink>
      <w:r w:rsidRPr="0002675F">
        <w:t>).</w:t>
      </w:r>
    </w:p>
    <w:p w14:paraId="7E32A9CC" w14:textId="77777777" w:rsidR="00D95AC8" w:rsidRDefault="00D95AC8" w:rsidP="00020D20">
      <w:pPr>
        <w:jc w:val="both"/>
        <w:rPr>
          <w:rFonts w:cstheme="minorHAnsi"/>
        </w:rPr>
        <w:sectPr w:rsidR="00D95AC8" w:rsidSect="00020D20">
          <w:type w:val="continuous"/>
          <w:pgSz w:w="12240" w:h="15840"/>
          <w:pgMar w:top="1440" w:right="1440" w:bottom="1440" w:left="1440" w:header="720" w:footer="720" w:gutter="0"/>
          <w:pgNumType w:chapStyle="1"/>
          <w:cols w:num="2" w:space="720"/>
          <w:docGrid w:linePitch="360"/>
        </w:sectPr>
      </w:pPr>
    </w:p>
    <w:p w14:paraId="6F374290" w14:textId="50343719" w:rsidR="00D95AC8" w:rsidRDefault="00D95AC8" w:rsidP="00020D20">
      <w:pPr>
        <w:jc w:val="both"/>
        <w:rPr>
          <w:rFonts w:cstheme="minorHAnsi"/>
        </w:rPr>
        <w:sectPr w:rsidR="00D95AC8" w:rsidSect="008E695B">
          <w:type w:val="continuous"/>
          <w:pgSz w:w="12240" w:h="15840"/>
          <w:pgMar w:top="1440" w:right="1440" w:bottom="1440" w:left="1440" w:header="720" w:footer="720" w:gutter="0"/>
          <w:cols w:space="720"/>
          <w:docGrid w:linePitch="360"/>
        </w:sectPr>
      </w:pPr>
    </w:p>
    <w:p w14:paraId="051CC535" w14:textId="3BC635A8" w:rsidR="00904690" w:rsidRDefault="0018117F" w:rsidP="00020D20">
      <w:pPr>
        <w:pStyle w:val="BodyTextTitle"/>
        <w:spacing w:before="0" w:after="0" w:line="240" w:lineRule="auto"/>
        <w:jc w:val="both"/>
      </w:pPr>
      <w:bookmarkStart w:id="469" w:name="_13_| Public_Involvement"/>
      <w:bookmarkEnd w:id="469"/>
      <w:r>
        <w:t>13</w:t>
      </w:r>
      <w:r w:rsidR="00904690">
        <w:t xml:space="preserve"> </w:t>
      </w:r>
      <w:r>
        <w:t xml:space="preserve">| </w:t>
      </w:r>
      <w:r w:rsidR="00904690">
        <w:t>PUBLIC INVOLVEMENT</w:t>
      </w:r>
    </w:p>
    <w:p w14:paraId="5F40A1D8" w14:textId="18DA2DD3" w:rsidR="00AC1E60" w:rsidRPr="00020D20" w:rsidRDefault="0018117F" w:rsidP="00020D20">
      <w:pPr>
        <w:pStyle w:val="BodyTextTitle"/>
        <w:spacing w:before="0" w:line="240" w:lineRule="auto"/>
        <w:jc w:val="both"/>
        <w:rPr>
          <w:sz w:val="36"/>
        </w:rPr>
      </w:pPr>
      <w:r w:rsidRPr="00020D20">
        <w:rPr>
          <w:sz w:val="36"/>
        </w:rPr>
        <w:t>TABLE OF CONTENTS</w:t>
      </w:r>
    </w:p>
    <w:p w14:paraId="3CE07E4F" w14:textId="18034940" w:rsidR="00AC1E60"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_Ref50035305 \h </w:instrText>
      </w:r>
      <w:r w:rsidR="002D38FC">
        <w:instrText xml:space="preserve"> \* MERGEFORMAT </w:instrText>
      </w:r>
      <w:r>
        <w:fldChar w:fldCharType="separate"/>
      </w:r>
      <w:r w:rsidR="00203E49">
        <w:t xml:space="preserve">13.1 | </w:t>
      </w:r>
      <w:r w:rsidRPr="00CE4237">
        <w:t>PURPOSE</w:t>
      </w:r>
      <w:r>
        <w:fldChar w:fldCharType="end"/>
      </w:r>
    </w:p>
    <w:p w14:paraId="53C4E486" w14:textId="511DD7D1" w:rsidR="000B596B"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_Ref50035309 \h </w:instrText>
      </w:r>
      <w:r w:rsidR="002D38FC">
        <w:instrText xml:space="preserve"> \* MERGEFORMAT </w:instrText>
      </w:r>
      <w:r>
        <w:fldChar w:fldCharType="separate"/>
      </w:r>
      <w:r w:rsidRPr="00CE4237">
        <w:t>13.2 | AUTHORITY</w:t>
      </w:r>
      <w:r>
        <w:fldChar w:fldCharType="end"/>
      </w:r>
    </w:p>
    <w:p w14:paraId="1D72336D" w14:textId="00ED5647" w:rsidR="000B596B"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_Ref50035311 \h </w:instrText>
      </w:r>
      <w:r w:rsidR="002D38FC">
        <w:instrText xml:space="preserve"> \* MERGEFORMAT </w:instrText>
      </w:r>
      <w:r>
        <w:fldChar w:fldCharType="separate"/>
      </w:r>
      <w:r w:rsidR="00203E49">
        <w:t xml:space="preserve">13.3 | </w:t>
      </w:r>
      <w:r w:rsidRPr="00CE4237">
        <w:t>SCOPE</w:t>
      </w:r>
      <w:r>
        <w:fldChar w:fldCharType="end"/>
      </w:r>
    </w:p>
    <w:p w14:paraId="762A5F45" w14:textId="2C13A41B" w:rsidR="000B596B"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_Ref50035315 \h </w:instrText>
      </w:r>
      <w:r w:rsidR="002D38FC">
        <w:instrText xml:space="preserve"> \* MERGEFORMAT </w:instrText>
      </w:r>
      <w:r>
        <w:fldChar w:fldCharType="separate"/>
      </w:r>
      <w:r w:rsidR="00203E49">
        <w:t xml:space="preserve">13.4 | </w:t>
      </w:r>
      <w:r w:rsidRPr="00327A3F">
        <w:t>MINIMUM</w:t>
      </w:r>
      <w:r w:rsidRPr="00EC2F31">
        <w:t xml:space="preserve"> REQUIREMENTS</w:t>
      </w:r>
      <w:r>
        <w:fldChar w:fldCharType="end"/>
      </w:r>
    </w:p>
    <w:p w14:paraId="4FE3C92D" w14:textId="088B7023" w:rsidR="000B596B"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_Ref50035319 \h </w:instrText>
      </w:r>
      <w:r w:rsidR="002D38FC">
        <w:instrText xml:space="preserve"> \* MERGEFORMAT </w:instrText>
      </w:r>
      <w:r>
        <w:fldChar w:fldCharType="separate"/>
      </w:r>
      <w:r w:rsidR="00203E49">
        <w:t xml:space="preserve">13.5 | </w:t>
      </w:r>
      <w:r w:rsidRPr="00EC2F31">
        <w:t>PUBLIC INVOLVEMENT PROCESS DOCUMENTATION</w:t>
      </w:r>
      <w:r>
        <w:fldChar w:fldCharType="end"/>
      </w:r>
    </w:p>
    <w:p w14:paraId="062684A0" w14:textId="6859A2E6" w:rsidR="000B596B"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_Ref50035323 \h </w:instrText>
      </w:r>
      <w:r w:rsidR="002D38FC">
        <w:instrText xml:space="preserve"> \* MERGEFORMAT </w:instrText>
      </w:r>
      <w:r>
        <w:fldChar w:fldCharType="separate"/>
      </w:r>
      <w:r w:rsidR="00203E49">
        <w:t xml:space="preserve">13.6 | </w:t>
      </w:r>
      <w:r w:rsidRPr="00EC2F31">
        <w:t xml:space="preserve">PUBLIC </w:t>
      </w:r>
      <w:r>
        <w:t>INVOLVEMENT</w:t>
      </w:r>
      <w:r w:rsidRPr="00EC2F31">
        <w:t xml:space="preserve"> PLAN FORMAT &amp; CONTENT</w:t>
      </w:r>
      <w:r>
        <w:fldChar w:fldCharType="end"/>
      </w:r>
    </w:p>
    <w:p w14:paraId="7D3548DA" w14:textId="51CB523E" w:rsidR="000B596B" w:rsidRDefault="000B596B"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_Ref50035327 \h </w:instrText>
      </w:r>
      <w:r w:rsidR="002D38FC">
        <w:instrText xml:space="preserve"> \* MERGEFORMAT </w:instrText>
      </w:r>
      <w:r>
        <w:fldChar w:fldCharType="separate"/>
      </w:r>
      <w:r w:rsidR="00203E49">
        <w:t xml:space="preserve">13.7 | </w:t>
      </w:r>
      <w:r w:rsidRPr="00EC2F31">
        <w:t>TOOLKIT FOR PUBLIC INVOLVEMENT</w:t>
      </w:r>
      <w:r>
        <w:fldChar w:fldCharType="end"/>
      </w:r>
    </w:p>
    <w:p w14:paraId="713A06E6" w14:textId="77777777" w:rsidR="00492D0B" w:rsidRDefault="00AC1E6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6F18AB">
          <w:footerReference w:type="default" r:id="rId824"/>
          <w:pgSz w:w="12240" w:h="15840"/>
          <w:pgMar w:top="1440" w:right="1440" w:bottom="1440" w:left="1440" w:header="720" w:footer="720" w:gutter="0"/>
          <w:pgNumType w:start="1" w:chapStyle="1"/>
          <w:cols w:space="720"/>
          <w:docGrid w:linePitch="360"/>
        </w:sectPr>
      </w:pPr>
      <w:r>
        <w:br w:type="page"/>
      </w:r>
    </w:p>
    <w:p w14:paraId="3B95E2C1" w14:textId="5E3090F6" w:rsidR="00CE4237" w:rsidRPr="00CE4237" w:rsidRDefault="00CE4237" w:rsidP="00020D20">
      <w:pPr>
        <w:pStyle w:val="Heading1"/>
        <w:tabs>
          <w:tab w:val="left" w:pos="360"/>
        </w:tabs>
        <w:jc w:val="both"/>
      </w:pPr>
      <w:bookmarkStart w:id="470" w:name="_|_Public_Involvement"/>
      <w:bookmarkStart w:id="471" w:name="_Toc49862240"/>
      <w:bookmarkStart w:id="472" w:name="_Toc49870634"/>
      <w:bookmarkStart w:id="473" w:name="_Toc50540240"/>
      <w:bookmarkEnd w:id="470"/>
      <w:r w:rsidRPr="00CE4237">
        <w:t>|</w:t>
      </w:r>
      <w:r w:rsidR="000E518A">
        <w:t xml:space="preserve"> </w:t>
      </w:r>
      <w:r w:rsidRPr="00CE4237">
        <w:t>Public Involvement</w:t>
      </w:r>
      <w:bookmarkEnd w:id="471"/>
      <w:bookmarkEnd w:id="472"/>
      <w:bookmarkEnd w:id="473"/>
    </w:p>
    <w:p w14:paraId="6A2DB349" w14:textId="77777777" w:rsidR="00FF51A4" w:rsidRDefault="00FF51A4" w:rsidP="00020D20">
      <w:pPr>
        <w:pStyle w:val="SectionHeadersADOTText"/>
        <w:jc w:val="both"/>
        <w:sectPr w:rsidR="00FF51A4" w:rsidSect="00020D20">
          <w:footerReference w:type="default" r:id="rId825"/>
          <w:type w:val="continuous"/>
          <w:pgSz w:w="12240" w:h="15840"/>
          <w:pgMar w:top="1440" w:right="1440" w:bottom="1440" w:left="1440" w:header="720" w:footer="720" w:gutter="0"/>
          <w:pgNumType w:start="1" w:chapStyle="1"/>
          <w:cols w:space="720"/>
          <w:docGrid w:linePitch="360"/>
        </w:sectPr>
      </w:pPr>
    </w:p>
    <w:p w14:paraId="76D04E34" w14:textId="0A409200" w:rsidR="00CE4237" w:rsidRPr="00CE4237" w:rsidRDefault="00CE4237" w:rsidP="00020D20">
      <w:pPr>
        <w:pStyle w:val="Heading2"/>
      </w:pPr>
      <w:bookmarkStart w:id="474" w:name="_Ref50035305"/>
      <w:r w:rsidRPr="00CE4237">
        <w:t>13.1 | PURPOSE</w:t>
      </w:r>
      <w:bookmarkEnd w:id="474"/>
    </w:p>
    <w:p w14:paraId="30550BE4" w14:textId="2BCC9222" w:rsidR="00CE4237" w:rsidRPr="00CE4237" w:rsidRDefault="00CE4237" w:rsidP="00020D20">
      <w:pPr>
        <w:jc w:val="both"/>
      </w:pPr>
      <w:r w:rsidRPr="00CE4237">
        <w:t>This chapter provides guidance to ADOT, MPOs, and COGs for creating, implementing, and managing the public involvement process mandated by federal and state laws and regulations. Each MPO and COG is required to develop a Public Participation Plan.</w:t>
      </w:r>
    </w:p>
    <w:p w14:paraId="49B5EBFD" w14:textId="77777777" w:rsidR="00CE4237" w:rsidRPr="00CE4237" w:rsidRDefault="00CE4237" w:rsidP="00020D20">
      <w:pPr>
        <w:pStyle w:val="Heading2"/>
      </w:pPr>
      <w:bookmarkStart w:id="475" w:name="_Ref50035309"/>
      <w:r w:rsidRPr="00CE4237">
        <w:t>13.2 | AUTHORITY</w:t>
      </w:r>
      <w:bookmarkEnd w:id="475"/>
    </w:p>
    <w:p w14:paraId="632B31A8" w14:textId="723FB8F1" w:rsidR="00CE4237" w:rsidRPr="00CE4237" w:rsidRDefault="00244606" w:rsidP="00020D20">
      <w:pPr>
        <w:jc w:val="both"/>
      </w:pPr>
      <w:r>
        <w:t>The FAST Act</w:t>
      </w:r>
      <w:r w:rsidR="00CE4237" w:rsidRPr="00CE4237">
        <w:t xml:space="preserve"> follows public participation requirements and guidelines set forth in the previous federal transportation legislation, </w:t>
      </w:r>
      <w:r>
        <w:t>MAP-21</w:t>
      </w:r>
      <w:r w:rsidR="00CE4237" w:rsidRPr="00CE4237">
        <w:t xml:space="preserve"> (</w:t>
      </w:r>
      <w:hyperlink r:id="rId826" w:history="1">
        <w:r w:rsidR="00CE4237" w:rsidRPr="00020D20">
          <w:rPr>
            <w:rStyle w:val="TitleChar"/>
          </w:rPr>
          <w:t>23 U.S.C. § 134(i)(5)(B)</w:t>
        </w:r>
      </w:hyperlink>
      <w:r w:rsidR="00CE4237" w:rsidRPr="00CE4237">
        <w:t xml:space="preserve">; </w:t>
      </w:r>
      <w:hyperlink r:id="rId827" w:history="1">
        <w:r w:rsidR="00CE4237" w:rsidRPr="00020D20">
          <w:rPr>
            <w:rStyle w:val="TitleChar"/>
          </w:rPr>
          <w:t xml:space="preserve">23 </w:t>
        </w:r>
        <w:r w:rsidR="009628C0">
          <w:rPr>
            <w:rStyle w:val="TitleChar"/>
          </w:rPr>
          <w:t xml:space="preserve">C.F.R. </w:t>
        </w:r>
        <w:r w:rsidR="00CE4237" w:rsidRPr="00020D20">
          <w:rPr>
            <w:rStyle w:val="TitleChar"/>
          </w:rPr>
          <w:t>§ 450.316(a)</w:t>
        </w:r>
      </w:hyperlink>
      <w:r w:rsidR="00CE4237" w:rsidRPr="00CE4237">
        <w:t>)</w:t>
      </w:r>
      <w:r w:rsidR="001826D5">
        <w:t>.</w:t>
      </w:r>
      <w:r w:rsidR="00CE4237" w:rsidRPr="00CE4237">
        <w:t xml:space="preserve">  MPOs and COGs are required to develop a public participation plan, in consultation with interested parties, that provides reasonable opportunities for all parties to participate in and comment on transportation plans. The detailed requirements and guidelines for the public participation plan are provided in section 13.6. </w:t>
      </w:r>
    </w:p>
    <w:p w14:paraId="0B1CF7B1" w14:textId="77777777" w:rsidR="00CE4237" w:rsidRPr="00CE4237" w:rsidRDefault="00CE4237" w:rsidP="00020D20">
      <w:pPr>
        <w:jc w:val="both"/>
      </w:pPr>
      <w:r w:rsidRPr="00CE4237">
        <w:t>The ADA requires the public participation process to provide equal access to people with disabilities. Title VI of the 1964 Civil Rights Act, and its implementing regulations prohibits discrimination and requires that federal funding recipients take responsible steps to ensure meaningful access to the benefits, services, information, and other important portions of their program and activities for LEP individuals (USDOT 2005).</w:t>
      </w:r>
    </w:p>
    <w:p w14:paraId="7156E5DD" w14:textId="2E8E4C67" w:rsidR="00CE4237" w:rsidRPr="00CE4237" w:rsidRDefault="00202C92" w:rsidP="00020D20">
      <w:pPr>
        <w:jc w:val="both"/>
      </w:pPr>
      <w:hyperlink r:id="rId828" w:history="1">
        <w:r w:rsidR="00CE4237" w:rsidRPr="00020D20">
          <w:rPr>
            <w:rStyle w:val="TitleChar"/>
          </w:rPr>
          <w:t>A.R.S. § 38-431</w:t>
        </w:r>
      </w:hyperlink>
      <w:r w:rsidR="00CE4237" w:rsidRPr="00C200B6">
        <w:t xml:space="preserve"> describes the Arizona open meeting law requirements</w:t>
      </w:r>
      <w:r w:rsidR="00CE4237" w:rsidRPr="00CE4237">
        <w:t>, including meeting notification and posting of proceedings.</w:t>
      </w:r>
    </w:p>
    <w:p w14:paraId="3AE6BFA3" w14:textId="48DEF085" w:rsidR="00A619F2" w:rsidRPr="00CE4237" w:rsidRDefault="00CE4237" w:rsidP="00020D20">
      <w:pPr>
        <w:jc w:val="both"/>
      </w:pPr>
      <w:r w:rsidRPr="00CE4237">
        <w:t xml:space="preserve">The federal </w:t>
      </w:r>
      <w:r w:rsidR="00866DFF">
        <w:t>and</w:t>
      </w:r>
      <w:r w:rsidRPr="00CE4237">
        <w:t xml:space="preserve"> state laws which provide the authority to conduct public involvement activities are shown in table 13-1.</w:t>
      </w:r>
    </w:p>
    <w:p w14:paraId="1EFCCF50" w14:textId="77777777" w:rsidR="00A619F2" w:rsidRPr="00CE4237" w:rsidRDefault="00A619F2" w:rsidP="00020D20">
      <w:pPr>
        <w:pStyle w:val="Heading2"/>
      </w:pPr>
      <w:bookmarkStart w:id="476" w:name="_Ref50035311"/>
      <w:r w:rsidRPr="00CE4237">
        <w:t>13.3 | SCOPE</w:t>
      </w:r>
      <w:bookmarkEnd w:id="476"/>
    </w:p>
    <w:p w14:paraId="63A9EBDA" w14:textId="2BBE0844" w:rsidR="00A619F2" w:rsidRPr="00CE4237" w:rsidRDefault="00A619F2" w:rsidP="00020D20">
      <w:pPr>
        <w:jc w:val="both"/>
      </w:pPr>
      <w:r w:rsidRPr="00CE4237">
        <w:t>Each MPO and COG must develop and use a documented participation plan that defines a process for providing citizens, affected public agencies, representatives of public transportation employe</w:t>
      </w:r>
      <w:r w:rsidR="00DB0BA3">
        <w:t>r</w:t>
      </w:r>
      <w:r w:rsidRPr="00CE4237">
        <w:t xml:space="preserve">s, freight shippers, providers of freight transportation services, private providers of transportation, representatives of users of public transportation, representatives of users of pedestrian walkways and bicycle transportation facilities, people with disabilities, and other interested parties with reasonable opportunities to be involved in the transportation planning process. The Public Participation Plan defines the process for public input to the RTP and the TIP. </w:t>
      </w:r>
    </w:p>
    <w:p w14:paraId="22A16937" w14:textId="77777777" w:rsidR="00A619F2" w:rsidRDefault="00A619F2" w:rsidP="00020D20">
      <w:pPr>
        <w:jc w:val="both"/>
      </w:pPr>
      <w:r w:rsidRPr="00CE4237">
        <w:t>When developing an RTP, MPOs and COGs must consult with a wide variety of state and local agencies and afford the opportunity to comment on the plan to a wide variety of groups. These agencies include, as appropriate, those that are responsible for land use management, natural resources, environmental protection, conservation, and historic preservation</w:t>
      </w:r>
      <w:r w:rsidRPr="00EC2F31">
        <w:t xml:space="preserve"> </w:t>
      </w:r>
    </w:p>
    <w:p w14:paraId="15DDFD5C" w14:textId="7F8D22CA" w:rsidR="00327A3F" w:rsidRDefault="00327A3F" w:rsidP="00020D20">
      <w:pPr>
        <w:jc w:val="both"/>
      </w:pPr>
      <w:r w:rsidRPr="00EC2F31">
        <w:t>When</w:t>
      </w:r>
      <w:r w:rsidR="00DB0BA3">
        <w:t xml:space="preserve"> regional planning jurisdictional boundaries</w:t>
      </w:r>
      <w:r w:rsidRPr="00EC2F31">
        <w:t xml:space="preserve"> include </w:t>
      </w:r>
      <w:r w:rsidR="00DB0BA3">
        <w:t>Native American</w:t>
      </w:r>
      <w:r w:rsidRPr="00EC2F31">
        <w:t xml:space="preserve"> tribal lands, the MPO and COG shall appropriately involve tribal governments in the process. When the MPA includes federal public lands, the MPO and COG shall appropriately involve federal land management agencies in the process. In nonattainment areas the MPO and COG shall appropriately consult with federal, state, and local transportation and air agencies. </w:t>
      </w:r>
    </w:p>
    <w:p w14:paraId="6C2F7411" w14:textId="7A5CDBEB" w:rsidR="00DF0026" w:rsidRDefault="00327A3F" w:rsidP="00DF0026">
      <w:r>
        <w:t>For projects that ADOT or an ADOT consultant administers on behalf of an MPO or COG, a project-specific public involvement plan must align with</w:t>
      </w:r>
      <w:r w:rsidR="00DB0BA3">
        <w:t xml:space="preserve"> the</w:t>
      </w:r>
      <w:r>
        <w:t xml:space="preserve"> </w:t>
      </w:r>
      <w:hyperlink r:id="rId829" w:history="1">
        <w:r w:rsidR="00DB0BA3">
          <w:rPr>
            <w:rStyle w:val="TitleChar"/>
          </w:rPr>
          <w:t>ADOT Public Involvement Plan</w:t>
        </w:r>
      </w:hyperlink>
      <w:r w:rsidRPr="004B2F2E">
        <w:rPr>
          <w:rStyle w:val="TitleChar"/>
        </w:rPr>
        <w:t xml:space="preserve">. </w:t>
      </w:r>
      <w:r w:rsidRPr="004B2F2E">
        <w:t>The ADOT Civil Rights Office will review to ensure</w:t>
      </w:r>
      <w:r w:rsidR="00DB0BA3">
        <w:t xml:space="preserve"> the </w:t>
      </w:r>
      <w:r w:rsidR="00EA0B6C">
        <w:t>public involvement plan</w:t>
      </w:r>
      <w:r w:rsidRPr="004B2F2E">
        <w:t xml:space="preserve"> that outline</w:t>
      </w:r>
      <w:r w:rsidR="00EA0B6C">
        <w:t>s</w:t>
      </w:r>
      <w:r w:rsidRPr="004B2F2E">
        <w:t xml:space="preserve"> strategies and processes for populations protected</w:t>
      </w:r>
      <w:r w:rsidR="00DB0BA3">
        <w:t xml:space="preserve"> under</w:t>
      </w:r>
      <w:r w:rsidRPr="004B2F2E">
        <w:t xml:space="preserve"> ADA, Title VI, Limited English Proficiency, and Environmental Justice</w:t>
      </w:r>
      <w:r w:rsidR="00DB0BA3">
        <w:t xml:space="preserve"> laws</w:t>
      </w:r>
      <w:r w:rsidRPr="004B2F2E">
        <w:t xml:space="preserve"> that mirror</w:t>
      </w:r>
      <w:r w:rsidR="00DB0BA3">
        <w:t xml:space="preserve"> that of the </w:t>
      </w:r>
      <w:hyperlink r:id="rId830" w:history="1">
        <w:r w:rsidR="00DB0BA3">
          <w:rPr>
            <w:rStyle w:val="TitleChar"/>
          </w:rPr>
          <w:t>ADOT Public Involvement Plan</w:t>
        </w:r>
      </w:hyperlink>
      <w:r w:rsidR="00DB0BA3">
        <w:t>.</w:t>
      </w:r>
    </w:p>
    <w:p w14:paraId="7A7F9A83" w14:textId="5B587939" w:rsidR="00DF0026" w:rsidRDefault="00DF0026" w:rsidP="00DF0026">
      <w:r>
        <w:br w:type="page"/>
      </w:r>
    </w:p>
    <w:p w14:paraId="19ED54FB" w14:textId="77777777" w:rsidR="00DF0026" w:rsidRDefault="00DF0026" w:rsidP="00DF0026">
      <w:pPr>
        <w:sectPr w:rsidR="00DF0026" w:rsidSect="00020D20">
          <w:type w:val="continuous"/>
          <w:pgSz w:w="12240" w:h="15840"/>
          <w:pgMar w:top="1440" w:right="1440" w:bottom="1440" w:left="1440" w:header="720" w:footer="720" w:gutter="0"/>
          <w:pgNumType w:chapStyle="1"/>
          <w:cols w:num="2" w:space="720"/>
          <w:docGrid w:linePitch="360"/>
        </w:sectPr>
      </w:pPr>
    </w:p>
    <w:p w14:paraId="707568C9" w14:textId="30D770A5" w:rsidR="00EC2F31" w:rsidRDefault="00EC2F31" w:rsidP="00020D20">
      <w:pPr>
        <w:pStyle w:val="Heading4"/>
      </w:pPr>
      <w:r w:rsidRPr="00EC2F31">
        <w:t>Table 13-1 | Authority</w:t>
      </w:r>
    </w:p>
    <w:tbl>
      <w:tblPr>
        <w:tblW w:w="9365" w:type="dxa"/>
        <w:tblInd w:w="-10" w:type="dxa"/>
        <w:tblLayout w:type="fixed"/>
        <w:tblCellMar>
          <w:left w:w="0" w:type="dxa"/>
          <w:right w:w="0" w:type="dxa"/>
        </w:tblCellMar>
        <w:tblLook w:val="0000" w:firstRow="0" w:lastRow="0" w:firstColumn="0" w:lastColumn="0" w:noHBand="0" w:noVBand="0"/>
      </w:tblPr>
      <w:tblGrid>
        <w:gridCol w:w="365"/>
        <w:gridCol w:w="2520"/>
        <w:gridCol w:w="6480"/>
      </w:tblGrid>
      <w:tr w:rsidR="00531878" w:rsidRPr="00531878" w14:paraId="3C6BA5BA" w14:textId="77777777" w:rsidTr="00020D20">
        <w:trPr>
          <w:trHeight w:hRule="exact" w:val="333"/>
        </w:trPr>
        <w:tc>
          <w:tcPr>
            <w:tcW w:w="2885" w:type="dxa"/>
            <w:gridSpan w:val="2"/>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1F77E01A" w14:textId="77777777" w:rsidR="00EC2F31" w:rsidRPr="00020D20" w:rsidRDefault="00EC2F31" w:rsidP="00020D20">
            <w:pPr>
              <w:spacing w:before="0" w:after="0" w:line="240" w:lineRule="auto"/>
              <w:jc w:val="center"/>
              <w:rPr>
                <w:bCs/>
                <w:sz w:val="22"/>
              </w:rPr>
            </w:pPr>
            <w:r w:rsidRPr="00020D20">
              <w:rPr>
                <w:sz w:val="22"/>
              </w:rPr>
              <w:t>Code</w:t>
            </w:r>
          </w:p>
        </w:tc>
        <w:tc>
          <w:tcPr>
            <w:tcW w:w="6480" w:type="dxa"/>
            <w:tcBorders>
              <w:top w:val="single" w:sz="4" w:space="0" w:color="auto"/>
              <w:left w:val="single" w:sz="4" w:space="0" w:color="FFFFFF" w:themeColor="background1"/>
            </w:tcBorders>
            <w:shd w:val="clear" w:color="auto" w:fill="012768"/>
            <w:tcMar>
              <w:top w:w="80" w:type="dxa"/>
              <w:left w:w="80" w:type="dxa"/>
              <w:bottom w:w="80" w:type="dxa"/>
              <w:right w:w="80" w:type="dxa"/>
            </w:tcMar>
            <w:vAlign w:val="center"/>
          </w:tcPr>
          <w:p w14:paraId="54DCF9E5" w14:textId="77777777" w:rsidR="00EC2F31" w:rsidRPr="00020D20" w:rsidRDefault="00EC2F31" w:rsidP="00020D20">
            <w:pPr>
              <w:spacing w:before="0" w:after="0" w:line="240" w:lineRule="auto"/>
              <w:jc w:val="center"/>
              <w:rPr>
                <w:bCs/>
                <w:sz w:val="22"/>
              </w:rPr>
            </w:pPr>
            <w:r w:rsidRPr="00020D20">
              <w:rPr>
                <w:sz w:val="22"/>
              </w:rPr>
              <w:t>Description</w:t>
            </w:r>
          </w:p>
        </w:tc>
      </w:tr>
      <w:tr w:rsidR="00EC2F31" w:rsidRPr="00EC2F31" w14:paraId="7E551D45" w14:textId="77777777" w:rsidTr="00020D20">
        <w:trPr>
          <w:trHeight w:hRule="exact" w:val="279"/>
        </w:trPr>
        <w:tc>
          <w:tcPr>
            <w:tcW w:w="365"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08C19AC1" w14:textId="77777777" w:rsidR="00EC2F31" w:rsidRPr="00020D20" w:rsidRDefault="00EC2F31" w:rsidP="00020D20">
            <w:pPr>
              <w:spacing w:before="0" w:after="0" w:line="240" w:lineRule="auto"/>
              <w:jc w:val="center"/>
              <w:rPr>
                <w:sz w:val="22"/>
              </w:rPr>
            </w:pPr>
            <w:r w:rsidRPr="00020D20">
              <w:rPr>
                <w:sz w:val="22"/>
              </w:rPr>
              <w:t>Federal</w:t>
            </w:r>
          </w:p>
        </w:tc>
        <w:tc>
          <w:tcPr>
            <w:tcW w:w="25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065A8AD9" w14:textId="3B54FF1C" w:rsidR="00EC2F31" w:rsidRPr="00020D20" w:rsidRDefault="00202C92">
            <w:pPr>
              <w:pStyle w:val="Title"/>
              <w:rPr>
                <w:sz w:val="18"/>
              </w:rPr>
            </w:pPr>
            <w:hyperlink r:id="rId831" w:history="1">
              <w:r w:rsidR="00EC2F31" w:rsidRPr="00020D20">
                <w:rPr>
                  <w:rStyle w:val="Hyperlink"/>
                  <w:rFonts w:asciiTheme="minorHAnsi" w:hAnsiTheme="minorHAnsi" w:cstheme="majorBidi"/>
                  <w:i/>
                  <w:iCs w:val="0"/>
                  <w:color w:val="CE5B18"/>
                  <w:sz w:val="18"/>
                  <w:szCs w:val="56"/>
                  <w:u w:val="none"/>
                </w:rPr>
                <w:t>23 U.S.C. § 134(i)(5)(B)</w:t>
              </w:r>
            </w:hyperlink>
          </w:p>
        </w:tc>
        <w:tc>
          <w:tcPr>
            <w:tcW w:w="6480"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A8D6B2A" w14:textId="77777777" w:rsidR="00EC2F31" w:rsidRPr="00020D20" w:rsidRDefault="00EC2F31" w:rsidP="00020D20">
            <w:pPr>
              <w:pStyle w:val="Heading5"/>
              <w:spacing w:before="0" w:after="0" w:line="240" w:lineRule="auto"/>
              <w:jc w:val="both"/>
              <w:rPr>
                <w:i w:val="0"/>
                <w:color w:val="auto"/>
                <w:sz w:val="18"/>
              </w:rPr>
            </w:pPr>
            <w:r w:rsidRPr="00020D20">
              <w:rPr>
                <w:i w:val="0"/>
                <w:color w:val="auto"/>
                <w:sz w:val="18"/>
              </w:rPr>
              <w:t>These laws state that MPOs and COGs are required to develop a public participation plan, in consultation with interested parties, that provides reasonable opportunities for all parties to participate in and comment on transportation plans.</w:t>
            </w:r>
          </w:p>
        </w:tc>
      </w:tr>
      <w:tr w:rsidR="00EC2F31" w:rsidRPr="00EC2F31" w14:paraId="6FAA35DF" w14:textId="77777777" w:rsidTr="00020D20">
        <w:trPr>
          <w:trHeight w:hRule="exact" w:val="649"/>
        </w:trPr>
        <w:tc>
          <w:tcPr>
            <w:tcW w:w="365" w:type="dxa"/>
            <w:vMerge/>
            <w:tcBorders>
              <w:left w:val="single" w:sz="4" w:space="0" w:color="auto"/>
              <w:bottom w:val="single" w:sz="4" w:space="0" w:color="FFFFFF" w:themeColor="background1"/>
              <w:right w:val="single" w:sz="4" w:space="0" w:color="auto"/>
            </w:tcBorders>
            <w:shd w:val="clear" w:color="auto" w:fill="012768"/>
          </w:tcPr>
          <w:p w14:paraId="2250D94D" w14:textId="77777777" w:rsidR="00EC2F31" w:rsidRPr="00020D20" w:rsidRDefault="00EC2F31" w:rsidP="00020D20">
            <w:pPr>
              <w:spacing w:before="0" w:after="0" w:line="240" w:lineRule="auto"/>
              <w:jc w:val="center"/>
              <w:rPr>
                <w:sz w:val="22"/>
              </w:rPr>
            </w:pP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2AD34EB" w14:textId="1AF0A4B1" w:rsidR="00EC2F31" w:rsidRPr="00020D20" w:rsidRDefault="00202C92">
            <w:pPr>
              <w:pStyle w:val="Title"/>
              <w:rPr>
                <w:sz w:val="18"/>
              </w:rPr>
            </w:pPr>
            <w:hyperlink r:id="rId832" w:history="1">
              <w:r w:rsidR="00EC2F31" w:rsidRPr="00020D20">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EC2F31" w:rsidRPr="00020D20">
                <w:rPr>
                  <w:rStyle w:val="Hyperlink"/>
                  <w:rFonts w:asciiTheme="minorHAnsi" w:hAnsiTheme="minorHAnsi" w:cstheme="majorBidi"/>
                  <w:i/>
                  <w:iCs w:val="0"/>
                  <w:color w:val="CE5B18"/>
                  <w:sz w:val="18"/>
                  <w:szCs w:val="56"/>
                  <w:u w:val="none"/>
                </w:rPr>
                <w:t>§ 450.316 (a)</w:t>
              </w:r>
            </w:hyperlink>
          </w:p>
        </w:tc>
        <w:tc>
          <w:tcPr>
            <w:tcW w:w="6480" w:type="dxa"/>
            <w:vMerge/>
            <w:tcBorders>
              <w:top w:val="single" w:sz="4" w:space="0" w:color="auto"/>
              <w:left w:val="single" w:sz="4" w:space="0" w:color="auto"/>
              <w:bottom w:val="single" w:sz="4" w:space="0" w:color="auto"/>
              <w:right w:val="single" w:sz="4" w:space="0" w:color="auto"/>
            </w:tcBorders>
          </w:tcPr>
          <w:p w14:paraId="19D3DBF6" w14:textId="77777777" w:rsidR="00EC2F31" w:rsidRPr="00020D20" w:rsidRDefault="00EC2F31" w:rsidP="00020D20">
            <w:pPr>
              <w:pStyle w:val="Heading5"/>
              <w:spacing w:before="0" w:after="0" w:line="240" w:lineRule="auto"/>
              <w:jc w:val="both"/>
              <w:rPr>
                <w:i w:val="0"/>
                <w:color w:val="auto"/>
                <w:sz w:val="18"/>
              </w:rPr>
            </w:pPr>
          </w:p>
        </w:tc>
      </w:tr>
      <w:tr w:rsidR="00EC2F31" w:rsidRPr="00EC2F31" w14:paraId="3DC5505C" w14:textId="77777777" w:rsidTr="00020D20">
        <w:trPr>
          <w:trHeight w:hRule="exact" w:val="640"/>
        </w:trPr>
        <w:tc>
          <w:tcPr>
            <w:tcW w:w="365" w:type="dxa"/>
            <w:vMerge/>
            <w:tcBorders>
              <w:left w:val="single" w:sz="4" w:space="0" w:color="auto"/>
              <w:bottom w:val="single" w:sz="4" w:space="0" w:color="FFFFFF" w:themeColor="background1"/>
              <w:right w:val="single" w:sz="4" w:space="0" w:color="auto"/>
            </w:tcBorders>
            <w:shd w:val="clear" w:color="auto" w:fill="012768"/>
          </w:tcPr>
          <w:p w14:paraId="6FE18D1E" w14:textId="77777777" w:rsidR="00EC2F31" w:rsidRPr="00020D20" w:rsidRDefault="00EC2F31" w:rsidP="00020D20">
            <w:pPr>
              <w:spacing w:before="0" w:after="0" w:line="240" w:lineRule="auto"/>
              <w:jc w:val="center"/>
              <w:rPr>
                <w:sz w:val="22"/>
              </w:rPr>
            </w:pPr>
          </w:p>
        </w:tc>
        <w:tc>
          <w:tcPr>
            <w:tcW w:w="25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3AEFA153" w14:textId="334F9B53" w:rsidR="00EC2F31" w:rsidRPr="00020D20" w:rsidRDefault="00202C92">
            <w:pPr>
              <w:pStyle w:val="Title"/>
              <w:rPr>
                <w:sz w:val="18"/>
              </w:rPr>
            </w:pPr>
            <w:hyperlink r:id="rId833" w:history="1">
              <w:r w:rsidR="00EC2F31" w:rsidRPr="00020D20">
                <w:rPr>
                  <w:rStyle w:val="Hyperlink"/>
                  <w:rFonts w:asciiTheme="minorHAnsi" w:hAnsiTheme="minorHAnsi" w:cstheme="majorBidi"/>
                  <w:i/>
                  <w:iCs w:val="0"/>
                  <w:color w:val="CE5B18"/>
                  <w:sz w:val="18"/>
                  <w:szCs w:val="56"/>
                  <w:u w:val="none"/>
                </w:rPr>
                <w:t>Title VI of the 1964 Civil Rights Act</w:t>
              </w:r>
            </w:hyperlink>
          </w:p>
        </w:tc>
        <w:tc>
          <w:tcPr>
            <w:tcW w:w="64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0C26C67" w14:textId="1CEAD8DE" w:rsidR="00EC2F31" w:rsidRPr="00020D20" w:rsidRDefault="00EC2F31" w:rsidP="00020D20">
            <w:pPr>
              <w:pStyle w:val="Heading5"/>
              <w:spacing w:before="0" w:after="0" w:line="240" w:lineRule="auto"/>
              <w:jc w:val="both"/>
              <w:rPr>
                <w:i w:val="0"/>
                <w:color w:val="auto"/>
                <w:sz w:val="18"/>
              </w:rPr>
            </w:pPr>
            <w:r w:rsidRPr="00020D20">
              <w:rPr>
                <w:color w:val="auto"/>
                <w:sz w:val="18"/>
              </w:rPr>
              <w:t xml:space="preserve">This act prohibits discrimination on the basis of race, color, or national origin in programs and activities receiving federal financial assistance. </w:t>
            </w:r>
          </w:p>
        </w:tc>
      </w:tr>
      <w:tr w:rsidR="00EC2F31" w:rsidRPr="00EC2F31" w14:paraId="20F6FE58" w14:textId="77777777" w:rsidTr="00020D20">
        <w:trPr>
          <w:trHeight w:hRule="exact" w:val="649"/>
        </w:trPr>
        <w:tc>
          <w:tcPr>
            <w:tcW w:w="365" w:type="dxa"/>
            <w:vMerge/>
            <w:tcBorders>
              <w:left w:val="single" w:sz="4" w:space="0" w:color="auto"/>
              <w:bottom w:val="single" w:sz="4" w:space="0" w:color="FFFFFF" w:themeColor="background1"/>
              <w:right w:val="single" w:sz="4" w:space="0" w:color="auto"/>
            </w:tcBorders>
            <w:shd w:val="clear" w:color="auto" w:fill="012768"/>
          </w:tcPr>
          <w:p w14:paraId="55A8A1F4" w14:textId="77777777" w:rsidR="00EC2F31" w:rsidRPr="00020D20" w:rsidRDefault="00EC2F31" w:rsidP="00020D20">
            <w:pPr>
              <w:spacing w:before="0" w:after="0" w:line="240" w:lineRule="auto"/>
              <w:jc w:val="center"/>
              <w:rPr>
                <w:sz w:val="22"/>
              </w:rPr>
            </w:pPr>
          </w:p>
        </w:tc>
        <w:tc>
          <w:tcPr>
            <w:tcW w:w="252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159EC5A" w14:textId="371F72BB" w:rsidR="00EC2F31" w:rsidRPr="00020D20" w:rsidRDefault="00202C92">
            <w:pPr>
              <w:pStyle w:val="Title"/>
              <w:rPr>
                <w:sz w:val="18"/>
              </w:rPr>
            </w:pPr>
            <w:hyperlink r:id="rId834" w:history="1">
              <w:r w:rsidR="00EC2F31" w:rsidRPr="00020D20">
                <w:rPr>
                  <w:rStyle w:val="Hyperlink"/>
                  <w:rFonts w:asciiTheme="minorHAnsi" w:hAnsiTheme="minorHAnsi" w:cstheme="majorBidi"/>
                  <w:i/>
                  <w:iCs w:val="0"/>
                  <w:color w:val="CE5B18"/>
                  <w:sz w:val="18"/>
                  <w:szCs w:val="56"/>
                  <w:u w:val="none"/>
                </w:rPr>
                <w:t>Title VI and implementing regulations</w:t>
              </w:r>
            </w:hyperlink>
          </w:p>
        </w:tc>
        <w:tc>
          <w:tcPr>
            <w:tcW w:w="64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1CD02F3" w14:textId="788E89D2" w:rsidR="00EC2F31" w:rsidRPr="00020D20" w:rsidRDefault="00EC2F31" w:rsidP="00020D20">
            <w:pPr>
              <w:pStyle w:val="Heading5"/>
              <w:spacing w:before="0" w:after="0" w:line="240" w:lineRule="auto"/>
              <w:jc w:val="both"/>
              <w:rPr>
                <w:i w:val="0"/>
                <w:color w:val="auto"/>
                <w:sz w:val="18"/>
              </w:rPr>
            </w:pPr>
            <w:r w:rsidRPr="00020D20">
              <w:rPr>
                <w:i w:val="0"/>
                <w:color w:val="auto"/>
                <w:sz w:val="18"/>
              </w:rPr>
              <w:t xml:space="preserve">This ensures meaningful access to the benefits, services, </w:t>
            </w:r>
            <w:r w:rsidR="00DB0BA3">
              <w:rPr>
                <w:i w:val="0"/>
                <w:color w:val="auto"/>
                <w:sz w:val="18"/>
              </w:rPr>
              <w:t>and</w:t>
            </w:r>
            <w:r w:rsidRPr="00020D20">
              <w:rPr>
                <w:i w:val="0"/>
                <w:color w:val="auto"/>
                <w:sz w:val="18"/>
              </w:rPr>
              <w:t xml:space="preserve"> information of their program and activities for LEP individuals.</w:t>
            </w:r>
          </w:p>
        </w:tc>
      </w:tr>
      <w:tr w:rsidR="00EC2F31" w:rsidRPr="00EC2F31" w14:paraId="20DA5D4D" w14:textId="77777777" w:rsidTr="00020D20">
        <w:trPr>
          <w:trHeight w:hRule="exact" w:val="631"/>
        </w:trPr>
        <w:tc>
          <w:tcPr>
            <w:tcW w:w="365" w:type="dxa"/>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3E88362F" w14:textId="77777777" w:rsidR="00EC2F31" w:rsidRPr="00020D20" w:rsidRDefault="00EC2F31" w:rsidP="00020D20">
            <w:pPr>
              <w:spacing w:before="0" w:after="0" w:line="240" w:lineRule="auto"/>
              <w:jc w:val="center"/>
              <w:rPr>
                <w:sz w:val="22"/>
              </w:rPr>
            </w:pPr>
            <w:r w:rsidRPr="00020D20">
              <w:rPr>
                <w:sz w:val="22"/>
              </w:rPr>
              <w:t>State</w:t>
            </w:r>
          </w:p>
        </w:tc>
        <w:tc>
          <w:tcPr>
            <w:tcW w:w="252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0A93761B" w14:textId="547170BF" w:rsidR="00EC2F31" w:rsidRPr="00020D20" w:rsidRDefault="00202C92">
            <w:pPr>
              <w:pStyle w:val="Title"/>
              <w:rPr>
                <w:sz w:val="18"/>
              </w:rPr>
            </w:pPr>
            <w:hyperlink r:id="rId835" w:history="1">
              <w:r w:rsidR="00EC2F31" w:rsidRPr="00020D20">
                <w:rPr>
                  <w:rStyle w:val="Hyperlink"/>
                  <w:rFonts w:asciiTheme="minorHAnsi" w:hAnsiTheme="minorHAnsi" w:cstheme="majorBidi"/>
                  <w:i/>
                  <w:iCs w:val="0"/>
                  <w:color w:val="CE5B18"/>
                  <w:sz w:val="18"/>
                  <w:szCs w:val="56"/>
                  <w:u w:val="none"/>
                </w:rPr>
                <w:t>A.R.S. § 38-431 et seq.</w:t>
              </w:r>
            </w:hyperlink>
          </w:p>
        </w:tc>
        <w:tc>
          <w:tcPr>
            <w:tcW w:w="6480" w:type="dxa"/>
            <w:tcBorders>
              <w:top w:val="single" w:sz="4" w:space="0" w:color="auto"/>
              <w:left w:val="single" w:sz="4" w:space="0" w:color="auto"/>
              <w:bottom w:val="single" w:sz="4" w:space="0" w:color="auto"/>
              <w:right w:val="single" w:sz="4" w:space="0" w:color="auto"/>
            </w:tcBorders>
            <w:shd w:val="solid" w:color="E6E7E8" w:fill="auto"/>
            <w:tcMar>
              <w:top w:w="80" w:type="dxa"/>
              <w:left w:w="80" w:type="dxa"/>
              <w:bottom w:w="80" w:type="dxa"/>
              <w:right w:w="80" w:type="dxa"/>
            </w:tcMar>
            <w:vAlign w:val="center"/>
          </w:tcPr>
          <w:p w14:paraId="562692CB" w14:textId="77777777" w:rsidR="00EC2F31" w:rsidRPr="00020D20" w:rsidRDefault="00EC2F31" w:rsidP="00020D20">
            <w:pPr>
              <w:pStyle w:val="Heading5"/>
              <w:spacing w:before="0" w:after="0" w:line="240" w:lineRule="auto"/>
              <w:jc w:val="both"/>
              <w:rPr>
                <w:i w:val="0"/>
                <w:color w:val="auto"/>
                <w:sz w:val="18"/>
              </w:rPr>
            </w:pPr>
            <w:r w:rsidRPr="00020D20">
              <w:rPr>
                <w:i w:val="0"/>
                <w:color w:val="auto"/>
                <w:sz w:val="18"/>
              </w:rPr>
              <w:t>This statute describes the Arizona open meeting law requirements, including meeting notification and posting of proceedings</w:t>
            </w:r>
          </w:p>
        </w:tc>
      </w:tr>
    </w:tbl>
    <w:p w14:paraId="3329F6FB" w14:textId="77777777" w:rsidR="00365333" w:rsidRDefault="00365333" w:rsidP="00020D20">
      <w:pPr>
        <w:jc w:val="both"/>
        <w:sectPr w:rsidR="00365333" w:rsidSect="00020D20">
          <w:type w:val="continuous"/>
          <w:pgSz w:w="12240" w:h="15840"/>
          <w:pgMar w:top="1440" w:right="1440" w:bottom="1440" w:left="1440" w:header="720" w:footer="720" w:gutter="0"/>
          <w:pgNumType w:chapStyle="1"/>
          <w:cols w:space="720"/>
          <w:docGrid w:linePitch="360"/>
        </w:sectPr>
      </w:pPr>
    </w:p>
    <w:p w14:paraId="4291137C" w14:textId="77777777" w:rsidR="00EC2F31" w:rsidRPr="00EC2F31" w:rsidRDefault="00EC2F31">
      <w:pPr>
        <w:pStyle w:val="Heading2"/>
      </w:pPr>
      <w:bookmarkStart w:id="477" w:name="_Ref50035315"/>
      <w:r w:rsidRPr="00EC2F31">
        <w:t>13.4 | </w:t>
      </w:r>
      <w:r w:rsidRPr="00327A3F">
        <w:t>MINIMUM</w:t>
      </w:r>
      <w:r w:rsidRPr="00EC2F31">
        <w:t xml:space="preserve"> REQUIREMENTS</w:t>
      </w:r>
      <w:bookmarkEnd w:id="477"/>
    </w:p>
    <w:p w14:paraId="52A5591C" w14:textId="58A31154" w:rsidR="00EC2F31" w:rsidRPr="00EC2F31" w:rsidRDefault="00EC2F31" w:rsidP="00020D20">
      <w:pPr>
        <w:jc w:val="both"/>
      </w:pPr>
      <w:r w:rsidRPr="00EC2F31">
        <w:t>Besides consulting with these agencies and groups in their public participation processes</w:t>
      </w:r>
      <w:r w:rsidR="00DB0BA3">
        <w:t>,</w:t>
      </w:r>
      <w:r w:rsidRPr="00EC2F31">
        <w:t xml:space="preserve"> the MPO and COG shall, at a minimum:</w:t>
      </w:r>
    </w:p>
    <w:p w14:paraId="71909E2A" w14:textId="277D7E6B" w:rsidR="002B6DC0" w:rsidRDefault="00DB0BA3" w:rsidP="00020D20">
      <w:pPr>
        <w:pStyle w:val="Body-Bullets"/>
        <w:jc w:val="both"/>
      </w:pPr>
      <w:r>
        <w:t>i</w:t>
      </w:r>
      <w:r w:rsidR="002B6DC0">
        <w:t>nclude a public involvement plan that aligns with ADOT’s Public Involvement Plan</w:t>
      </w:r>
    </w:p>
    <w:p w14:paraId="2C585D0B" w14:textId="19C53965" w:rsidR="00EC2F31" w:rsidRPr="00EC2F31" w:rsidRDefault="00EC2F31" w:rsidP="00020D20">
      <w:pPr>
        <w:pStyle w:val="Body-Bullets"/>
        <w:jc w:val="both"/>
      </w:pPr>
      <w:r w:rsidRPr="00EC2F31">
        <w:t>provide reasonable public access to technical and policy information used in the development of the RTP and TIP and conformity determination (if applicable);</w:t>
      </w:r>
    </w:p>
    <w:p w14:paraId="54F6289D" w14:textId="550234A7" w:rsidR="00EC2F31" w:rsidRPr="00EC2F31" w:rsidRDefault="00EC2F31" w:rsidP="00020D20">
      <w:pPr>
        <w:pStyle w:val="Body-Bullets"/>
        <w:jc w:val="both"/>
      </w:pPr>
      <w:r w:rsidRPr="00EC2F31">
        <w:t xml:space="preserve">provide adequate public notice of public involvement activities and time for public review and comment at key decisions, such as the approval of the RTP and TIP, </w:t>
      </w:r>
      <w:r w:rsidR="00365333" w:rsidRPr="00EC2F31">
        <w:t>conformity</w:t>
      </w:r>
      <w:r w:rsidRPr="00EC2F31">
        <w:t xml:space="preserve"> analysis;</w:t>
      </w:r>
    </w:p>
    <w:p w14:paraId="02810307" w14:textId="30D0F2B2" w:rsidR="00EC2F31" w:rsidRPr="00EC2F31" w:rsidRDefault="00EC2F31" w:rsidP="00020D20">
      <w:pPr>
        <w:pStyle w:val="Body-Bullets"/>
        <w:jc w:val="both"/>
      </w:pPr>
      <w:r w:rsidRPr="00EC2F31">
        <w:t>hold all public meetings at convenient and accessible locations and times;</w:t>
      </w:r>
    </w:p>
    <w:p w14:paraId="2A5DDDEA" w14:textId="3C31426E" w:rsidR="00EC2F31" w:rsidRPr="00EC2F31" w:rsidRDefault="00EC2F31" w:rsidP="00020D20">
      <w:pPr>
        <w:pStyle w:val="Body-Bullets"/>
        <w:jc w:val="both"/>
      </w:pPr>
      <w:r w:rsidRPr="00EC2F31">
        <w:t>employ appropriate visualization techniques to describe the RTP and TIP;</w:t>
      </w:r>
    </w:p>
    <w:p w14:paraId="6E172097" w14:textId="1A9C35AB" w:rsidR="00EC2F31" w:rsidRPr="00EC2F31" w:rsidRDefault="00EC2F31" w:rsidP="00020D20">
      <w:pPr>
        <w:pStyle w:val="Body-Bullets"/>
        <w:jc w:val="both"/>
      </w:pPr>
      <w:r w:rsidRPr="00EC2F31">
        <w:t xml:space="preserve">make public information (technical information and meeting notices) available in electronically accessible formats and means, such as on the internet; </w:t>
      </w:r>
    </w:p>
    <w:p w14:paraId="084A35BF" w14:textId="7120D7AC" w:rsidR="00EC2F31" w:rsidRPr="00EC2F31" w:rsidRDefault="00EC2F31" w:rsidP="00020D20">
      <w:pPr>
        <w:pStyle w:val="Body-Bullets"/>
        <w:jc w:val="both"/>
      </w:pPr>
      <w:r w:rsidRPr="00EC2F31">
        <w:t>demonstrate explicit consideration and response to public input received during plan development processes;</w:t>
      </w:r>
    </w:p>
    <w:p w14:paraId="21FCA1A7" w14:textId="67BA6104" w:rsidR="00EC2F31" w:rsidRPr="00EC2F31" w:rsidRDefault="00EC2F31" w:rsidP="00020D20">
      <w:pPr>
        <w:pStyle w:val="Body-Bullets"/>
        <w:jc w:val="both"/>
      </w:pPr>
      <w:r w:rsidRPr="00EC2F31">
        <w:t>seek out and consider the needs of those traditionally underserved by existing transportation systems, including but not limited to, low-income and minority households, who may face challenges accessing employment and other services;</w:t>
      </w:r>
    </w:p>
    <w:p w14:paraId="73D23F28" w14:textId="77777777" w:rsidR="00EC2F31" w:rsidRPr="00EC2F31" w:rsidRDefault="00EC2F31" w:rsidP="00020D20">
      <w:pPr>
        <w:pStyle w:val="Body-Bullets"/>
        <w:jc w:val="both"/>
      </w:pPr>
      <w:r w:rsidRPr="00EC2F31">
        <w:t>coordinate with the statewide transportation planning public involvement and consultation processes developed by ADOT;</w:t>
      </w:r>
    </w:p>
    <w:p w14:paraId="63CDEA46" w14:textId="77777777" w:rsidR="00EC2F31" w:rsidRPr="00EC2F31" w:rsidRDefault="00EC2F31" w:rsidP="00020D20">
      <w:pPr>
        <w:pStyle w:val="Body-Bullets"/>
        <w:jc w:val="both"/>
      </w:pPr>
      <w:r w:rsidRPr="00EC2F31">
        <w:t>periodically review the effectiveness of the procedures and strategies contained in the participation plan;</w:t>
      </w:r>
    </w:p>
    <w:p w14:paraId="6DA16C4C" w14:textId="02DCA5C0" w:rsidR="00EC2F31" w:rsidRPr="00EC2F31" w:rsidRDefault="00EC2F31" w:rsidP="00020D20">
      <w:pPr>
        <w:pStyle w:val="Body-Bullets"/>
        <w:jc w:val="both"/>
      </w:pPr>
      <w:r w:rsidRPr="00EC2F31">
        <w:t xml:space="preserve">make a summary, analysis, and report on the disposition of comments </w:t>
      </w:r>
      <w:r w:rsidR="00DB0BA3">
        <w:t xml:space="preserve">that are </w:t>
      </w:r>
      <w:r w:rsidRPr="00EC2F31">
        <w:t xml:space="preserve">part of the final RTP and TIP when significant written and oral comments are received on a draft RTP (including the financial plan) </w:t>
      </w:r>
      <w:r w:rsidR="00653C7E" w:rsidRPr="00EC2F31">
        <w:t>because of</w:t>
      </w:r>
      <w:r w:rsidRPr="00EC2F31">
        <w:t xml:space="preserve"> public involvement; </w:t>
      </w:r>
    </w:p>
    <w:p w14:paraId="64C49CE3" w14:textId="77777777" w:rsidR="00EC2F31" w:rsidRPr="00EC2F31" w:rsidRDefault="00EC2F31" w:rsidP="00020D20">
      <w:pPr>
        <w:pStyle w:val="Body-Bullets"/>
        <w:jc w:val="both"/>
      </w:pPr>
      <w:r w:rsidRPr="00EC2F31">
        <w:t>provide an additional opportunity for public comment if the final RTP differs significantly from the one made available previously for public comment or raises new material issues;</w:t>
      </w:r>
    </w:p>
    <w:p w14:paraId="65C3A547" w14:textId="65CF6F3E" w:rsidR="00EC2F31" w:rsidRPr="00EC2F31" w:rsidRDefault="00EC2F31" w:rsidP="00020D20">
      <w:pPr>
        <w:pStyle w:val="Body-Bullets"/>
        <w:jc w:val="both"/>
      </w:pPr>
      <w:r w:rsidRPr="00EC2F31">
        <w:t>publish a proposed program of projects</w:t>
      </w:r>
      <w:r w:rsidR="006240FE">
        <w:t xml:space="preserve"> (POP)</w:t>
      </w:r>
      <w:r w:rsidRPr="00EC2F31">
        <w:t xml:space="preserve"> in a way that affected individuals, private transportation providers, and local elected officials </w:t>
      </w:r>
      <w:r w:rsidR="00653C7E" w:rsidRPr="00EC2F31">
        <w:t>can</w:t>
      </w:r>
      <w:r w:rsidRPr="00EC2F31">
        <w:t xml:space="preserve"> examine the proposed program and submit comments on the proposed program; and</w:t>
      </w:r>
    </w:p>
    <w:p w14:paraId="1DA87574" w14:textId="77777777" w:rsidR="00EC2F31" w:rsidRPr="00EC2F31" w:rsidRDefault="00EC2F31" w:rsidP="00020D20">
      <w:pPr>
        <w:pStyle w:val="Body-Bullets"/>
        <w:jc w:val="both"/>
      </w:pPr>
      <w:r w:rsidRPr="00EC2F31">
        <w:t>provide an opportunity for a public hearing in which to obtain the views of individuals on the proposed program of projects.</w:t>
      </w:r>
    </w:p>
    <w:p w14:paraId="62AEA2C1" w14:textId="77777777" w:rsidR="00EC2F31" w:rsidRPr="00EC2F31" w:rsidRDefault="00EC2F31" w:rsidP="00020D20">
      <w:pPr>
        <w:pStyle w:val="Heading2"/>
      </w:pPr>
      <w:bookmarkStart w:id="478" w:name="_Ref50035319"/>
      <w:r w:rsidRPr="00EC2F31">
        <w:t>13.5 | PUBLIC INVOLVEMENT PROCESS DOCUMENTATION</w:t>
      </w:r>
      <w:bookmarkEnd w:id="478"/>
    </w:p>
    <w:p w14:paraId="60A6A81E" w14:textId="77777777" w:rsidR="00EC2F31" w:rsidRPr="001A2FC9" w:rsidRDefault="00EC2F31" w:rsidP="00020D20">
      <w:pPr>
        <w:jc w:val="both"/>
        <w:rPr>
          <w:rFonts w:cstheme="minorHAnsi"/>
        </w:rPr>
      </w:pPr>
      <w:r w:rsidRPr="00720AE2">
        <w:rPr>
          <w:rFonts w:cstheme="minorHAnsi"/>
        </w:rPr>
        <w:t>Public involvement process records are reviewed as a part of the annual MPO and COG joint certification. Documentation of MPO and COG public involvement processes may include:</w:t>
      </w:r>
    </w:p>
    <w:p w14:paraId="748C7737" w14:textId="77777777" w:rsidR="00EC2F31" w:rsidRPr="00EC2F31" w:rsidRDefault="00EC2F31" w:rsidP="00020D20">
      <w:pPr>
        <w:pStyle w:val="Body-Bullets"/>
        <w:jc w:val="both"/>
      </w:pPr>
      <w:r w:rsidRPr="00EC2F31">
        <w:t>copies of published public notices of meetings designed to receive public input on the draft plan;</w:t>
      </w:r>
    </w:p>
    <w:p w14:paraId="75E245F4" w14:textId="4AC3C8D5" w:rsidR="00EC2F31" w:rsidRPr="00EC2F31" w:rsidRDefault="00EC2F31" w:rsidP="00020D20">
      <w:pPr>
        <w:pStyle w:val="Body-Bullets"/>
        <w:jc w:val="both"/>
      </w:pPr>
      <w:r w:rsidRPr="00EC2F31">
        <w:t>minutes, attendance sheets, comment cards, or other media that document public participation in RTP and TIP development;</w:t>
      </w:r>
    </w:p>
    <w:p w14:paraId="74B4A8EF" w14:textId="61EB9C14" w:rsidR="00EC2F31" w:rsidRPr="00EC2F31" w:rsidRDefault="00EC2F31" w:rsidP="00020D20">
      <w:pPr>
        <w:pStyle w:val="Body-Bullets"/>
        <w:jc w:val="both"/>
      </w:pPr>
      <w:r w:rsidRPr="00EC2F31">
        <w:t xml:space="preserve">documentation (date, time, message) of media used to communicate with the community (e.g., internet resources, local </w:t>
      </w:r>
      <w:r w:rsidR="00653C7E" w:rsidRPr="00EC2F31">
        <w:t>radio,</w:t>
      </w:r>
      <w:r w:rsidRPr="00EC2F31">
        <w:t xml:space="preserve"> and television announcements);</w:t>
      </w:r>
    </w:p>
    <w:p w14:paraId="51C1CC83" w14:textId="77777777" w:rsidR="00EC2F31" w:rsidRPr="00EC2F31" w:rsidRDefault="00EC2F31" w:rsidP="00020D20">
      <w:pPr>
        <w:pStyle w:val="Body-Bullets"/>
        <w:jc w:val="both"/>
      </w:pPr>
      <w:r w:rsidRPr="00EC2F31">
        <w:t>identification of major transportation providers (such as aeronautics, freight, seaports, and transit) who participated in the process;</w:t>
      </w:r>
    </w:p>
    <w:p w14:paraId="12CFA8D1" w14:textId="77777777" w:rsidR="00EC2F31" w:rsidRPr="00EC2F31" w:rsidRDefault="00EC2F31" w:rsidP="00020D20">
      <w:pPr>
        <w:pStyle w:val="Body-Bullets"/>
        <w:jc w:val="both"/>
      </w:pPr>
      <w:r w:rsidRPr="00EC2F31">
        <w:t>outreach efforts to minority, transportation disadvantaged, elderly, and other groups that have been traditionally underserved by the transportation system;</w:t>
      </w:r>
    </w:p>
    <w:p w14:paraId="438C0AA1" w14:textId="77777777" w:rsidR="00EC2F31" w:rsidRPr="00EC2F31" w:rsidRDefault="00EC2F31" w:rsidP="00020D20">
      <w:pPr>
        <w:pStyle w:val="Body-Bullets"/>
        <w:jc w:val="both"/>
      </w:pPr>
      <w:r w:rsidRPr="00EC2F31">
        <w:t>newsletters, mailings, or other methods used for public outreach; and</w:t>
      </w:r>
    </w:p>
    <w:p w14:paraId="6E809EDF" w14:textId="77777777" w:rsidR="00EC2F31" w:rsidRPr="00EC2F31" w:rsidRDefault="00EC2F31" w:rsidP="00020D20">
      <w:pPr>
        <w:pStyle w:val="Body-Bullets"/>
        <w:jc w:val="both"/>
      </w:pPr>
      <w:r w:rsidRPr="00EC2F31">
        <w:t>a summary and an analysis that identifies the significant written and oral comments received on the draft RTP and TIP and how the MPO and COG considered these comments.</w:t>
      </w:r>
    </w:p>
    <w:p w14:paraId="575BCFCA" w14:textId="26CF9418" w:rsidR="00EC2F31" w:rsidRPr="00EC2F31" w:rsidRDefault="00EC2F31" w:rsidP="00020D20">
      <w:pPr>
        <w:pStyle w:val="Heading2"/>
      </w:pPr>
      <w:bookmarkStart w:id="479" w:name="_Ref50035323"/>
      <w:r w:rsidRPr="00EC2F31">
        <w:t xml:space="preserve">13.6 | PUBLIC </w:t>
      </w:r>
      <w:r w:rsidR="00E960F5">
        <w:t>INVOLVEMENT</w:t>
      </w:r>
      <w:r w:rsidR="00E960F5" w:rsidRPr="00EC2F31">
        <w:t xml:space="preserve"> </w:t>
      </w:r>
      <w:r w:rsidRPr="00EC2F31">
        <w:t>PLAN FORMAT &amp; CONTENT</w:t>
      </w:r>
      <w:bookmarkEnd w:id="479"/>
    </w:p>
    <w:p w14:paraId="783F5F1B" w14:textId="0471149F" w:rsidR="00EC2F31" w:rsidRPr="00EC2F31" w:rsidRDefault="00EC2F31" w:rsidP="00020D20">
      <w:pPr>
        <w:jc w:val="both"/>
      </w:pPr>
      <w:r w:rsidRPr="00EC2F31">
        <w:t xml:space="preserve">Although no format for the Public </w:t>
      </w:r>
      <w:r w:rsidR="00E960F5">
        <w:t>Involvement</w:t>
      </w:r>
      <w:r w:rsidR="00E960F5" w:rsidRPr="00EC2F31">
        <w:t xml:space="preserve"> </w:t>
      </w:r>
      <w:r w:rsidRPr="00EC2F31">
        <w:t>Plan is specified in federal or state laws or rules, the following format is recommended by ADOT:</w:t>
      </w:r>
    </w:p>
    <w:p w14:paraId="32309023" w14:textId="0D9FA728" w:rsidR="00EC2F31" w:rsidRPr="001826D5" w:rsidRDefault="00EC2F31" w:rsidP="00020D20">
      <w:pPr>
        <w:pStyle w:val="NumberedList"/>
        <w:numPr>
          <w:ilvl w:val="0"/>
          <w:numId w:val="281"/>
        </w:numPr>
        <w:jc w:val="both"/>
      </w:pPr>
      <w:r w:rsidRPr="001826D5">
        <w:t>Introduction</w:t>
      </w:r>
    </w:p>
    <w:p w14:paraId="0C1655FA" w14:textId="5C234283" w:rsidR="00EC2F31" w:rsidRPr="001826D5" w:rsidRDefault="00EC2F31" w:rsidP="00020D20">
      <w:pPr>
        <w:pStyle w:val="ListParagraph"/>
        <w:numPr>
          <w:ilvl w:val="1"/>
          <w:numId w:val="28"/>
        </w:numPr>
        <w:spacing w:before="60" w:after="0"/>
        <w:jc w:val="both"/>
      </w:pPr>
      <w:r w:rsidRPr="001826D5">
        <w:t>Goals of Public Involvement</w:t>
      </w:r>
    </w:p>
    <w:p w14:paraId="4FED0154" w14:textId="1B502738" w:rsidR="00EC2F31" w:rsidRPr="001826D5" w:rsidRDefault="00EC2F31" w:rsidP="00020D20">
      <w:pPr>
        <w:pStyle w:val="NumberedList"/>
        <w:jc w:val="both"/>
      </w:pPr>
      <w:r w:rsidRPr="001826D5">
        <w:t>Public Involvement Process</w:t>
      </w:r>
    </w:p>
    <w:p w14:paraId="5258E57B" w14:textId="1A70A018" w:rsidR="00EC2F31" w:rsidRPr="001826D5" w:rsidRDefault="00EC2F31" w:rsidP="00020D20">
      <w:pPr>
        <w:pStyle w:val="ListParagraph"/>
        <w:numPr>
          <w:ilvl w:val="0"/>
          <w:numId w:val="315"/>
        </w:numPr>
        <w:spacing w:before="60" w:after="0"/>
        <w:jc w:val="both"/>
      </w:pPr>
      <w:r w:rsidRPr="001826D5">
        <w:t>Underserved</w:t>
      </w:r>
    </w:p>
    <w:p w14:paraId="37688417" w14:textId="2CFE4C8E" w:rsidR="00EC2F31" w:rsidRPr="001826D5" w:rsidRDefault="00EC2F31" w:rsidP="00020D20">
      <w:pPr>
        <w:pStyle w:val="ListParagraph"/>
        <w:numPr>
          <w:ilvl w:val="0"/>
          <w:numId w:val="315"/>
        </w:numPr>
        <w:spacing w:before="60" w:after="0"/>
        <w:jc w:val="both"/>
      </w:pPr>
      <w:r w:rsidRPr="001826D5">
        <w:t>Guidelines</w:t>
      </w:r>
    </w:p>
    <w:p w14:paraId="3FA0291E" w14:textId="03BADB11" w:rsidR="00EC2F31" w:rsidRPr="001826D5" w:rsidRDefault="00EC2F31" w:rsidP="00020D20">
      <w:pPr>
        <w:pStyle w:val="ListParagraph"/>
        <w:numPr>
          <w:ilvl w:val="2"/>
          <w:numId w:val="28"/>
        </w:numPr>
        <w:spacing w:before="60" w:after="0"/>
        <w:ind w:left="2174" w:hanging="187"/>
        <w:jc w:val="both"/>
      </w:pPr>
      <w:r w:rsidRPr="001826D5">
        <w:t>Techniques</w:t>
      </w:r>
    </w:p>
    <w:p w14:paraId="7E5637AA" w14:textId="0130B836" w:rsidR="00EC2F31" w:rsidRPr="001826D5" w:rsidRDefault="00EC2F31" w:rsidP="00020D20">
      <w:pPr>
        <w:pStyle w:val="ListParagraph"/>
        <w:numPr>
          <w:ilvl w:val="2"/>
          <w:numId w:val="28"/>
        </w:numPr>
        <w:spacing w:before="60" w:after="0"/>
        <w:ind w:left="2174" w:hanging="187"/>
        <w:jc w:val="both"/>
      </w:pPr>
      <w:r w:rsidRPr="001826D5">
        <w:t xml:space="preserve">Meeting Schedules </w:t>
      </w:r>
      <w:r w:rsidR="00DB0BA3">
        <w:t>and</w:t>
      </w:r>
      <w:r w:rsidRPr="001826D5">
        <w:t xml:space="preserve"> Locations</w:t>
      </w:r>
    </w:p>
    <w:p w14:paraId="4CA277CF" w14:textId="6D1B24D8" w:rsidR="00EC2F31" w:rsidRPr="001826D5" w:rsidRDefault="00EC2F31" w:rsidP="00020D20">
      <w:pPr>
        <w:pStyle w:val="ListParagraph"/>
        <w:numPr>
          <w:ilvl w:val="2"/>
          <w:numId w:val="28"/>
        </w:numPr>
        <w:spacing w:before="60" w:after="0"/>
        <w:ind w:left="2174" w:hanging="187"/>
        <w:jc w:val="both"/>
      </w:pPr>
      <w:r w:rsidRPr="001826D5">
        <w:t>Notification</w:t>
      </w:r>
    </w:p>
    <w:p w14:paraId="0FDB0E34" w14:textId="2C3E3965" w:rsidR="00EC2F31" w:rsidRPr="001826D5" w:rsidRDefault="00EC2F31" w:rsidP="00020D20">
      <w:pPr>
        <w:pStyle w:val="ListParagraph"/>
        <w:numPr>
          <w:ilvl w:val="2"/>
          <w:numId w:val="28"/>
        </w:numPr>
        <w:spacing w:before="60" w:after="0"/>
        <w:ind w:left="2174" w:hanging="187"/>
        <w:jc w:val="both"/>
      </w:pPr>
      <w:r w:rsidRPr="001826D5">
        <w:t>Presentation of Information</w:t>
      </w:r>
    </w:p>
    <w:p w14:paraId="61BC97BD" w14:textId="451795AE" w:rsidR="00EC2F31" w:rsidRPr="001826D5" w:rsidRDefault="00EC2F31" w:rsidP="00020D20">
      <w:pPr>
        <w:pStyle w:val="ListParagraph"/>
        <w:numPr>
          <w:ilvl w:val="2"/>
          <w:numId w:val="28"/>
        </w:numPr>
        <w:spacing w:before="60" w:after="0"/>
        <w:ind w:left="2174" w:hanging="187"/>
        <w:jc w:val="both"/>
      </w:pPr>
      <w:r w:rsidRPr="001826D5">
        <w:t xml:space="preserve">Written </w:t>
      </w:r>
      <w:r w:rsidR="00DB0BA3">
        <w:t>and</w:t>
      </w:r>
      <w:r w:rsidRPr="001826D5">
        <w:t xml:space="preserve"> Personal Communication</w:t>
      </w:r>
    </w:p>
    <w:p w14:paraId="1B160601" w14:textId="4B147496" w:rsidR="00EC2F31" w:rsidRPr="001826D5" w:rsidRDefault="00EC2F31" w:rsidP="00020D20">
      <w:pPr>
        <w:pStyle w:val="ListParagraph"/>
        <w:numPr>
          <w:ilvl w:val="2"/>
          <w:numId w:val="28"/>
        </w:numPr>
        <w:spacing w:before="60" w:after="0"/>
        <w:ind w:left="2174" w:hanging="187"/>
        <w:jc w:val="both"/>
      </w:pPr>
      <w:r w:rsidRPr="001826D5">
        <w:t>Ongoing Communication</w:t>
      </w:r>
    </w:p>
    <w:p w14:paraId="36F10DC2" w14:textId="19472F94" w:rsidR="00EC2F31" w:rsidRPr="001826D5" w:rsidRDefault="00EC2F31" w:rsidP="00020D20">
      <w:pPr>
        <w:pStyle w:val="ListParagraph"/>
        <w:numPr>
          <w:ilvl w:val="2"/>
          <w:numId w:val="28"/>
        </w:numPr>
        <w:spacing w:before="60" w:after="0"/>
        <w:ind w:left="2174" w:hanging="187"/>
        <w:jc w:val="both"/>
      </w:pPr>
      <w:r w:rsidRPr="001826D5">
        <w:t>Other Entities</w:t>
      </w:r>
    </w:p>
    <w:p w14:paraId="58A9AA8F" w14:textId="33B76BFB" w:rsidR="00EC2F31" w:rsidRPr="001826D5" w:rsidRDefault="00EC2F31" w:rsidP="00020D20">
      <w:pPr>
        <w:pStyle w:val="ListParagraph"/>
        <w:numPr>
          <w:ilvl w:val="2"/>
          <w:numId w:val="28"/>
        </w:numPr>
        <w:spacing w:before="60" w:after="0"/>
        <w:ind w:left="2174" w:hanging="187"/>
        <w:jc w:val="both"/>
      </w:pPr>
      <w:r w:rsidRPr="001826D5">
        <w:t>Transportation Interests</w:t>
      </w:r>
    </w:p>
    <w:p w14:paraId="00011D0D" w14:textId="05EEB35B" w:rsidR="00EC2F31" w:rsidRPr="001826D5" w:rsidRDefault="00EC2F31" w:rsidP="00020D20">
      <w:pPr>
        <w:pStyle w:val="ListParagraph"/>
        <w:numPr>
          <w:ilvl w:val="2"/>
          <w:numId w:val="28"/>
        </w:numPr>
        <w:spacing w:before="60" w:after="0"/>
        <w:ind w:left="2174" w:hanging="187"/>
        <w:jc w:val="both"/>
      </w:pPr>
      <w:r w:rsidRPr="001826D5">
        <w:t>Opportunities for Input</w:t>
      </w:r>
    </w:p>
    <w:p w14:paraId="45C41AD1" w14:textId="4DD4A50C" w:rsidR="00EC2F31" w:rsidRPr="001826D5" w:rsidRDefault="00EC2F31" w:rsidP="00020D20">
      <w:pPr>
        <w:pStyle w:val="ListParagraph"/>
        <w:numPr>
          <w:ilvl w:val="2"/>
          <w:numId w:val="28"/>
        </w:numPr>
        <w:spacing w:before="60" w:after="0"/>
        <w:ind w:left="2174" w:hanging="187"/>
        <w:jc w:val="both"/>
      </w:pPr>
      <w:r w:rsidRPr="001826D5">
        <w:t>Use of Public Comments</w:t>
      </w:r>
    </w:p>
    <w:p w14:paraId="0F45AC61" w14:textId="400F635E" w:rsidR="00EC2F31" w:rsidRPr="001826D5" w:rsidRDefault="00EC2F31" w:rsidP="00020D20">
      <w:pPr>
        <w:pStyle w:val="ListParagraph"/>
        <w:numPr>
          <w:ilvl w:val="2"/>
          <w:numId w:val="28"/>
        </w:numPr>
        <w:spacing w:before="60" w:after="0"/>
        <w:ind w:left="2174" w:hanging="187"/>
        <w:jc w:val="both"/>
      </w:pPr>
      <w:r w:rsidRPr="001826D5">
        <w:t>Decision Making</w:t>
      </w:r>
    </w:p>
    <w:p w14:paraId="74FB7005" w14:textId="02FD10BE" w:rsidR="00EC2F31" w:rsidRPr="001826D5" w:rsidRDefault="00EC2F31" w:rsidP="00020D20">
      <w:pPr>
        <w:pStyle w:val="ListParagraph"/>
        <w:numPr>
          <w:ilvl w:val="0"/>
          <w:numId w:val="315"/>
        </w:numPr>
        <w:spacing w:before="60" w:after="0"/>
        <w:jc w:val="both"/>
      </w:pPr>
      <w:r w:rsidRPr="001826D5">
        <w:t>Evaluating Public Involvement Activities</w:t>
      </w:r>
    </w:p>
    <w:p w14:paraId="7834FBF6" w14:textId="34D6188B" w:rsidR="00EC2F31" w:rsidRPr="001826D5" w:rsidRDefault="00EC2F31" w:rsidP="00020D20">
      <w:pPr>
        <w:pStyle w:val="NumberedList"/>
        <w:jc w:val="both"/>
      </w:pPr>
      <w:r w:rsidRPr="001826D5">
        <w:t xml:space="preserve">Development, Adoption, </w:t>
      </w:r>
      <w:r w:rsidR="00DB0BA3">
        <w:t>and</w:t>
      </w:r>
      <w:r w:rsidR="00DB0BA3" w:rsidRPr="001826D5">
        <w:t xml:space="preserve"> </w:t>
      </w:r>
      <w:r w:rsidRPr="001826D5">
        <w:t>Revision of the Public Participation Plan</w:t>
      </w:r>
    </w:p>
    <w:p w14:paraId="1F7576AC" w14:textId="77777777" w:rsidR="00EC2F31" w:rsidRPr="001826D5" w:rsidRDefault="00EC2F31" w:rsidP="00020D20">
      <w:pPr>
        <w:pStyle w:val="ListParagraph"/>
        <w:numPr>
          <w:ilvl w:val="0"/>
          <w:numId w:val="316"/>
        </w:numPr>
        <w:spacing w:before="60" w:after="0"/>
        <w:jc w:val="both"/>
      </w:pPr>
      <w:r w:rsidRPr="001826D5">
        <w:t>Plan Stages</w:t>
      </w:r>
    </w:p>
    <w:p w14:paraId="3902B9C8" w14:textId="77777777" w:rsidR="00EC2F31" w:rsidRPr="001826D5" w:rsidRDefault="00EC2F31" w:rsidP="00020D20">
      <w:pPr>
        <w:pStyle w:val="ListParagraph"/>
        <w:numPr>
          <w:ilvl w:val="0"/>
          <w:numId w:val="316"/>
        </w:numPr>
        <w:spacing w:before="60" w:after="0"/>
        <w:jc w:val="both"/>
      </w:pPr>
      <w:r w:rsidRPr="001826D5">
        <w:t>Plan Revisions</w:t>
      </w:r>
    </w:p>
    <w:p w14:paraId="2A627773" w14:textId="147853C2" w:rsidR="00EC2F31" w:rsidRPr="001826D5" w:rsidRDefault="00EC2F31" w:rsidP="00020D20">
      <w:pPr>
        <w:pStyle w:val="NumberedList"/>
        <w:jc w:val="both"/>
      </w:pPr>
      <w:r w:rsidRPr="001826D5">
        <w:t xml:space="preserve">MPO </w:t>
      </w:r>
      <w:r w:rsidR="00DB0BA3">
        <w:t>and</w:t>
      </w:r>
      <w:r w:rsidR="00DB0BA3" w:rsidRPr="001826D5">
        <w:t xml:space="preserve"> </w:t>
      </w:r>
      <w:r w:rsidRPr="001826D5">
        <w:t>COG Commitment</w:t>
      </w:r>
    </w:p>
    <w:p w14:paraId="51452BF1" w14:textId="76E16A3E" w:rsidR="00EC2F31" w:rsidRPr="001826D5" w:rsidRDefault="00EC2F31" w:rsidP="00020D20">
      <w:pPr>
        <w:pStyle w:val="NumberedList"/>
        <w:jc w:val="both"/>
      </w:pPr>
      <w:r w:rsidRPr="001826D5">
        <w:t>Contact Information</w:t>
      </w:r>
    </w:p>
    <w:p w14:paraId="5503E63E" w14:textId="165810DA" w:rsidR="00EC2F31" w:rsidRPr="001826D5" w:rsidRDefault="00EC2F31" w:rsidP="00020D20">
      <w:pPr>
        <w:pStyle w:val="NumberedList"/>
        <w:jc w:val="both"/>
      </w:pPr>
      <w:r w:rsidRPr="001826D5">
        <w:t>Statement on Accessing Information in Spanish</w:t>
      </w:r>
    </w:p>
    <w:p w14:paraId="3E636ECA" w14:textId="1E5007A2" w:rsidR="00EC2F31" w:rsidRPr="001826D5" w:rsidRDefault="00EC2F31" w:rsidP="00020D20">
      <w:pPr>
        <w:pStyle w:val="NumberedList"/>
        <w:jc w:val="both"/>
      </w:pPr>
      <w:r w:rsidRPr="001826D5">
        <w:t>Toolkit of Public Involvement Techniques</w:t>
      </w:r>
    </w:p>
    <w:p w14:paraId="03346AAD" w14:textId="2D2BDEF6" w:rsidR="00EC2F31" w:rsidRPr="001826D5" w:rsidRDefault="00EC2F31" w:rsidP="00020D20">
      <w:pPr>
        <w:pStyle w:val="NumberedList"/>
        <w:jc w:val="both"/>
      </w:pPr>
      <w:r w:rsidRPr="001826D5">
        <w:t>Compliance Information</w:t>
      </w:r>
    </w:p>
    <w:p w14:paraId="53FC7F0D" w14:textId="7B6EB8FE" w:rsidR="00EC2F31" w:rsidRDefault="00EC2F31" w:rsidP="00020D20">
      <w:pPr>
        <w:jc w:val="both"/>
        <w:rPr>
          <w:rFonts w:cstheme="minorHAnsi"/>
        </w:rPr>
      </w:pPr>
      <w:r w:rsidRPr="00EC2F31">
        <w:t>Not all Arizona MPOs &amp; COGs list their public participation plans online. Table 13-2 lists the existing MPO and COG public participation plans available online</w:t>
      </w:r>
      <w:r w:rsidR="006F115C">
        <w:rPr>
          <w:b/>
        </w:rPr>
        <w:t>.</w:t>
      </w:r>
    </w:p>
    <w:p w14:paraId="38FE92D4" w14:textId="5EDE9831" w:rsidR="00EC2F31" w:rsidRDefault="00EC2F31" w:rsidP="00020D20">
      <w:pPr>
        <w:pStyle w:val="Heading4"/>
        <w:jc w:val="both"/>
      </w:pPr>
      <w:r w:rsidRPr="00EC2F31">
        <w:t>Table 13-2 | MPO &amp; COG Public Participation Plans</w:t>
      </w:r>
    </w:p>
    <w:tbl>
      <w:tblPr>
        <w:tblW w:w="4505" w:type="dxa"/>
        <w:tblInd w:w="-10" w:type="dxa"/>
        <w:tblLayout w:type="fixed"/>
        <w:tblCellMar>
          <w:left w:w="0" w:type="dxa"/>
          <w:right w:w="0" w:type="dxa"/>
        </w:tblCellMar>
        <w:tblLook w:val="0000" w:firstRow="0" w:lastRow="0" w:firstColumn="0" w:lastColumn="0" w:noHBand="0" w:noVBand="0"/>
      </w:tblPr>
      <w:tblGrid>
        <w:gridCol w:w="1175"/>
        <w:gridCol w:w="3330"/>
      </w:tblGrid>
      <w:tr w:rsidR="0052715B" w:rsidRPr="00531878" w14:paraId="471952DA" w14:textId="77777777" w:rsidTr="00020D20">
        <w:trPr>
          <w:trHeight w:val="432"/>
        </w:trPr>
        <w:tc>
          <w:tcPr>
            <w:tcW w:w="1175" w:type="dxa"/>
            <w:tcBorders>
              <w:top w:val="single" w:sz="4" w:space="0" w:color="auto"/>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7B76E3EE" w14:textId="77777777" w:rsidR="0052715B" w:rsidRPr="000E7AE4" w:rsidRDefault="0052715B" w:rsidP="00020D20">
            <w:pPr>
              <w:spacing w:before="0" w:after="0" w:line="240" w:lineRule="auto"/>
              <w:jc w:val="center"/>
              <w:rPr>
                <w:sz w:val="22"/>
              </w:rPr>
            </w:pPr>
            <w:r w:rsidRPr="000E7AE4">
              <w:rPr>
                <w:sz w:val="22"/>
              </w:rPr>
              <w:t>MPO/COG</w:t>
            </w:r>
          </w:p>
        </w:tc>
        <w:tc>
          <w:tcPr>
            <w:tcW w:w="3330"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1B131BAC" w14:textId="77777777" w:rsidR="0052715B" w:rsidRPr="000E7AE4" w:rsidRDefault="0052715B" w:rsidP="00020D20">
            <w:pPr>
              <w:spacing w:before="0" w:after="0" w:line="240" w:lineRule="auto"/>
              <w:jc w:val="center"/>
              <w:rPr>
                <w:sz w:val="22"/>
              </w:rPr>
            </w:pPr>
            <w:r w:rsidRPr="000E7AE4">
              <w:rPr>
                <w:sz w:val="22"/>
              </w:rPr>
              <w:t>Resource</w:t>
            </w:r>
          </w:p>
        </w:tc>
      </w:tr>
      <w:tr w:rsidR="0052715B" w:rsidRPr="00EC2F31" w14:paraId="58C7332B"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18C45F8" w14:textId="77777777" w:rsidR="0052715B" w:rsidRPr="00EC2F31" w:rsidRDefault="0052715B" w:rsidP="00020D20">
            <w:pPr>
              <w:spacing w:before="0" w:after="0" w:line="240" w:lineRule="auto"/>
              <w:jc w:val="center"/>
            </w:pPr>
            <w:r w:rsidRPr="00EC2F31">
              <w:t>MAG</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D650D96" w14:textId="77777777" w:rsidR="0052715B" w:rsidRPr="006C4FF0" w:rsidRDefault="00202C92" w:rsidP="00020D20">
            <w:pPr>
              <w:pStyle w:val="Title"/>
              <w:rPr>
                <w:sz w:val="16"/>
                <w:szCs w:val="16"/>
              </w:rPr>
            </w:pPr>
            <w:hyperlink r:id="rId836" w:history="1">
              <w:r w:rsidR="0052715B" w:rsidRPr="006C4FF0">
                <w:rPr>
                  <w:rStyle w:val="Hyperlink"/>
                  <w:rFonts w:asciiTheme="minorHAnsi" w:hAnsiTheme="minorHAnsi" w:cstheme="majorBidi"/>
                  <w:i/>
                  <w:iCs w:val="0"/>
                  <w:color w:val="CE5B18"/>
                  <w:u w:val="none"/>
                </w:rPr>
                <w:t>https://www.azmag.gov/Portals/0/MAG-Public-Participation-Plan_English_1.pdf</w:t>
              </w:r>
            </w:hyperlink>
          </w:p>
        </w:tc>
      </w:tr>
      <w:tr w:rsidR="0052715B" w:rsidRPr="00EC2F31" w14:paraId="0F141CCF"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D02E63D" w14:textId="77777777" w:rsidR="0052715B" w:rsidRPr="00EC2F31" w:rsidRDefault="0052715B" w:rsidP="00020D20">
            <w:pPr>
              <w:spacing w:before="0" w:after="0" w:line="240" w:lineRule="auto"/>
              <w:jc w:val="center"/>
            </w:pPr>
            <w:r w:rsidRPr="00EC2F31">
              <w:t>PAG</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347A866" w14:textId="7A6F22D4" w:rsidR="0052715B" w:rsidRPr="00020D20" w:rsidRDefault="00202C92" w:rsidP="00020D20">
            <w:pPr>
              <w:pStyle w:val="Title"/>
            </w:pPr>
            <w:hyperlink r:id="rId837" w:history="1">
              <w:r w:rsidR="00DB0BA3" w:rsidRPr="00020D20">
                <w:rPr>
                  <w:rStyle w:val="Hyperlink"/>
                  <w:rFonts w:ascii="Calibri" w:hAnsi="Calibri" w:cstheme="majorBidi"/>
                  <w:i/>
                  <w:iCs w:val="0"/>
                  <w:color w:val="CE5B18"/>
                  <w:szCs w:val="56"/>
                  <w:u w:val="none"/>
                </w:rPr>
                <w:t>https://mk0pagrtahost21swg12.kinstacdn.com/wp-content/docs/pag/2020/08/PIP2018.pdf</w:t>
              </w:r>
            </w:hyperlink>
          </w:p>
        </w:tc>
      </w:tr>
      <w:tr w:rsidR="0052715B" w:rsidRPr="00FD52EC" w14:paraId="0DC913F5"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1A1FD2E" w14:textId="77777777" w:rsidR="0052715B" w:rsidRPr="00EC2F31" w:rsidRDefault="0052715B" w:rsidP="00020D20">
            <w:pPr>
              <w:spacing w:before="0" w:after="0" w:line="240" w:lineRule="auto"/>
              <w:jc w:val="center"/>
            </w:pPr>
            <w:r>
              <w:t>S</w:t>
            </w:r>
            <w:r w:rsidRPr="00EC2F31">
              <w:t>CMPO</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E7A883C" w14:textId="77777777" w:rsidR="0052715B" w:rsidRPr="006C4FF0" w:rsidRDefault="00202C92" w:rsidP="00020D20">
            <w:pPr>
              <w:pStyle w:val="Title"/>
              <w:rPr>
                <w:sz w:val="16"/>
                <w:szCs w:val="16"/>
              </w:rPr>
            </w:pPr>
            <w:hyperlink r:id="rId838" w:history="1">
              <w:r w:rsidR="0052715B" w:rsidRPr="00495A39">
                <w:rPr>
                  <w:rStyle w:val="Hyperlink"/>
                  <w:rFonts w:asciiTheme="minorHAnsi" w:hAnsiTheme="minorHAnsi" w:cstheme="majorBidi"/>
                  <w:i/>
                  <w:iCs w:val="0"/>
                  <w:color w:val="CE5B18"/>
                  <w:u w:val="none"/>
                </w:rPr>
                <w:t>https://scmpo.org/wp-content/uploads/2018/09/Final-DRAFT-SCMPO-PPP-2019-073118.pdf</w:t>
              </w:r>
            </w:hyperlink>
          </w:p>
        </w:tc>
      </w:tr>
      <w:tr w:rsidR="0052715B" w:rsidRPr="00EC2F31" w14:paraId="69612BB8"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60F4D48" w14:textId="77777777" w:rsidR="0052715B" w:rsidRPr="00EC2F31" w:rsidRDefault="0052715B" w:rsidP="00020D20">
            <w:pPr>
              <w:spacing w:before="0" w:after="0" w:line="240" w:lineRule="auto"/>
              <w:jc w:val="center"/>
            </w:pPr>
            <w:r w:rsidRPr="00EC2F31">
              <w:t>CYMPO</w:t>
            </w:r>
          </w:p>
        </w:tc>
        <w:tc>
          <w:tcPr>
            <w:tcW w:w="33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414B499" w14:textId="77777777" w:rsidR="0052715B" w:rsidRPr="006C4FF0" w:rsidRDefault="00202C92" w:rsidP="00020D20">
            <w:pPr>
              <w:pStyle w:val="Title"/>
              <w:rPr>
                <w:sz w:val="16"/>
                <w:szCs w:val="16"/>
              </w:rPr>
            </w:pPr>
            <w:hyperlink r:id="rId839" w:history="1">
              <w:r w:rsidR="0052715B" w:rsidRPr="006C4FF0">
                <w:rPr>
                  <w:rStyle w:val="Hyperlink"/>
                  <w:rFonts w:asciiTheme="minorHAnsi" w:hAnsiTheme="minorHAnsi" w:cstheme="majorBidi"/>
                  <w:i/>
                  <w:iCs w:val="0"/>
                  <w:color w:val="CE5B18"/>
                  <w:u w:val="none"/>
                </w:rPr>
                <w:t>http://www.cympo.org/pdf/products/Final_PPP_2011.pdf</w:t>
              </w:r>
            </w:hyperlink>
          </w:p>
        </w:tc>
      </w:tr>
      <w:tr w:rsidR="0052715B" w:rsidRPr="00EC2F31" w14:paraId="3634B586"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FD71F63" w14:textId="64C52F78" w:rsidR="0052715B" w:rsidRPr="00EC2F31" w:rsidRDefault="000441B5" w:rsidP="00020D20">
            <w:pPr>
              <w:spacing w:before="0" w:after="0" w:line="240" w:lineRule="auto"/>
              <w:jc w:val="center"/>
            </w:pPr>
            <w:r>
              <w:t>FMPO</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ADC083D" w14:textId="77777777" w:rsidR="0052715B" w:rsidRPr="006C4FF0" w:rsidRDefault="00202C92" w:rsidP="00020D20">
            <w:pPr>
              <w:pStyle w:val="Title"/>
              <w:rPr>
                <w:sz w:val="16"/>
                <w:szCs w:val="16"/>
              </w:rPr>
            </w:pPr>
            <w:hyperlink r:id="rId840" w:history="1">
              <w:r w:rsidR="0052715B" w:rsidRPr="006C4FF0">
                <w:rPr>
                  <w:rStyle w:val="Hyperlink"/>
                  <w:rFonts w:asciiTheme="minorHAnsi" w:hAnsiTheme="minorHAnsi" w:cstheme="majorBidi"/>
                  <w:i/>
                  <w:iCs w:val="0"/>
                  <w:color w:val="CE5B18"/>
                  <w:u w:val="none"/>
                </w:rPr>
                <w:t>https://www.flagstaff.az.gov/DocumentCenter/View/6802/MetroPlan-PPP?bidId=</w:t>
              </w:r>
            </w:hyperlink>
          </w:p>
        </w:tc>
      </w:tr>
      <w:tr w:rsidR="0052715B" w:rsidRPr="00EC2F31" w14:paraId="75070668"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F249359" w14:textId="77777777" w:rsidR="0052715B" w:rsidRPr="00EC2F31" w:rsidRDefault="0052715B" w:rsidP="00020D20">
            <w:pPr>
              <w:spacing w:before="0" w:after="0" w:line="240" w:lineRule="auto"/>
              <w:jc w:val="center"/>
            </w:pPr>
            <w:r w:rsidRPr="00EC2F31">
              <w:t>LHMPO</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935839D" w14:textId="77777777" w:rsidR="0052715B" w:rsidRPr="006C4FF0" w:rsidRDefault="00202C92" w:rsidP="00020D20">
            <w:pPr>
              <w:pStyle w:val="Title"/>
              <w:rPr>
                <w:sz w:val="16"/>
                <w:szCs w:val="16"/>
              </w:rPr>
            </w:pPr>
            <w:hyperlink r:id="rId841" w:history="1">
              <w:r w:rsidR="0052715B" w:rsidRPr="006C4FF0">
                <w:rPr>
                  <w:rStyle w:val="Hyperlink"/>
                  <w:rFonts w:asciiTheme="minorHAnsi" w:hAnsiTheme="minorHAnsi" w:cstheme="majorBidi"/>
                  <w:i/>
                  <w:iCs w:val="0"/>
                  <w:color w:val="CE5B18"/>
                  <w:u w:val="none"/>
                </w:rPr>
                <w:t>http://www.lhmpo.org/docs/default-source/federal-required-documents/lhmpo_pip_final_amended_10302017.pdf?sfvrsn=fadef9f0_6</w:t>
              </w:r>
            </w:hyperlink>
          </w:p>
        </w:tc>
      </w:tr>
      <w:tr w:rsidR="0052715B" w:rsidRPr="00EC2F31" w14:paraId="5E6BDA4F"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98DC4F6" w14:textId="77777777" w:rsidR="0052715B" w:rsidRPr="00EC2F31" w:rsidRDefault="0052715B" w:rsidP="00020D20">
            <w:pPr>
              <w:spacing w:before="0" w:after="0" w:line="240" w:lineRule="auto"/>
              <w:jc w:val="center"/>
            </w:pPr>
            <w:r w:rsidRPr="00EC2F31">
              <w:t>SVMPO</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EC9CA8A" w14:textId="77777777" w:rsidR="0052715B" w:rsidRPr="006C4FF0" w:rsidRDefault="00202C92" w:rsidP="00020D20">
            <w:pPr>
              <w:pStyle w:val="Title"/>
              <w:rPr>
                <w:sz w:val="16"/>
                <w:szCs w:val="16"/>
              </w:rPr>
            </w:pPr>
            <w:hyperlink r:id="rId842" w:history="1">
              <w:r w:rsidR="0052715B" w:rsidRPr="006C4FF0">
                <w:rPr>
                  <w:rStyle w:val="Hyperlink"/>
                  <w:rFonts w:asciiTheme="minorHAnsi" w:hAnsiTheme="minorHAnsi" w:cstheme="majorBidi"/>
                  <w:i/>
                  <w:iCs w:val="0"/>
                  <w:color w:val="CE5B18"/>
                  <w:u w:val="none"/>
                </w:rPr>
                <w:t>https://18b4wg1zsjp31kslx82j41oc-wpengine.netdna-ssl.com/wp-content/uploads/2019/01/2019-Public-Participation-Plan-APPROVED.pdf</w:t>
              </w:r>
            </w:hyperlink>
          </w:p>
        </w:tc>
      </w:tr>
      <w:tr w:rsidR="0052715B" w:rsidRPr="00EC2F31" w14:paraId="5000DB16"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AA30228" w14:textId="77777777" w:rsidR="0052715B" w:rsidRPr="00EC2F31" w:rsidRDefault="0052715B" w:rsidP="00020D20">
            <w:pPr>
              <w:spacing w:before="0" w:after="0" w:line="240" w:lineRule="auto"/>
              <w:jc w:val="center"/>
            </w:pPr>
            <w:r w:rsidRPr="00EC2F31">
              <w:t>YMPO</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A96A33C" w14:textId="77777777" w:rsidR="0052715B" w:rsidRPr="006C4FF0" w:rsidRDefault="00202C92" w:rsidP="00020D20">
            <w:pPr>
              <w:pStyle w:val="Title"/>
              <w:rPr>
                <w:sz w:val="16"/>
                <w:szCs w:val="16"/>
              </w:rPr>
            </w:pPr>
            <w:hyperlink r:id="rId843" w:history="1">
              <w:r w:rsidR="0052715B" w:rsidRPr="006C4FF0">
                <w:rPr>
                  <w:rStyle w:val="Hyperlink"/>
                  <w:rFonts w:asciiTheme="minorHAnsi" w:hAnsiTheme="minorHAnsi" w:cstheme="majorBidi"/>
                  <w:i/>
                  <w:iCs w:val="0"/>
                  <w:color w:val="CE5B18"/>
                  <w:u w:val="none"/>
                </w:rPr>
                <w:t>http://ympo.org/plans/ympo-public-participation-plan/</w:t>
              </w:r>
            </w:hyperlink>
          </w:p>
        </w:tc>
      </w:tr>
      <w:tr w:rsidR="0052715B" w:rsidRPr="00EC2F31" w14:paraId="10E35149"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BE1ADDD" w14:textId="77777777" w:rsidR="0052715B" w:rsidRPr="00EC2F31" w:rsidRDefault="0052715B" w:rsidP="00020D20">
            <w:pPr>
              <w:spacing w:before="0" w:after="0" w:line="240" w:lineRule="auto"/>
              <w:jc w:val="center"/>
            </w:pPr>
            <w:r w:rsidRPr="00EC2F31">
              <w:t>CAG</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BD7CD14" w14:textId="77777777" w:rsidR="0052715B" w:rsidRPr="006C4FF0" w:rsidRDefault="00202C92" w:rsidP="00020D20">
            <w:pPr>
              <w:pStyle w:val="Title"/>
              <w:rPr>
                <w:sz w:val="16"/>
                <w:szCs w:val="16"/>
              </w:rPr>
            </w:pPr>
            <w:hyperlink r:id="rId844" w:history="1">
              <w:r w:rsidR="0052715B" w:rsidRPr="006C4FF0">
                <w:rPr>
                  <w:rStyle w:val="Hyperlink"/>
                  <w:rFonts w:asciiTheme="minorHAnsi" w:hAnsiTheme="minorHAnsi" w:cstheme="majorBidi"/>
                  <w:i/>
                  <w:iCs w:val="0"/>
                  <w:color w:val="CE5B18"/>
                  <w:u w:val="none"/>
                </w:rPr>
                <w:t>http://www.cagaz.org/Departments/tpt/programs/tptprograms.html</w:t>
              </w:r>
            </w:hyperlink>
          </w:p>
        </w:tc>
      </w:tr>
      <w:tr w:rsidR="0052715B" w:rsidRPr="00EC2F31" w14:paraId="0EBC7C0D"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BB208E6" w14:textId="77777777" w:rsidR="0052715B" w:rsidRPr="00EC2F31" w:rsidRDefault="0052715B" w:rsidP="00020D20">
            <w:pPr>
              <w:spacing w:before="0" w:after="0" w:line="240" w:lineRule="auto"/>
              <w:jc w:val="center"/>
            </w:pPr>
            <w:r w:rsidRPr="00EC2F31">
              <w:t>NACOG</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80C6646" w14:textId="107E120D" w:rsidR="0052715B" w:rsidRPr="00020D20" w:rsidRDefault="00202C92" w:rsidP="00020D20">
            <w:pPr>
              <w:pStyle w:val="Title"/>
            </w:pPr>
            <w:hyperlink r:id="rId845" w:history="1">
              <w:r w:rsidR="00164ED7" w:rsidRPr="00020D20">
                <w:rPr>
                  <w:rStyle w:val="Hyperlink"/>
                  <w:rFonts w:ascii="Calibri" w:hAnsi="Calibri" w:cstheme="majorBidi"/>
                  <w:i/>
                  <w:iCs w:val="0"/>
                  <w:color w:val="CE5B18"/>
                  <w:szCs w:val="56"/>
                  <w:u w:val="none"/>
                </w:rPr>
                <w:t>https://nacog.org/fileLibrary/TPAC%20Title%20VI%20Plan.pdfN</w:t>
              </w:r>
            </w:hyperlink>
          </w:p>
        </w:tc>
      </w:tr>
      <w:tr w:rsidR="0052715B" w:rsidRPr="00EC2F31" w14:paraId="5BBDC5A1"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FEFB27F" w14:textId="77777777" w:rsidR="0052715B" w:rsidRPr="00EC2F31" w:rsidRDefault="0052715B" w:rsidP="00020D20">
            <w:pPr>
              <w:spacing w:before="0" w:after="0" w:line="240" w:lineRule="auto"/>
              <w:jc w:val="center"/>
            </w:pPr>
            <w:r w:rsidRPr="00EC2F31">
              <w:t>SEAGO</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99F9FAE" w14:textId="77777777" w:rsidR="0052715B" w:rsidRPr="006C4FF0" w:rsidRDefault="00202C92" w:rsidP="00020D20">
            <w:pPr>
              <w:pStyle w:val="Title"/>
              <w:rPr>
                <w:sz w:val="16"/>
                <w:szCs w:val="16"/>
              </w:rPr>
            </w:pPr>
            <w:hyperlink r:id="rId846" w:history="1">
              <w:r w:rsidR="0052715B" w:rsidRPr="006C4FF0">
                <w:rPr>
                  <w:rStyle w:val="Hyperlink"/>
                  <w:rFonts w:asciiTheme="minorHAnsi" w:hAnsiTheme="minorHAnsi" w:cstheme="majorBidi"/>
                  <w:i/>
                  <w:iCs w:val="0"/>
                  <w:color w:val="CE5B18"/>
                  <w:u w:val="none"/>
                </w:rPr>
                <w:t>https://www.seago.org/?q=title-iv-implementation-and-public-participation-plan-2012-update</w:t>
              </w:r>
            </w:hyperlink>
          </w:p>
        </w:tc>
      </w:tr>
      <w:tr w:rsidR="0052715B" w:rsidRPr="00EC2F31" w14:paraId="3EFD0E40" w14:textId="77777777" w:rsidTr="00020D20">
        <w:trPr>
          <w:trHeight w:val="432"/>
        </w:trPr>
        <w:tc>
          <w:tcPr>
            <w:tcW w:w="117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A538F27" w14:textId="77777777" w:rsidR="0052715B" w:rsidRPr="00EC2F31" w:rsidRDefault="0052715B" w:rsidP="00020D20">
            <w:pPr>
              <w:spacing w:before="0" w:after="0" w:line="240" w:lineRule="auto"/>
              <w:jc w:val="center"/>
            </w:pPr>
            <w:r w:rsidRPr="00EC2F31">
              <w:t>WACOG</w:t>
            </w:r>
          </w:p>
        </w:tc>
        <w:tc>
          <w:tcPr>
            <w:tcW w:w="333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2A78098" w14:textId="77777777" w:rsidR="0052715B" w:rsidRPr="002D6150" w:rsidRDefault="00202C92" w:rsidP="00020D20">
            <w:pPr>
              <w:pStyle w:val="Title"/>
            </w:pPr>
            <w:hyperlink r:id="rId847" w:history="1">
              <w:r w:rsidR="0052715B" w:rsidRPr="000E7AE4">
                <w:rPr>
                  <w:rStyle w:val="Hyperlink"/>
                  <w:rFonts w:ascii="Calibri" w:hAnsi="Calibri" w:cstheme="majorBidi"/>
                  <w:i/>
                  <w:iCs w:val="0"/>
                  <w:color w:val="CE5B18"/>
                  <w:szCs w:val="56"/>
                  <w:u w:val="none"/>
                </w:rPr>
                <w:t xml:space="preserve">https://www.wacog.com/title-vi/ </w:t>
              </w:r>
            </w:hyperlink>
          </w:p>
        </w:tc>
      </w:tr>
    </w:tbl>
    <w:p w14:paraId="0392673E" w14:textId="77777777" w:rsidR="0052715B" w:rsidRPr="005A6734" w:rsidRDefault="0052715B" w:rsidP="00020D20">
      <w:pPr>
        <w:jc w:val="both"/>
      </w:pPr>
    </w:p>
    <w:p w14:paraId="54241B44" w14:textId="77777777" w:rsidR="006C4FF0" w:rsidRPr="00EC2F31" w:rsidRDefault="006C4FF0">
      <w:pPr>
        <w:pStyle w:val="Heading2"/>
      </w:pPr>
      <w:bookmarkStart w:id="480" w:name="_Ref50035327"/>
      <w:r w:rsidRPr="00EC2F31">
        <w:t>13.7 | TOOLKIT FOR PUBLIC INVOLVEMENT</w:t>
      </w:r>
      <w:bookmarkEnd w:id="480"/>
    </w:p>
    <w:p w14:paraId="0836D9D8" w14:textId="1C817987" w:rsidR="006C4FF0" w:rsidRDefault="006C4FF0" w:rsidP="00020D20">
      <w:pPr>
        <w:jc w:val="both"/>
        <w:rPr>
          <w:b/>
        </w:rPr>
      </w:pPr>
      <w:r w:rsidRPr="00EC2F31">
        <w:t xml:space="preserve">Developing an effective public involvement program is a strategic effort that requires assembling a selection of techniques to meet the needs of a given transportation plan, program, or project. </w:t>
      </w:r>
      <w:r w:rsidRPr="00F86C95">
        <w:rPr>
          <w:i/>
        </w:rPr>
        <w:t>“Public Involvement Techniques for Transportation Decision-Making,”</w:t>
      </w:r>
      <w:r w:rsidRPr="00EC2F31">
        <w:t xml:space="preserve"> prepared by the USDOT FHWA/FTA (2005), provides proven guidelines and techniques for public involvement success. The training document lists various techniques that can be </w:t>
      </w:r>
      <w:r w:rsidR="006F0C0A">
        <w:t>used</w:t>
      </w:r>
      <w:r w:rsidRPr="00EC2F31">
        <w:t xml:space="preserve"> to engage the public.</w:t>
      </w:r>
      <w:r>
        <w:t xml:space="preserve"> </w:t>
      </w:r>
    </w:p>
    <w:p w14:paraId="6B73E4C0" w14:textId="77777777" w:rsidR="00653C7E" w:rsidRDefault="00653C7E" w:rsidP="00020D20">
      <w:pPr>
        <w:jc w:val="both"/>
      </w:pPr>
    </w:p>
    <w:p w14:paraId="368F4738" w14:textId="20352844" w:rsidR="006C4FF0" w:rsidRDefault="006C4FF0" w:rsidP="00020D20">
      <w:pPr>
        <w:jc w:val="both"/>
      </w:pPr>
    </w:p>
    <w:p w14:paraId="325678D8" w14:textId="5A682B9D" w:rsidR="006C4FF0" w:rsidRDefault="006C4FF0" w:rsidP="00020D20">
      <w:pPr>
        <w:jc w:val="both"/>
      </w:pPr>
    </w:p>
    <w:p w14:paraId="695E142D" w14:textId="77E8708E" w:rsidR="006C4FF0" w:rsidRDefault="006C4FF0" w:rsidP="00020D20">
      <w:pPr>
        <w:jc w:val="both"/>
      </w:pPr>
    </w:p>
    <w:p w14:paraId="2B32EF79" w14:textId="180BFCB6" w:rsidR="006C4FF0" w:rsidRDefault="006C4FF0" w:rsidP="00020D20">
      <w:pPr>
        <w:jc w:val="both"/>
      </w:pPr>
    </w:p>
    <w:p w14:paraId="1EEA9A6D" w14:textId="1C74460C" w:rsidR="006C4FF0" w:rsidRDefault="006C4FF0" w:rsidP="00020D20">
      <w:pPr>
        <w:jc w:val="both"/>
      </w:pPr>
    </w:p>
    <w:p w14:paraId="33B003F1" w14:textId="142EAD39" w:rsidR="006C4FF0" w:rsidRDefault="006C4FF0" w:rsidP="00020D20">
      <w:pPr>
        <w:jc w:val="both"/>
      </w:pPr>
    </w:p>
    <w:p w14:paraId="5DB82618" w14:textId="167C8A4D" w:rsidR="006C4FF0" w:rsidRDefault="006C4FF0" w:rsidP="00020D20">
      <w:pPr>
        <w:jc w:val="both"/>
      </w:pPr>
    </w:p>
    <w:p w14:paraId="42D25CFA" w14:textId="72C53FE8" w:rsidR="006C4FF0" w:rsidRDefault="006C4FF0" w:rsidP="00020D20">
      <w:pPr>
        <w:jc w:val="both"/>
      </w:pPr>
    </w:p>
    <w:p w14:paraId="14318B3D" w14:textId="3D42AA8D" w:rsidR="006C4FF0" w:rsidRDefault="006C4FF0" w:rsidP="00020D20">
      <w:pPr>
        <w:jc w:val="both"/>
      </w:pPr>
    </w:p>
    <w:p w14:paraId="4195A695" w14:textId="6E98837C" w:rsidR="006C4FF0" w:rsidRDefault="006C4FF0" w:rsidP="00020D20">
      <w:pPr>
        <w:jc w:val="both"/>
      </w:pPr>
    </w:p>
    <w:p w14:paraId="6BF92487" w14:textId="2FB6F4EC" w:rsidR="006C4FF0" w:rsidRDefault="006C4FF0" w:rsidP="00020D20">
      <w:pPr>
        <w:jc w:val="both"/>
      </w:pPr>
    </w:p>
    <w:p w14:paraId="18DEE012" w14:textId="6E263BC3" w:rsidR="006C4FF0" w:rsidRDefault="006C4FF0" w:rsidP="00020D20">
      <w:pPr>
        <w:jc w:val="both"/>
      </w:pPr>
    </w:p>
    <w:p w14:paraId="4BCF91CA" w14:textId="3E9CC4AF" w:rsidR="006C4FF0" w:rsidRDefault="006C4FF0" w:rsidP="00020D20">
      <w:pPr>
        <w:jc w:val="both"/>
      </w:pPr>
    </w:p>
    <w:p w14:paraId="1F323C40" w14:textId="255A4E88" w:rsidR="006C4FF0" w:rsidRDefault="006C4FF0" w:rsidP="00020D20">
      <w:pPr>
        <w:jc w:val="both"/>
      </w:pPr>
    </w:p>
    <w:p w14:paraId="59B67C3C" w14:textId="77777777" w:rsidR="00653C7E" w:rsidRDefault="00653C7E" w:rsidP="00020D20">
      <w:pPr>
        <w:jc w:val="both"/>
      </w:pPr>
    </w:p>
    <w:p w14:paraId="233F2289" w14:textId="3A34196B" w:rsidR="00FF51A4" w:rsidRDefault="00FF51A4" w:rsidP="00020D20">
      <w:pPr>
        <w:jc w:val="both"/>
        <w:sectPr w:rsidR="00FF51A4" w:rsidSect="00020D20">
          <w:type w:val="continuous"/>
          <w:pgSz w:w="12240" w:h="15840"/>
          <w:pgMar w:top="1440" w:right="1440" w:bottom="1440" w:left="1440" w:header="720" w:footer="720" w:gutter="0"/>
          <w:pgNumType w:chapStyle="1"/>
          <w:cols w:num="2" w:space="720"/>
          <w:docGrid w:linePitch="360"/>
        </w:sectPr>
      </w:pPr>
    </w:p>
    <w:p w14:paraId="54E1E7F8" w14:textId="7643D494" w:rsidR="00D95AC8" w:rsidRDefault="00D95AC8" w:rsidP="00020D20">
      <w:pPr>
        <w:jc w:val="both"/>
        <w:sectPr w:rsidR="00D95AC8" w:rsidSect="008E695B">
          <w:type w:val="continuous"/>
          <w:pgSz w:w="12240" w:h="15840"/>
          <w:pgMar w:top="1440" w:right="1440" w:bottom="1440" w:left="1440" w:header="720" w:footer="720" w:gutter="0"/>
          <w:cols w:space="720"/>
          <w:docGrid w:linePitch="360"/>
        </w:sectPr>
      </w:pPr>
    </w:p>
    <w:p w14:paraId="32076EE3" w14:textId="6235D281" w:rsidR="00D45347" w:rsidRDefault="00AA73E0" w:rsidP="00020D20">
      <w:pPr>
        <w:pStyle w:val="BodyTextTitle"/>
        <w:spacing w:before="0" w:after="0" w:line="240" w:lineRule="auto"/>
        <w:jc w:val="both"/>
      </w:pPr>
      <w:r>
        <w:t>14</w:t>
      </w:r>
      <w:r w:rsidR="00D45347">
        <w:t xml:space="preserve"> </w:t>
      </w:r>
      <w:r>
        <w:t xml:space="preserve">| </w:t>
      </w:r>
      <w:r w:rsidR="00D45347">
        <w:t>TRANSIT</w:t>
      </w:r>
    </w:p>
    <w:p w14:paraId="39FE0CF6" w14:textId="60F4FFD5" w:rsidR="00436EC4" w:rsidRPr="00020D20" w:rsidRDefault="00AA73E0" w:rsidP="00020D20">
      <w:pPr>
        <w:pStyle w:val="BodyTextTitle"/>
        <w:spacing w:before="0" w:line="240" w:lineRule="auto"/>
        <w:jc w:val="both"/>
        <w:rPr>
          <w:sz w:val="36"/>
        </w:rPr>
      </w:pPr>
      <w:r w:rsidRPr="00020D20">
        <w:rPr>
          <w:sz w:val="36"/>
        </w:rPr>
        <w:t>TABLE OF CONTENTS</w:t>
      </w:r>
    </w:p>
    <w:p w14:paraId="6277BA61" w14:textId="001F0046" w:rsidR="00436EC4" w:rsidRDefault="0019231C"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_Ref50035747 \h </w:instrText>
      </w:r>
      <w:r w:rsidR="002D38FC">
        <w:instrText xml:space="preserve"> \* MERGEFORMAT </w:instrText>
      </w:r>
      <w:r>
        <w:fldChar w:fldCharType="separate"/>
      </w:r>
      <w:r w:rsidRPr="007149F8">
        <w:t>14.1 | PURPOSE &amp; AUTHORITY</w:t>
      </w:r>
      <w:r>
        <w:fldChar w:fldCharType="end"/>
      </w:r>
    </w:p>
    <w:p w14:paraId="265E6545" w14:textId="405A388C" w:rsidR="0019231C" w:rsidRDefault="0019231C"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_Ref50035752 \h </w:instrText>
      </w:r>
      <w:r w:rsidR="002D38FC">
        <w:instrText xml:space="preserve"> \* MERGEFORMAT </w:instrText>
      </w:r>
      <w:r>
        <w:fldChar w:fldCharType="separate"/>
      </w:r>
      <w:r w:rsidRPr="007149F8">
        <w:t>14.2 | ROLES &amp; RESPONSIBILITIES</w:t>
      </w:r>
      <w:r>
        <w:fldChar w:fldCharType="end"/>
      </w:r>
    </w:p>
    <w:p w14:paraId="65331E6F" w14:textId="603838C3" w:rsidR="00186C4E" w:rsidRDefault="00186C4E"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_Ref50035814 \h </w:instrText>
      </w:r>
      <w:r w:rsidR="002D38FC">
        <w:instrText xml:space="preserve"> \* MERGEFORMAT </w:instrText>
      </w:r>
      <w:r>
        <w:fldChar w:fldCharType="separate"/>
      </w:r>
      <w:r w:rsidRPr="007149F8">
        <w:t>14.2.1 | Federal Transit Administration (FTA)</w:t>
      </w:r>
      <w:r>
        <w:fldChar w:fldCharType="end"/>
      </w:r>
    </w:p>
    <w:p w14:paraId="657ED3BF" w14:textId="67E67A43" w:rsidR="00186C4E" w:rsidRDefault="00186C4E"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rsidR="00326054">
        <w:instrText xml:space="preserve"> REF _Ref50035822 \h </w:instrText>
      </w:r>
      <w:r w:rsidR="002D38FC">
        <w:instrText xml:space="preserve"> \* MERGEFORMAT </w:instrText>
      </w:r>
      <w:r>
        <w:fldChar w:fldCharType="separate"/>
      </w:r>
      <w:r w:rsidR="007149F8" w:rsidRPr="007149F8">
        <w:t>14.2.2 | The Arizona Department of Transportation (ADOT)</w:t>
      </w:r>
      <w:r>
        <w:fldChar w:fldCharType="end"/>
      </w:r>
    </w:p>
    <w:p w14:paraId="6F2F9B60" w14:textId="0FED4BFC" w:rsidR="006F2718" w:rsidRDefault="00186C4E"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_Ref50035798 \h </w:instrText>
      </w:r>
      <w:r w:rsidR="002D38FC">
        <w:instrText xml:space="preserve"> \* MERGEFORMAT </w:instrText>
      </w:r>
      <w:r>
        <w:fldChar w:fldCharType="separate"/>
      </w:r>
      <w:r w:rsidRPr="00A407B0">
        <w:t>14.</w:t>
      </w:r>
      <w:r>
        <w:t>2</w:t>
      </w:r>
      <w:r w:rsidRPr="00A407B0">
        <w:t>.</w:t>
      </w:r>
      <w:r>
        <w:t>3</w:t>
      </w:r>
      <w:r w:rsidRPr="00A407B0">
        <w:t xml:space="preserve"> | </w:t>
      </w:r>
      <w:r>
        <w:t>Metropolitan Planning Agencies (MPO) and Councils of Governments (COG)</w:t>
      </w:r>
      <w:r>
        <w:fldChar w:fldCharType="end"/>
      </w:r>
    </w:p>
    <w:p w14:paraId="139B2F24" w14:textId="1D88CEC0"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_Ref50035875 \h </w:instrText>
      </w:r>
      <w:r w:rsidR="002D38FC">
        <w:instrText xml:space="preserve"> \* MERGEFORMAT </w:instrText>
      </w:r>
      <w:r>
        <w:fldChar w:fldCharType="separate"/>
      </w:r>
      <w:r w:rsidRPr="00A407B0">
        <w:t>1</w:t>
      </w:r>
      <w:r>
        <w:t>4.3</w:t>
      </w:r>
      <w:r w:rsidRPr="00A407B0">
        <w:t xml:space="preserve"> | </w:t>
      </w:r>
      <w:r>
        <w:t xml:space="preserve">STATEWIDE &amp; METROPOLITAN </w:t>
      </w:r>
      <w:r w:rsidRPr="00A407B0">
        <w:t>TRANSIT PLANNING</w:t>
      </w:r>
      <w:r>
        <w:t xml:space="preserve"> REQUIREMENTS</w:t>
      </w:r>
      <w:r>
        <w:fldChar w:fldCharType="end"/>
      </w:r>
    </w:p>
    <w:p w14:paraId="3608C66B" w14:textId="24706B2D"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_Ref50035879 \h </w:instrText>
      </w:r>
      <w:r w:rsidR="002D38FC">
        <w:instrText xml:space="preserve"> \* MERGEFORMAT </w:instrText>
      </w:r>
      <w:r>
        <w:fldChar w:fldCharType="separate"/>
      </w:r>
      <w:r w:rsidRPr="00A407B0">
        <w:t>14.</w:t>
      </w:r>
      <w:r>
        <w:t>3</w:t>
      </w:r>
      <w:r w:rsidRPr="00A407B0">
        <w:t>.1 | ADOT’s Role in Public Transportation Planning</w:t>
      </w:r>
      <w:r>
        <w:fldChar w:fldCharType="end"/>
      </w:r>
    </w:p>
    <w:p w14:paraId="647D39B3" w14:textId="07CC6582" w:rsidR="00AD083D" w:rsidRDefault="00AD083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_Ref50037499 \h </w:instrText>
      </w:r>
      <w:r w:rsidR="002D38FC">
        <w:instrText xml:space="preserve"> \* MERGEFORMAT </w:instrText>
      </w:r>
      <w:r>
        <w:fldChar w:fldCharType="separate"/>
      </w:r>
      <w:r w:rsidRPr="00BE49FB">
        <w:t>LRTP/STIP</w:t>
      </w:r>
      <w:r>
        <w:fldChar w:fldCharType="end"/>
      </w:r>
    </w:p>
    <w:p w14:paraId="51A2978C" w14:textId="475EDCA1" w:rsidR="00AD083D" w:rsidRDefault="00AD083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_Ref50037503 \h </w:instrText>
      </w:r>
      <w:r w:rsidR="002D38FC">
        <w:instrText xml:space="preserve"> \* MERGEFORMAT </w:instrText>
      </w:r>
      <w:r>
        <w:fldChar w:fldCharType="separate"/>
      </w:r>
      <w:r w:rsidRPr="00BE49FB">
        <w:t>Tribal Transit Planning</w:t>
      </w:r>
      <w:r>
        <w:fldChar w:fldCharType="end"/>
      </w:r>
    </w:p>
    <w:p w14:paraId="1270B0A3" w14:textId="1D42F35E"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_Ref50035882 \h </w:instrText>
      </w:r>
      <w:r w:rsidR="002D38FC">
        <w:instrText xml:space="preserve"> \* MERGEFORMAT </w:instrText>
      </w:r>
      <w:r>
        <w:fldChar w:fldCharType="separate"/>
      </w:r>
      <w:r w:rsidRPr="00A407B0">
        <w:t>14.</w:t>
      </w:r>
      <w:r>
        <w:t>3</w:t>
      </w:r>
      <w:r w:rsidRPr="00A407B0">
        <w:t>.</w:t>
      </w:r>
      <w:r>
        <w:t>2</w:t>
      </w:r>
      <w:r w:rsidRPr="00A407B0">
        <w:t xml:space="preserve"> | MPO/COG Role in Public Transportation Planning</w:t>
      </w:r>
      <w:r>
        <w:fldChar w:fldCharType="end"/>
      </w:r>
    </w:p>
    <w:p w14:paraId="65EEF9E1" w14:textId="2C7F1FB0" w:rsidR="00AD083D" w:rsidRDefault="00AD083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_Ref50037663 \h </w:instrText>
      </w:r>
      <w:r w:rsidR="002D38FC">
        <w:instrText xml:space="preserve"> \* MERGEFORMAT </w:instrText>
      </w:r>
      <w:r>
        <w:fldChar w:fldCharType="separate"/>
      </w:r>
      <w:r w:rsidRPr="00745EC9">
        <w:t>Regional Transportation Plan</w:t>
      </w:r>
      <w:r>
        <w:fldChar w:fldCharType="end"/>
      </w:r>
    </w:p>
    <w:p w14:paraId="0DAB1073" w14:textId="23EF61CE" w:rsidR="00AD083D" w:rsidRDefault="00AD083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_Ref50037667 \h </w:instrText>
      </w:r>
      <w:r w:rsidR="002D38FC">
        <w:instrText xml:space="preserve"> \* MERGEFORMAT </w:instrText>
      </w:r>
      <w:r>
        <w:fldChar w:fldCharType="separate"/>
      </w:r>
      <w:r w:rsidRPr="00BE49FB">
        <w:t>Performance Monitoring &amp; Asset Management</w:t>
      </w:r>
      <w:r>
        <w:fldChar w:fldCharType="end"/>
      </w:r>
    </w:p>
    <w:p w14:paraId="74CC90ED" w14:textId="3187DE86" w:rsidR="00AD083D" w:rsidRDefault="00AD083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_Ref50037670 \h </w:instrText>
      </w:r>
      <w:r w:rsidR="002D38FC">
        <w:instrText xml:space="preserve"> \* MERGEFORMAT </w:instrText>
      </w:r>
      <w:r>
        <w:fldChar w:fldCharType="separate"/>
      </w:r>
      <w:r w:rsidRPr="00745EC9">
        <w:t>Transportation Improvement Program</w:t>
      </w:r>
      <w:r>
        <w:fldChar w:fldCharType="end"/>
      </w:r>
    </w:p>
    <w:p w14:paraId="4815DAFC" w14:textId="4470877B" w:rsidR="00AD083D" w:rsidRDefault="00AD083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_Ref50037673 \h </w:instrText>
      </w:r>
      <w:r w:rsidR="002D38FC">
        <w:instrText xml:space="preserve"> \* MERGEFORMAT </w:instrText>
      </w:r>
      <w:r>
        <w:fldChar w:fldCharType="separate"/>
      </w:r>
      <w:r w:rsidRPr="00745EC9">
        <w:t>Planning Work Program</w:t>
      </w:r>
      <w:r>
        <w:fldChar w:fldCharType="end"/>
      </w:r>
    </w:p>
    <w:p w14:paraId="30AA116E" w14:textId="2C0A5A7E"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_Ref50035885 \h </w:instrText>
      </w:r>
      <w:r w:rsidR="002D38FC">
        <w:instrText xml:space="preserve"> \* MERGEFORMAT </w:instrText>
      </w:r>
      <w:r>
        <w:fldChar w:fldCharType="separate"/>
      </w:r>
      <w:r w:rsidRPr="00A407B0">
        <w:t>14.</w:t>
      </w:r>
      <w:r>
        <w:t>3</w:t>
      </w:r>
      <w:r w:rsidRPr="00A407B0">
        <w:t>.</w:t>
      </w:r>
      <w:r>
        <w:t>3</w:t>
      </w:r>
      <w:r w:rsidRPr="00A407B0">
        <w:t xml:space="preserve"> | ADOT Planning and Support to Subrecipients</w:t>
      </w:r>
      <w:r>
        <w:fldChar w:fldCharType="end"/>
      </w:r>
    </w:p>
    <w:p w14:paraId="5B71855C" w14:textId="243E6154"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_Ref50035890 \h </w:instrText>
      </w:r>
      <w:r w:rsidR="002D38FC">
        <w:instrText xml:space="preserve"> \* MERGEFORMAT </w:instrText>
      </w:r>
      <w:r>
        <w:fldChar w:fldCharType="separate"/>
      </w:r>
      <w:r w:rsidRPr="00A407B0">
        <w:t xml:space="preserve">14.4 | TRANSIT </w:t>
      </w:r>
      <w:r>
        <w:t>FUNDING</w:t>
      </w:r>
      <w:r>
        <w:fldChar w:fldCharType="end"/>
      </w:r>
    </w:p>
    <w:p w14:paraId="0F2071A7" w14:textId="082886EC"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_Ref50035898 \h </w:instrText>
      </w:r>
      <w:r w:rsidR="002D38FC">
        <w:instrText xml:space="preserve"> \* MERGEFORMAT </w:instrText>
      </w:r>
      <w:r>
        <w:fldChar w:fldCharType="separate"/>
      </w:r>
      <w:r w:rsidRPr="00A407B0">
        <w:t>14.</w:t>
      </w:r>
      <w:r>
        <w:t>4.1</w:t>
      </w:r>
      <w:r w:rsidRPr="00A407B0">
        <w:t xml:space="preserve"> | </w:t>
      </w:r>
      <w:r>
        <w:t>Transit Planning Funding</w:t>
      </w:r>
      <w:r>
        <w:fldChar w:fldCharType="end"/>
      </w:r>
    </w:p>
    <w:p w14:paraId="65D06B83" w14:textId="15CCB014" w:rsidR="000C2200" w:rsidRDefault="008C547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_Ref50039214 \h </w:instrText>
      </w:r>
      <w:r w:rsidR="002D38FC">
        <w:instrText xml:space="preserve"> \* MERGEFORMAT </w:instrText>
      </w:r>
      <w:r>
        <w:fldChar w:fldCharType="separate"/>
      </w:r>
      <w:r w:rsidRPr="00BE49FB">
        <w:t>Section 5303:</w:t>
      </w:r>
      <w:r w:rsidRPr="00A407B0">
        <w:t xml:space="preserve"> </w:t>
      </w:r>
      <w:r w:rsidRPr="00EE3154">
        <w:t>Metropolitan Transportation Planning</w:t>
      </w:r>
      <w:r>
        <w:fldChar w:fldCharType="end"/>
      </w:r>
    </w:p>
    <w:p w14:paraId="3A083B2D" w14:textId="688BA669" w:rsidR="000C2200" w:rsidRDefault="008C5470"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_Ref50039218 \h </w:instrText>
      </w:r>
      <w:r w:rsidR="002D38FC">
        <w:instrText xml:space="preserve"> \* MERGEFORMAT </w:instrText>
      </w:r>
      <w:r>
        <w:fldChar w:fldCharType="separate"/>
      </w:r>
      <w:r w:rsidRPr="00BE49FB">
        <w:t>Section 5304:</w:t>
      </w:r>
      <w:r w:rsidRPr="006A01A4">
        <w:rPr>
          <w:color w:val="538135" w:themeColor="accent6" w:themeShade="BF"/>
        </w:rPr>
        <w:t xml:space="preserve"> </w:t>
      </w:r>
      <w:r w:rsidRPr="006A01A4">
        <w:t>Statewide &amp; Nonmetropolitan Transportation Planning</w:t>
      </w:r>
      <w:r>
        <w:fldChar w:fldCharType="end"/>
      </w:r>
    </w:p>
    <w:p w14:paraId="49B4F784" w14:textId="507BFE5C"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_Ref50035901 \h </w:instrText>
      </w:r>
      <w:r w:rsidR="002D38FC">
        <w:instrText xml:space="preserve"> \* MERGEFORMAT </w:instrText>
      </w:r>
      <w:r>
        <w:fldChar w:fldCharType="separate"/>
      </w:r>
      <w:r w:rsidRPr="00A407B0">
        <w:t>14.</w:t>
      </w:r>
      <w:r>
        <w:t>4</w:t>
      </w:r>
      <w:r w:rsidRPr="00A407B0">
        <w:t>.</w:t>
      </w:r>
      <w:r>
        <w:t>2</w:t>
      </w:r>
      <w:r w:rsidRPr="00A407B0">
        <w:t xml:space="preserve"> | Transportation Providers</w:t>
      </w:r>
      <w:r>
        <w:fldChar w:fldCharType="end"/>
      </w:r>
    </w:p>
    <w:p w14:paraId="1B083FB6" w14:textId="3FD9DEB2" w:rsidR="005149A6" w:rsidRDefault="005149A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_Ref50035904 \h </w:instrText>
      </w:r>
      <w:r w:rsidR="002D38FC">
        <w:instrText xml:space="preserve"> \* MERGEFORMAT </w:instrText>
      </w:r>
      <w:r>
        <w:fldChar w:fldCharType="separate"/>
      </w:r>
      <w:r w:rsidRPr="0065255C">
        <w:t>14.</w:t>
      </w:r>
      <w:r>
        <w:t>4</w:t>
      </w:r>
      <w:r w:rsidRPr="0065255C">
        <w:t>.</w:t>
      </w:r>
      <w:r>
        <w:t>3</w:t>
      </w:r>
      <w:r w:rsidRPr="0065255C">
        <w:t xml:space="preserve"> | Federal</w:t>
      </w:r>
      <w:r>
        <w:t xml:space="preserve"> Transit</w:t>
      </w:r>
      <w:r w:rsidRPr="0065255C">
        <w:t xml:space="preserve"> Funding Programs</w:t>
      </w:r>
      <w:r>
        <w:t xml:space="preserve"> Administered by ADOT</w:t>
      </w:r>
      <w:r>
        <w:fldChar w:fldCharType="end"/>
      </w:r>
    </w:p>
    <w:p w14:paraId="150D5B0E" w14:textId="24413340" w:rsidR="006F2718" w:rsidRDefault="006F2718"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_Ref50035916 \h </w:instrText>
      </w:r>
      <w:r w:rsidR="002D38FC">
        <w:instrText xml:space="preserve"> \* MERGEFORMAT </w:instrText>
      </w:r>
      <w:r>
        <w:fldChar w:fldCharType="separate"/>
      </w:r>
      <w:r w:rsidRPr="0065255C">
        <w:t>14.</w:t>
      </w:r>
      <w:r>
        <w:t>5</w:t>
      </w:r>
      <w:r w:rsidRPr="0065255C">
        <w:t xml:space="preserve"> | MOBILITY MANAGEMENT PROGRAM</w:t>
      </w:r>
      <w:r>
        <w:fldChar w:fldCharType="end"/>
      </w:r>
    </w:p>
    <w:p w14:paraId="0356E208" w14:textId="7457D6E5" w:rsidR="006F2718" w:rsidRDefault="006F271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_Ref50035920 \h </w:instrText>
      </w:r>
      <w:r w:rsidR="002D38FC">
        <w:instrText xml:space="preserve"> \* MERGEFORMAT </w:instrText>
      </w:r>
      <w:r>
        <w:fldChar w:fldCharType="separate"/>
      </w:r>
      <w:r w:rsidRPr="0065255C">
        <w:t>14.</w:t>
      </w:r>
      <w:r>
        <w:t>5</w:t>
      </w:r>
      <w:r w:rsidRPr="0065255C">
        <w:t>.1 | Regional Coordination Plan</w:t>
      </w:r>
      <w:r>
        <w:fldChar w:fldCharType="end"/>
      </w:r>
    </w:p>
    <w:p w14:paraId="751C310A" w14:textId="68DBF551" w:rsidR="006F2718" w:rsidRDefault="006F2718"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_Ref50035923 \h </w:instrText>
      </w:r>
      <w:r w:rsidR="002D38FC">
        <w:instrText xml:space="preserve"> \* MERGEFORMAT </w:instrText>
      </w:r>
      <w:r>
        <w:fldChar w:fldCharType="separate"/>
      </w:r>
      <w:r w:rsidRPr="00A407B0">
        <w:t>14.</w:t>
      </w:r>
      <w:r>
        <w:t>5</w:t>
      </w:r>
      <w:r w:rsidRPr="00A407B0">
        <w:t xml:space="preserve">.2 | </w:t>
      </w:r>
      <w:r>
        <w:t>Tribal Coordination</w:t>
      </w:r>
      <w:r>
        <w:fldChar w:fldCharType="end"/>
      </w:r>
    </w:p>
    <w:p w14:paraId="783F5DE0" w14:textId="595F1471" w:rsidR="006F2718" w:rsidRDefault="006F2718"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_Ref50035930 \h </w:instrText>
      </w:r>
      <w:r w:rsidR="002D38FC">
        <w:instrText xml:space="preserve"> \* MERGEFORMAT </w:instrText>
      </w:r>
      <w:r>
        <w:fldChar w:fldCharType="separate"/>
      </w:r>
      <w:r w:rsidRPr="0065255C">
        <w:t>14.</w:t>
      </w:r>
      <w:r>
        <w:t>6</w:t>
      </w:r>
      <w:r w:rsidRPr="0065255C">
        <w:t xml:space="preserve"> | </w:t>
      </w:r>
      <w:r>
        <w:t>GRANT MANAGEMENT AND GRANTEE RESPONSIBILITIES</w:t>
      </w:r>
      <w:r>
        <w:fldChar w:fldCharType="end"/>
      </w:r>
    </w:p>
    <w:p w14:paraId="5FD8B659" w14:textId="2FA02219" w:rsidR="004A7A71" w:rsidRDefault="002B5D1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_Ref50039387 \h </w:instrText>
      </w:r>
      <w:r w:rsidR="002D38FC">
        <w:instrText xml:space="preserve"> \* MERGEFORMAT </w:instrText>
      </w:r>
      <w:r>
        <w:fldChar w:fldCharType="separate"/>
      </w:r>
      <w:r w:rsidRPr="00A407B0">
        <w:t>14.</w:t>
      </w:r>
      <w:r>
        <w:t>6.1</w:t>
      </w:r>
      <w:r w:rsidRPr="00A407B0">
        <w:t xml:space="preserve"> | </w:t>
      </w:r>
      <w:r>
        <w:t xml:space="preserve">ADOT’s </w:t>
      </w:r>
      <w:r w:rsidRPr="00745EC9">
        <w:t xml:space="preserve">Grant Application &amp; </w:t>
      </w:r>
      <w:r>
        <w:t>Management Responsibilities</w:t>
      </w:r>
      <w:r>
        <w:fldChar w:fldCharType="end"/>
      </w:r>
    </w:p>
    <w:p w14:paraId="3978321F" w14:textId="2D48D3E7"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_Ref50039391 \h </w:instrText>
      </w:r>
      <w:r w:rsidR="002D38FC">
        <w:instrText xml:space="preserve"> \* MERGEFORMAT </w:instrText>
      </w:r>
      <w:r>
        <w:fldChar w:fldCharType="separate"/>
      </w:r>
      <w:r w:rsidRPr="00A407B0">
        <w:t>14.</w:t>
      </w:r>
      <w:r>
        <w:t>6</w:t>
      </w:r>
      <w:r w:rsidRPr="00A407B0">
        <w:t>.</w:t>
      </w:r>
      <w:r>
        <w:t>2</w:t>
      </w:r>
      <w:r w:rsidRPr="00A407B0">
        <w:t xml:space="preserve"> | MPO/COG Role in </w:t>
      </w:r>
      <w:r>
        <w:t>the Grant Process</w:t>
      </w:r>
      <w:r>
        <w:fldChar w:fldCharType="end"/>
      </w:r>
    </w:p>
    <w:p w14:paraId="1A50CCCA" w14:textId="5DF60EF2"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_Ref50039395 \h </w:instrText>
      </w:r>
      <w:r w:rsidR="002D38FC">
        <w:instrText xml:space="preserve"> \* MERGEFORMAT </w:instrText>
      </w:r>
      <w:r>
        <w:fldChar w:fldCharType="separate"/>
      </w:r>
      <w:r>
        <w:t>14.6</w:t>
      </w:r>
      <w:r w:rsidRPr="0065255C">
        <w:t>.3 | Grantee Requirements</w:t>
      </w:r>
      <w:r>
        <w:fldChar w:fldCharType="end"/>
      </w:r>
    </w:p>
    <w:p w14:paraId="3AE69487" w14:textId="43A84570"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_Ref50039398 \h </w:instrText>
      </w:r>
      <w:r w:rsidR="002D38FC">
        <w:instrText xml:space="preserve"> \* MERGEFORMAT </w:instrText>
      </w:r>
      <w:r>
        <w:fldChar w:fldCharType="separate"/>
      </w:r>
      <w:r w:rsidRPr="0065255C">
        <w:t>14.</w:t>
      </w:r>
      <w:r>
        <w:t>6.4</w:t>
      </w:r>
      <w:r w:rsidRPr="0065255C">
        <w:t xml:space="preserve"> | Site Visits &amp; Compliance Reviews</w:t>
      </w:r>
      <w:r>
        <w:fldChar w:fldCharType="end"/>
      </w:r>
    </w:p>
    <w:p w14:paraId="309BA5C7" w14:textId="297CA644"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_Ref50039401 \h </w:instrText>
      </w:r>
      <w:r w:rsidR="002D38FC">
        <w:instrText xml:space="preserve"> \* MERGEFORMAT </w:instrText>
      </w:r>
      <w:r>
        <w:fldChar w:fldCharType="separate"/>
      </w:r>
      <w:r w:rsidRPr="0065255C">
        <w:t>14.</w:t>
      </w:r>
      <w:r>
        <w:t>6.5</w:t>
      </w:r>
      <w:r w:rsidRPr="0065255C">
        <w:t xml:space="preserve"> | Grantee</w:t>
      </w:r>
      <w:r>
        <w:t xml:space="preserve"> Guidance Documents and Agreements</w:t>
      </w:r>
      <w:r>
        <w:fldChar w:fldCharType="end"/>
      </w:r>
    </w:p>
    <w:p w14:paraId="0423822B" w14:textId="2E034A9B"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_Ref50039407 \h </w:instrText>
      </w:r>
      <w:r w:rsidR="002D38FC">
        <w:instrText xml:space="preserve"> \* MERGEFORMAT </w:instrText>
      </w:r>
      <w:r>
        <w:fldChar w:fldCharType="separate"/>
      </w:r>
      <w:r w:rsidRPr="002B6A0A">
        <w:t>Master Agreement</w:t>
      </w:r>
      <w:r>
        <w:fldChar w:fldCharType="end"/>
      </w:r>
    </w:p>
    <w:p w14:paraId="24E43B8A" w14:textId="4F51F639"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_Ref50039410 \h </w:instrText>
      </w:r>
      <w:r w:rsidR="002D38FC">
        <w:instrText xml:space="preserve"> \* MERGEFORMAT </w:instrText>
      </w:r>
      <w:r>
        <w:fldChar w:fldCharType="separate"/>
      </w:r>
      <w:r w:rsidRPr="002B6A0A">
        <w:t>Grant Agreement</w:t>
      </w:r>
      <w:r>
        <w:fldChar w:fldCharType="end"/>
      </w:r>
    </w:p>
    <w:p w14:paraId="20385B08" w14:textId="165FC15A"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_Ref50039413 \h </w:instrText>
      </w:r>
      <w:r w:rsidR="002D38FC">
        <w:instrText xml:space="preserve"> \* MERGEFORMAT </w:instrText>
      </w:r>
      <w:r>
        <w:fldChar w:fldCharType="separate"/>
      </w:r>
      <w:r w:rsidRPr="002B6A0A">
        <w:t>Certifications &amp; Assurances</w:t>
      </w:r>
      <w:r>
        <w:fldChar w:fldCharType="end"/>
      </w:r>
    </w:p>
    <w:p w14:paraId="4809C8C1" w14:textId="72894899" w:rsidR="002B5D11" w:rsidRDefault="002B5D1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_Ref50039417 \h </w:instrText>
      </w:r>
      <w:r w:rsidR="002D38FC">
        <w:instrText xml:space="preserve"> \* MERGEFORMAT </w:instrText>
      </w:r>
      <w:r>
        <w:fldChar w:fldCharType="separate"/>
      </w:r>
      <w:r w:rsidRPr="002B6A0A">
        <w:t xml:space="preserve">Guidance Circulars </w:t>
      </w:r>
      <w:r>
        <w:t>and Other Services</w:t>
      </w:r>
      <w:r>
        <w:fldChar w:fldCharType="end"/>
      </w:r>
    </w:p>
    <w:p w14:paraId="5D6C5774" w14:textId="77777777" w:rsidR="00492D0B" w:rsidRDefault="00436EC4"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492D0B" w:rsidSect="006F18AB">
          <w:footerReference w:type="default" r:id="rId848"/>
          <w:pgSz w:w="12240" w:h="15840"/>
          <w:pgMar w:top="1440" w:right="1440" w:bottom="1440" w:left="1440" w:header="720" w:footer="720" w:gutter="0"/>
          <w:pgNumType w:start="1" w:chapStyle="1"/>
          <w:cols w:space="720"/>
          <w:docGrid w:linePitch="360"/>
        </w:sectPr>
      </w:pPr>
      <w:r>
        <w:br w:type="page"/>
      </w:r>
    </w:p>
    <w:p w14:paraId="2DD986C6" w14:textId="0B164A06" w:rsidR="007149F8" w:rsidRDefault="007149F8" w:rsidP="00020D20">
      <w:pPr>
        <w:pStyle w:val="Heading1"/>
        <w:tabs>
          <w:tab w:val="left" w:pos="360"/>
        </w:tabs>
        <w:jc w:val="both"/>
      </w:pPr>
      <w:bookmarkStart w:id="481" w:name="_|_Transit"/>
      <w:bookmarkStart w:id="482" w:name="_Toc49862241"/>
      <w:bookmarkStart w:id="483" w:name="_Toc49870635"/>
      <w:bookmarkStart w:id="484" w:name="_Toc50540241"/>
      <w:bookmarkEnd w:id="481"/>
      <w:r w:rsidRPr="007149F8">
        <w:t>|</w:t>
      </w:r>
      <w:r w:rsidR="000E518A">
        <w:t xml:space="preserve"> </w:t>
      </w:r>
      <w:r w:rsidRPr="007149F8">
        <w:t>Transit</w:t>
      </w:r>
      <w:bookmarkEnd w:id="482"/>
      <w:bookmarkEnd w:id="483"/>
      <w:bookmarkEnd w:id="484"/>
    </w:p>
    <w:p w14:paraId="66C8F6E4" w14:textId="77777777" w:rsidR="00FF51A4" w:rsidRDefault="00FF51A4" w:rsidP="00020D20">
      <w:pPr>
        <w:pStyle w:val="SectionHeadersADOTText"/>
        <w:jc w:val="both"/>
        <w:sectPr w:rsidR="00FF51A4" w:rsidSect="00020D20">
          <w:footerReference w:type="default" r:id="rId849"/>
          <w:type w:val="continuous"/>
          <w:pgSz w:w="12240" w:h="15840"/>
          <w:pgMar w:top="1440" w:right="1440" w:bottom="1440" w:left="1440" w:header="720" w:footer="720" w:gutter="0"/>
          <w:pgNumType w:start="1" w:chapStyle="1"/>
          <w:cols w:space="720"/>
          <w:docGrid w:linePitch="360"/>
        </w:sectPr>
      </w:pPr>
    </w:p>
    <w:p w14:paraId="2BCABC4A" w14:textId="314AB24B" w:rsidR="007149F8" w:rsidRPr="007149F8" w:rsidRDefault="007149F8" w:rsidP="00020D20">
      <w:pPr>
        <w:pStyle w:val="Heading2"/>
      </w:pPr>
      <w:bookmarkStart w:id="485" w:name="_Ref50035747"/>
      <w:r w:rsidRPr="007149F8">
        <w:t>14.1 | PURPOSE &amp; AUTHORITY</w:t>
      </w:r>
      <w:bookmarkEnd w:id="485"/>
    </w:p>
    <w:p w14:paraId="1BA630A9" w14:textId="6487E56F" w:rsidR="007149F8" w:rsidRPr="007149F8" w:rsidRDefault="007149F8" w:rsidP="00020D20">
      <w:pPr>
        <w:jc w:val="both"/>
        <w:rPr>
          <w:b/>
          <w:bCs/>
        </w:rPr>
      </w:pPr>
      <w:r w:rsidRPr="007149F8">
        <w:t xml:space="preserve">This chapter contains guidance to assist Arizona COGs and MPOs in their mission to fulfill their respective public transportation planning and grant-making responsibilities </w:t>
      </w:r>
      <w:r w:rsidR="00DD38F0">
        <w:t xml:space="preserve">in </w:t>
      </w:r>
      <w:r w:rsidR="00DD38F0" w:rsidRPr="00485605">
        <w:rPr>
          <w:rStyle w:val="Heading5Char"/>
        </w:rPr>
        <w:t>Title 49 U.S.C. Chapter 53</w:t>
      </w:r>
      <w:r w:rsidR="00DD38F0">
        <w:rPr>
          <w:rStyle w:val="Heading5Char"/>
        </w:rPr>
        <w:t xml:space="preserve"> </w:t>
      </w:r>
      <w:r w:rsidRPr="007149F8">
        <w:t xml:space="preserve">under </w:t>
      </w:r>
      <w:r w:rsidR="00DD38F0">
        <w:t>the FAST Act</w:t>
      </w:r>
      <w:r w:rsidRPr="007149F8">
        <w:t xml:space="preserve">. </w:t>
      </w:r>
    </w:p>
    <w:p w14:paraId="78ACC5DD" w14:textId="0AF7EAD8" w:rsidR="0074531B" w:rsidRDefault="007149F8" w:rsidP="00020D20">
      <w:pPr>
        <w:pStyle w:val="Heading2"/>
      </w:pPr>
      <w:bookmarkStart w:id="486" w:name="_Ref50035752"/>
      <w:r w:rsidRPr="007149F8">
        <w:t>14.2 | ROLES &amp; RESPONSIBILITIES</w:t>
      </w:r>
      <w:bookmarkEnd w:id="486"/>
    </w:p>
    <w:p w14:paraId="56ED36BB" w14:textId="1DF4E66B" w:rsidR="007149F8" w:rsidRPr="007149F8" w:rsidRDefault="007149F8" w:rsidP="00020D20">
      <w:pPr>
        <w:jc w:val="both"/>
        <w:rPr>
          <w:b/>
          <w:bCs/>
        </w:rPr>
      </w:pPr>
      <w:r w:rsidRPr="007149F8">
        <w:t>This section discusses the roles and responsibilities of ADOT and other agencies in providing administration and technical assistance for transit programs throughout Arizona.</w:t>
      </w:r>
    </w:p>
    <w:p w14:paraId="65598291" w14:textId="3487CE58" w:rsidR="007149F8" w:rsidRPr="007149F8" w:rsidRDefault="007149F8" w:rsidP="00020D20">
      <w:pPr>
        <w:pStyle w:val="Heading3"/>
        <w:jc w:val="both"/>
        <w:rPr>
          <w:bCs/>
        </w:rPr>
      </w:pPr>
      <w:bookmarkStart w:id="487" w:name="_Ref50035814"/>
      <w:r w:rsidRPr="007149F8">
        <w:t>14.2.1 | Federal Transit Administration (FTA)</w:t>
      </w:r>
      <w:bookmarkEnd w:id="487"/>
      <w:r w:rsidR="00D7201F" w:rsidRPr="00D7201F">
        <w:rPr>
          <w:rFonts w:cstheme="minorHAnsi"/>
          <w:noProof/>
          <w:szCs w:val="20"/>
        </w:rPr>
        <w:t xml:space="preserve"> </w:t>
      </w:r>
    </w:p>
    <w:p w14:paraId="387D2F98" w14:textId="4C326125" w:rsidR="00EC4800" w:rsidRPr="007F5C6C" w:rsidRDefault="00116F47" w:rsidP="00020D20">
      <w:pPr>
        <w:jc w:val="both"/>
        <w:rPr>
          <w:b/>
          <w:bCs/>
        </w:rPr>
      </w:pPr>
      <w:r>
        <w:rPr>
          <w:rFonts w:cstheme="minorHAnsi"/>
          <w:noProof/>
        </w:rPr>
        <mc:AlternateContent>
          <mc:Choice Requires="wps">
            <w:drawing>
              <wp:anchor distT="0" distB="0" distL="114300" distR="114300" simplePos="0" relativeHeight="251618358" behindDoc="1" locked="0" layoutInCell="1" allowOverlap="1" wp14:anchorId="61A324DC" wp14:editId="05711F2E">
                <wp:simplePos x="0" y="0"/>
                <wp:positionH relativeFrom="column">
                  <wp:posOffset>-38100</wp:posOffset>
                </wp:positionH>
                <wp:positionV relativeFrom="paragraph">
                  <wp:posOffset>920750</wp:posOffset>
                </wp:positionV>
                <wp:extent cx="1341755" cy="1966595"/>
                <wp:effectExtent l="76200" t="95250" r="67945" b="90805"/>
                <wp:wrapTight wrapText="bothSides">
                  <wp:wrapPolygon edited="0">
                    <wp:start x="-1227" y="-1077"/>
                    <wp:lineTo x="-1227" y="22412"/>
                    <wp:lineTo x="22387" y="22412"/>
                    <wp:lineTo x="22387" y="-1077"/>
                    <wp:lineTo x="-1227" y="-1077"/>
                  </wp:wrapPolygon>
                </wp:wrapTight>
                <wp:docPr id="816286092" name="Text Box 816286092"/>
                <wp:cNvGraphicFramePr/>
                <a:graphic xmlns:a="http://schemas.openxmlformats.org/drawingml/2006/main">
                  <a:graphicData uri="http://schemas.microsoft.com/office/word/2010/wordprocessingShape">
                    <wps:wsp>
                      <wps:cNvSpPr txBox="1"/>
                      <wps:spPr>
                        <a:xfrm>
                          <a:off x="0" y="0"/>
                          <a:ext cx="1341755" cy="196659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DA54646" w14:textId="77777777" w:rsidR="00C6444C" w:rsidRDefault="00C6444C" w:rsidP="00020D20">
                            <w:pPr>
                              <w:jc w:val="center"/>
                            </w:pPr>
                            <w:r>
                              <w:rPr>
                                <w:noProof/>
                              </w:rPr>
                              <w:drawing>
                                <wp:inline distT="0" distB="0" distL="0" distR="0" wp14:anchorId="22C4D982" wp14:editId="0663A860">
                                  <wp:extent cx="457200" cy="457200"/>
                                  <wp:effectExtent l="0" t="0" r="0" b="0"/>
                                  <wp:docPr id="816286085" name="Picture 81628608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298BDDD" w14:textId="0714F5F2" w:rsidR="00C6444C" w:rsidRPr="00020D20" w:rsidRDefault="00C6444C" w:rsidP="00020D20">
                            <w:pPr>
                              <w:pStyle w:val="Calloutboxes"/>
                            </w:pPr>
                            <w:r w:rsidRPr="00394A74">
                              <w:t xml:space="preserve">Availability of grants occurs when FTA issues a Notice of Funding Availability (NOFA) in the Federal Register. Applications </w:t>
                            </w:r>
                            <w:r w:rsidRPr="005A6734">
                              <w:t xml:space="preserve">are </w:t>
                            </w:r>
                            <w:r w:rsidRPr="00977A9B">
                              <w:t xml:space="preserve">typically </w:t>
                            </w:r>
                            <w:r w:rsidRPr="00FE3DA2">
                              <w:t>submitted via Grants.gov.</w:t>
                            </w:r>
                            <w:r w:rsidRPr="000F230E">
                              <w:t xml:space="preserve"> F</w:t>
                            </w:r>
                            <w:r w:rsidRPr="006110AD">
                              <w:t>or further information</w:t>
                            </w:r>
                            <w:r w:rsidRPr="00F65787">
                              <w:t xml:space="preserve"> </w:t>
                            </w:r>
                            <w:r w:rsidRPr="00957CC4">
                              <w:t>see:</w:t>
                            </w:r>
                          </w:p>
                          <w:p w14:paraId="1F91925E" w14:textId="7E92434F" w:rsidR="00C6444C" w:rsidRPr="003625E6" w:rsidRDefault="00202C92">
                            <w:pPr>
                              <w:pStyle w:val="Title"/>
                            </w:pPr>
                            <w:hyperlink r:id="rId850" w:history="1">
                              <w:r w:rsidR="00C6444C" w:rsidRPr="00020D20">
                                <w:rPr>
                                  <w:rStyle w:val="Hyperlink"/>
                                  <w:rFonts w:asciiTheme="minorHAnsi" w:hAnsiTheme="minorHAnsi" w:cstheme="majorBidi"/>
                                  <w:i/>
                                  <w:color w:val="CE5B18"/>
                                  <w:u w:val="none"/>
                                </w:rPr>
                                <w:t>https://www.grants.gov/web/grants/home.html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A324DC" id="Text Box 816286092" o:spid="_x0000_s1215" type="#_x0000_t202" style="position:absolute;left:0;text-align:left;margin-left:-3pt;margin-top:72.5pt;width:105.65pt;height:154.85pt;z-index:-251698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" fillcolor="#f7f7f7" stroked="f" strokeweight=".5pt">
                <v:shadow on="t" type="perspective" color="black" opacity="26214f" offset="0,0" matrix="66847f,,,66847f"/>
                <v:textbox>
                  <w:txbxContent>
                    <w:p w14:paraId="4DA54646" w14:textId="77777777" w:rsidR="00C6444C" w:rsidRDefault="00C6444C" w:rsidP="00020D20">
                      <w:pPr>
                        <w:jc w:val="center"/>
                      </w:pPr>
                      <w:r>
                        <w:rPr>
                          <w:noProof/>
                        </w:rPr>
                        <w:drawing>
                          <wp:inline distT="0" distB="0" distL="0" distR="0" wp14:anchorId="22C4D982" wp14:editId="0663A860">
                            <wp:extent cx="457200" cy="457200"/>
                            <wp:effectExtent l="0" t="0" r="0" b="0"/>
                            <wp:docPr id="816286085" name="Picture 81628608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298BDDD" w14:textId="0714F5F2" w:rsidR="00C6444C" w:rsidRPr="00020D20" w:rsidRDefault="00C6444C" w:rsidP="00020D20">
                      <w:pPr>
                        <w:pStyle w:val="Calloutboxes"/>
                      </w:pPr>
                      <w:r w:rsidRPr="00394A74">
                        <w:t xml:space="preserve">Availability of grants occurs when FTA issues a Notice of Funding Availability (NOFA) in the Federal Register. Applications </w:t>
                      </w:r>
                      <w:r w:rsidRPr="005A6734">
                        <w:t xml:space="preserve">are </w:t>
                      </w:r>
                      <w:r w:rsidRPr="00977A9B">
                        <w:t xml:space="preserve">typically </w:t>
                      </w:r>
                      <w:r w:rsidRPr="00FE3DA2">
                        <w:t>submitted via Grants.gov.</w:t>
                      </w:r>
                      <w:r w:rsidRPr="000F230E">
                        <w:t xml:space="preserve"> F</w:t>
                      </w:r>
                      <w:r w:rsidRPr="006110AD">
                        <w:t>or further information</w:t>
                      </w:r>
                      <w:r w:rsidRPr="00F65787">
                        <w:t xml:space="preserve"> </w:t>
                      </w:r>
                      <w:r w:rsidRPr="00957CC4">
                        <w:t>see:</w:t>
                      </w:r>
                    </w:p>
                    <w:p w14:paraId="1F91925E" w14:textId="7E92434F" w:rsidR="00C6444C" w:rsidRPr="003625E6" w:rsidRDefault="00C6444C">
                      <w:pPr>
                        <w:pStyle w:val="Title"/>
                      </w:pPr>
                      <w:hyperlink r:id="rId851" w:history="1">
                        <w:r w:rsidRPr="00020D20">
                          <w:rPr>
                            <w:rStyle w:val="Hyperlink"/>
                            <w:rFonts w:asciiTheme="minorHAnsi" w:hAnsiTheme="minorHAnsi" w:cstheme="majorBidi"/>
                            <w:i/>
                            <w:color w:val="CE5B18"/>
                            <w:u w:val="none"/>
                          </w:rPr>
                          <w:t>https://www.grants.gov/web/grants/home.html</w:t>
                        </w:r>
                      </w:hyperlink>
                    </w:p>
                  </w:txbxContent>
                </v:textbox>
                <w10:wrap type="tight"/>
              </v:shape>
            </w:pict>
          </mc:Fallback>
        </mc:AlternateContent>
      </w:r>
      <w:r>
        <w:rPr>
          <w:rFonts w:cstheme="minorHAnsi"/>
          <w:noProof/>
        </w:rPr>
        <mc:AlternateContent>
          <mc:Choice Requires="wps">
            <w:drawing>
              <wp:anchor distT="0" distB="0" distL="114300" distR="114300" simplePos="0" relativeHeight="251618347" behindDoc="1" locked="0" layoutInCell="1" allowOverlap="1" wp14:anchorId="3C183A07" wp14:editId="5FC5E78C">
                <wp:simplePos x="0" y="0"/>
                <wp:positionH relativeFrom="column">
                  <wp:posOffset>-37465</wp:posOffset>
                </wp:positionH>
                <wp:positionV relativeFrom="paragraph">
                  <wp:posOffset>3037205</wp:posOffset>
                </wp:positionV>
                <wp:extent cx="1341755" cy="1717040"/>
                <wp:effectExtent l="76200" t="95250" r="67945" b="92710"/>
                <wp:wrapTight wrapText="bothSides">
                  <wp:wrapPolygon edited="0">
                    <wp:start x="-1227" y="-1198"/>
                    <wp:lineTo x="-1227" y="22527"/>
                    <wp:lineTo x="22387" y="22527"/>
                    <wp:lineTo x="22387" y="-1198"/>
                    <wp:lineTo x="-1227" y="-1198"/>
                  </wp:wrapPolygon>
                </wp:wrapTight>
                <wp:docPr id="816286049" name="Text Box 816286049"/>
                <wp:cNvGraphicFramePr/>
                <a:graphic xmlns:a="http://schemas.openxmlformats.org/drawingml/2006/main">
                  <a:graphicData uri="http://schemas.microsoft.com/office/word/2010/wordprocessingShape">
                    <wps:wsp>
                      <wps:cNvSpPr txBox="1"/>
                      <wps:spPr>
                        <a:xfrm>
                          <a:off x="0" y="0"/>
                          <a:ext cx="1341755" cy="17170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C50C2A0" w14:textId="77777777" w:rsidR="00C6444C" w:rsidRDefault="00C6444C" w:rsidP="00020D20">
                            <w:pPr>
                              <w:jc w:val="center"/>
                            </w:pPr>
                            <w:r>
                              <w:rPr>
                                <w:noProof/>
                              </w:rPr>
                              <w:drawing>
                                <wp:inline distT="0" distB="0" distL="0" distR="0" wp14:anchorId="2C343644" wp14:editId="6A12A937">
                                  <wp:extent cx="457200" cy="457200"/>
                                  <wp:effectExtent l="0" t="0" r="0" b="0"/>
                                  <wp:docPr id="816286091" name="Picture 81628609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7B732FB" w14:textId="09CE1E78" w:rsidR="00C6444C" w:rsidRPr="00977A9B" w:rsidRDefault="00C6444C" w:rsidP="00020D20">
                            <w:pPr>
                              <w:pStyle w:val="Calloutboxes"/>
                            </w:pPr>
                            <w:r w:rsidRPr="00394A74">
                              <w:t>FTA will issue new and revised guidance to grant recipients</w:t>
                            </w:r>
                            <w:r w:rsidRPr="00954116">
                              <w:t>. Updated February 27, 2020</w:t>
                            </w:r>
                            <w:r w:rsidRPr="005A6734">
                              <w:t>:</w:t>
                            </w:r>
                          </w:p>
                          <w:p w14:paraId="7023EF13" w14:textId="4A85F5A4" w:rsidR="00C6444C" w:rsidRPr="00350014" w:rsidRDefault="00202C92">
                            <w:pPr>
                              <w:pStyle w:val="Title"/>
                            </w:pPr>
                            <w:hyperlink r:id="rId852" w:history="1">
                              <w:r w:rsidR="00C6444C" w:rsidRPr="00020D20">
                                <w:rPr>
                                  <w:rStyle w:val="Hyperlink"/>
                                  <w:rFonts w:asciiTheme="minorHAnsi" w:hAnsiTheme="minorHAnsi" w:cstheme="majorBidi"/>
                                  <w:i/>
                                  <w:color w:val="CE5B18"/>
                                  <w:u w:val="none"/>
                                </w:rPr>
                                <w:t>https://www.transit.dot.gov/regulations-and-guidance/fta-circulars/full-funding-grant-agreements-guidance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183A07" id="Text Box 816286049" o:spid="_x0000_s1216" type="#_x0000_t202" style="position:absolute;left:0;text-align:left;margin-left:-2.95pt;margin-top:239.15pt;width:105.65pt;height:135.2pt;z-index:-251698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" fillcolor="#f7f7f7" stroked="f" strokeweight=".5pt">
                <v:shadow on="t" type="perspective" color="black" opacity="26214f" offset="0,0" matrix="66847f,,,66847f"/>
                <v:textbox>
                  <w:txbxContent>
                    <w:p w14:paraId="5C50C2A0" w14:textId="77777777" w:rsidR="00C6444C" w:rsidRDefault="00C6444C" w:rsidP="00020D20">
                      <w:pPr>
                        <w:jc w:val="center"/>
                      </w:pPr>
                      <w:r>
                        <w:rPr>
                          <w:noProof/>
                        </w:rPr>
                        <w:drawing>
                          <wp:inline distT="0" distB="0" distL="0" distR="0" wp14:anchorId="2C343644" wp14:editId="6A12A937">
                            <wp:extent cx="457200" cy="457200"/>
                            <wp:effectExtent l="0" t="0" r="0" b="0"/>
                            <wp:docPr id="816286091" name="Picture 81628609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7B732FB" w14:textId="09CE1E78" w:rsidR="00C6444C" w:rsidRPr="00977A9B" w:rsidRDefault="00C6444C" w:rsidP="00020D20">
                      <w:pPr>
                        <w:pStyle w:val="Calloutboxes"/>
                      </w:pPr>
                      <w:r w:rsidRPr="00394A74">
                        <w:t>FTA will issue new and revised guidance to grant recipients</w:t>
                      </w:r>
                      <w:r w:rsidRPr="00954116">
                        <w:t>. Updated February 27, 2020</w:t>
                      </w:r>
                      <w:r w:rsidRPr="005A6734">
                        <w:t>:</w:t>
                      </w:r>
                    </w:p>
                    <w:p w14:paraId="7023EF13" w14:textId="4A85F5A4" w:rsidR="00C6444C" w:rsidRPr="00350014" w:rsidRDefault="00C6444C">
                      <w:pPr>
                        <w:pStyle w:val="Title"/>
                      </w:pPr>
                      <w:hyperlink r:id="rId853" w:history="1">
                        <w:r w:rsidRPr="00020D20">
                          <w:rPr>
                            <w:rStyle w:val="Hyperlink"/>
                            <w:rFonts w:asciiTheme="minorHAnsi" w:hAnsiTheme="minorHAnsi" w:cstheme="majorBidi"/>
                            <w:i/>
                            <w:color w:val="CE5B18"/>
                            <w:u w:val="none"/>
                          </w:rPr>
                          <w:t>https://www.transit.dot.gov/regulations-and-guidance/fta-circulars/full-funding-grant-agreements-guidance</w:t>
                        </w:r>
                      </w:hyperlink>
                    </w:p>
                  </w:txbxContent>
                </v:textbox>
                <w10:wrap type="tight"/>
              </v:shape>
            </w:pict>
          </mc:Fallback>
        </mc:AlternateContent>
      </w:r>
      <w:r w:rsidR="007149F8" w:rsidRPr="007149F8">
        <w:t>The FTA provides overall policy and program guidance. The FTA is responsible for apportioning funds annually to the State; developing and implementing financial management procedures; initiating and managing program support activities; and conducting national program review and evaluation. The FTA regional offices have day</w:t>
      </w:r>
      <w:r>
        <w:t>-to-da</w:t>
      </w:r>
      <w:r w:rsidR="00891CEC">
        <w:t xml:space="preserve">y </w:t>
      </w:r>
      <w:r w:rsidR="007149F8" w:rsidRPr="007149F8">
        <w:t>responsibility for interface with state transit program managers.</w:t>
      </w:r>
      <w:r w:rsidR="00EC4800">
        <w:t xml:space="preserve"> </w:t>
      </w:r>
    </w:p>
    <w:p w14:paraId="4147F456" w14:textId="565ADFC4" w:rsidR="007149F8" w:rsidRPr="007149F8" w:rsidRDefault="007149F8" w:rsidP="00020D20">
      <w:pPr>
        <w:pStyle w:val="Heading3"/>
        <w:jc w:val="both"/>
        <w:rPr>
          <w:bCs/>
        </w:rPr>
      </w:pPr>
      <w:bookmarkStart w:id="488" w:name="_Ref50035822"/>
      <w:r w:rsidRPr="007149F8">
        <w:t>14.2.2 | The Arizona Department of Transportation (ADOT)</w:t>
      </w:r>
      <w:bookmarkEnd w:id="488"/>
    </w:p>
    <w:p w14:paraId="6B6D67D1" w14:textId="0A86D9A9" w:rsidR="003707B0" w:rsidRDefault="007149F8" w:rsidP="00020D20">
      <w:pPr>
        <w:jc w:val="both"/>
      </w:pPr>
      <w:r w:rsidRPr="007149F8">
        <w:t xml:space="preserve"> </w:t>
      </w:r>
      <w:r w:rsidR="003707B0">
        <w:t>A</w:t>
      </w:r>
      <w:r w:rsidR="00A407B0" w:rsidRPr="00A407B0">
        <w:t xml:space="preserve">DOT is the State agency designated by the Governor to administer FTA’s grant programs. </w:t>
      </w:r>
      <w:r w:rsidR="003707B0">
        <w:t xml:space="preserve">The Transit Group of ADOT MPD administers and provides oversight for these FTA programs. </w:t>
      </w:r>
      <w:r w:rsidR="00A407B0" w:rsidRPr="00A407B0">
        <w:t>ADOT receives formula funding allocations annually, a portion of which is used to administer the programs.</w:t>
      </w:r>
      <w:r w:rsidR="003707B0">
        <w:t xml:space="preserve"> </w:t>
      </w:r>
      <w:r w:rsidR="003707B0" w:rsidRPr="007149F8">
        <w:t>MPD provides information, oversight, and technical assistance to Arizona communities, transportation planning agencies, transit agencies, and intercity carriers</w:t>
      </w:r>
      <w:r w:rsidR="003707B0">
        <w:t>.</w:t>
      </w:r>
    </w:p>
    <w:p w14:paraId="5F349EB5" w14:textId="77777777" w:rsidR="003707B0" w:rsidRDefault="003707B0" w:rsidP="00020D20">
      <w:pPr>
        <w:jc w:val="both"/>
      </w:pPr>
      <w:r w:rsidRPr="00A407B0">
        <w:t xml:space="preserve">As the direct recipient of FTA funds for statewide and regional planning activities, ADOT is responsible for coordinating transit planning activities around the state and certifying to the federal government that all legal and regulatory requirements are met. </w:t>
      </w:r>
    </w:p>
    <w:p w14:paraId="00B9613F" w14:textId="2131209C" w:rsidR="003707B0" w:rsidRPr="00A407B0" w:rsidRDefault="00891CEC" w:rsidP="00020D20">
      <w:pPr>
        <w:jc w:val="both"/>
        <w:rPr>
          <w:b/>
          <w:bCs/>
        </w:rPr>
      </w:pPr>
      <w:r>
        <w:rPr>
          <w:rFonts w:cstheme="minorHAnsi"/>
          <w:noProof/>
        </w:rPr>
        <mc:AlternateContent>
          <mc:Choice Requires="wps">
            <w:drawing>
              <wp:anchor distT="0" distB="0" distL="114300" distR="114300" simplePos="0" relativeHeight="251618360" behindDoc="1" locked="0" layoutInCell="1" allowOverlap="1" wp14:anchorId="0C3C7B02" wp14:editId="27325586">
                <wp:simplePos x="0" y="0"/>
                <wp:positionH relativeFrom="column">
                  <wp:posOffset>1610995</wp:posOffset>
                </wp:positionH>
                <wp:positionV relativeFrom="paragraph">
                  <wp:posOffset>610870</wp:posOffset>
                </wp:positionV>
                <wp:extent cx="1140460" cy="1257300"/>
                <wp:effectExtent l="76200" t="76200" r="78740" b="76200"/>
                <wp:wrapTight wrapText="bothSides">
                  <wp:wrapPolygon edited="0">
                    <wp:start x="-1082" y="-1309"/>
                    <wp:lineTo x="-1443" y="-982"/>
                    <wp:lineTo x="-1443" y="21273"/>
                    <wp:lineTo x="-1082" y="22582"/>
                    <wp:lineTo x="22731" y="22582"/>
                    <wp:lineTo x="22731" y="4255"/>
                    <wp:lineTo x="22370" y="-655"/>
                    <wp:lineTo x="22370" y="-1309"/>
                    <wp:lineTo x="-1082" y="-1309"/>
                  </wp:wrapPolygon>
                </wp:wrapTight>
                <wp:docPr id="816286128" name="Text Box 816286128"/>
                <wp:cNvGraphicFramePr/>
                <a:graphic xmlns:a="http://schemas.openxmlformats.org/drawingml/2006/main">
                  <a:graphicData uri="http://schemas.microsoft.com/office/word/2010/wordprocessingShape">
                    <wps:wsp>
                      <wps:cNvSpPr txBox="1"/>
                      <wps:spPr>
                        <a:xfrm>
                          <a:off x="0" y="0"/>
                          <a:ext cx="1140460" cy="1257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15D35A2" w14:textId="77777777" w:rsidR="00C6444C" w:rsidRDefault="00C6444C" w:rsidP="00020D20">
                            <w:pPr>
                              <w:jc w:val="center"/>
                            </w:pPr>
                            <w:r>
                              <w:rPr>
                                <w:noProof/>
                              </w:rPr>
                              <w:drawing>
                                <wp:inline distT="0" distB="0" distL="0" distR="0" wp14:anchorId="38813F39" wp14:editId="663CD140">
                                  <wp:extent cx="457200" cy="457200"/>
                                  <wp:effectExtent l="0" t="0" r="0" b="0"/>
                                  <wp:docPr id="816286102" name="Picture 81628610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DAA5B2" w14:textId="25519E52" w:rsidR="00C6444C" w:rsidRPr="005D6AC9" w:rsidRDefault="00C6444C" w:rsidP="00020D20">
                            <w:pPr>
                              <w:pStyle w:val="Calloutboxes"/>
                            </w:pPr>
                            <w:r w:rsidRPr="00394A74">
                              <w:t>Chapter 1 provides a ma</w:t>
                            </w:r>
                            <w:r w:rsidRPr="00954116">
                              <w:t xml:space="preserve">p referencing the </w:t>
                            </w:r>
                            <w:r w:rsidRPr="005A6734">
                              <w:t>locations of MPOs and COGs in Arizona.</w:t>
                            </w:r>
                            <w:hyperlink r:id="rId854" w:history="1"/>
                            <w:hyperlink r:id="rId855" w:history="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3C7B02" id="Text Box 816286128" o:spid="_x0000_s1217" type="#_x0000_t202" style="position:absolute;left:0;text-align:left;margin-left:126.85pt;margin-top:48.1pt;width:89.8pt;height:99pt;z-index:-251698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" fillcolor="#f7f7f7" stroked="f" strokeweight=".5pt">
                <v:shadow on="t" type="perspective" color="black" opacity="26214f" offset="0,0" matrix="66847f,,,66847f"/>
                <v:textbox>
                  <w:txbxContent>
                    <w:p w14:paraId="415D35A2" w14:textId="77777777" w:rsidR="00C6444C" w:rsidRDefault="00C6444C" w:rsidP="00020D20">
                      <w:pPr>
                        <w:jc w:val="center"/>
                      </w:pPr>
                      <w:r>
                        <w:rPr>
                          <w:noProof/>
                        </w:rPr>
                        <w:drawing>
                          <wp:inline distT="0" distB="0" distL="0" distR="0" wp14:anchorId="38813F39" wp14:editId="663CD140">
                            <wp:extent cx="457200" cy="457200"/>
                            <wp:effectExtent l="0" t="0" r="0" b="0"/>
                            <wp:docPr id="816286102" name="Picture 81628610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DAA5B2" w14:textId="25519E52" w:rsidR="00C6444C" w:rsidRPr="005D6AC9" w:rsidRDefault="00C6444C" w:rsidP="00020D20">
                      <w:pPr>
                        <w:pStyle w:val="Calloutboxes"/>
                      </w:pPr>
                      <w:r w:rsidRPr="00394A74">
                        <w:t>Chapter 1 provides a ma</w:t>
                      </w:r>
                      <w:r w:rsidRPr="00954116">
                        <w:t xml:space="preserve">p referencing the </w:t>
                      </w:r>
                      <w:r w:rsidRPr="005A6734">
                        <w:t>locations of MPOs and COGs in Arizona.</w:t>
                      </w:r>
                      <w:hyperlink r:id="rId856" w:history="1"/>
                      <w:hyperlink r:id="rId857" w:history="1"/>
                    </w:p>
                  </w:txbxContent>
                </v:textbox>
                <w10:wrap type="tight"/>
              </v:shape>
            </w:pict>
          </mc:Fallback>
        </mc:AlternateContent>
      </w:r>
      <w:r w:rsidR="003707B0" w:rsidRPr="00A407B0">
        <w:t>MPD staff coordinates closely with other ADOT divisions to oversee and provide the financial, managerial, and civil rights compliance oversight that FTA requires. Key staff functions include administering FTA grants, providing technical assistance and expertise to COGs, MPOs, local transit agencies, and decision makers</w:t>
      </w:r>
      <w:r w:rsidR="003707B0">
        <w:t>.</w:t>
      </w:r>
    </w:p>
    <w:bookmarkStart w:id="489" w:name="_Ref50035798"/>
    <w:p w14:paraId="00EEC4C2" w14:textId="74BCC454" w:rsidR="003707B0" w:rsidRPr="00A407B0" w:rsidRDefault="00A56CEA" w:rsidP="00020D20">
      <w:pPr>
        <w:pStyle w:val="Heading3"/>
        <w:jc w:val="both"/>
        <w:rPr>
          <w:bCs/>
        </w:rPr>
      </w:pPr>
      <w:r>
        <w:rPr>
          <w:rFonts w:cstheme="minorHAnsi"/>
          <w:noProof/>
        </w:rPr>
        <mc:AlternateContent>
          <mc:Choice Requires="wps">
            <w:drawing>
              <wp:anchor distT="0" distB="0" distL="114300" distR="114300" simplePos="0" relativeHeight="251618348" behindDoc="1" locked="0" layoutInCell="1" allowOverlap="1" wp14:anchorId="3AA49CB5" wp14:editId="5107B4FE">
                <wp:simplePos x="0" y="0"/>
                <wp:positionH relativeFrom="column">
                  <wp:posOffset>-1714500</wp:posOffset>
                </wp:positionH>
                <wp:positionV relativeFrom="paragraph">
                  <wp:posOffset>1353820</wp:posOffset>
                </wp:positionV>
                <wp:extent cx="1456055" cy="1716405"/>
                <wp:effectExtent l="76200" t="95250" r="67945" b="93345"/>
                <wp:wrapTight wrapText="bothSides">
                  <wp:wrapPolygon edited="0">
                    <wp:start x="-1130" y="-1240"/>
                    <wp:lineTo x="-1130" y="22567"/>
                    <wp:lineTo x="22325" y="22567"/>
                    <wp:lineTo x="22325" y="-1240"/>
                    <wp:lineTo x="-1130" y="-1240"/>
                  </wp:wrapPolygon>
                </wp:wrapTight>
                <wp:docPr id="816286112" name="Text Box 816286112"/>
                <wp:cNvGraphicFramePr/>
                <a:graphic xmlns:a="http://schemas.openxmlformats.org/drawingml/2006/main">
                  <a:graphicData uri="http://schemas.microsoft.com/office/word/2010/wordprocessingShape">
                    <wps:wsp>
                      <wps:cNvSpPr txBox="1"/>
                      <wps:spPr>
                        <a:xfrm>
                          <a:off x="0" y="0"/>
                          <a:ext cx="1456055" cy="17164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E1177DD" w14:textId="77777777" w:rsidR="00C6444C" w:rsidRDefault="00C6444C" w:rsidP="00020D20">
                            <w:pPr>
                              <w:jc w:val="center"/>
                            </w:pPr>
                            <w:r>
                              <w:rPr>
                                <w:noProof/>
                              </w:rPr>
                              <w:drawing>
                                <wp:inline distT="0" distB="0" distL="0" distR="0" wp14:anchorId="0AA92A5D" wp14:editId="16CAF380">
                                  <wp:extent cx="457200" cy="457200"/>
                                  <wp:effectExtent l="0" t="0" r="0" b="0"/>
                                  <wp:docPr id="816286104" name="Picture 81628610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AB30436" w14:textId="77777777" w:rsidR="00C6444C" w:rsidRPr="00977A9B" w:rsidRDefault="00C6444C" w:rsidP="00020D20">
                            <w:pPr>
                              <w:pStyle w:val="Calloutboxes"/>
                            </w:pPr>
                            <w:r w:rsidRPr="00394A74">
                              <w:t>To review FT</w:t>
                            </w:r>
                            <w:r w:rsidRPr="00954116">
                              <w:t>A Circular 904</w:t>
                            </w:r>
                            <w:r w:rsidRPr="005A6734">
                              <w:t>0.1F: Non-urbanized Area Formula Program Guidance and Grant Application Instructions follow:</w:t>
                            </w:r>
                          </w:p>
                          <w:p w14:paraId="3A6E63F3" w14:textId="46F9F922" w:rsidR="00C6444C" w:rsidRPr="00BF5637" w:rsidRDefault="00202C92">
                            <w:pPr>
                              <w:pStyle w:val="Title"/>
                            </w:pPr>
                            <w:hyperlink r:id="rId858" w:history="1">
                              <w:r w:rsidR="00C6444C" w:rsidRPr="00BF5637">
                                <w:rPr>
                                  <w:rStyle w:val="Hyperlink"/>
                                  <w:rFonts w:asciiTheme="minorHAnsi" w:hAnsiTheme="minorHAnsi" w:cstheme="majorBidi"/>
                                  <w:i/>
                                  <w:iCs w:val="0"/>
                                  <w:color w:val="CE5B18"/>
                                  <w:u w:val="none"/>
                                </w:rPr>
                                <w:t>https://www.transit.dot.gov/sites/fta.dot.gov/files/docs/FTA_C_9040.1F.pdf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A49CB5" id="Text Box 816286112" o:spid="_x0000_s1218" type="#_x0000_t202" style="position:absolute;left:0;text-align:left;margin-left:-135pt;margin-top:106.6pt;width:114.65pt;height:135.15pt;z-index:-251698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" fillcolor="#f7f7f7" stroked="f" strokeweight=".5pt">
                <v:shadow on="t" type="perspective" color="black" opacity="26214f" offset="0,0" matrix="66847f,,,66847f"/>
                <v:textbox>
                  <w:txbxContent>
                    <w:p w14:paraId="6E1177DD" w14:textId="77777777" w:rsidR="00C6444C" w:rsidRDefault="00C6444C" w:rsidP="00020D20">
                      <w:pPr>
                        <w:jc w:val="center"/>
                      </w:pPr>
                      <w:r>
                        <w:rPr>
                          <w:noProof/>
                        </w:rPr>
                        <w:drawing>
                          <wp:inline distT="0" distB="0" distL="0" distR="0" wp14:anchorId="0AA92A5D" wp14:editId="16CAF380">
                            <wp:extent cx="457200" cy="457200"/>
                            <wp:effectExtent l="0" t="0" r="0" b="0"/>
                            <wp:docPr id="816286104" name="Picture 81628610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AB30436" w14:textId="77777777" w:rsidR="00C6444C" w:rsidRPr="00977A9B" w:rsidRDefault="00C6444C" w:rsidP="00020D20">
                      <w:pPr>
                        <w:pStyle w:val="Calloutboxes"/>
                      </w:pPr>
                      <w:r w:rsidRPr="00394A74">
                        <w:t>To review FT</w:t>
                      </w:r>
                      <w:r w:rsidRPr="00954116">
                        <w:t>A Circular 904</w:t>
                      </w:r>
                      <w:r w:rsidRPr="005A6734">
                        <w:t>0.1F: Non-urbanized Area Formula Program Guidance and Grant Application Instructions follow:</w:t>
                      </w:r>
                    </w:p>
                    <w:p w14:paraId="3A6E63F3" w14:textId="46F9F922" w:rsidR="00C6444C" w:rsidRPr="00BF5637" w:rsidRDefault="00C6444C">
                      <w:pPr>
                        <w:pStyle w:val="Title"/>
                      </w:pPr>
                      <w:hyperlink r:id="rId859" w:history="1">
                        <w:r w:rsidRPr="00BF5637">
                          <w:rPr>
                            <w:rStyle w:val="Hyperlink"/>
                            <w:rFonts w:asciiTheme="minorHAnsi" w:hAnsiTheme="minorHAnsi" w:cstheme="majorBidi"/>
                            <w:i/>
                            <w:iCs w:val="0"/>
                            <w:color w:val="CE5B18"/>
                            <w:u w:val="none"/>
                          </w:rPr>
                          <w:t>https://www.transit.dot.gov/sites/fta.dot.gov/files/docs/FTA_C_9040.1F.pdf</w:t>
                        </w:r>
                      </w:hyperlink>
                    </w:p>
                  </w:txbxContent>
                </v:textbox>
                <w10:wrap type="tight"/>
              </v:shape>
            </w:pict>
          </mc:Fallback>
        </mc:AlternateContent>
      </w:r>
      <w:r w:rsidR="003707B0" w:rsidRPr="00A407B0">
        <w:t>14.</w:t>
      </w:r>
      <w:r w:rsidR="003707B0">
        <w:t>2</w:t>
      </w:r>
      <w:r w:rsidR="003707B0" w:rsidRPr="00A407B0">
        <w:t>.</w:t>
      </w:r>
      <w:r w:rsidR="003707B0">
        <w:t>3</w:t>
      </w:r>
      <w:r w:rsidR="003707B0" w:rsidRPr="00A407B0">
        <w:t xml:space="preserve"> | </w:t>
      </w:r>
      <w:r w:rsidR="003707B0">
        <w:t>Metropolitan Planning Agencies (MPO) and Councils of Governments (COG)</w:t>
      </w:r>
      <w:bookmarkEnd w:id="489"/>
    </w:p>
    <w:p w14:paraId="62FEFAED" w14:textId="7F1D9E90" w:rsidR="003707B0" w:rsidRDefault="003707B0" w:rsidP="00020D20">
      <w:pPr>
        <w:jc w:val="both"/>
        <w:rPr>
          <w:b/>
          <w:bCs/>
        </w:rPr>
      </w:pPr>
      <w:r w:rsidRPr="007149F8">
        <w:t xml:space="preserve">In Arizona, the responsibilities of Transportation Planning Agencies are assumed by the established MPOs and COGs. </w:t>
      </w:r>
      <w:r>
        <w:t>T</w:t>
      </w:r>
      <w:r w:rsidRPr="00A407B0">
        <w:t>he Governor</w:t>
      </w:r>
      <w:r>
        <w:t xml:space="preserve"> </w:t>
      </w:r>
      <w:r w:rsidRPr="00A407B0">
        <w:t>designate</w:t>
      </w:r>
      <w:r>
        <w:t>s</w:t>
      </w:r>
      <w:r w:rsidRPr="00A407B0">
        <w:t xml:space="preserve"> an MPO for each UZA with 50,000 or more residents by agreement with general purpose local governments representing at least 75 percent of the population. </w:t>
      </w:r>
    </w:p>
    <w:p w14:paraId="6AED35A1" w14:textId="77777777" w:rsidR="003707B0" w:rsidRDefault="003707B0" w:rsidP="00020D20">
      <w:pPr>
        <w:jc w:val="both"/>
      </w:pPr>
      <w:r w:rsidRPr="00A407B0">
        <w:t xml:space="preserve">For rural areas, MPD works with the COGs to complete transportation planning functions. </w:t>
      </w:r>
    </w:p>
    <w:p w14:paraId="67540E90" w14:textId="2031B08D" w:rsidR="00A407B0" w:rsidRPr="00A407B0" w:rsidRDefault="006F0C0A" w:rsidP="00020D20">
      <w:pPr>
        <w:jc w:val="both"/>
        <w:rPr>
          <w:rFonts w:cstheme="minorHAnsi"/>
          <w:b/>
        </w:rPr>
      </w:pPr>
      <w:r>
        <w:t>Both MPO</w:t>
      </w:r>
      <w:r w:rsidR="003707B0">
        <w:t>s and</w:t>
      </w:r>
      <w:r>
        <w:t xml:space="preserve"> COG</w:t>
      </w:r>
      <w:r w:rsidR="003707B0" w:rsidRPr="00A407B0">
        <w:t>s assist MPD in coordination and outreach with local agencies and transit providers</w:t>
      </w:r>
      <w:r w:rsidR="003707B0">
        <w:t xml:space="preserve"> and develop Regional Coordination Plans</w:t>
      </w:r>
    </w:p>
    <w:p w14:paraId="2EC1CEA4" w14:textId="35B04F4F" w:rsidR="003707B0" w:rsidRPr="00A407B0" w:rsidRDefault="003707B0" w:rsidP="00020D20">
      <w:pPr>
        <w:pStyle w:val="Heading2"/>
        <w:rPr>
          <w:bCs/>
        </w:rPr>
      </w:pPr>
      <w:bookmarkStart w:id="490" w:name="_Ref50035875"/>
      <w:r w:rsidRPr="00A407B0">
        <w:t>1</w:t>
      </w:r>
      <w:r>
        <w:t>4.3</w:t>
      </w:r>
      <w:r w:rsidRPr="00A407B0">
        <w:t xml:space="preserve"> | </w:t>
      </w:r>
      <w:r>
        <w:t xml:space="preserve">STATEWIDE &amp; METROPOLITAN </w:t>
      </w:r>
      <w:r w:rsidRPr="00A407B0">
        <w:t>TRANSIT PLANNING</w:t>
      </w:r>
      <w:r>
        <w:t xml:space="preserve"> REQUIREMENTS</w:t>
      </w:r>
      <w:bookmarkEnd w:id="490"/>
    </w:p>
    <w:p w14:paraId="698F34AE" w14:textId="77777777" w:rsidR="003707B0" w:rsidRDefault="003707B0" w:rsidP="00020D20">
      <w:pPr>
        <w:jc w:val="both"/>
      </w:pPr>
      <w:r w:rsidRPr="00A407B0">
        <w:t xml:space="preserve">Public transportation planning and grant-making responsibilities </w:t>
      </w:r>
      <w:r>
        <w:t xml:space="preserve">are often shared by the state and the MPOs and COGs and </w:t>
      </w:r>
      <w:r w:rsidRPr="00A407B0">
        <w:t xml:space="preserve">are defined in </w:t>
      </w:r>
      <w:r>
        <w:t>FAST Act</w:t>
      </w:r>
      <w:r w:rsidRPr="00A407B0">
        <w:t xml:space="preserve"> and Chapter 53 of the United States Code. </w:t>
      </w:r>
    </w:p>
    <w:p w14:paraId="35E4EB47" w14:textId="77777777" w:rsidR="003707B0" w:rsidRPr="00A407B0" w:rsidRDefault="003707B0" w:rsidP="00020D20">
      <w:pPr>
        <w:pStyle w:val="Heading3"/>
        <w:jc w:val="both"/>
        <w:rPr>
          <w:bCs/>
        </w:rPr>
      </w:pPr>
      <w:bookmarkStart w:id="491" w:name="_Ref50035879"/>
      <w:r w:rsidRPr="00A407B0">
        <w:t>14.</w:t>
      </w:r>
      <w:r>
        <w:t>3</w:t>
      </w:r>
      <w:r w:rsidRPr="00A407B0">
        <w:t>.1 | ADOT’s Role in Public Transportation Planning</w:t>
      </w:r>
      <w:bookmarkEnd w:id="491"/>
    </w:p>
    <w:p w14:paraId="2A22C422" w14:textId="77777777" w:rsidR="003707B0" w:rsidRPr="00BE49FB" w:rsidRDefault="003707B0" w:rsidP="00020D20">
      <w:pPr>
        <w:pStyle w:val="SubHeading3"/>
        <w:jc w:val="both"/>
      </w:pPr>
      <w:bookmarkStart w:id="492" w:name="_Ref50037499"/>
      <w:r w:rsidRPr="00BE49FB">
        <w:t>LRTP/STIP</w:t>
      </w:r>
      <w:bookmarkEnd w:id="492"/>
      <w:r w:rsidRPr="00BE49FB">
        <w:t xml:space="preserve"> </w:t>
      </w:r>
    </w:p>
    <w:p w14:paraId="12CB0ED1" w14:textId="77777777" w:rsidR="003707B0" w:rsidRPr="00A407B0" w:rsidRDefault="003707B0" w:rsidP="00020D20">
      <w:pPr>
        <w:ind w:left="180"/>
        <w:jc w:val="both"/>
        <w:rPr>
          <w:b/>
          <w:bCs/>
        </w:rPr>
      </w:pPr>
      <w:r w:rsidRPr="00A407B0">
        <w:t xml:space="preserve">ADOT is required </w:t>
      </w:r>
      <w:r>
        <w:t xml:space="preserve">to </w:t>
      </w:r>
      <w:r w:rsidRPr="00A407B0">
        <w:t>prepare the statewide LRTP and five-year statewide STIP in cooperation with Arizona’s MPOs and COGs. The state documents are compilations of regional plans and TIPs developed in an environment of transparency and active public participatio</w:t>
      </w:r>
      <w:r>
        <w:t>n</w:t>
      </w:r>
      <w:r w:rsidRPr="00A407B0">
        <w:t xml:space="preserve">. </w:t>
      </w:r>
    </w:p>
    <w:p w14:paraId="13041FD3" w14:textId="77777777" w:rsidR="003707B0" w:rsidRPr="00BE49FB" w:rsidRDefault="003707B0" w:rsidP="00020D20">
      <w:pPr>
        <w:pStyle w:val="SubHeading3"/>
        <w:jc w:val="both"/>
      </w:pPr>
      <w:bookmarkStart w:id="493" w:name="_Ref50037503"/>
      <w:r w:rsidRPr="00BE49FB">
        <w:t>Tribal Transit Planning</w:t>
      </w:r>
      <w:bookmarkEnd w:id="493"/>
      <w:r w:rsidRPr="00BE49FB">
        <w:t xml:space="preserve"> </w:t>
      </w:r>
    </w:p>
    <w:p w14:paraId="2045A876" w14:textId="6635B499" w:rsidR="003707B0" w:rsidRDefault="003707B0" w:rsidP="00020D20">
      <w:pPr>
        <w:ind w:left="180"/>
        <w:jc w:val="both"/>
        <w:rPr>
          <w:b/>
          <w:bCs/>
        </w:rPr>
      </w:pPr>
      <w:r w:rsidRPr="00A407B0">
        <w:t>Statewide transportation plans must be de</w:t>
      </w:r>
      <w:r>
        <w:t xml:space="preserve">veloped in </w:t>
      </w:r>
      <w:r w:rsidR="00D22476">
        <w:t>coordination</w:t>
      </w:r>
      <w:r>
        <w:t xml:space="preserve"> with</w:t>
      </w:r>
      <w:r w:rsidRPr="00A407B0">
        <w:t xml:space="preserve"> tribal government</w:t>
      </w:r>
      <w:r>
        <w:t>s</w:t>
      </w:r>
      <w:r w:rsidRPr="00A407B0">
        <w:t xml:space="preserve"> and the U.S. Secretary of the Interior.</w:t>
      </w:r>
      <w:r>
        <w:t xml:space="preserve"> </w:t>
      </w:r>
    </w:p>
    <w:p w14:paraId="2B5C834C" w14:textId="384EDBCE" w:rsidR="003707B0" w:rsidRPr="00A407B0" w:rsidRDefault="003707B0" w:rsidP="00020D20">
      <w:pPr>
        <w:pStyle w:val="Heading3"/>
        <w:jc w:val="both"/>
        <w:rPr>
          <w:bCs/>
        </w:rPr>
      </w:pPr>
      <w:bookmarkStart w:id="494" w:name="_Ref50035882"/>
      <w:r w:rsidRPr="00A407B0">
        <w:t>14.</w:t>
      </w:r>
      <w:r>
        <w:t>3</w:t>
      </w:r>
      <w:r w:rsidRPr="00A407B0">
        <w:t>.</w:t>
      </w:r>
      <w:r>
        <w:t>2</w:t>
      </w:r>
      <w:r w:rsidRPr="00A407B0">
        <w:t xml:space="preserve"> | MPO/COG Role in Public Transportation Planning</w:t>
      </w:r>
      <w:bookmarkEnd w:id="494"/>
    </w:p>
    <w:p w14:paraId="1725B894" w14:textId="4AB7481F" w:rsidR="003707B0" w:rsidRDefault="003707B0" w:rsidP="00020D20">
      <w:pPr>
        <w:jc w:val="both"/>
        <w:rPr>
          <w:b/>
          <w:bCs/>
        </w:rPr>
      </w:pPr>
      <w:r>
        <w:t>Federal Transit Planning Requirements</w:t>
      </w:r>
      <w:r w:rsidRPr="00A407B0">
        <w:t xml:space="preserve"> emphasi</w:t>
      </w:r>
      <w:r>
        <w:t>ze</w:t>
      </w:r>
      <w:r w:rsidRPr="00A407B0">
        <w:t xml:space="preserve"> regional participation in the planning process. The organizational structure of Arizona MPOs and COGs must reflect broad participation among elected officials, public agencies including public transportation providers, and ADOT.</w:t>
      </w:r>
    </w:p>
    <w:p w14:paraId="1D26C190" w14:textId="7017A290" w:rsidR="003707B0" w:rsidRDefault="003707B0" w:rsidP="00020D20">
      <w:pPr>
        <w:jc w:val="both"/>
      </w:pPr>
      <w:r>
        <w:t>Transit</w:t>
      </w:r>
      <w:r w:rsidRPr="0031459B">
        <w:t xml:space="preserve"> planning requirements</w:t>
      </w:r>
      <w:r>
        <w:t xml:space="preserve"> now</w:t>
      </w:r>
      <w:r w:rsidRPr="0031459B">
        <w:t xml:space="preserve"> include a performance-driven, outcome-based approach to planning. MPOs and COGs must develop a regional performance-based planning process that includes goals and objectives, performance measures and targets, and a monitoring process</w:t>
      </w:r>
      <w:r w:rsidR="00D22476">
        <w:t xml:space="preserve"> or use ADOT’s performance-based planning process</w:t>
      </w:r>
      <w:r w:rsidR="002D7E03">
        <w:t xml:space="preserve"> (</w:t>
      </w:r>
      <w:hyperlink r:id="rId860" w:history="1">
        <w:r w:rsidR="002D7E03" w:rsidRPr="00020D20">
          <w:rPr>
            <w:rStyle w:val="TitleChar"/>
          </w:rPr>
          <w:t>49 CFR § 625.55</w:t>
        </w:r>
      </w:hyperlink>
      <w:r w:rsidR="002D7E03">
        <w:t>).</w:t>
      </w:r>
      <w:r w:rsidR="002D7E03">
        <w:rPr>
          <w:rStyle w:val="TitleChar"/>
        </w:rPr>
        <w:t xml:space="preserve"> </w:t>
      </w:r>
    </w:p>
    <w:p w14:paraId="72DC62D6" w14:textId="23C0BBC1" w:rsidR="003707B0" w:rsidRPr="00745EC9" w:rsidRDefault="003707B0" w:rsidP="00020D20">
      <w:pPr>
        <w:pStyle w:val="SubHeading3"/>
        <w:jc w:val="both"/>
        <w:rPr>
          <w:bCs/>
        </w:rPr>
      </w:pPr>
      <w:bookmarkStart w:id="495" w:name="_Ref50037663"/>
      <w:r w:rsidRPr="00020D20">
        <w:rPr>
          <w:rStyle w:val="SubHeading3Char"/>
          <w:b/>
        </w:rPr>
        <w:t>Regional</w:t>
      </w:r>
      <w:r w:rsidRPr="00745EC9">
        <w:t xml:space="preserve"> Transportation Plan</w:t>
      </w:r>
      <w:bookmarkEnd w:id="495"/>
    </w:p>
    <w:p w14:paraId="0BC8AE6C" w14:textId="0DFC982A" w:rsidR="003707B0" w:rsidRPr="0031459B" w:rsidRDefault="003707B0" w:rsidP="00020D20">
      <w:pPr>
        <w:ind w:left="180"/>
        <w:jc w:val="both"/>
        <w:rPr>
          <w:b/>
          <w:bCs/>
        </w:rPr>
      </w:pPr>
      <w:r w:rsidRPr="0031459B">
        <w:t xml:space="preserve">Arizona MPOs are required to prepare a 20-year </w:t>
      </w:r>
      <w:r w:rsidR="002D7E03">
        <w:t>LRTP</w:t>
      </w:r>
      <w:r w:rsidRPr="0031459B">
        <w:t xml:space="preserve"> covering all transportation modes, including public transportation.</w:t>
      </w:r>
    </w:p>
    <w:p w14:paraId="2CD81052" w14:textId="77777777" w:rsidR="003707B0" w:rsidRDefault="003707B0" w:rsidP="00020D20">
      <w:pPr>
        <w:ind w:left="180"/>
        <w:jc w:val="both"/>
      </w:pPr>
      <w:r w:rsidRPr="0031459B">
        <w:t xml:space="preserve">The RTP plans and TIPs must provide for the development, integrated management, and operation of transportation systems and facilities (including accessible pedestrian walkways and bicycle transportation facilities) that function as an intermodal transportation system for the planning area and as an integral part of an intermodal transportation system. </w:t>
      </w:r>
    </w:p>
    <w:p w14:paraId="77F6DE45" w14:textId="77777777" w:rsidR="003707B0" w:rsidRPr="00BE49FB" w:rsidRDefault="003707B0" w:rsidP="00020D20">
      <w:pPr>
        <w:pStyle w:val="SubHeading3"/>
        <w:jc w:val="both"/>
      </w:pPr>
      <w:bookmarkStart w:id="496" w:name="_Ref50037667"/>
      <w:r w:rsidRPr="00BE49FB">
        <w:t>Performance Monitoring &amp; Asset Management</w:t>
      </w:r>
      <w:bookmarkEnd w:id="496"/>
      <w:r w:rsidRPr="00BE49FB">
        <w:t xml:space="preserve"> </w:t>
      </w:r>
    </w:p>
    <w:p w14:paraId="54B9FE04" w14:textId="77777777" w:rsidR="003707B0" w:rsidRDefault="003707B0" w:rsidP="00020D20">
      <w:pPr>
        <w:ind w:left="180"/>
        <w:jc w:val="both"/>
      </w:pPr>
      <w:r>
        <w:t xml:space="preserve">ADOT </w:t>
      </w:r>
      <w:r w:rsidRPr="00A407B0">
        <w:t>share</w:t>
      </w:r>
      <w:r>
        <w:t>s the</w:t>
      </w:r>
      <w:r w:rsidRPr="00A407B0">
        <w:t xml:space="preserve"> responsibility with MPOs and COGs to establish and apply a performance-based approach to transportation decision making, and to implement Transportation Asset Management Plans (TAMs). </w:t>
      </w:r>
    </w:p>
    <w:p w14:paraId="046133CC" w14:textId="77777777" w:rsidR="003707B0" w:rsidRDefault="003707B0" w:rsidP="00020D20">
      <w:pPr>
        <w:pStyle w:val="SubHeading3"/>
        <w:jc w:val="both"/>
      </w:pPr>
      <w:bookmarkStart w:id="497" w:name="_Ref50037670"/>
      <w:r w:rsidRPr="00745EC9">
        <w:t>Transportation Improvement Program</w:t>
      </w:r>
      <w:bookmarkEnd w:id="497"/>
      <w:r w:rsidRPr="00745EC9">
        <w:t xml:space="preserve"> </w:t>
      </w:r>
    </w:p>
    <w:p w14:paraId="27DD5379" w14:textId="0B1DAA0A" w:rsidR="003707B0" w:rsidRDefault="00671BCA" w:rsidP="00020D20">
      <w:pPr>
        <w:ind w:left="180"/>
        <w:jc w:val="both"/>
      </w:pPr>
      <w:r>
        <w:rPr>
          <w:rFonts w:cstheme="minorHAnsi"/>
          <w:noProof/>
        </w:rPr>
        <mc:AlternateContent>
          <mc:Choice Requires="wps">
            <w:drawing>
              <wp:anchor distT="0" distB="0" distL="114300" distR="114300" simplePos="0" relativeHeight="251618606" behindDoc="1" locked="0" layoutInCell="1" allowOverlap="1" wp14:anchorId="1F0754CD" wp14:editId="2FB760C5">
                <wp:simplePos x="0" y="0"/>
                <wp:positionH relativeFrom="column">
                  <wp:posOffset>1678305</wp:posOffset>
                </wp:positionH>
                <wp:positionV relativeFrom="paragraph">
                  <wp:posOffset>1644015</wp:posOffset>
                </wp:positionV>
                <wp:extent cx="1140460" cy="1419225"/>
                <wp:effectExtent l="76200" t="95250" r="78740" b="104775"/>
                <wp:wrapTight wrapText="bothSides">
                  <wp:wrapPolygon edited="0">
                    <wp:start x="-1082" y="-1450"/>
                    <wp:lineTo x="-1443" y="-870"/>
                    <wp:lineTo x="-1443" y="21165"/>
                    <wp:lineTo x="-1082" y="22905"/>
                    <wp:lineTo x="22731" y="22905"/>
                    <wp:lineTo x="22731" y="-1450"/>
                    <wp:lineTo x="-1082" y="-1450"/>
                  </wp:wrapPolygon>
                </wp:wrapTight>
                <wp:docPr id="1690911413" name="Text Box 1690911413"/>
                <wp:cNvGraphicFramePr/>
                <a:graphic xmlns:a="http://schemas.openxmlformats.org/drawingml/2006/main">
                  <a:graphicData uri="http://schemas.microsoft.com/office/word/2010/wordprocessingShape">
                    <wps:wsp>
                      <wps:cNvSpPr txBox="1"/>
                      <wps:spPr>
                        <a:xfrm>
                          <a:off x="0" y="0"/>
                          <a:ext cx="1140460" cy="14192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1061695" w14:textId="77777777" w:rsidR="00C6444C" w:rsidRDefault="00C6444C" w:rsidP="00020D20">
                            <w:pPr>
                              <w:jc w:val="center"/>
                            </w:pPr>
                            <w:r>
                              <w:rPr>
                                <w:noProof/>
                              </w:rPr>
                              <w:drawing>
                                <wp:inline distT="0" distB="0" distL="0" distR="0" wp14:anchorId="39195D37" wp14:editId="1D19D941">
                                  <wp:extent cx="457200" cy="457200"/>
                                  <wp:effectExtent l="0" t="0" r="0" b="0"/>
                                  <wp:docPr id="816286108" name="Picture 81628610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A6C840F" w14:textId="21B5B41A" w:rsidR="00C6444C" w:rsidRPr="002E0654" w:rsidRDefault="00C6444C" w:rsidP="00020D20">
                            <w:pPr>
                              <w:pStyle w:val="Calloutboxes"/>
                            </w:pPr>
                            <w:r w:rsidRPr="00394A74">
                              <w:t>Cross reference chapter 7, “Regional Transportation Plan (RTP)” for further information</w:t>
                            </w:r>
                            <w:r w:rsidRPr="00954116">
                              <w:t xml:space="preserve"> on RTPs.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0754CD" id="Text Box 1690911413" o:spid="_x0000_s1219" type="#_x0000_t202" style="position:absolute;left:0;text-align:left;margin-left:132.15pt;margin-top:129.45pt;width:89.8pt;height:111.75pt;z-index:-2516978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" fillcolor="#f7f7f7" stroked="f" strokeweight=".5pt">
                <v:shadow on="t" type="perspective" color="black" opacity="26214f" offset="0,0" matrix="66847f,,,66847f"/>
                <v:textbox>
                  <w:txbxContent>
                    <w:p w14:paraId="61061695" w14:textId="77777777" w:rsidR="00C6444C" w:rsidRDefault="00C6444C" w:rsidP="00020D20">
                      <w:pPr>
                        <w:jc w:val="center"/>
                      </w:pPr>
                      <w:r>
                        <w:rPr>
                          <w:noProof/>
                        </w:rPr>
                        <w:drawing>
                          <wp:inline distT="0" distB="0" distL="0" distR="0" wp14:anchorId="39195D37" wp14:editId="1D19D941">
                            <wp:extent cx="457200" cy="457200"/>
                            <wp:effectExtent l="0" t="0" r="0" b="0"/>
                            <wp:docPr id="816286108" name="Picture 81628610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A6C840F" w14:textId="21B5B41A" w:rsidR="00C6444C" w:rsidRPr="002E0654" w:rsidRDefault="00C6444C" w:rsidP="00020D20">
                      <w:pPr>
                        <w:pStyle w:val="Calloutboxes"/>
                      </w:pPr>
                      <w:r w:rsidRPr="00394A74">
                        <w:t>Cross reference chapter 7, “Regional Transportation Plan (RTP)” for further information</w:t>
                      </w:r>
                      <w:r w:rsidRPr="00954116">
                        <w:t xml:space="preserve"> on RTPs.</w:t>
                      </w:r>
                    </w:p>
                  </w:txbxContent>
                </v:textbox>
                <w10:wrap type="tight"/>
              </v:shape>
            </w:pict>
          </mc:Fallback>
        </mc:AlternateContent>
      </w:r>
      <w:r w:rsidR="003707B0" w:rsidRPr="0031459B">
        <w:t xml:space="preserve">Arizona’s MPOs and COGs are required to develop a rolling five-year list of transportation projects. The TIP must include a description of implementation progress anticipated and attained relative to established performance targets for all included projects. </w:t>
      </w:r>
      <w:r w:rsidR="003707B0" w:rsidRPr="007149F8">
        <w:t>Requests for FTA funding from within an urbanized area are submitted to the MPO for inclusion in the MPO’s TIP. The MPO staff reviews each</w:t>
      </w:r>
      <w:r w:rsidR="003707B0">
        <w:t xml:space="preserve"> </w:t>
      </w:r>
      <w:r w:rsidR="003707B0" w:rsidRPr="007149F8">
        <w:t>application for coordination, air quality conformity and fiscal constraint in relation to TIP goals and objectives.</w:t>
      </w:r>
      <w:r w:rsidR="003707B0">
        <w:t xml:space="preserve"> As funding becomes available, the awards are incorporated into the </w:t>
      </w:r>
      <w:r w:rsidR="003707B0" w:rsidRPr="00A407B0">
        <w:t xml:space="preserve">MPO and COG TIP, which are then integrated into the </w:t>
      </w:r>
      <w:r w:rsidR="006F7F79" w:rsidRPr="00A407B0">
        <w:t>STIP.</w:t>
      </w:r>
      <w:r w:rsidR="006F7F79">
        <w:t xml:space="preserve"> </w:t>
      </w:r>
      <w:r>
        <w:br w:type="page"/>
      </w:r>
    </w:p>
    <w:p w14:paraId="70D81B27" w14:textId="07A4C161" w:rsidR="003707B0" w:rsidRPr="00745EC9" w:rsidRDefault="003707B0" w:rsidP="00020D20">
      <w:pPr>
        <w:pStyle w:val="SubHeading3"/>
        <w:jc w:val="both"/>
        <w:rPr>
          <w:bCs/>
        </w:rPr>
      </w:pPr>
      <w:bookmarkStart w:id="498" w:name="_Ref50037673"/>
      <w:r w:rsidRPr="00745EC9">
        <w:t>Planning Work Program</w:t>
      </w:r>
      <w:bookmarkEnd w:id="498"/>
      <w:r w:rsidRPr="00745EC9">
        <w:t xml:space="preserve"> </w:t>
      </w:r>
    </w:p>
    <w:p w14:paraId="535154E7" w14:textId="569B6481" w:rsidR="003707B0" w:rsidRPr="00020D20" w:rsidRDefault="008B7690" w:rsidP="00020D20">
      <w:pPr>
        <w:ind w:left="180"/>
        <w:jc w:val="both"/>
        <w:rPr>
          <w:b/>
          <w:bCs/>
        </w:rPr>
      </w:pPr>
      <w:r>
        <w:rPr>
          <w:rFonts w:cstheme="minorHAnsi"/>
          <w:noProof/>
        </w:rPr>
        <mc:AlternateContent>
          <mc:Choice Requires="wps">
            <w:drawing>
              <wp:anchor distT="0" distB="0" distL="114300" distR="114300" simplePos="0" relativeHeight="251618607" behindDoc="1" locked="0" layoutInCell="1" allowOverlap="1" wp14:anchorId="71E82A13" wp14:editId="29084002">
                <wp:simplePos x="0" y="0"/>
                <wp:positionH relativeFrom="column">
                  <wp:posOffset>1284768</wp:posOffset>
                </wp:positionH>
                <wp:positionV relativeFrom="paragraph">
                  <wp:posOffset>1068350</wp:posOffset>
                </wp:positionV>
                <wp:extent cx="1363980" cy="1647825"/>
                <wp:effectExtent l="76200" t="95250" r="83820" b="104775"/>
                <wp:wrapTight wrapText="bothSides">
                  <wp:wrapPolygon edited="0">
                    <wp:start x="-1207" y="-1249"/>
                    <wp:lineTo x="-1207" y="22724"/>
                    <wp:lineTo x="22626" y="22724"/>
                    <wp:lineTo x="22626" y="-1249"/>
                    <wp:lineTo x="-1207" y="-1249"/>
                  </wp:wrapPolygon>
                </wp:wrapTight>
                <wp:docPr id="1690911420" name="Text Box 1690911420"/>
                <wp:cNvGraphicFramePr/>
                <a:graphic xmlns:a="http://schemas.openxmlformats.org/drawingml/2006/main">
                  <a:graphicData uri="http://schemas.microsoft.com/office/word/2010/wordprocessingShape">
                    <wps:wsp>
                      <wps:cNvSpPr txBox="1"/>
                      <wps:spPr>
                        <a:xfrm>
                          <a:off x="0" y="0"/>
                          <a:ext cx="1363980" cy="1647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F350AC2" w14:textId="77777777" w:rsidR="00C6444C" w:rsidRDefault="00C6444C" w:rsidP="00020D20">
                            <w:pPr>
                              <w:jc w:val="center"/>
                            </w:pPr>
                            <w:r>
                              <w:rPr>
                                <w:noProof/>
                              </w:rPr>
                              <w:drawing>
                                <wp:inline distT="0" distB="0" distL="0" distR="0" wp14:anchorId="25F390D3" wp14:editId="0C07B7DC">
                                  <wp:extent cx="457200" cy="457200"/>
                                  <wp:effectExtent l="0" t="0" r="0" b="0"/>
                                  <wp:docPr id="816286110" name="Picture 81628611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ECDBE9" w14:textId="132A8405" w:rsidR="00C6444C" w:rsidRPr="002E0654" w:rsidRDefault="00C6444C" w:rsidP="004642A6">
                            <w:pPr>
                              <w:pStyle w:val="Calloutboxes"/>
                            </w:pPr>
                            <w:r>
                              <w:t xml:space="preserve">Cross reference chapter 4, </w:t>
                            </w:r>
                            <w:r w:rsidRPr="00020D20">
                              <w:rPr>
                                <w:i/>
                              </w:rPr>
                              <w:t>“MPO Unified Planning Work Program &amp; Contract Activities” and chapter 5, “COG Work Program”</w:t>
                            </w:r>
                            <w:r>
                              <w:t xml:space="preserve"> for further information on Planning Work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E82A13" id="Text Box 1690911420" o:spid="_x0000_s1220" type="#_x0000_t202" style="position:absolute;left:0;text-align:left;margin-left:101.15pt;margin-top:84.1pt;width:107.4pt;height:129.75pt;z-index:-2516978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" fillcolor="#f7f7f7" stroked="f" strokeweight=".5pt">
                <v:shadow on="t" type="perspective" color="black" opacity="26214f" offset="0,0" matrix="66847f,,,66847f"/>
                <v:textbox>
                  <w:txbxContent>
                    <w:p w14:paraId="2F350AC2" w14:textId="77777777" w:rsidR="00C6444C" w:rsidRDefault="00C6444C" w:rsidP="00020D20">
                      <w:pPr>
                        <w:jc w:val="center"/>
                      </w:pPr>
                      <w:r>
                        <w:rPr>
                          <w:noProof/>
                        </w:rPr>
                        <w:drawing>
                          <wp:inline distT="0" distB="0" distL="0" distR="0" wp14:anchorId="25F390D3" wp14:editId="0C07B7DC">
                            <wp:extent cx="457200" cy="457200"/>
                            <wp:effectExtent l="0" t="0" r="0" b="0"/>
                            <wp:docPr id="816286110" name="Picture 81628611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ECDBE9" w14:textId="132A8405" w:rsidR="00C6444C" w:rsidRPr="002E0654" w:rsidRDefault="00C6444C" w:rsidP="004642A6">
                      <w:pPr>
                        <w:pStyle w:val="Calloutboxes"/>
                      </w:pPr>
                      <w:r>
                        <w:t xml:space="preserve">Cross reference chapter 4, </w:t>
                      </w:r>
                      <w:r w:rsidRPr="00020D20">
                        <w:rPr>
                          <w:i/>
                        </w:rPr>
                        <w:t>“MPO Unified Planning Work Program &amp; Contract Activities” and chapter 5, “COG Work Program”</w:t>
                      </w:r>
                      <w:r>
                        <w:t xml:space="preserve"> for further information on Planning Work Programs.</w:t>
                      </w:r>
                    </w:p>
                  </w:txbxContent>
                </v:textbox>
                <w10:wrap type="tight"/>
              </v:shape>
            </w:pict>
          </mc:Fallback>
        </mc:AlternateContent>
      </w:r>
      <w:r w:rsidR="003707B0" w:rsidRPr="0031459B">
        <w:t xml:space="preserve">Arizona’s MPOs and COGs </w:t>
      </w:r>
      <w:r w:rsidR="006F7F79" w:rsidRPr="0031459B">
        <w:t>enter an</w:t>
      </w:r>
      <w:r w:rsidR="003707B0" w:rsidRPr="0031459B">
        <w:t xml:space="preserve"> agreement with ADOT to conduct planning activities for their respective areas. MPOs develop a </w:t>
      </w:r>
      <w:r w:rsidR="003707B0">
        <w:t>Unified Planning Work Program (</w:t>
      </w:r>
      <w:r w:rsidR="003707B0" w:rsidRPr="0031459B">
        <w:t>UPWP</w:t>
      </w:r>
      <w:r w:rsidR="003707B0">
        <w:t>)</w:t>
      </w:r>
      <w:r w:rsidR="003707B0" w:rsidRPr="0031459B">
        <w:t xml:space="preserve"> and the COGs develop a </w:t>
      </w:r>
      <w:r w:rsidR="003707B0">
        <w:t>Work Program (</w:t>
      </w:r>
      <w:r w:rsidR="003707B0" w:rsidRPr="0031459B">
        <w:t>WP</w:t>
      </w:r>
      <w:r w:rsidR="003707B0">
        <w:t>)</w:t>
      </w:r>
      <w:r w:rsidR="003707B0" w:rsidRPr="0031459B">
        <w:t xml:space="preserve"> defining all activities (including transit)</w:t>
      </w:r>
      <w:r w:rsidR="006F7F79">
        <w:t xml:space="preserve">. </w:t>
      </w:r>
      <w:r w:rsidR="003707B0">
        <w:t xml:space="preserve">ADOT and these Planning agencies have moved to a </w:t>
      </w:r>
      <w:r w:rsidR="006F7F79">
        <w:t>two-year</w:t>
      </w:r>
      <w:r w:rsidR="003707B0">
        <w:t xml:space="preserve"> work program </w:t>
      </w:r>
      <w:r w:rsidR="003707B0" w:rsidRPr="0031459B">
        <w:t>beginning July 1 and ending June 30</w:t>
      </w:r>
      <w:r w:rsidR="003707B0">
        <w:t xml:space="preserve"> the second year</w:t>
      </w:r>
      <w:r w:rsidR="006F7F79" w:rsidRPr="0031459B">
        <w:t xml:space="preserve">. </w:t>
      </w:r>
    </w:p>
    <w:p w14:paraId="7232FB9B" w14:textId="163F3744" w:rsidR="003707B0" w:rsidRPr="00A407B0" w:rsidRDefault="003707B0" w:rsidP="00020D20">
      <w:pPr>
        <w:pStyle w:val="Heading3"/>
        <w:jc w:val="both"/>
        <w:rPr>
          <w:bCs/>
        </w:rPr>
      </w:pPr>
      <w:bookmarkStart w:id="499" w:name="_Ref50035885"/>
      <w:r w:rsidRPr="00A407B0">
        <w:t>14.</w:t>
      </w:r>
      <w:r>
        <w:t>3</w:t>
      </w:r>
      <w:r w:rsidRPr="00A407B0">
        <w:t>.</w:t>
      </w:r>
      <w:r>
        <w:t>3</w:t>
      </w:r>
      <w:r w:rsidRPr="00A407B0">
        <w:t xml:space="preserve"> | ADOT Planning and Support to Subrecipients</w:t>
      </w:r>
      <w:bookmarkEnd w:id="499"/>
    </w:p>
    <w:p w14:paraId="28EB5369" w14:textId="3EC308B9" w:rsidR="003707B0" w:rsidRDefault="003707B0" w:rsidP="00020D20">
      <w:pPr>
        <w:jc w:val="both"/>
      </w:pPr>
      <w:r w:rsidRPr="00A407B0">
        <w:t>Transit systems change as communities change. As a result, MPD requires subrecipients to conduct planning activities. Existing subrecipients are expected to do routine planning as part of the management of their systems. These plans are designed to evaluate and plan for new transit services in a community, to update and re-assess the direction of an existing transit program, to address changing conditions (such as community growth or new or changing employment locations), or to address the need for new regional service connections. The ADOT Transit Section coordinates with subrecipients relative to specific planning needs</w:t>
      </w:r>
      <w:r w:rsidR="006F7F79" w:rsidRPr="00A407B0">
        <w:t>.</w:t>
      </w:r>
      <w:r w:rsidR="006F7F79">
        <w:t xml:space="preserve"> </w:t>
      </w:r>
      <w:r>
        <w:t>MPO</w:t>
      </w:r>
      <w:r w:rsidR="006F0C0A">
        <w:t>s</w:t>
      </w:r>
      <w:r>
        <w:t xml:space="preserve"> and COGs can administer studies on behalf of these transit agencies or the agency can lead these studies with the support of ADOT and the Regional Planning Agency. </w:t>
      </w:r>
      <w:r w:rsidRPr="00A407B0">
        <w:t>These</w:t>
      </w:r>
      <w:r>
        <w:t xml:space="preserve"> planning</w:t>
      </w:r>
      <w:r w:rsidRPr="00A407B0">
        <w:t xml:space="preserve"> efforts include transit feasibility studies, short-range transit development plans, capital project </w:t>
      </w:r>
      <w:r>
        <w:t>assessments, and other special studies</w:t>
      </w:r>
      <w:r w:rsidRPr="00A407B0">
        <w:t>.</w:t>
      </w:r>
      <w:r w:rsidR="008B7690" w:rsidRPr="008B7690">
        <w:rPr>
          <w:rFonts w:cstheme="minorHAnsi"/>
          <w:noProof/>
        </w:rPr>
        <w:t xml:space="preserve"> </w:t>
      </w:r>
    </w:p>
    <w:p w14:paraId="39E09CEB" w14:textId="2D4ED303" w:rsidR="00A407B0" w:rsidRPr="00A407B0" w:rsidRDefault="00A407B0" w:rsidP="00020D20">
      <w:pPr>
        <w:pStyle w:val="Heading2"/>
        <w:rPr>
          <w:bCs/>
        </w:rPr>
      </w:pPr>
      <w:bookmarkStart w:id="500" w:name="_Ref50035890"/>
      <w:r w:rsidRPr="00A407B0">
        <w:t xml:space="preserve">14.4 | TRANSIT </w:t>
      </w:r>
      <w:r w:rsidR="003707B0">
        <w:t>FUNDING</w:t>
      </w:r>
      <w:bookmarkEnd w:id="500"/>
    </w:p>
    <w:p w14:paraId="085848D2" w14:textId="77777777" w:rsidR="003707B0" w:rsidRPr="00A407B0" w:rsidRDefault="003707B0" w:rsidP="00020D20">
      <w:pPr>
        <w:pStyle w:val="Heading3"/>
        <w:spacing w:before="120"/>
        <w:jc w:val="both"/>
        <w:rPr>
          <w:bCs/>
        </w:rPr>
      </w:pPr>
      <w:bookmarkStart w:id="501" w:name="_Ref50035898"/>
      <w:r w:rsidRPr="00A407B0">
        <w:t>14.</w:t>
      </w:r>
      <w:r>
        <w:t>4.1</w:t>
      </w:r>
      <w:r w:rsidRPr="00A407B0">
        <w:t xml:space="preserve"> | </w:t>
      </w:r>
      <w:r>
        <w:t>Transit Planning Funding</w:t>
      </w:r>
      <w:bookmarkEnd w:id="501"/>
    </w:p>
    <w:p w14:paraId="3DEE53FD" w14:textId="77777777" w:rsidR="003707B0" w:rsidRDefault="003707B0" w:rsidP="00020D20">
      <w:pPr>
        <w:jc w:val="both"/>
      </w:pPr>
      <w:r>
        <w:t>Transit</w:t>
      </w:r>
      <w:r w:rsidRPr="00A407B0">
        <w:t xml:space="preserve"> planning </w:t>
      </w:r>
      <w:r>
        <w:t>is most often funded using Transit Planning</w:t>
      </w:r>
      <w:r w:rsidRPr="00A407B0">
        <w:t xml:space="preserve"> Section 5303 and Section 5304 as described below.</w:t>
      </w:r>
    </w:p>
    <w:p w14:paraId="7B18F77C" w14:textId="77777777" w:rsidR="003707B0" w:rsidRPr="00F15523" w:rsidRDefault="003707B0" w:rsidP="00020D20">
      <w:pPr>
        <w:pStyle w:val="SubHeading3"/>
        <w:jc w:val="both"/>
      </w:pPr>
      <w:bookmarkStart w:id="502" w:name="_Ref50039214"/>
      <w:r w:rsidRPr="00BE49FB">
        <w:t>Section 5303:</w:t>
      </w:r>
      <w:r w:rsidRPr="00A407B0">
        <w:t xml:space="preserve"> </w:t>
      </w:r>
      <w:r w:rsidRPr="00EE3154">
        <w:t>Metropolitan Transportation Planning</w:t>
      </w:r>
      <w:bookmarkEnd w:id="502"/>
    </w:p>
    <w:p w14:paraId="07DB4371" w14:textId="395149CA" w:rsidR="003707B0" w:rsidRPr="00A407B0" w:rsidRDefault="003707B0" w:rsidP="00020D20">
      <w:pPr>
        <w:ind w:left="180"/>
        <w:jc w:val="both"/>
      </w:pPr>
      <w:r w:rsidRPr="00A407B0">
        <w:t>The FTA apportions 80 percent of the Metropolitan Planning Program</w:t>
      </w:r>
      <w:r w:rsidR="001A2F94">
        <w:t xml:space="preserve"> (PL)</w:t>
      </w:r>
      <w:r w:rsidRPr="00A407B0">
        <w:t xml:space="preserve"> assistance</w:t>
      </w:r>
      <w:r>
        <w:t xml:space="preserve"> 5303</w:t>
      </w:r>
      <w:r w:rsidRPr="00A407B0">
        <w:t xml:space="preserve"> to the states based on a UZA population formula established by statute. </w:t>
      </w:r>
      <w:r w:rsidRPr="007149F8">
        <w:t>The eight urbanized areas with designated MPO status in Arizona are eligible recipients of Section 5303 planning assistance and are responsible for coordination of FTA programs within their respective areas</w:t>
      </w:r>
      <w:r w:rsidR="006F7F79" w:rsidRPr="007149F8">
        <w:t xml:space="preserve">. </w:t>
      </w:r>
      <w:r w:rsidRPr="00A407B0">
        <w:t xml:space="preserve">Funds apportioned to Arizona are distributed by MPD to the </w:t>
      </w:r>
      <w:r>
        <w:t>eight</w:t>
      </w:r>
      <w:r w:rsidRPr="00A407B0">
        <w:t xml:space="preserve"> MPOs.</w:t>
      </w:r>
      <w:r>
        <w:t xml:space="preserve"> As a subrecipient of 5303 funds through ADOT, e</w:t>
      </w:r>
      <w:r w:rsidRPr="00A407B0">
        <w:t>ach MPO must meet the non-federal matching requirement</w:t>
      </w:r>
      <w:r>
        <w:t>, ADOT and federal requirements</w:t>
      </w:r>
      <w:r w:rsidRPr="00A407B0">
        <w:t>.</w:t>
      </w:r>
    </w:p>
    <w:p w14:paraId="01B6EF0A" w14:textId="5A0297E3" w:rsidR="003707B0" w:rsidRPr="006A01A4" w:rsidRDefault="003707B0" w:rsidP="00020D20">
      <w:pPr>
        <w:pStyle w:val="SubHeading3"/>
        <w:jc w:val="both"/>
        <w:rPr>
          <w:color w:val="538135" w:themeColor="accent6" w:themeShade="BF"/>
        </w:rPr>
      </w:pPr>
      <w:bookmarkStart w:id="503" w:name="_Ref50039218"/>
      <w:r w:rsidRPr="00BE49FB">
        <w:t>Section 5304:</w:t>
      </w:r>
      <w:r w:rsidRPr="006A01A4">
        <w:rPr>
          <w:color w:val="538135" w:themeColor="accent6" w:themeShade="BF"/>
        </w:rPr>
        <w:t xml:space="preserve"> </w:t>
      </w:r>
      <w:r w:rsidRPr="006A01A4">
        <w:t>Statewide &amp; Nonmetropolitan Transportation Planning</w:t>
      </w:r>
      <w:bookmarkEnd w:id="503"/>
    </w:p>
    <w:p w14:paraId="61FD13D2" w14:textId="5DC946B1" w:rsidR="003707B0" w:rsidRDefault="003707B0" w:rsidP="00020D20">
      <w:pPr>
        <w:ind w:left="180"/>
        <w:jc w:val="both"/>
      </w:pPr>
      <w:r w:rsidRPr="00A407B0">
        <w:t xml:space="preserve">Section 5304 requires ADOT to develop a statewide transportation plan consistent with the policy objectives stated in Section 5303 to address the non-urbanized areas of Arizona. </w:t>
      </w:r>
      <w:r>
        <w:t>What funds are not used by the state, ADOT provides towards grant application opportunities during the 5311 application and an MPO</w:t>
      </w:r>
      <w:r w:rsidR="00831809">
        <w:t>/</w:t>
      </w:r>
      <w:r>
        <w:t>COG planning grant application process for these funds. MPO/COGs may apply on behalf of local agencies and administer the Transit funds awarded through the 5304 program</w:t>
      </w:r>
      <w:r w:rsidR="006F7F79">
        <w:t xml:space="preserve">. </w:t>
      </w:r>
      <w:r>
        <w:t>When awarded, these funds are added either to the 5311 awards or the Work Program of the awarded agency and are tied to their contracts.</w:t>
      </w:r>
    </w:p>
    <w:p w14:paraId="023ACDDB" w14:textId="77777777" w:rsidR="003707B0" w:rsidRPr="00A407B0" w:rsidRDefault="003707B0" w:rsidP="00020D20">
      <w:pPr>
        <w:pStyle w:val="Heading3"/>
        <w:jc w:val="both"/>
        <w:rPr>
          <w:bCs/>
        </w:rPr>
      </w:pPr>
      <w:bookmarkStart w:id="504" w:name="_Ref50035901"/>
      <w:r w:rsidRPr="00A407B0">
        <w:t>14.</w:t>
      </w:r>
      <w:r>
        <w:t>4</w:t>
      </w:r>
      <w:r w:rsidRPr="00A407B0">
        <w:t>.</w:t>
      </w:r>
      <w:r>
        <w:t>2</w:t>
      </w:r>
      <w:r w:rsidRPr="00A407B0">
        <w:t xml:space="preserve"> | Transportation Providers</w:t>
      </w:r>
      <w:bookmarkEnd w:id="504"/>
    </w:p>
    <w:p w14:paraId="24F8078D" w14:textId="6C270D41" w:rsidR="003707B0" w:rsidRDefault="003707B0" w:rsidP="00020D20">
      <w:pPr>
        <w:jc w:val="both"/>
      </w:pPr>
      <w:r w:rsidRPr="00A407B0">
        <w:t>Trans</w:t>
      </w:r>
      <w:r>
        <w:t>portation providers (public</w:t>
      </w:r>
      <w:r w:rsidRPr="00A407B0">
        <w:t>, private,</w:t>
      </w:r>
      <w:r>
        <w:t xml:space="preserve"> </w:t>
      </w:r>
      <w:r w:rsidRPr="00A407B0">
        <w:t xml:space="preserve">and non-profit agencies) apply for funding through processes that differ depending on the program. The providers are responsible for working with MPD and their local MPO or COG to meet all application requirements. If granted funding, they are required to fulfill a </w:t>
      </w:r>
      <w:r>
        <w:t xml:space="preserve">series of federal conditions </w:t>
      </w:r>
      <w:r w:rsidRPr="00A407B0">
        <w:t>in individual program handbooks. These requirements include record keeping, financial management and disclosures, civil rights compliance, procurement, and monitoring.</w:t>
      </w:r>
    </w:p>
    <w:p w14:paraId="5A468085" w14:textId="24599473" w:rsidR="003707B0" w:rsidRPr="00A407B0" w:rsidRDefault="003707B0" w:rsidP="00020D20">
      <w:pPr>
        <w:jc w:val="both"/>
        <w:rPr>
          <w:b/>
          <w:bCs/>
        </w:rPr>
      </w:pPr>
      <w:r>
        <w:t>MPOs have urban transportation systems that are direct recipients of FTA</w:t>
      </w:r>
      <w:r w:rsidR="006F7F79">
        <w:t xml:space="preserve">. </w:t>
      </w:r>
      <w:r>
        <w:t xml:space="preserve">These programs can receive funding from ADOT </w:t>
      </w:r>
      <w:r w:rsidR="006F7F79">
        <w:t>and</w:t>
      </w:r>
      <w:r>
        <w:t xml:space="preserve"> be ADOT subrecipients</w:t>
      </w:r>
      <w:r w:rsidR="006F7F79">
        <w:t xml:space="preserve">. </w:t>
      </w:r>
      <w:r>
        <w:t>However, they have different requirements found in the 5307 Urbanized Area Circular</w:t>
      </w:r>
      <w:r w:rsidR="006F7F79">
        <w:t xml:space="preserve">. </w:t>
      </w:r>
      <w:r>
        <w:t>Both COG</w:t>
      </w:r>
      <w:r w:rsidR="006F0C0A">
        <w:t>s</w:t>
      </w:r>
      <w:r>
        <w:t xml:space="preserve"> and MP</w:t>
      </w:r>
      <w:r w:rsidR="00831809">
        <w:t xml:space="preserve">Os work with 5311 Rural Transit, </w:t>
      </w:r>
      <w:r>
        <w:t>5310 programs</w:t>
      </w:r>
      <w:r w:rsidR="00831809">
        <w:t>,</w:t>
      </w:r>
      <w:r>
        <w:t xml:space="preserve"> and private and tribal transit agencies</w:t>
      </w:r>
      <w:r w:rsidR="006F7F79">
        <w:t xml:space="preserve">. </w:t>
      </w:r>
      <w:r>
        <w:t>The intercity bus and senior transportation needs are specifically called out as requirements for MPOs to consider in their planning activities.</w:t>
      </w:r>
    </w:p>
    <w:p w14:paraId="5DBD460E" w14:textId="0F80CE7E" w:rsidR="003707B0" w:rsidRPr="0065255C" w:rsidRDefault="003707B0" w:rsidP="00020D20">
      <w:pPr>
        <w:pStyle w:val="Heading3"/>
        <w:jc w:val="both"/>
        <w:rPr>
          <w:bCs/>
        </w:rPr>
      </w:pPr>
      <w:r>
        <w:t xml:space="preserve"> </w:t>
      </w:r>
      <w:bookmarkStart w:id="505" w:name="_Ref50035904"/>
      <w:r w:rsidRPr="0065255C">
        <w:t>14.</w:t>
      </w:r>
      <w:r>
        <w:t>4</w:t>
      </w:r>
      <w:r w:rsidRPr="0065255C">
        <w:t>.</w:t>
      </w:r>
      <w:r>
        <w:t>3</w:t>
      </w:r>
      <w:r w:rsidRPr="0065255C">
        <w:t xml:space="preserve"> | Federal</w:t>
      </w:r>
      <w:r>
        <w:t xml:space="preserve"> Transit</w:t>
      </w:r>
      <w:r w:rsidRPr="0065255C">
        <w:t xml:space="preserve"> Funding Programs</w:t>
      </w:r>
      <w:r>
        <w:t xml:space="preserve"> Administered by ADOT</w:t>
      </w:r>
      <w:bookmarkEnd w:id="505"/>
    </w:p>
    <w:p w14:paraId="41357BD3" w14:textId="410254F5" w:rsidR="003707B0" w:rsidRDefault="003707B0" w:rsidP="00020D20">
      <w:pPr>
        <w:jc w:val="both"/>
        <w:rPr>
          <w:b/>
          <w:bCs/>
        </w:rPr>
      </w:pPr>
      <w:r w:rsidRPr="0065255C">
        <w:t xml:space="preserve">ADOT administers </w:t>
      </w:r>
      <w:r>
        <w:t>the transit</w:t>
      </w:r>
      <w:r w:rsidRPr="0065255C">
        <w:t xml:space="preserve"> formula programs summarized in table 14-1. </w:t>
      </w:r>
    </w:p>
    <w:p w14:paraId="3BDC2758" w14:textId="45B7955B" w:rsidR="003707B0" w:rsidRDefault="003707B0" w:rsidP="00020D20">
      <w:pPr>
        <w:pStyle w:val="Heading4"/>
        <w:jc w:val="both"/>
      </w:pPr>
      <w:r w:rsidRPr="0065255C">
        <w:t>Table 14-1 | Federal Funding Programs</w:t>
      </w:r>
    </w:p>
    <w:tbl>
      <w:tblPr>
        <w:tblpPr w:leftFromText="180" w:rightFromText="180" w:vertAnchor="text" w:horzAnchor="margin" w:tblpY="25"/>
        <w:tblW w:w="4585" w:type="dxa"/>
        <w:tblLayout w:type="fixed"/>
        <w:tblCellMar>
          <w:left w:w="0" w:type="dxa"/>
          <w:right w:w="0" w:type="dxa"/>
        </w:tblCellMar>
        <w:tblLook w:val="0000" w:firstRow="0" w:lastRow="0" w:firstColumn="0" w:lastColumn="0" w:noHBand="0" w:noVBand="0"/>
      </w:tblPr>
      <w:tblGrid>
        <w:gridCol w:w="545"/>
        <w:gridCol w:w="720"/>
        <w:gridCol w:w="3320"/>
      </w:tblGrid>
      <w:tr w:rsidR="008B7690" w:rsidRPr="0046526F" w14:paraId="742F1F7A" w14:textId="77777777" w:rsidTr="008B7690">
        <w:trPr>
          <w:trHeight w:val="370"/>
        </w:trPr>
        <w:tc>
          <w:tcPr>
            <w:tcW w:w="1265" w:type="dxa"/>
            <w:gridSpan w:val="2"/>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46257E3C" w14:textId="77777777" w:rsidR="008B7690" w:rsidRPr="00020D20" w:rsidRDefault="008B7690" w:rsidP="001E4049">
            <w:pPr>
              <w:spacing w:before="0" w:after="0" w:line="240" w:lineRule="auto"/>
              <w:jc w:val="center"/>
              <w:rPr>
                <w:rFonts w:cstheme="minorHAnsi"/>
                <w:color w:val="FFFFFF" w:themeColor="background1"/>
                <w:sz w:val="22"/>
              </w:rPr>
            </w:pPr>
            <w:r w:rsidRPr="00020D20">
              <w:rPr>
                <w:rFonts w:cstheme="minorHAnsi"/>
                <w:color w:val="FFFFFF" w:themeColor="background1"/>
                <w:sz w:val="22"/>
              </w:rPr>
              <w:t>Program</w:t>
            </w:r>
          </w:p>
        </w:tc>
        <w:tc>
          <w:tcPr>
            <w:tcW w:w="332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2768A282" w14:textId="77777777" w:rsidR="008B7690" w:rsidRPr="00020D20" w:rsidRDefault="008B7690" w:rsidP="000F230E">
            <w:pPr>
              <w:spacing w:before="0" w:after="0" w:line="240" w:lineRule="auto"/>
              <w:jc w:val="center"/>
              <w:rPr>
                <w:rFonts w:cstheme="minorHAnsi"/>
                <w:color w:val="FFFFFF" w:themeColor="background1"/>
                <w:sz w:val="22"/>
              </w:rPr>
            </w:pPr>
            <w:r w:rsidRPr="00020D20">
              <w:rPr>
                <w:rFonts w:cstheme="minorHAnsi"/>
                <w:color w:val="FFFFFF" w:themeColor="background1"/>
                <w:sz w:val="22"/>
              </w:rPr>
              <w:t>Title</w:t>
            </w:r>
          </w:p>
        </w:tc>
      </w:tr>
      <w:tr w:rsidR="008B7690" w:rsidRPr="0065255C" w14:paraId="7347699B" w14:textId="77777777" w:rsidTr="008B7690">
        <w:trPr>
          <w:trHeight w:val="360"/>
        </w:trPr>
        <w:tc>
          <w:tcPr>
            <w:tcW w:w="545"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4ED78BBF" w14:textId="77777777" w:rsidR="008B7690" w:rsidRPr="00020D20" w:rsidRDefault="008B7690" w:rsidP="001E4049">
            <w:pPr>
              <w:spacing w:before="0" w:after="0" w:line="240" w:lineRule="auto"/>
              <w:jc w:val="center"/>
              <w:rPr>
                <w:rFonts w:cstheme="minorHAnsi"/>
                <w:bCs/>
                <w:color w:val="FFFFFF" w:themeColor="background1"/>
              </w:rPr>
            </w:pPr>
            <w:r w:rsidRPr="00020D20">
              <w:rPr>
                <w:rFonts w:cstheme="minorHAnsi"/>
                <w:bCs/>
                <w:color w:val="FFFFFF" w:themeColor="background1"/>
                <w:w w:val="95"/>
                <w:sz w:val="22"/>
              </w:rPr>
              <w:t>Federal Formula Programs</w:t>
            </w: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3E19051D" w14:textId="77777777" w:rsidR="008B7690" w:rsidRPr="00020D20" w:rsidRDefault="008B7690" w:rsidP="00020D20">
            <w:pPr>
              <w:spacing w:before="0" w:after="0" w:line="240" w:lineRule="auto"/>
              <w:jc w:val="center"/>
              <w:rPr>
                <w:sz w:val="18"/>
              </w:rPr>
            </w:pPr>
            <w:r w:rsidRPr="00020D20">
              <w:rPr>
                <w:sz w:val="18"/>
              </w:rPr>
              <w:t>5303</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60E6047F" w14:textId="77777777" w:rsidR="008B7690" w:rsidRPr="00020D20" w:rsidRDefault="008B7690" w:rsidP="00020D20">
            <w:pPr>
              <w:spacing w:before="0" w:after="0" w:line="240" w:lineRule="auto"/>
              <w:jc w:val="center"/>
              <w:rPr>
                <w:sz w:val="18"/>
              </w:rPr>
            </w:pPr>
            <w:r w:rsidRPr="00020D20">
              <w:rPr>
                <w:sz w:val="18"/>
              </w:rPr>
              <w:t>Metropolitan Transportation Planning Program</w:t>
            </w:r>
          </w:p>
        </w:tc>
      </w:tr>
      <w:tr w:rsidR="008B7690" w:rsidRPr="0065255C" w14:paraId="66058079" w14:textId="77777777" w:rsidTr="008B7690">
        <w:trPr>
          <w:trHeight w:val="360"/>
        </w:trPr>
        <w:tc>
          <w:tcPr>
            <w:tcW w:w="545" w:type="dxa"/>
            <w:vMerge/>
            <w:tcBorders>
              <w:top w:val="single" w:sz="4" w:space="0" w:color="auto"/>
              <w:left w:val="single" w:sz="4" w:space="0" w:color="auto"/>
              <w:bottom w:val="single" w:sz="4" w:space="0" w:color="auto"/>
              <w:right w:val="single" w:sz="4" w:space="0" w:color="auto"/>
            </w:tcBorders>
            <w:shd w:val="clear" w:color="auto" w:fill="012768"/>
          </w:tcPr>
          <w:p w14:paraId="15AB479D" w14:textId="77777777" w:rsidR="008B7690" w:rsidRPr="00925293" w:rsidRDefault="008B7690" w:rsidP="00020D20">
            <w:pPr>
              <w:spacing w:before="0" w:after="0" w:line="240" w:lineRule="auto"/>
              <w:jc w:val="center"/>
              <w:rPr>
                <w:rFonts w:cstheme="minorHAnsi"/>
                <w:color w:val="FFFFFF" w:themeColor="background1"/>
              </w:rPr>
            </w:pP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66E6FF84" w14:textId="77777777" w:rsidR="008B7690" w:rsidRPr="00020D20" w:rsidRDefault="008B7690" w:rsidP="00020D20">
            <w:pPr>
              <w:spacing w:before="0" w:after="0" w:line="240" w:lineRule="auto"/>
              <w:jc w:val="center"/>
              <w:rPr>
                <w:sz w:val="18"/>
              </w:rPr>
            </w:pPr>
            <w:r w:rsidRPr="00020D20">
              <w:rPr>
                <w:sz w:val="18"/>
              </w:rPr>
              <w:t>5304</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46E54E9C" w14:textId="77777777" w:rsidR="008B7690" w:rsidRPr="00020D20" w:rsidRDefault="008B7690" w:rsidP="00020D20">
            <w:pPr>
              <w:spacing w:before="0" w:after="0" w:line="240" w:lineRule="auto"/>
              <w:jc w:val="center"/>
              <w:rPr>
                <w:sz w:val="18"/>
              </w:rPr>
            </w:pPr>
            <w:r w:rsidRPr="00020D20">
              <w:rPr>
                <w:sz w:val="18"/>
              </w:rPr>
              <w:t>Statewide &amp; Nonmetropolitan Transportation Planning Program</w:t>
            </w:r>
          </w:p>
        </w:tc>
      </w:tr>
      <w:tr w:rsidR="008B7690" w:rsidRPr="0065255C" w14:paraId="3772D58E" w14:textId="77777777" w:rsidTr="008B7690">
        <w:trPr>
          <w:trHeight w:val="360"/>
        </w:trPr>
        <w:tc>
          <w:tcPr>
            <w:tcW w:w="545" w:type="dxa"/>
            <w:vMerge/>
            <w:tcBorders>
              <w:top w:val="single" w:sz="4" w:space="0" w:color="auto"/>
              <w:left w:val="single" w:sz="4" w:space="0" w:color="auto"/>
              <w:bottom w:val="single" w:sz="4" w:space="0" w:color="auto"/>
              <w:right w:val="single" w:sz="4" w:space="0" w:color="auto"/>
            </w:tcBorders>
            <w:shd w:val="clear" w:color="auto" w:fill="012768"/>
          </w:tcPr>
          <w:p w14:paraId="7C1E9EEF" w14:textId="77777777" w:rsidR="008B7690" w:rsidRPr="00925293" w:rsidRDefault="008B7690" w:rsidP="00020D20">
            <w:pPr>
              <w:spacing w:before="0" w:after="0" w:line="240" w:lineRule="auto"/>
              <w:jc w:val="center"/>
              <w:rPr>
                <w:rFonts w:cstheme="minorHAnsi"/>
                <w:color w:val="FFFFFF" w:themeColor="background1"/>
              </w:rPr>
            </w:pP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3DC43621" w14:textId="77777777" w:rsidR="008B7690" w:rsidRPr="00020D20" w:rsidRDefault="008B7690" w:rsidP="00020D20">
            <w:pPr>
              <w:spacing w:before="0" w:after="0" w:line="240" w:lineRule="auto"/>
              <w:jc w:val="center"/>
              <w:rPr>
                <w:sz w:val="18"/>
              </w:rPr>
            </w:pPr>
            <w:r w:rsidRPr="00020D20">
              <w:rPr>
                <w:sz w:val="18"/>
              </w:rPr>
              <w:t>5307</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2B5D5AD8" w14:textId="77777777" w:rsidR="008B7690" w:rsidRPr="00020D20" w:rsidRDefault="008B7690" w:rsidP="00020D20">
            <w:pPr>
              <w:spacing w:before="0" w:after="0" w:line="240" w:lineRule="auto"/>
              <w:jc w:val="center"/>
              <w:rPr>
                <w:sz w:val="18"/>
              </w:rPr>
            </w:pPr>
            <w:r w:rsidRPr="00020D20">
              <w:rPr>
                <w:sz w:val="18"/>
              </w:rPr>
              <w:t>Urbanized Area Formula Program</w:t>
            </w:r>
          </w:p>
        </w:tc>
      </w:tr>
      <w:tr w:rsidR="008B7690" w:rsidRPr="0065255C" w14:paraId="4EC258FB" w14:textId="77777777" w:rsidTr="008B7690">
        <w:trPr>
          <w:trHeight w:val="360"/>
        </w:trPr>
        <w:tc>
          <w:tcPr>
            <w:tcW w:w="545" w:type="dxa"/>
            <w:vMerge/>
            <w:tcBorders>
              <w:top w:val="single" w:sz="4" w:space="0" w:color="auto"/>
              <w:left w:val="single" w:sz="4" w:space="0" w:color="auto"/>
              <w:bottom w:val="single" w:sz="4" w:space="0" w:color="auto"/>
              <w:right w:val="single" w:sz="4" w:space="0" w:color="auto"/>
            </w:tcBorders>
            <w:shd w:val="clear" w:color="auto" w:fill="012768"/>
          </w:tcPr>
          <w:p w14:paraId="4B776E32" w14:textId="77777777" w:rsidR="008B7690" w:rsidRPr="00925293" w:rsidRDefault="008B7690" w:rsidP="00020D20">
            <w:pPr>
              <w:spacing w:before="0" w:after="0" w:line="240" w:lineRule="auto"/>
              <w:jc w:val="center"/>
              <w:rPr>
                <w:rFonts w:cstheme="minorHAnsi"/>
                <w:color w:val="FFFFFF" w:themeColor="background1"/>
              </w:rPr>
            </w:pP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3FCB4430" w14:textId="77777777" w:rsidR="008B7690" w:rsidRPr="00020D20" w:rsidRDefault="008B7690" w:rsidP="00020D20">
            <w:pPr>
              <w:spacing w:before="0" w:after="0" w:line="240" w:lineRule="auto"/>
              <w:jc w:val="center"/>
              <w:rPr>
                <w:sz w:val="18"/>
              </w:rPr>
            </w:pPr>
            <w:r w:rsidRPr="00020D20">
              <w:rPr>
                <w:sz w:val="18"/>
              </w:rPr>
              <w:t>5310</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7403BEF9" w14:textId="77777777" w:rsidR="008B7690" w:rsidRPr="00020D20" w:rsidRDefault="008B7690" w:rsidP="00020D20">
            <w:pPr>
              <w:spacing w:before="0" w:after="0" w:line="240" w:lineRule="auto"/>
              <w:jc w:val="center"/>
              <w:rPr>
                <w:sz w:val="18"/>
              </w:rPr>
            </w:pPr>
            <w:r w:rsidRPr="00020D20">
              <w:rPr>
                <w:sz w:val="18"/>
              </w:rPr>
              <w:t>Elderly Individuals and Individuals with Disabilities Program</w:t>
            </w:r>
          </w:p>
        </w:tc>
      </w:tr>
      <w:tr w:rsidR="008B7690" w:rsidRPr="0065255C" w14:paraId="738DC296" w14:textId="77777777" w:rsidTr="008B7690">
        <w:trPr>
          <w:trHeight w:val="360"/>
        </w:trPr>
        <w:tc>
          <w:tcPr>
            <w:tcW w:w="545" w:type="dxa"/>
            <w:vMerge/>
            <w:tcBorders>
              <w:top w:val="single" w:sz="4" w:space="0" w:color="auto"/>
              <w:left w:val="single" w:sz="4" w:space="0" w:color="auto"/>
              <w:bottom w:val="single" w:sz="4" w:space="0" w:color="auto"/>
              <w:right w:val="single" w:sz="4" w:space="0" w:color="auto"/>
            </w:tcBorders>
            <w:shd w:val="clear" w:color="auto" w:fill="012768"/>
          </w:tcPr>
          <w:p w14:paraId="10DC7F36" w14:textId="77777777" w:rsidR="008B7690" w:rsidRPr="00925293" w:rsidRDefault="008B7690" w:rsidP="00020D20">
            <w:pPr>
              <w:spacing w:before="0" w:after="0" w:line="240" w:lineRule="auto"/>
              <w:jc w:val="center"/>
              <w:rPr>
                <w:rFonts w:cstheme="minorHAnsi"/>
                <w:color w:val="FFFFFF" w:themeColor="background1"/>
              </w:rPr>
            </w:pP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7608EEEA" w14:textId="77777777" w:rsidR="008B7690" w:rsidRPr="00020D20" w:rsidRDefault="008B7690" w:rsidP="00020D20">
            <w:pPr>
              <w:spacing w:before="0" w:after="0" w:line="240" w:lineRule="auto"/>
              <w:jc w:val="center"/>
              <w:rPr>
                <w:sz w:val="18"/>
              </w:rPr>
            </w:pPr>
            <w:r w:rsidRPr="00020D20">
              <w:rPr>
                <w:sz w:val="18"/>
              </w:rPr>
              <w:t>5311</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4FC27EF8" w14:textId="77777777" w:rsidR="008B7690" w:rsidRPr="00020D20" w:rsidRDefault="008B7690" w:rsidP="00020D20">
            <w:pPr>
              <w:spacing w:before="0" w:after="0" w:line="240" w:lineRule="auto"/>
              <w:jc w:val="center"/>
              <w:rPr>
                <w:sz w:val="18"/>
              </w:rPr>
            </w:pPr>
            <w:r w:rsidRPr="00020D20">
              <w:rPr>
                <w:sz w:val="18"/>
              </w:rPr>
              <w:t>Rural Public Transportation Program: Rural Transit Assistance Program (RTAP) &amp; Intercity Bus Program</w:t>
            </w:r>
          </w:p>
        </w:tc>
      </w:tr>
      <w:tr w:rsidR="008B7690" w:rsidRPr="0065255C" w14:paraId="1722E1A9" w14:textId="77777777" w:rsidTr="008B7690">
        <w:trPr>
          <w:trHeight w:val="360"/>
        </w:trPr>
        <w:tc>
          <w:tcPr>
            <w:tcW w:w="545" w:type="dxa"/>
            <w:vMerge/>
            <w:tcBorders>
              <w:top w:val="single" w:sz="4" w:space="0" w:color="auto"/>
              <w:left w:val="single" w:sz="4" w:space="0" w:color="auto"/>
              <w:bottom w:val="single" w:sz="4" w:space="0" w:color="auto"/>
              <w:right w:val="single" w:sz="4" w:space="0" w:color="auto"/>
            </w:tcBorders>
            <w:shd w:val="clear" w:color="auto" w:fill="012768"/>
          </w:tcPr>
          <w:p w14:paraId="206EF42C" w14:textId="77777777" w:rsidR="008B7690" w:rsidRPr="00925293" w:rsidRDefault="008B7690" w:rsidP="00020D20">
            <w:pPr>
              <w:spacing w:before="0" w:after="0" w:line="240" w:lineRule="auto"/>
              <w:jc w:val="center"/>
              <w:rPr>
                <w:rFonts w:cstheme="minorHAnsi"/>
                <w:color w:val="FFFFFF" w:themeColor="background1"/>
              </w:rPr>
            </w:pP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5B9A033D" w14:textId="77777777" w:rsidR="008B7690" w:rsidRPr="00020D20" w:rsidRDefault="008B7690" w:rsidP="00020D20">
            <w:pPr>
              <w:spacing w:before="0" w:after="0" w:line="240" w:lineRule="auto"/>
              <w:jc w:val="center"/>
              <w:rPr>
                <w:sz w:val="18"/>
              </w:rPr>
            </w:pPr>
            <w:r w:rsidRPr="00020D20">
              <w:rPr>
                <w:sz w:val="18"/>
              </w:rPr>
              <w:t>STBGP</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3E7B3166" w14:textId="77777777" w:rsidR="008B7690" w:rsidRPr="00020D20" w:rsidRDefault="008B7690" w:rsidP="00020D20">
            <w:pPr>
              <w:spacing w:before="0" w:after="0" w:line="240" w:lineRule="auto"/>
              <w:jc w:val="center"/>
              <w:rPr>
                <w:sz w:val="18"/>
              </w:rPr>
            </w:pPr>
            <w:r w:rsidRPr="00020D20">
              <w:rPr>
                <w:sz w:val="18"/>
              </w:rPr>
              <w:t>Surface Transportation Block Group Program</w:t>
            </w:r>
          </w:p>
        </w:tc>
      </w:tr>
      <w:tr w:rsidR="008B7690" w:rsidRPr="0065255C" w14:paraId="0E1F738D" w14:textId="77777777" w:rsidTr="008B7690">
        <w:trPr>
          <w:trHeight w:val="316"/>
        </w:trPr>
        <w:tc>
          <w:tcPr>
            <w:tcW w:w="545" w:type="dxa"/>
            <w:vMerge/>
            <w:tcBorders>
              <w:top w:val="single" w:sz="4" w:space="0" w:color="auto"/>
              <w:left w:val="single" w:sz="4" w:space="0" w:color="auto"/>
              <w:bottom w:val="single" w:sz="4" w:space="0" w:color="auto"/>
              <w:right w:val="single" w:sz="4" w:space="0" w:color="auto"/>
            </w:tcBorders>
            <w:shd w:val="clear" w:color="auto" w:fill="012768"/>
          </w:tcPr>
          <w:p w14:paraId="3037CE70" w14:textId="77777777" w:rsidR="008B7690" w:rsidRPr="0065255C" w:rsidRDefault="008B7690" w:rsidP="00020D20">
            <w:pPr>
              <w:spacing w:before="0" w:after="0" w:line="240" w:lineRule="auto"/>
              <w:jc w:val="center"/>
              <w:rPr>
                <w:rFonts w:cstheme="minorHAnsi"/>
              </w:rPr>
            </w:pPr>
          </w:p>
        </w:tc>
        <w:tc>
          <w:tcPr>
            <w:tcW w:w="7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67F76172" w14:textId="77777777" w:rsidR="008B7690" w:rsidRPr="00020D20" w:rsidRDefault="008B7690" w:rsidP="00020D20">
            <w:pPr>
              <w:spacing w:before="0" w:after="0" w:line="240" w:lineRule="auto"/>
              <w:jc w:val="center"/>
              <w:rPr>
                <w:sz w:val="18"/>
              </w:rPr>
            </w:pPr>
            <w:r w:rsidRPr="00020D20">
              <w:rPr>
                <w:sz w:val="18"/>
              </w:rPr>
              <w:t>5339</w:t>
            </w:r>
          </w:p>
        </w:tc>
        <w:tc>
          <w:tcPr>
            <w:tcW w:w="33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18624C8D" w14:textId="77777777" w:rsidR="008B7690" w:rsidRPr="00020D20" w:rsidRDefault="008B7690" w:rsidP="00020D20">
            <w:pPr>
              <w:spacing w:before="0" w:after="0" w:line="240" w:lineRule="auto"/>
              <w:jc w:val="center"/>
              <w:rPr>
                <w:sz w:val="18"/>
              </w:rPr>
            </w:pPr>
            <w:r w:rsidRPr="00020D20">
              <w:rPr>
                <w:sz w:val="18"/>
              </w:rPr>
              <w:t>Bus and Bus Facilities Program</w:t>
            </w:r>
          </w:p>
        </w:tc>
      </w:tr>
    </w:tbl>
    <w:p w14:paraId="1B90848B" w14:textId="77777777" w:rsidR="008B7690" w:rsidRPr="00020D20" w:rsidRDefault="008B7690" w:rsidP="00020D20">
      <w:pPr>
        <w:jc w:val="both"/>
      </w:pPr>
    </w:p>
    <w:p w14:paraId="67EA83EB" w14:textId="5B6401CA" w:rsidR="003707B0" w:rsidRDefault="003707B0" w:rsidP="00020D20">
      <w:pPr>
        <w:pStyle w:val="Heading2"/>
        <w:rPr>
          <w:bCs/>
        </w:rPr>
      </w:pPr>
      <w:bookmarkStart w:id="506" w:name="_Ref50035916"/>
      <w:r w:rsidRPr="0065255C">
        <w:t>14.</w:t>
      </w:r>
      <w:r>
        <w:t>5</w:t>
      </w:r>
      <w:r w:rsidRPr="0065255C">
        <w:t xml:space="preserve"> | MOBILITY MANAGEMENT PROGRAM</w:t>
      </w:r>
      <w:bookmarkEnd w:id="506"/>
      <w:r>
        <w:t xml:space="preserve"> </w:t>
      </w:r>
    </w:p>
    <w:p w14:paraId="154D8CC4" w14:textId="4401DFFF" w:rsidR="003707B0" w:rsidRPr="0065255C" w:rsidRDefault="00C81F9A" w:rsidP="00020D20">
      <w:pPr>
        <w:jc w:val="both"/>
        <w:rPr>
          <w:b/>
          <w:bCs/>
        </w:rPr>
      </w:pPr>
      <w:r>
        <w:rPr>
          <w:rFonts w:cstheme="minorHAnsi"/>
          <w:noProof/>
        </w:rPr>
        <mc:AlternateContent>
          <mc:Choice Requires="wps">
            <w:drawing>
              <wp:anchor distT="0" distB="0" distL="114300" distR="114300" simplePos="0" relativeHeight="251618608" behindDoc="1" locked="0" layoutInCell="1" allowOverlap="1" wp14:anchorId="438B5D98" wp14:editId="3C8C496B">
                <wp:simplePos x="0" y="0"/>
                <wp:positionH relativeFrom="column">
                  <wp:posOffset>1499190</wp:posOffset>
                </wp:positionH>
                <wp:positionV relativeFrom="paragraph">
                  <wp:posOffset>126129</wp:posOffset>
                </wp:positionV>
                <wp:extent cx="1143000" cy="1482725"/>
                <wp:effectExtent l="76200" t="95250" r="76200" b="98425"/>
                <wp:wrapTight wrapText="bothSides">
                  <wp:wrapPolygon edited="0">
                    <wp:start x="-1080" y="-1388"/>
                    <wp:lineTo x="-1440" y="-833"/>
                    <wp:lineTo x="-1440" y="22756"/>
                    <wp:lineTo x="22680" y="22756"/>
                    <wp:lineTo x="22680" y="-1388"/>
                    <wp:lineTo x="-1080" y="-1388"/>
                  </wp:wrapPolygon>
                </wp:wrapTight>
                <wp:docPr id="1690911444" name="Text Box 1690911444"/>
                <wp:cNvGraphicFramePr/>
                <a:graphic xmlns:a="http://schemas.openxmlformats.org/drawingml/2006/main">
                  <a:graphicData uri="http://schemas.microsoft.com/office/word/2010/wordprocessingShape">
                    <wps:wsp>
                      <wps:cNvSpPr txBox="1"/>
                      <wps:spPr>
                        <a:xfrm>
                          <a:off x="0" y="0"/>
                          <a:ext cx="1143000" cy="14827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5D98A23" w14:textId="77777777" w:rsidR="00C6444C" w:rsidRDefault="00C6444C" w:rsidP="00020D20">
                            <w:pPr>
                              <w:jc w:val="center"/>
                            </w:pPr>
                            <w:r>
                              <w:rPr>
                                <w:noProof/>
                              </w:rPr>
                              <w:drawing>
                                <wp:inline distT="0" distB="0" distL="0" distR="0" wp14:anchorId="1E81A8F7" wp14:editId="6F3BDCA7">
                                  <wp:extent cx="457200" cy="457200"/>
                                  <wp:effectExtent l="0" t="0" r="0" b="0"/>
                                  <wp:docPr id="816286113" name="Picture 81628611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5952618" w14:textId="60EC8EA3" w:rsidR="00C6444C" w:rsidRPr="00954116" w:rsidRDefault="00C6444C" w:rsidP="00020D20">
                            <w:pPr>
                              <w:pStyle w:val="Calloutboxes"/>
                            </w:pPr>
                            <w:r w:rsidRPr="00394A74">
                              <w:t>The FTA Grant Programs are also described here:</w:t>
                            </w:r>
                          </w:p>
                          <w:p w14:paraId="3115704B" w14:textId="6C313BE1" w:rsidR="00C6444C" w:rsidRPr="007A2455" w:rsidRDefault="00202C92" w:rsidP="00C81F9A">
                            <w:pPr>
                              <w:pStyle w:val="Title"/>
                            </w:pPr>
                            <w:hyperlink r:id="rId861" w:history="1">
                              <w:r w:rsidR="00C6444C" w:rsidRPr="00020D20">
                                <w:rPr>
                                  <w:rStyle w:val="Hyperlink"/>
                                  <w:rFonts w:asciiTheme="minorHAnsi" w:hAnsiTheme="minorHAnsi" w:cstheme="majorBidi"/>
                                  <w:i/>
                                  <w:color w:val="CE5B18"/>
                                  <w:u w:val="none"/>
                                </w:rPr>
                                <w:t>https://www.transit.dot.gov/funding/grants/grant-programs</w:t>
                              </w:r>
                            </w:hyperlink>
                            <w:r w:rsidR="00C6444C" w:rsidRPr="007A2455" w:rsidDel="004D6FAF">
                              <w:rPr>
                                <w:i w:val="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8B5D98" id="Text Box 1690911444" o:spid="_x0000_s1221" type="#_x0000_t202" style="position:absolute;left:0;text-align:left;margin-left:118.05pt;margin-top:9.95pt;width:90pt;height:116.75pt;z-index:-25169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" fillcolor="#f7f7f7" stroked="f" strokeweight=".5pt">
                <v:shadow on="t" type="perspective" color="black" opacity="26214f" offset="0,0" matrix="66847f,,,66847f"/>
                <v:textbox>
                  <w:txbxContent>
                    <w:p w14:paraId="35D98A23" w14:textId="77777777" w:rsidR="00C6444C" w:rsidRDefault="00C6444C" w:rsidP="00020D20">
                      <w:pPr>
                        <w:jc w:val="center"/>
                      </w:pPr>
                      <w:r>
                        <w:rPr>
                          <w:noProof/>
                        </w:rPr>
                        <w:drawing>
                          <wp:inline distT="0" distB="0" distL="0" distR="0" wp14:anchorId="1E81A8F7" wp14:editId="6F3BDCA7">
                            <wp:extent cx="457200" cy="457200"/>
                            <wp:effectExtent l="0" t="0" r="0" b="0"/>
                            <wp:docPr id="816286113" name="Picture 81628611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5952618" w14:textId="60EC8EA3" w:rsidR="00C6444C" w:rsidRPr="00954116" w:rsidRDefault="00C6444C" w:rsidP="00020D20">
                      <w:pPr>
                        <w:pStyle w:val="Calloutboxes"/>
                      </w:pPr>
                      <w:r w:rsidRPr="00394A74">
                        <w:t>The FTA Grant Programs are also described here:</w:t>
                      </w:r>
                    </w:p>
                    <w:p w14:paraId="3115704B" w14:textId="6C313BE1" w:rsidR="00C6444C" w:rsidRPr="007A2455" w:rsidRDefault="00C6444C" w:rsidP="00C81F9A">
                      <w:pPr>
                        <w:pStyle w:val="Title"/>
                      </w:pPr>
                      <w:hyperlink r:id="rId862" w:history="1">
                        <w:r w:rsidRPr="00020D20">
                          <w:rPr>
                            <w:rStyle w:val="Hyperlink"/>
                            <w:rFonts w:asciiTheme="minorHAnsi" w:hAnsiTheme="minorHAnsi" w:cstheme="majorBidi"/>
                            <w:i/>
                            <w:color w:val="CE5B18"/>
                            <w:u w:val="none"/>
                          </w:rPr>
                          <w:t>https://www.transit.dot.gov/funding/grants/grant-programs</w:t>
                        </w:r>
                      </w:hyperlink>
                      <w:r w:rsidRPr="007A2455" w:rsidDel="004D6FAF">
                        <w:rPr>
                          <w:i w:val="0"/>
                        </w:rPr>
                        <w:t xml:space="preserve"> </w:t>
                      </w:r>
                    </w:p>
                  </w:txbxContent>
                </v:textbox>
                <w10:wrap type="tight"/>
              </v:shape>
            </w:pict>
          </mc:Fallback>
        </mc:AlternateContent>
      </w:r>
      <w:r w:rsidR="003707B0" w:rsidRPr="0065255C">
        <w:t>Mobility management is an innovative customer-driven approach for delivering coordinated transportation services that help older adults, persons with disabilities, and low income household members to enjoy increased mobility. It encompasses short-range planning and</w:t>
      </w:r>
      <w:r w:rsidR="003707B0">
        <w:t xml:space="preserve"> </w:t>
      </w:r>
      <w:r w:rsidR="003707B0" w:rsidRPr="0065255C">
        <w:t xml:space="preserve">management activities and projects to improve coordination among public transportation systems and other transportation service providers, including private nonprofit provider (PNP) agencies and commercial providers. The primary grant program authorized in </w:t>
      </w:r>
      <w:r w:rsidR="003707B0">
        <w:t>the FAST Act</w:t>
      </w:r>
      <w:r w:rsidR="003707B0" w:rsidRPr="0065255C">
        <w:t xml:space="preserve"> to support mobility management activities </w:t>
      </w:r>
      <w:r w:rsidR="003707B0">
        <w:t xml:space="preserve">is </w:t>
      </w:r>
      <w:r w:rsidR="003707B0" w:rsidRPr="0065255C">
        <w:t>Section 5310.</w:t>
      </w:r>
      <w:r w:rsidRPr="00C81F9A">
        <w:rPr>
          <w:rFonts w:cstheme="minorHAnsi"/>
          <w:noProof/>
        </w:rPr>
        <w:t xml:space="preserve"> </w:t>
      </w:r>
    </w:p>
    <w:p w14:paraId="5B1DF772" w14:textId="11A170F5" w:rsidR="003707B0" w:rsidRPr="0065255C" w:rsidRDefault="003707B0" w:rsidP="00020D20">
      <w:pPr>
        <w:pStyle w:val="Heading3"/>
        <w:jc w:val="both"/>
        <w:rPr>
          <w:bCs/>
        </w:rPr>
      </w:pPr>
      <w:bookmarkStart w:id="507" w:name="_Ref50035920"/>
      <w:r w:rsidRPr="0065255C">
        <w:t>14.</w:t>
      </w:r>
      <w:r>
        <w:t>5</w:t>
      </w:r>
      <w:r w:rsidRPr="0065255C">
        <w:t>.1 | Regional Coordination Plan</w:t>
      </w:r>
      <w:bookmarkEnd w:id="507"/>
    </w:p>
    <w:p w14:paraId="27AAABC1" w14:textId="6433FBE5" w:rsidR="003707B0" w:rsidRPr="0065255C" w:rsidRDefault="003707B0" w:rsidP="00020D20">
      <w:pPr>
        <w:jc w:val="both"/>
        <w:rPr>
          <w:b/>
          <w:bCs/>
        </w:rPr>
      </w:pPr>
      <w:r w:rsidRPr="0065255C">
        <w:t xml:space="preserve">The FTA requires that all Section 5310-funded projects are included in a Human Services Transportation Coordination Plan (HSTCP) developed and maintained at the regional level. </w:t>
      </w:r>
    </w:p>
    <w:p w14:paraId="598BCEB3" w14:textId="70C9DDC9" w:rsidR="003707B0" w:rsidRPr="0065255C" w:rsidRDefault="003707B0" w:rsidP="00020D20">
      <w:pPr>
        <w:pStyle w:val="SectionHeadersADOTText"/>
        <w:tabs>
          <w:tab w:val="left" w:pos="450"/>
        </w:tabs>
        <w:jc w:val="both"/>
        <w:rPr>
          <w:rFonts w:asciiTheme="minorHAnsi" w:hAnsiTheme="minorHAnsi" w:cstheme="minorHAnsi"/>
          <w:b w:val="0"/>
          <w:bCs w:val="0"/>
          <w:color w:val="auto"/>
          <w:position w:val="0"/>
          <w:sz w:val="20"/>
          <w:szCs w:val="20"/>
        </w:rPr>
      </w:pPr>
      <w:r w:rsidRPr="0065255C">
        <w:rPr>
          <w:rFonts w:asciiTheme="minorHAnsi" w:hAnsiTheme="minorHAnsi" w:cstheme="minorHAnsi"/>
          <w:b w:val="0"/>
          <w:bCs w:val="0"/>
          <w:color w:val="auto"/>
          <w:position w:val="0"/>
          <w:sz w:val="20"/>
          <w:szCs w:val="20"/>
        </w:rPr>
        <w:t>Arizona COGs and MPOs are responsible for managing the coordination planning process with oversight by ADOT. Key regional responsibilities include:</w:t>
      </w:r>
    </w:p>
    <w:p w14:paraId="63857CB8" w14:textId="77777777" w:rsidR="003707B0" w:rsidRPr="0065255C" w:rsidRDefault="003707B0" w:rsidP="00020D20">
      <w:pPr>
        <w:pStyle w:val="Body-Bullets"/>
        <w:jc w:val="both"/>
      </w:pPr>
      <w:r w:rsidRPr="0065255C">
        <w:t>Assisting local transportation providers and Coordinated Mobility Program grantees in assessing and developing local and regional mobility management and coordination options.</w:t>
      </w:r>
    </w:p>
    <w:p w14:paraId="130E9AEE" w14:textId="77777777" w:rsidR="003707B0" w:rsidRPr="0065255C" w:rsidRDefault="003707B0" w:rsidP="00020D20">
      <w:pPr>
        <w:pStyle w:val="Body-Bullets"/>
        <w:jc w:val="both"/>
      </w:pPr>
      <w:r w:rsidRPr="0065255C">
        <w:t>Participating in coordination meetings and other local, regional, and statewide venues, including working groups.</w:t>
      </w:r>
    </w:p>
    <w:p w14:paraId="325A4825" w14:textId="77777777" w:rsidR="003707B0" w:rsidRPr="0065255C" w:rsidRDefault="003707B0" w:rsidP="00020D20">
      <w:pPr>
        <w:pStyle w:val="Body-Bullets"/>
        <w:jc w:val="both"/>
      </w:pPr>
      <w:r w:rsidRPr="0065255C">
        <w:t>Convening a regional coordinating council that meets on a quarterly basis per the FTA circular guidelines.</w:t>
      </w:r>
    </w:p>
    <w:p w14:paraId="4C8E894F" w14:textId="77777777" w:rsidR="003707B0" w:rsidRPr="0065255C" w:rsidRDefault="003707B0" w:rsidP="00020D20">
      <w:pPr>
        <w:pStyle w:val="Body-Bullets"/>
        <w:jc w:val="both"/>
      </w:pPr>
      <w:r w:rsidRPr="0065255C">
        <w:t>Creating, maintaining, updating, and implementing the HSTCP document.</w:t>
      </w:r>
    </w:p>
    <w:p w14:paraId="13367BAF" w14:textId="77777777" w:rsidR="003707B0" w:rsidRPr="0065255C" w:rsidRDefault="003707B0" w:rsidP="00020D20">
      <w:pPr>
        <w:pStyle w:val="Body-Bullets"/>
        <w:jc w:val="both"/>
        <w:rPr>
          <w:b/>
          <w:bCs/>
        </w:rPr>
      </w:pPr>
      <w:r w:rsidRPr="0065255C">
        <w:t>The HSTCP must certify to ADOT that the projects selected for regional funding stem from a locally developed process that engages public transit and human service agency providers, representatives of older adults and individuals with disabilities, and the public. The regional coordination plan must include:</w:t>
      </w:r>
    </w:p>
    <w:p w14:paraId="2C33B634" w14:textId="77777777" w:rsidR="003707B0" w:rsidRPr="0065255C" w:rsidRDefault="003707B0" w:rsidP="00020D20">
      <w:pPr>
        <w:pStyle w:val="Body-Bullets"/>
        <w:jc w:val="both"/>
      </w:pPr>
      <w:r w:rsidRPr="0065255C">
        <w:t>An assessment of available services and current transportation providers (public, private, and nonprofit).</w:t>
      </w:r>
    </w:p>
    <w:p w14:paraId="56E1A342" w14:textId="77777777" w:rsidR="003707B0" w:rsidRPr="0065255C" w:rsidRDefault="003707B0" w:rsidP="00020D20">
      <w:pPr>
        <w:pStyle w:val="Body-Bullets"/>
        <w:jc w:val="both"/>
      </w:pPr>
      <w:r w:rsidRPr="0065255C">
        <w:t xml:space="preserve">A needs assessment focusing on individuals with disabilities, older adults, and people with low incomes. </w:t>
      </w:r>
    </w:p>
    <w:p w14:paraId="294107ED" w14:textId="77777777" w:rsidR="003707B0" w:rsidRPr="0065255C" w:rsidRDefault="003707B0" w:rsidP="00020D20">
      <w:pPr>
        <w:pStyle w:val="Body-Bullets"/>
        <w:jc w:val="both"/>
      </w:pPr>
      <w:r w:rsidRPr="0065255C">
        <w:t>Strategies, activities, and/or projects to address the identified gaps between current services and needs, as well as opportunities to achieve efficiencies in service delivery.</w:t>
      </w:r>
    </w:p>
    <w:p w14:paraId="3ED9C69F" w14:textId="77777777" w:rsidR="003707B0" w:rsidRDefault="003707B0" w:rsidP="00020D20">
      <w:pPr>
        <w:pStyle w:val="Body-Bullets"/>
        <w:jc w:val="both"/>
      </w:pPr>
      <w:r w:rsidRPr="0065255C">
        <w:t>Priorities for enactment based on resources (from multiple program sources), time, and feasibility for implementing specific strategies and/or activities that have been identified.</w:t>
      </w:r>
    </w:p>
    <w:p w14:paraId="43A58C17" w14:textId="4ED1FD22" w:rsidR="003707B0" w:rsidRPr="0065255C" w:rsidRDefault="003707B0" w:rsidP="00020D20">
      <w:pPr>
        <w:pStyle w:val="Body-Bullets"/>
        <w:jc w:val="both"/>
      </w:pPr>
      <w:r>
        <w:t>Mobility Managers act as liaisons between ADOT and local transit programs</w:t>
      </w:r>
      <w:r w:rsidR="00891CEC">
        <w:t xml:space="preserve">. </w:t>
      </w:r>
      <w:r>
        <w:t>They can identify and work to remove barriers to efficient and effective service in their regions.</w:t>
      </w:r>
    </w:p>
    <w:p w14:paraId="40FC2F63" w14:textId="78217218" w:rsidR="003707B0" w:rsidRDefault="003707B0" w:rsidP="00020D20">
      <w:pPr>
        <w:ind w:left="180"/>
        <w:jc w:val="both"/>
      </w:pPr>
      <w:r>
        <w:t>ADOT funds Mobility Management Activities through the 5310 Mobility for Seniors and People with Disabilities</w:t>
      </w:r>
      <w:r w:rsidR="00891CEC">
        <w:t xml:space="preserve">. </w:t>
      </w:r>
      <w:r>
        <w:t>This funding is available through a grant application open every other year</w:t>
      </w:r>
      <w:r w:rsidR="00891CEC">
        <w:t xml:space="preserve">. </w:t>
      </w:r>
      <w:r>
        <w:t>ADOT encourages the partnerships in the mobility management program between different agencies</w:t>
      </w:r>
      <w:r w:rsidR="00891CEC">
        <w:t xml:space="preserve">. </w:t>
      </w:r>
      <w:r>
        <w:t>Many COG and MPOs have partnered to provide regional mobility management.</w:t>
      </w:r>
    </w:p>
    <w:p w14:paraId="5732BBA2" w14:textId="77777777" w:rsidR="003707B0" w:rsidRPr="008C3A9C" w:rsidRDefault="003707B0" w:rsidP="00020D20">
      <w:pPr>
        <w:pStyle w:val="Heading3"/>
        <w:jc w:val="both"/>
        <w:rPr>
          <w:bCs/>
        </w:rPr>
      </w:pPr>
      <w:bookmarkStart w:id="508" w:name="_Ref50035923"/>
      <w:r w:rsidRPr="00A407B0">
        <w:t>14.</w:t>
      </w:r>
      <w:r>
        <w:t>5</w:t>
      </w:r>
      <w:r w:rsidRPr="00A407B0">
        <w:t xml:space="preserve">.2 | </w:t>
      </w:r>
      <w:r>
        <w:t>Tribal Coordination</w:t>
      </w:r>
      <w:bookmarkEnd w:id="508"/>
    </w:p>
    <w:p w14:paraId="5055280B" w14:textId="2B8DE6A3" w:rsidR="003707B0" w:rsidRDefault="003707B0" w:rsidP="00020D20">
      <w:pPr>
        <w:ind w:left="180"/>
        <w:jc w:val="both"/>
      </w:pPr>
      <w:r w:rsidRPr="00A407B0">
        <w:t>ADOT also shares responsibility with COGs and MPOs to coordinate Section</w:t>
      </w:r>
      <w:r>
        <w:t>s 5310 and</w:t>
      </w:r>
      <w:r w:rsidRPr="00A407B0">
        <w:t xml:space="preserve"> 5311 grant funding to tribal and other </w:t>
      </w:r>
      <w:r>
        <w:t xml:space="preserve">rural </w:t>
      </w:r>
      <w:r w:rsidRPr="00A407B0">
        <w:t>public transit systems in Arizona</w:t>
      </w:r>
      <w:r w:rsidR="004642A6" w:rsidRPr="00A407B0">
        <w:t xml:space="preserve">. </w:t>
      </w:r>
      <w:r>
        <w:t>Tribal communities must participate in the regional Coordination Plan if they wish to be eligible for the 5310 funding</w:t>
      </w:r>
      <w:r w:rsidR="004642A6">
        <w:t xml:space="preserve">. </w:t>
      </w:r>
      <w:r>
        <w:t>However, they are not otherwise required to coordinate with MPO’s or COG’s</w:t>
      </w:r>
      <w:r w:rsidR="004642A6">
        <w:t xml:space="preserve">. </w:t>
      </w:r>
      <w:r>
        <w:t>MPO and COG representatives should make every effort to coordination with tribal representatives</w:t>
      </w:r>
      <w:r w:rsidR="004642A6">
        <w:t xml:space="preserve">. </w:t>
      </w:r>
      <w:r>
        <w:t>ADOT has several tribal liaisons that have developed training for working with tribes and may provide assistance in effective coordination with tribal communities.</w:t>
      </w:r>
    </w:p>
    <w:p w14:paraId="5EA6FA4F" w14:textId="38CA61B8" w:rsidR="003707B0" w:rsidRDefault="003707B0" w:rsidP="00020D20">
      <w:pPr>
        <w:pStyle w:val="Heading2"/>
        <w:rPr>
          <w:bCs/>
        </w:rPr>
      </w:pPr>
      <w:bookmarkStart w:id="509" w:name="_Ref50035930"/>
      <w:r w:rsidRPr="0065255C">
        <w:t>14.</w:t>
      </w:r>
      <w:r>
        <w:t>6</w:t>
      </w:r>
      <w:r w:rsidRPr="0065255C">
        <w:t xml:space="preserve"> | </w:t>
      </w:r>
      <w:r w:rsidR="00D22476">
        <w:t xml:space="preserve">TRANSIT </w:t>
      </w:r>
      <w:r>
        <w:t>GRANT MANAGEMENT AND GRANTEE RESPONSIBILITIES</w:t>
      </w:r>
      <w:bookmarkEnd w:id="509"/>
    </w:p>
    <w:p w14:paraId="46DDA41B" w14:textId="102D50BD" w:rsidR="003707B0" w:rsidRDefault="003707B0" w:rsidP="00020D20">
      <w:pPr>
        <w:jc w:val="both"/>
      </w:pPr>
      <w:r>
        <w:t>MPO</w:t>
      </w:r>
      <w:r w:rsidR="000B5373">
        <w:t>s</w:t>
      </w:r>
      <w:r>
        <w:t xml:space="preserve"> and COGs partner with the State in its grant application process to ensure funds meet the needs of the local communities.</w:t>
      </w:r>
    </w:p>
    <w:p w14:paraId="52794019" w14:textId="77777777" w:rsidR="003707B0" w:rsidRPr="00A13158" w:rsidRDefault="003707B0" w:rsidP="00020D20">
      <w:pPr>
        <w:pStyle w:val="Heading3"/>
        <w:jc w:val="both"/>
        <w:rPr>
          <w:bCs/>
        </w:rPr>
      </w:pPr>
      <w:bookmarkStart w:id="510" w:name="_Ref50039387"/>
      <w:r w:rsidRPr="00A407B0">
        <w:t>14.</w:t>
      </w:r>
      <w:r>
        <w:t>6.1</w:t>
      </w:r>
      <w:r w:rsidRPr="00A407B0">
        <w:t xml:space="preserve"> | </w:t>
      </w:r>
      <w:r>
        <w:t xml:space="preserve">ADOT’s </w:t>
      </w:r>
      <w:r w:rsidRPr="00745EC9">
        <w:t xml:space="preserve">Grant Application &amp; </w:t>
      </w:r>
      <w:r>
        <w:t>Management Responsibilities</w:t>
      </w:r>
      <w:bookmarkEnd w:id="510"/>
    </w:p>
    <w:p w14:paraId="109CF15A" w14:textId="77777777" w:rsidR="003707B0" w:rsidRPr="00A407B0" w:rsidRDefault="003707B0" w:rsidP="00020D20">
      <w:pPr>
        <w:jc w:val="both"/>
        <w:rPr>
          <w:b/>
          <w:bCs/>
        </w:rPr>
      </w:pPr>
      <w:r w:rsidRPr="00A407B0">
        <w:t>ADOT’s general responsibilities for grant program</w:t>
      </w:r>
      <w:r>
        <w:t xml:space="preserve"> administration include</w:t>
      </w:r>
      <w:r w:rsidRPr="00A407B0">
        <w:t>:</w:t>
      </w:r>
    </w:p>
    <w:p w14:paraId="6FE3BD3E" w14:textId="77777777" w:rsidR="003707B0" w:rsidRPr="00020D20" w:rsidRDefault="003707B0" w:rsidP="00020D20">
      <w:pPr>
        <w:pStyle w:val="Body-Bullets"/>
        <w:jc w:val="both"/>
        <w:rPr>
          <w:b/>
          <w:bCs/>
        </w:rPr>
      </w:pPr>
      <w:r w:rsidRPr="006F7F79">
        <w:t>Establish and document ADOT’s procedures in the State Management Plan. (ADOT)</w:t>
      </w:r>
    </w:p>
    <w:p w14:paraId="0EDFF288" w14:textId="77777777" w:rsidR="003707B0" w:rsidRPr="00020D20" w:rsidRDefault="003707B0" w:rsidP="00020D20">
      <w:pPr>
        <w:pStyle w:val="Body-Bullets"/>
        <w:jc w:val="both"/>
        <w:rPr>
          <w:b/>
          <w:bCs/>
        </w:rPr>
      </w:pPr>
      <w:r w:rsidRPr="006F7F79">
        <w:t>Effectively manage FTA funds, and complete all FTA required reports. (ADOT)</w:t>
      </w:r>
    </w:p>
    <w:p w14:paraId="4067FA63" w14:textId="77777777" w:rsidR="003707B0" w:rsidRPr="00020D20" w:rsidRDefault="003707B0" w:rsidP="00020D20">
      <w:pPr>
        <w:pStyle w:val="Body-Bullets"/>
        <w:jc w:val="both"/>
        <w:rPr>
          <w:b/>
          <w:bCs/>
        </w:rPr>
      </w:pPr>
      <w:r w:rsidRPr="006F7F79">
        <w:t>Develop project selection procedures in accordance with FTA requirements, and manage grant application processes. (ADOT)</w:t>
      </w:r>
    </w:p>
    <w:p w14:paraId="6FFD7D88" w14:textId="77777777" w:rsidR="003707B0" w:rsidRPr="00020D20" w:rsidRDefault="003707B0" w:rsidP="00020D20">
      <w:pPr>
        <w:pStyle w:val="Body-Bullets"/>
        <w:jc w:val="both"/>
        <w:rPr>
          <w:b/>
          <w:bCs/>
        </w:rPr>
      </w:pPr>
      <w:r w:rsidRPr="006F7F79">
        <w:t>Provide program information and technical assistance to local and regional government agencies and transit providers, for project development, implementation, and operation. (ADOT/COG/MPO)</w:t>
      </w:r>
    </w:p>
    <w:p w14:paraId="6AC5B4E1" w14:textId="77777777" w:rsidR="003707B0" w:rsidRPr="00020D20" w:rsidRDefault="003707B0" w:rsidP="00020D20">
      <w:pPr>
        <w:pStyle w:val="Body-Bullets"/>
        <w:jc w:val="both"/>
        <w:rPr>
          <w:b/>
          <w:bCs/>
        </w:rPr>
      </w:pPr>
      <w:r w:rsidRPr="006F7F79">
        <w:t>Monitor all grant recipients through project completion, overseeing projects by audits and site visits, and monitoring project close- out. (ADOT/MPO/COG)</w:t>
      </w:r>
    </w:p>
    <w:p w14:paraId="3DB8F9EC" w14:textId="77777777" w:rsidR="003707B0" w:rsidRPr="00020D20" w:rsidRDefault="003707B0" w:rsidP="00020D20">
      <w:pPr>
        <w:pStyle w:val="Body-Bullets"/>
        <w:jc w:val="both"/>
        <w:rPr>
          <w:b/>
          <w:bCs/>
        </w:rPr>
      </w:pPr>
      <w:r w:rsidRPr="006F7F79">
        <w:t>Encourage and facilitate the most efficient use of all federal funds to provide passenger transportation through the coordination of programs and services. (ADOT/MPO/COG)</w:t>
      </w:r>
    </w:p>
    <w:p w14:paraId="7C58B902" w14:textId="16FB2589" w:rsidR="003707B0" w:rsidRPr="004D5079" w:rsidRDefault="003707B0" w:rsidP="00020D20">
      <w:pPr>
        <w:pStyle w:val="Body-Bullets"/>
        <w:jc w:val="both"/>
      </w:pPr>
      <w:r w:rsidRPr="004D5079">
        <w:t>Coordinate vehicle purchases through competitive bid. (ADOT)</w:t>
      </w:r>
    </w:p>
    <w:p w14:paraId="72BE7F9A" w14:textId="77777777" w:rsidR="003707B0" w:rsidRPr="004D5079" w:rsidRDefault="003707B0" w:rsidP="00020D20">
      <w:pPr>
        <w:pStyle w:val="Body-Bullets"/>
        <w:jc w:val="both"/>
      </w:pPr>
      <w:r w:rsidRPr="004D5079">
        <w:t>Coordinate FTA programs administered by ADOT including the Transportation Planning Program Sections 5303 and 5304, Section 5307, Section 5310, Section 5311, Section 5339, Rural Transit Assistance Program (RTAP), and STBG Flex Funds. (ADOT)</w:t>
      </w:r>
    </w:p>
    <w:p w14:paraId="11323D25" w14:textId="6B12F122" w:rsidR="003707B0" w:rsidRPr="004D5079" w:rsidRDefault="003707B0" w:rsidP="00020D20">
      <w:pPr>
        <w:pStyle w:val="Body-Bullets"/>
        <w:jc w:val="both"/>
      </w:pPr>
      <w:r w:rsidRPr="004D5079">
        <w:t>Assist in the development and support of intercity bus transportation</w:t>
      </w:r>
      <w:r w:rsidR="00D22476">
        <w:t xml:space="preserve"> and tourism for inclusion in the </w:t>
      </w:r>
      <w:r w:rsidR="002D7E03">
        <w:t>M/R</w:t>
      </w:r>
      <w:r w:rsidR="00D22476">
        <w:t>TP</w:t>
      </w:r>
      <w:r w:rsidRPr="004D5079">
        <w:t>. (ADOT/MPO/COG)</w:t>
      </w:r>
    </w:p>
    <w:p w14:paraId="4F607434" w14:textId="77777777" w:rsidR="003707B0" w:rsidRPr="004D5079" w:rsidRDefault="003707B0" w:rsidP="00020D20">
      <w:pPr>
        <w:pStyle w:val="Body-Bullets"/>
        <w:jc w:val="both"/>
      </w:pPr>
      <w:r w:rsidRPr="004D5079">
        <w:t>Facilitate coordination between ADOT subrecipients and other local transportation providers. (ADOT/MPO/COG)</w:t>
      </w:r>
    </w:p>
    <w:p w14:paraId="4256DED5" w14:textId="77777777" w:rsidR="003707B0" w:rsidRDefault="003707B0" w:rsidP="00020D20">
      <w:pPr>
        <w:pStyle w:val="SubHeading3"/>
        <w:jc w:val="both"/>
        <w:rPr>
          <w:rFonts w:asciiTheme="minorHAnsi" w:hAnsiTheme="minorHAnsi" w:cstheme="minorHAnsi"/>
          <w:b w:val="0"/>
          <w:color w:val="auto"/>
          <w:sz w:val="20"/>
        </w:rPr>
      </w:pPr>
      <w:r w:rsidRPr="00A407B0">
        <w:rPr>
          <w:rFonts w:asciiTheme="minorHAnsi" w:hAnsiTheme="minorHAnsi" w:cstheme="minorHAnsi"/>
          <w:b w:val="0"/>
          <w:color w:val="auto"/>
          <w:sz w:val="20"/>
        </w:rPr>
        <w:t>Stay appraised of federal regulations by attending State, national, and FTA sponsored conferences. (ADOT/MPO/COG)</w:t>
      </w:r>
    </w:p>
    <w:p w14:paraId="19AF7975" w14:textId="77777777" w:rsidR="003707B0" w:rsidRPr="00A407B0" w:rsidRDefault="003707B0" w:rsidP="00020D20">
      <w:pPr>
        <w:pStyle w:val="Heading3"/>
        <w:jc w:val="both"/>
        <w:rPr>
          <w:bCs/>
        </w:rPr>
      </w:pPr>
      <w:bookmarkStart w:id="511" w:name="_Ref50039391"/>
      <w:r w:rsidRPr="00A407B0">
        <w:t>14.</w:t>
      </w:r>
      <w:r>
        <w:t>6</w:t>
      </w:r>
      <w:r w:rsidRPr="00A407B0">
        <w:t>.</w:t>
      </w:r>
      <w:r>
        <w:t>2</w:t>
      </w:r>
      <w:r w:rsidRPr="00A407B0">
        <w:t xml:space="preserve"> | MPO/COG Role in </w:t>
      </w:r>
      <w:r>
        <w:t>the Grant Process</w:t>
      </w:r>
      <w:bookmarkEnd w:id="511"/>
    </w:p>
    <w:p w14:paraId="7BD33C71" w14:textId="77777777" w:rsidR="003707B0" w:rsidRDefault="003707B0" w:rsidP="00020D20">
      <w:pPr>
        <w:jc w:val="both"/>
      </w:pPr>
      <w:r w:rsidRPr="0031459B">
        <w:t xml:space="preserve">Arizona MPOs and COGs play an important role in the federal grant-making process by coordinating regional programs with current and potential grantees, and providing technical assistance and advocacy at various stages in the application process on behalf of recipients and subrecipients. </w:t>
      </w:r>
    </w:p>
    <w:p w14:paraId="71C2AB11" w14:textId="77777777" w:rsidR="003707B0" w:rsidRDefault="003707B0" w:rsidP="00020D20">
      <w:pPr>
        <w:jc w:val="both"/>
      </w:pPr>
      <w:r w:rsidRPr="00A407B0">
        <w:t xml:space="preserve">MPD staff and COG/MPO liaisons provide technical assistance to potential applicants and existing subrecipients receiving 5310 and 5311 funds to assist with activities such as project planning and preparation of applications, project management and improvement, and compliance with federal requirements. </w:t>
      </w:r>
    </w:p>
    <w:p w14:paraId="54299A4B" w14:textId="77777777" w:rsidR="003707B0" w:rsidRDefault="003707B0" w:rsidP="00020D20">
      <w:pPr>
        <w:jc w:val="both"/>
      </w:pPr>
      <w:r w:rsidRPr="0031459B">
        <w:t>Key responsibilities include informing prospective grant applicants about ADOT pre-application workshops and encouraging p</w:t>
      </w:r>
      <w:r>
        <w:t>rospective applicants to attend,</w:t>
      </w:r>
      <w:r w:rsidRPr="0031459B">
        <w:t xml:space="preserve"> assisting grant applicants with preparati</w:t>
      </w:r>
      <w:r>
        <w:t>on of new and annual submittals,</w:t>
      </w:r>
      <w:r w:rsidRPr="0031459B">
        <w:t xml:space="preserve"> and </w:t>
      </w:r>
      <w:r>
        <w:t>participating when requested</w:t>
      </w:r>
      <w:r w:rsidRPr="0031459B">
        <w:t xml:space="preserve"> on the application review process. COGs and MPOs also are the repositories of regional census and other data needed to complete grant applications. </w:t>
      </w:r>
    </w:p>
    <w:p w14:paraId="3E0243EE" w14:textId="77777777" w:rsidR="003707B0" w:rsidRPr="0065255C" w:rsidRDefault="003707B0" w:rsidP="00020D20">
      <w:pPr>
        <w:pStyle w:val="Heading3"/>
        <w:jc w:val="both"/>
        <w:rPr>
          <w:bCs/>
        </w:rPr>
      </w:pPr>
      <w:bookmarkStart w:id="512" w:name="_Ref50039395"/>
      <w:r>
        <w:t>14.6</w:t>
      </w:r>
      <w:r w:rsidRPr="0065255C">
        <w:t>.3 | Grantee Requirements</w:t>
      </w:r>
      <w:bookmarkEnd w:id="512"/>
    </w:p>
    <w:p w14:paraId="2EAA7BBD" w14:textId="18A8CD21" w:rsidR="003707B0" w:rsidRPr="003707B0" w:rsidRDefault="003707B0" w:rsidP="00020D20">
      <w:pPr>
        <w:jc w:val="both"/>
      </w:pPr>
      <w:r w:rsidRPr="0065255C">
        <w:t xml:space="preserve">Recipients of FTA formula grant funds must comply with requirements of the FTA Master Agreement, Grant Agreement, </w:t>
      </w:r>
      <w:r>
        <w:t xml:space="preserve">State contracts and Guidebooks, </w:t>
      </w:r>
      <w:r w:rsidRPr="0065255C">
        <w:t>Certifications and Assurances</w:t>
      </w:r>
      <w:r>
        <w:t>,</w:t>
      </w:r>
      <w:r w:rsidRPr="0065255C">
        <w:t xml:space="preserve"> and FTA Program Guidance Circulars</w:t>
      </w:r>
    </w:p>
    <w:p w14:paraId="172E6AC5" w14:textId="3F341E10" w:rsidR="0065255C" w:rsidRPr="0065255C" w:rsidRDefault="0065255C" w:rsidP="00020D20">
      <w:pPr>
        <w:pStyle w:val="Heading3"/>
        <w:jc w:val="both"/>
        <w:rPr>
          <w:bCs/>
        </w:rPr>
      </w:pPr>
      <w:bookmarkStart w:id="513" w:name="_Ref50039398"/>
      <w:r w:rsidRPr="0065255C">
        <w:t>14.</w:t>
      </w:r>
      <w:r w:rsidR="003707B0">
        <w:t>6.4</w:t>
      </w:r>
      <w:r w:rsidRPr="0065255C">
        <w:t xml:space="preserve"> | Site Visits &amp; Compliance Reviews</w:t>
      </w:r>
      <w:bookmarkEnd w:id="513"/>
    </w:p>
    <w:p w14:paraId="5C1CDE58" w14:textId="130433E3" w:rsidR="0065255C" w:rsidRPr="0065255C" w:rsidRDefault="0065255C" w:rsidP="00020D20">
      <w:pPr>
        <w:jc w:val="both"/>
        <w:rPr>
          <w:rFonts w:cstheme="minorHAnsi"/>
          <w:b/>
        </w:rPr>
      </w:pPr>
      <w:r w:rsidRPr="0065255C">
        <w:t>ADOT conducts grantee site visits and conducts compliance reviews</w:t>
      </w:r>
      <w:r w:rsidR="003707B0">
        <w:t xml:space="preserve"> </w:t>
      </w:r>
      <w:r w:rsidR="00D97EBC">
        <w:t>of all ADOT transit subrecipients including MPOs and COGs</w:t>
      </w:r>
      <w:r w:rsidRPr="0065255C">
        <w:t xml:space="preserve"> to ensure that grantees are meeting all requirements relating to the federal aid funds they received. </w:t>
      </w:r>
      <w:r w:rsidR="00E70871">
        <w:t>The 5310 program also requires annual vehicle inspections</w:t>
      </w:r>
      <w:r w:rsidR="006F7F79">
        <w:t xml:space="preserve">. </w:t>
      </w:r>
      <w:r w:rsidR="00E70871">
        <w:t>Mobility managers may be notified of vehicles failing inspection to provide assistance in maintenance compliance</w:t>
      </w:r>
      <w:r w:rsidR="006728E9">
        <w:t xml:space="preserve">. </w:t>
      </w:r>
      <w:r w:rsidR="00E70871">
        <w:t>Because COG and MPO staff interact so closely with transit grantees, they may identify problems earlier than the annual inspections or periodic site visits. Mobility managers or agency staff should notify ADOT when programs do not utilize their vehicles or funding in compliance with the grants.</w:t>
      </w:r>
    </w:p>
    <w:p w14:paraId="2AB1BBCC" w14:textId="77777777" w:rsidR="00671BCA" w:rsidRDefault="0065255C" w:rsidP="00020D20">
      <w:pPr>
        <w:jc w:val="both"/>
      </w:pPr>
      <w:r w:rsidRPr="0065255C">
        <w:t xml:space="preserve">The site visit also provides an opportunity to provide technical assistance supporting limited transit planning staff resources at most COGs and some MPOs in Arizona. </w:t>
      </w:r>
      <w:r w:rsidR="00E70871">
        <w:t>MPO and COG staff may be requested to participate in subrecipient compliance reviews.</w:t>
      </w:r>
      <w:r w:rsidR="00671BCA">
        <w:br w:type="page"/>
      </w:r>
    </w:p>
    <w:p w14:paraId="2BD3B45F" w14:textId="7FD34EE2" w:rsidR="00CC18A7" w:rsidRDefault="0065255C" w:rsidP="00020D20">
      <w:pPr>
        <w:pStyle w:val="Heading3"/>
        <w:jc w:val="both"/>
      </w:pPr>
      <w:bookmarkStart w:id="514" w:name="_Ref50039401"/>
      <w:r w:rsidRPr="0065255C">
        <w:t>14.</w:t>
      </w:r>
      <w:r w:rsidR="00E70871">
        <w:t>6.5</w:t>
      </w:r>
      <w:r w:rsidRPr="0065255C">
        <w:t xml:space="preserve"> | Grantee</w:t>
      </w:r>
      <w:r w:rsidR="00E70871">
        <w:t xml:space="preserve"> Guidance Documents and Agreements</w:t>
      </w:r>
      <w:bookmarkEnd w:id="514"/>
    </w:p>
    <w:p w14:paraId="08AC09C3" w14:textId="0762918C" w:rsidR="002B6A0A" w:rsidRPr="002B6A0A" w:rsidRDefault="002B6A0A" w:rsidP="00020D20">
      <w:pPr>
        <w:pStyle w:val="SubHeading3"/>
        <w:jc w:val="both"/>
        <w:rPr>
          <w:bCs/>
        </w:rPr>
      </w:pPr>
      <w:bookmarkStart w:id="515" w:name="_Ref50039407"/>
      <w:r w:rsidRPr="002B6A0A">
        <w:t>Master Agreement</w:t>
      </w:r>
      <w:bookmarkEnd w:id="515"/>
      <w:r w:rsidRPr="002B6A0A">
        <w:t xml:space="preserve"> </w:t>
      </w:r>
    </w:p>
    <w:p w14:paraId="4AFF3CA1" w14:textId="7B75ACFD" w:rsidR="002B6A0A" w:rsidRPr="002B6A0A" w:rsidRDefault="006728E9" w:rsidP="00020D20">
      <w:pPr>
        <w:jc w:val="both"/>
        <w:rPr>
          <w:bCs/>
        </w:rPr>
      </w:pPr>
      <w:r>
        <w:rPr>
          <w:rFonts w:cstheme="minorHAnsi"/>
          <w:noProof/>
        </w:rPr>
        <mc:AlternateContent>
          <mc:Choice Requires="wps">
            <w:drawing>
              <wp:anchor distT="0" distB="0" distL="114300" distR="114300" simplePos="0" relativeHeight="251618368" behindDoc="1" locked="0" layoutInCell="1" allowOverlap="1" wp14:anchorId="318D8359" wp14:editId="17C99337">
                <wp:simplePos x="0" y="0"/>
                <wp:positionH relativeFrom="column">
                  <wp:posOffset>4568456</wp:posOffset>
                </wp:positionH>
                <wp:positionV relativeFrom="paragraph">
                  <wp:posOffset>668168</wp:posOffset>
                </wp:positionV>
                <wp:extent cx="1362075" cy="1781175"/>
                <wp:effectExtent l="76200" t="95250" r="85725" b="104775"/>
                <wp:wrapTight wrapText="bothSides">
                  <wp:wrapPolygon edited="0">
                    <wp:start x="-1208" y="-1155"/>
                    <wp:lineTo x="-1208" y="22640"/>
                    <wp:lineTo x="22657" y="22640"/>
                    <wp:lineTo x="22657" y="-1155"/>
                    <wp:lineTo x="-1208" y="-1155"/>
                  </wp:wrapPolygon>
                </wp:wrapTight>
                <wp:docPr id="816286155" name="Text Box 816286155"/>
                <wp:cNvGraphicFramePr/>
                <a:graphic xmlns:a="http://schemas.openxmlformats.org/drawingml/2006/main">
                  <a:graphicData uri="http://schemas.microsoft.com/office/word/2010/wordprocessingShape">
                    <wps:wsp>
                      <wps:cNvSpPr txBox="1"/>
                      <wps:spPr>
                        <a:xfrm>
                          <a:off x="0" y="0"/>
                          <a:ext cx="1362075" cy="17811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6A468D9" w14:textId="77777777" w:rsidR="00C6444C" w:rsidRDefault="00C6444C" w:rsidP="00020D20">
                            <w:pPr>
                              <w:jc w:val="center"/>
                            </w:pPr>
                            <w:r>
                              <w:rPr>
                                <w:noProof/>
                              </w:rPr>
                              <w:drawing>
                                <wp:inline distT="0" distB="0" distL="0" distR="0" wp14:anchorId="5CCAF330" wp14:editId="70E04F34">
                                  <wp:extent cx="457200" cy="457200"/>
                                  <wp:effectExtent l="0" t="0" r="0" b="0"/>
                                  <wp:docPr id="816286133" name="Picture 81628613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B710B5D" w14:textId="77777777" w:rsidR="00C6444C" w:rsidRPr="00954116" w:rsidRDefault="00C6444C" w:rsidP="00020D20">
                            <w:pPr>
                              <w:pStyle w:val="Calloutboxes"/>
                            </w:pPr>
                            <w:r w:rsidRPr="00394A74">
                              <w:t>For further information about FTA Certifications and Assurances follow:</w:t>
                            </w:r>
                          </w:p>
                          <w:p w14:paraId="613D1A76" w14:textId="29B9B91E" w:rsidR="00C6444C" w:rsidRPr="00383A68" w:rsidRDefault="00202C92">
                            <w:pPr>
                              <w:pStyle w:val="Title"/>
                            </w:pPr>
                            <w:hyperlink r:id="rId863" w:history="1">
                              <w:r w:rsidR="00C6444C" w:rsidRPr="00020D20">
                                <w:rPr>
                                  <w:rStyle w:val="Hyperlink"/>
                                  <w:rFonts w:asciiTheme="minorHAnsi" w:hAnsiTheme="minorHAnsi" w:cstheme="majorBidi"/>
                                  <w:i/>
                                  <w:color w:val="CE5B18"/>
                                  <w:u w:val="none"/>
                                </w:rPr>
                                <w:t>https://www.transit.dot.gov/funding/grantee-resources/certifications-and-assurances/fiscal-year-2013-annual-list-certifications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8D8359" id="Text Box 816286155" o:spid="_x0000_s1222" type="#_x0000_t202" style="position:absolute;left:0;text-align:left;margin-left:359.7pt;margin-top:52.6pt;width:107.25pt;height:140.25pt;z-index:-25169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" fillcolor="#f7f7f7" stroked="f" strokeweight=".5pt">
                <v:shadow on="t" type="perspective" color="black" opacity="26214f" offset="0,0" matrix="66847f,,,66847f"/>
                <v:textbox>
                  <w:txbxContent>
                    <w:p w14:paraId="06A468D9" w14:textId="77777777" w:rsidR="00C6444C" w:rsidRDefault="00C6444C" w:rsidP="00020D20">
                      <w:pPr>
                        <w:jc w:val="center"/>
                      </w:pPr>
                      <w:r>
                        <w:rPr>
                          <w:noProof/>
                        </w:rPr>
                        <w:drawing>
                          <wp:inline distT="0" distB="0" distL="0" distR="0" wp14:anchorId="5CCAF330" wp14:editId="70E04F34">
                            <wp:extent cx="457200" cy="457200"/>
                            <wp:effectExtent l="0" t="0" r="0" b="0"/>
                            <wp:docPr id="816286133" name="Picture 81628613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B710B5D" w14:textId="77777777" w:rsidR="00C6444C" w:rsidRPr="00954116" w:rsidRDefault="00C6444C" w:rsidP="00020D20">
                      <w:pPr>
                        <w:pStyle w:val="Calloutboxes"/>
                      </w:pPr>
                      <w:r w:rsidRPr="00394A74">
                        <w:t>For further information about FTA Certifications and Assurances follow:</w:t>
                      </w:r>
                    </w:p>
                    <w:p w14:paraId="613D1A76" w14:textId="29B9B91E" w:rsidR="00C6444C" w:rsidRPr="00383A68" w:rsidRDefault="00C6444C">
                      <w:pPr>
                        <w:pStyle w:val="Title"/>
                      </w:pPr>
                      <w:hyperlink r:id="rId864" w:history="1">
                        <w:r w:rsidRPr="00020D20">
                          <w:rPr>
                            <w:rStyle w:val="Hyperlink"/>
                            <w:rFonts w:asciiTheme="minorHAnsi" w:hAnsiTheme="minorHAnsi" w:cstheme="majorBidi"/>
                            <w:i/>
                            <w:color w:val="CE5B18"/>
                            <w:u w:val="none"/>
                          </w:rPr>
                          <w:t>https://www.transit.dot.gov/funding/grantee-resources/certifications-and-assurances/fiscal-year-2013-annual-list-certifications</w:t>
                        </w:r>
                      </w:hyperlink>
                    </w:p>
                  </w:txbxContent>
                </v:textbox>
                <w10:wrap type="tight"/>
              </v:shape>
            </w:pict>
          </mc:Fallback>
        </mc:AlternateContent>
      </w:r>
      <w:r w:rsidR="00863E8E">
        <w:rPr>
          <w:noProof/>
        </w:rPr>
        <mc:AlternateContent>
          <mc:Choice Requires="wps">
            <w:drawing>
              <wp:anchor distT="0" distB="0" distL="114300" distR="114300" simplePos="0" relativeHeight="251618367" behindDoc="1" locked="0" layoutInCell="1" allowOverlap="1" wp14:anchorId="54AC5414" wp14:editId="2B216E56">
                <wp:simplePos x="0" y="0"/>
                <wp:positionH relativeFrom="column">
                  <wp:posOffset>1369695</wp:posOffset>
                </wp:positionH>
                <wp:positionV relativeFrom="paragraph">
                  <wp:posOffset>95381</wp:posOffset>
                </wp:positionV>
                <wp:extent cx="1362075" cy="1619250"/>
                <wp:effectExtent l="76200" t="95250" r="85725" b="95250"/>
                <wp:wrapTight wrapText="bothSides">
                  <wp:wrapPolygon edited="0">
                    <wp:start x="-1208" y="-1271"/>
                    <wp:lineTo x="-1208" y="22616"/>
                    <wp:lineTo x="22657" y="22616"/>
                    <wp:lineTo x="22657" y="-1271"/>
                    <wp:lineTo x="-1208" y="-1271"/>
                  </wp:wrapPolygon>
                </wp:wrapTight>
                <wp:docPr id="816286152" name="Text Box 816286152"/>
                <wp:cNvGraphicFramePr/>
                <a:graphic xmlns:a="http://schemas.openxmlformats.org/drawingml/2006/main">
                  <a:graphicData uri="http://schemas.microsoft.com/office/word/2010/wordprocessingShape">
                    <wps:wsp>
                      <wps:cNvSpPr txBox="1"/>
                      <wps:spPr>
                        <a:xfrm>
                          <a:off x="0" y="0"/>
                          <a:ext cx="1362075" cy="16192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C4039AD" w14:textId="77777777" w:rsidR="00C6444C" w:rsidRDefault="00C6444C" w:rsidP="00020D20">
                            <w:pPr>
                              <w:jc w:val="center"/>
                            </w:pPr>
                            <w:r>
                              <w:rPr>
                                <w:noProof/>
                              </w:rPr>
                              <w:drawing>
                                <wp:inline distT="0" distB="0" distL="0" distR="0" wp14:anchorId="0ADFA03C" wp14:editId="37BF7D53">
                                  <wp:extent cx="457200" cy="457200"/>
                                  <wp:effectExtent l="0" t="0" r="0" b="0"/>
                                  <wp:docPr id="816286134" name="Picture 81628613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810F189" w14:textId="77777777" w:rsidR="00C6444C" w:rsidRPr="005A6734" w:rsidRDefault="00C6444C" w:rsidP="00020D20">
                            <w:pPr>
                              <w:pStyle w:val="Calloutboxes"/>
                            </w:pPr>
                            <w:r w:rsidRPr="00394A74">
                              <w:t xml:space="preserve">To view the FY 2011 Master </w:t>
                            </w:r>
                            <w:r w:rsidRPr="00954116">
                              <w:t>Agreement follow:</w:t>
                            </w:r>
                          </w:p>
                          <w:p w14:paraId="4EDF0511" w14:textId="7724B68D" w:rsidR="00C6444C" w:rsidRPr="00CC2712" w:rsidRDefault="00202C92">
                            <w:pPr>
                              <w:pStyle w:val="Title"/>
                            </w:pPr>
                            <w:hyperlink r:id="rId865" w:history="1">
                              <w:r w:rsidR="00C6444C" w:rsidRPr="00020D20">
                                <w:rPr>
                                  <w:rStyle w:val="Hyperlink"/>
                                  <w:rFonts w:asciiTheme="minorHAnsi" w:hAnsiTheme="minorHAnsi" w:cstheme="majorBidi"/>
                                  <w:i/>
                                  <w:color w:val="CE5B18"/>
                                  <w:u w:val="none"/>
                                </w:rPr>
                                <w:t>https://www.transit.dot.gov/funding/grantee-resources/sample-fta-agreements/fta-master-agreement-fta-ma18-october-1-2011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AC5414" id="Text Box 816286152" o:spid="_x0000_s1223" type="#_x0000_t202" style="position:absolute;left:0;text-align:left;margin-left:107.85pt;margin-top:7.5pt;width:107.25pt;height:127.5pt;z-index:-251698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" fillcolor="#f7f7f7" stroked="f" strokeweight=".5pt">
                <v:shadow on="t" type="perspective" color="black" opacity="26214f" offset="0,0" matrix="66847f,,,66847f"/>
                <v:textbox>
                  <w:txbxContent>
                    <w:p w14:paraId="4C4039AD" w14:textId="77777777" w:rsidR="00C6444C" w:rsidRDefault="00C6444C" w:rsidP="00020D20">
                      <w:pPr>
                        <w:jc w:val="center"/>
                      </w:pPr>
                      <w:r>
                        <w:rPr>
                          <w:noProof/>
                        </w:rPr>
                        <w:drawing>
                          <wp:inline distT="0" distB="0" distL="0" distR="0" wp14:anchorId="0ADFA03C" wp14:editId="37BF7D53">
                            <wp:extent cx="457200" cy="457200"/>
                            <wp:effectExtent l="0" t="0" r="0" b="0"/>
                            <wp:docPr id="816286134" name="Picture 81628613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810F189" w14:textId="77777777" w:rsidR="00C6444C" w:rsidRPr="005A6734" w:rsidRDefault="00C6444C" w:rsidP="00020D20">
                      <w:pPr>
                        <w:pStyle w:val="Calloutboxes"/>
                      </w:pPr>
                      <w:r w:rsidRPr="00394A74">
                        <w:t xml:space="preserve">To view the FY 2011 Master </w:t>
                      </w:r>
                      <w:r w:rsidRPr="00954116">
                        <w:t>Agreement follow:</w:t>
                      </w:r>
                    </w:p>
                    <w:p w14:paraId="4EDF0511" w14:textId="7724B68D" w:rsidR="00C6444C" w:rsidRPr="00CC2712" w:rsidRDefault="00C6444C">
                      <w:pPr>
                        <w:pStyle w:val="Title"/>
                      </w:pPr>
                      <w:hyperlink r:id="rId866" w:history="1">
                        <w:r w:rsidRPr="00020D20">
                          <w:rPr>
                            <w:rStyle w:val="Hyperlink"/>
                            <w:rFonts w:asciiTheme="minorHAnsi" w:hAnsiTheme="minorHAnsi" w:cstheme="majorBidi"/>
                            <w:i/>
                            <w:color w:val="CE5B18"/>
                            <w:u w:val="none"/>
                          </w:rPr>
                          <w:t>https://www.transit.dot.gov/funding/grantee-resources/sample-fta-agreements/fta-master-agreement-fta-ma18-october-1-2011</w:t>
                        </w:r>
                      </w:hyperlink>
                    </w:p>
                  </w:txbxContent>
                </v:textbox>
                <w10:wrap type="tight"/>
              </v:shape>
            </w:pict>
          </mc:Fallback>
        </mc:AlternateContent>
      </w:r>
      <w:r w:rsidR="002B6A0A" w:rsidRPr="002B6A0A">
        <w:t xml:space="preserve">The relationship between the direct recipient and FTA is defined in the Master Agreement, which contains the standard terms and conditions of any FTA-assisted project using funds awarded through a grant agreement. The recipient must ensure that any subrecipient and others participating in its project comply with all federal laws and regulations and follow directives such that the recipient’s compliance with federal requirements is not compromised. A recipient or a third-party participant that violates a federal law or regulation or fails to follow a federal directive that applies to </w:t>
      </w:r>
      <w:r w:rsidR="00E70871">
        <w:t>the recipient</w:t>
      </w:r>
      <w:r w:rsidR="00E70871" w:rsidRPr="002B6A0A">
        <w:t xml:space="preserve"> </w:t>
      </w:r>
      <w:r w:rsidR="002B6A0A" w:rsidRPr="002B6A0A">
        <w:t>or the project may incur penalties.</w:t>
      </w:r>
    </w:p>
    <w:p w14:paraId="3CC5CE92" w14:textId="77777777" w:rsidR="002B6A0A" w:rsidRPr="002B6A0A" w:rsidRDefault="002B6A0A" w:rsidP="00020D20">
      <w:pPr>
        <w:pStyle w:val="SubHeading3"/>
        <w:jc w:val="both"/>
        <w:rPr>
          <w:bCs/>
        </w:rPr>
      </w:pPr>
      <w:bookmarkStart w:id="516" w:name="_Ref50039410"/>
      <w:r w:rsidRPr="002B6A0A">
        <w:t>Grant Agreement</w:t>
      </w:r>
      <w:bookmarkEnd w:id="516"/>
      <w:r w:rsidRPr="002B6A0A">
        <w:t xml:space="preserve"> </w:t>
      </w:r>
    </w:p>
    <w:p w14:paraId="0B9287F7" w14:textId="2BC0D9E9" w:rsidR="002B6A0A" w:rsidRPr="002B6A0A" w:rsidRDefault="002B6A0A" w:rsidP="00020D20">
      <w:pPr>
        <w:ind w:left="270"/>
        <w:jc w:val="both"/>
        <w:rPr>
          <w:bCs/>
        </w:rPr>
      </w:pPr>
      <w:r w:rsidRPr="002B6A0A">
        <w:t>Th</w:t>
      </w:r>
      <w:r w:rsidR="00E70871">
        <w:t>e grant agreement or work program agreement for MPOs and COGS includes an Exhibit A outlining the specific funding awarded and</w:t>
      </w:r>
      <w:r w:rsidRPr="002B6A0A">
        <w:t xml:space="preserve"> identifies grant-specific details including project number, funding section, project cost, US Department of Labor certification date, and any conditions of award.</w:t>
      </w:r>
    </w:p>
    <w:p w14:paraId="0F76C8CE" w14:textId="0AC5A410" w:rsidR="002B6A0A" w:rsidRPr="002B6A0A" w:rsidRDefault="002B6A0A" w:rsidP="00020D20">
      <w:pPr>
        <w:pStyle w:val="SubHeading3"/>
        <w:jc w:val="both"/>
        <w:rPr>
          <w:bCs/>
        </w:rPr>
      </w:pPr>
      <w:bookmarkStart w:id="517" w:name="_Ref50039413"/>
      <w:r w:rsidRPr="002B6A0A">
        <w:t>Certifications &amp; Assurances</w:t>
      </w:r>
      <w:bookmarkEnd w:id="517"/>
      <w:r w:rsidRPr="002B6A0A">
        <w:t xml:space="preserve"> </w:t>
      </w:r>
    </w:p>
    <w:p w14:paraId="6E5852B7" w14:textId="26F9B9D8" w:rsidR="00207E76" w:rsidRDefault="006F18AB" w:rsidP="00020D20">
      <w:pPr>
        <w:ind w:left="180"/>
        <w:jc w:val="both"/>
      </w:pPr>
      <w:r>
        <w:rPr>
          <w:rFonts w:cstheme="minorHAnsi"/>
          <w:noProof/>
        </w:rPr>
        <mc:AlternateContent>
          <mc:Choice Requires="wps">
            <w:drawing>
              <wp:anchor distT="0" distB="0" distL="114300" distR="114300" simplePos="0" relativeHeight="251618366" behindDoc="1" locked="0" layoutInCell="1" allowOverlap="1" wp14:anchorId="64CF2515" wp14:editId="3C92AC6A">
                <wp:simplePos x="0" y="0"/>
                <wp:positionH relativeFrom="column">
                  <wp:posOffset>1312545</wp:posOffset>
                </wp:positionH>
                <wp:positionV relativeFrom="paragraph">
                  <wp:posOffset>-3068320</wp:posOffset>
                </wp:positionV>
                <wp:extent cx="1254125" cy="1482725"/>
                <wp:effectExtent l="76200" t="95250" r="79375" b="98425"/>
                <wp:wrapTight wrapText="bothSides">
                  <wp:wrapPolygon edited="0">
                    <wp:start x="-1312" y="-1388"/>
                    <wp:lineTo x="-1312" y="22756"/>
                    <wp:lineTo x="22639" y="22756"/>
                    <wp:lineTo x="22639" y="-1388"/>
                    <wp:lineTo x="-1312" y="-1388"/>
                  </wp:wrapPolygon>
                </wp:wrapTight>
                <wp:docPr id="816286151" name="Text Box 816286151"/>
                <wp:cNvGraphicFramePr/>
                <a:graphic xmlns:a="http://schemas.openxmlformats.org/drawingml/2006/main">
                  <a:graphicData uri="http://schemas.microsoft.com/office/word/2010/wordprocessingShape">
                    <wps:wsp>
                      <wps:cNvSpPr txBox="1"/>
                      <wps:spPr>
                        <a:xfrm>
                          <a:off x="0" y="0"/>
                          <a:ext cx="1254125" cy="14827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7EFC65D" w14:textId="77777777" w:rsidR="00C6444C" w:rsidRDefault="00C6444C" w:rsidP="00020D20">
                            <w:pPr>
                              <w:jc w:val="center"/>
                            </w:pPr>
                            <w:r>
                              <w:rPr>
                                <w:noProof/>
                              </w:rPr>
                              <w:drawing>
                                <wp:inline distT="0" distB="0" distL="0" distR="0" wp14:anchorId="4668DA8B" wp14:editId="6CD409AE">
                                  <wp:extent cx="457200" cy="457200"/>
                                  <wp:effectExtent l="0" t="0" r="0" b="0"/>
                                  <wp:docPr id="816286141" name="Picture 81628614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BFBBE49" w14:textId="77777777" w:rsidR="00C6444C" w:rsidRPr="00954116" w:rsidRDefault="00C6444C" w:rsidP="00020D20">
                            <w:pPr>
                              <w:pStyle w:val="Calloutboxes"/>
                            </w:pPr>
                            <w:r w:rsidRPr="00394A74">
                              <w:t>To access ADOT grant applications and other program resources follow:</w:t>
                            </w:r>
                          </w:p>
                          <w:p w14:paraId="2701A1F5" w14:textId="43C652A5" w:rsidR="00C6444C" w:rsidRPr="00421E93" w:rsidRDefault="00202C92">
                            <w:pPr>
                              <w:pStyle w:val="Title"/>
                            </w:pPr>
                            <w:hyperlink r:id="rId867" w:history="1">
                              <w:r w:rsidR="00C6444C" w:rsidRPr="00421E93">
                                <w:rPr>
                                  <w:rStyle w:val="Hyperlink"/>
                                  <w:rFonts w:asciiTheme="minorHAnsi" w:hAnsiTheme="minorHAnsi" w:cstheme="majorBidi"/>
                                  <w:i/>
                                  <w:iCs w:val="0"/>
                                  <w:color w:val="CE5B18"/>
                                  <w:u w:val="none"/>
                                </w:rPr>
                                <w:t>https://azdot.gov/planning/transit-programs-and-grants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CF2515" id="Text Box 816286151" o:spid="_x0000_s1224" type="#_x0000_t202" style="position:absolute;left:0;text-align:left;margin-left:103.35pt;margin-top:-241.6pt;width:98.75pt;height:116.75pt;z-index:-251698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" fillcolor="#f7f7f7" stroked="f" strokeweight=".5pt">
                <v:shadow on="t" type="perspective" color="black" opacity="26214f" offset="0,0" matrix="66847f,,,66847f"/>
                <v:textbox>
                  <w:txbxContent>
                    <w:p w14:paraId="77EFC65D" w14:textId="77777777" w:rsidR="00C6444C" w:rsidRDefault="00C6444C" w:rsidP="00020D20">
                      <w:pPr>
                        <w:jc w:val="center"/>
                      </w:pPr>
                      <w:r>
                        <w:rPr>
                          <w:noProof/>
                        </w:rPr>
                        <w:drawing>
                          <wp:inline distT="0" distB="0" distL="0" distR="0" wp14:anchorId="4668DA8B" wp14:editId="6CD409AE">
                            <wp:extent cx="457200" cy="457200"/>
                            <wp:effectExtent l="0" t="0" r="0" b="0"/>
                            <wp:docPr id="816286141" name="Picture 81628614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BFBBE49" w14:textId="77777777" w:rsidR="00C6444C" w:rsidRPr="00954116" w:rsidRDefault="00C6444C" w:rsidP="00020D20">
                      <w:pPr>
                        <w:pStyle w:val="Calloutboxes"/>
                      </w:pPr>
                      <w:r w:rsidRPr="00394A74">
                        <w:t>To access ADOT grant applications and other program resources follow:</w:t>
                      </w:r>
                    </w:p>
                    <w:p w14:paraId="2701A1F5" w14:textId="43C652A5" w:rsidR="00C6444C" w:rsidRPr="00421E93" w:rsidRDefault="00C6444C">
                      <w:pPr>
                        <w:pStyle w:val="Title"/>
                      </w:pPr>
                      <w:hyperlink r:id="rId868" w:history="1">
                        <w:r w:rsidRPr="00421E93">
                          <w:rPr>
                            <w:rStyle w:val="Hyperlink"/>
                            <w:rFonts w:asciiTheme="minorHAnsi" w:hAnsiTheme="minorHAnsi" w:cstheme="majorBidi"/>
                            <w:i/>
                            <w:iCs w:val="0"/>
                            <w:color w:val="CE5B18"/>
                            <w:u w:val="none"/>
                          </w:rPr>
                          <w:t>https://azdot.gov/planning/transit-programs-and-grants</w:t>
                        </w:r>
                      </w:hyperlink>
                    </w:p>
                  </w:txbxContent>
                </v:textbox>
                <w10:wrap type="tight"/>
              </v:shape>
            </w:pict>
          </mc:Fallback>
        </mc:AlternateContent>
      </w:r>
      <w:r w:rsidR="002B6A0A" w:rsidRPr="002B6A0A">
        <w:t>FTA grant direct recipients and subrecipients must submit annually</w:t>
      </w:r>
      <w:r w:rsidR="00E70871">
        <w:t xml:space="preserve"> to the FTA</w:t>
      </w:r>
      <w:r w:rsidR="002B6A0A" w:rsidRPr="002B6A0A">
        <w:t xml:space="preserve"> certifications and assurances </w:t>
      </w:r>
      <w:r w:rsidR="00E70871">
        <w:t xml:space="preserve">prior to additional </w:t>
      </w:r>
      <w:r w:rsidR="002B6A0A" w:rsidRPr="002B6A0A">
        <w:t xml:space="preserve">award </w:t>
      </w:r>
      <w:r w:rsidR="00E70871">
        <w:t>of funds.</w:t>
      </w:r>
    </w:p>
    <w:p w14:paraId="7E338FDD" w14:textId="6BA2D1ED" w:rsidR="002B6A0A" w:rsidRPr="002B6A0A" w:rsidRDefault="002B6A0A" w:rsidP="00020D20">
      <w:pPr>
        <w:pStyle w:val="SubHeading3"/>
        <w:jc w:val="both"/>
        <w:rPr>
          <w:bCs/>
        </w:rPr>
      </w:pPr>
      <w:bookmarkStart w:id="518" w:name="_Ref50039417"/>
      <w:r w:rsidRPr="002B6A0A">
        <w:t xml:space="preserve">Guidance Circulars </w:t>
      </w:r>
      <w:r w:rsidR="00E70871">
        <w:t>and Other Services</w:t>
      </w:r>
      <w:bookmarkEnd w:id="518"/>
    </w:p>
    <w:p w14:paraId="1B23007B" w14:textId="779D4456" w:rsidR="002B6A0A" w:rsidRPr="002B6A0A" w:rsidRDefault="006F18AB" w:rsidP="00020D20">
      <w:pPr>
        <w:ind w:left="180"/>
        <w:jc w:val="both"/>
        <w:rPr>
          <w:bCs/>
        </w:rPr>
      </w:pPr>
      <w:r>
        <w:rPr>
          <w:noProof/>
        </w:rPr>
        <mc:AlternateContent>
          <mc:Choice Requires="wps">
            <w:drawing>
              <wp:anchor distT="0" distB="0" distL="114300" distR="114300" simplePos="0" relativeHeight="251618365" behindDoc="1" locked="0" layoutInCell="1" allowOverlap="1" wp14:anchorId="0932197B" wp14:editId="61ED29CF">
                <wp:simplePos x="0" y="0"/>
                <wp:positionH relativeFrom="column">
                  <wp:posOffset>-1891665</wp:posOffset>
                </wp:positionH>
                <wp:positionV relativeFrom="paragraph">
                  <wp:posOffset>3790315</wp:posOffset>
                </wp:positionV>
                <wp:extent cx="1258570" cy="1476375"/>
                <wp:effectExtent l="76200" t="95250" r="74930" b="104775"/>
                <wp:wrapTight wrapText="bothSides">
                  <wp:wrapPolygon edited="0">
                    <wp:start x="-1308" y="-1394"/>
                    <wp:lineTo x="-1308" y="22854"/>
                    <wp:lineTo x="22559" y="22854"/>
                    <wp:lineTo x="22559" y="-1394"/>
                    <wp:lineTo x="-1308" y="-1394"/>
                  </wp:wrapPolygon>
                </wp:wrapTight>
                <wp:docPr id="816286149" name="Text Box 816286149"/>
                <wp:cNvGraphicFramePr/>
                <a:graphic xmlns:a="http://schemas.openxmlformats.org/drawingml/2006/main">
                  <a:graphicData uri="http://schemas.microsoft.com/office/word/2010/wordprocessingShape">
                    <wps:wsp>
                      <wps:cNvSpPr txBox="1"/>
                      <wps:spPr>
                        <a:xfrm>
                          <a:off x="0" y="0"/>
                          <a:ext cx="1258570" cy="14763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7A1B25A" w14:textId="77777777" w:rsidR="00C6444C" w:rsidRDefault="00C6444C" w:rsidP="00020D20">
                            <w:pPr>
                              <w:jc w:val="center"/>
                            </w:pPr>
                            <w:r>
                              <w:rPr>
                                <w:noProof/>
                              </w:rPr>
                              <w:drawing>
                                <wp:inline distT="0" distB="0" distL="0" distR="0" wp14:anchorId="1DDAC2B0" wp14:editId="6C6B956E">
                                  <wp:extent cx="457200" cy="457200"/>
                                  <wp:effectExtent l="0" t="0" r="0" b="0"/>
                                  <wp:docPr id="816286148" name="Picture 81628614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7F52388" w14:textId="6E289B4D" w:rsidR="00C6444C" w:rsidRDefault="00C6444C">
                            <w:pPr>
                              <w:pStyle w:val="Calloutboxes"/>
                            </w:pPr>
                            <w:r>
                              <w:t>For more information about Section 5311 grant program requirements follow:</w:t>
                            </w:r>
                          </w:p>
                          <w:p w14:paraId="0260D9F9" w14:textId="77777777" w:rsidR="00C6444C" w:rsidRPr="00421E93" w:rsidRDefault="00202C92">
                            <w:pPr>
                              <w:pStyle w:val="Title"/>
                            </w:pPr>
                            <w:hyperlink r:id="rId869" w:history="1">
                              <w:r w:rsidR="00C6444C" w:rsidRPr="00421E93">
                                <w:rPr>
                                  <w:rStyle w:val="Hyperlink"/>
                                  <w:rFonts w:asciiTheme="minorHAnsi" w:hAnsiTheme="minorHAnsi" w:cstheme="majorBidi"/>
                                  <w:i/>
                                  <w:iCs w:val="0"/>
                                  <w:color w:val="CE5B18"/>
                                  <w:u w:val="none"/>
                                </w:rPr>
                                <w:t>https://www.transit.dot.gov/grants/13093_3555.html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32197B" id="Text Box 816286149" o:spid="_x0000_s1225" type="#_x0000_t202" style="position:absolute;left:0;text-align:left;margin-left:-148.95pt;margin-top:298.45pt;width:99.1pt;height:116.25pt;z-index:-251698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" fillcolor="#f7f7f7" stroked="f" strokeweight=".5pt">
                <v:shadow on="t" type="perspective" color="black" opacity="26214f" offset="0,0" matrix="66847f,,,66847f"/>
                <v:textbox>
                  <w:txbxContent>
                    <w:p w14:paraId="27A1B25A" w14:textId="77777777" w:rsidR="00C6444C" w:rsidRDefault="00C6444C" w:rsidP="00020D20">
                      <w:pPr>
                        <w:jc w:val="center"/>
                      </w:pPr>
                      <w:r>
                        <w:rPr>
                          <w:noProof/>
                        </w:rPr>
                        <w:drawing>
                          <wp:inline distT="0" distB="0" distL="0" distR="0" wp14:anchorId="1DDAC2B0" wp14:editId="6C6B956E">
                            <wp:extent cx="457200" cy="457200"/>
                            <wp:effectExtent l="0" t="0" r="0" b="0"/>
                            <wp:docPr id="816286148" name="Picture 81628614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7F52388" w14:textId="6E289B4D" w:rsidR="00C6444C" w:rsidRDefault="00C6444C">
                      <w:pPr>
                        <w:pStyle w:val="Calloutboxes"/>
                      </w:pPr>
                      <w:r>
                        <w:t>For more information about Section 5311 grant program requirements follow:</w:t>
                      </w:r>
                    </w:p>
                    <w:p w14:paraId="0260D9F9" w14:textId="77777777" w:rsidR="00C6444C" w:rsidRPr="00421E93" w:rsidRDefault="00C6444C">
                      <w:pPr>
                        <w:pStyle w:val="Title"/>
                      </w:pPr>
                      <w:hyperlink r:id="rId870" w:history="1">
                        <w:r w:rsidRPr="00421E93">
                          <w:rPr>
                            <w:rStyle w:val="Hyperlink"/>
                            <w:rFonts w:asciiTheme="minorHAnsi" w:hAnsiTheme="minorHAnsi" w:cstheme="majorBidi"/>
                            <w:i/>
                            <w:iCs w:val="0"/>
                            <w:color w:val="CE5B18"/>
                            <w:u w:val="none"/>
                          </w:rPr>
                          <w:t>https://www.transit.dot.gov/grants/13093_3555.html</w:t>
                        </w:r>
                      </w:hyperlink>
                    </w:p>
                  </w:txbxContent>
                </v:textbox>
                <w10:wrap type="tight"/>
              </v:shape>
            </w:pict>
          </mc:Fallback>
        </mc:AlternateContent>
      </w:r>
      <w:r w:rsidR="006728E9">
        <w:rPr>
          <w:rFonts w:cstheme="minorHAnsi"/>
          <w:noProof/>
        </w:rPr>
        <mc:AlternateContent>
          <mc:Choice Requires="wps">
            <w:drawing>
              <wp:anchor distT="0" distB="0" distL="114300" distR="114300" simplePos="0" relativeHeight="251618369" behindDoc="1" locked="0" layoutInCell="1" allowOverlap="1" wp14:anchorId="75167541" wp14:editId="6269D917">
                <wp:simplePos x="0" y="0"/>
                <wp:positionH relativeFrom="column">
                  <wp:posOffset>1359608</wp:posOffset>
                </wp:positionH>
                <wp:positionV relativeFrom="paragraph">
                  <wp:posOffset>542512</wp:posOffset>
                </wp:positionV>
                <wp:extent cx="1362075" cy="1664970"/>
                <wp:effectExtent l="76200" t="95250" r="85725" b="87630"/>
                <wp:wrapTight wrapText="bothSides">
                  <wp:wrapPolygon edited="0">
                    <wp:start x="-1208" y="-1236"/>
                    <wp:lineTo x="-1208" y="22490"/>
                    <wp:lineTo x="22657" y="22490"/>
                    <wp:lineTo x="22657" y="-1236"/>
                    <wp:lineTo x="-1208" y="-1236"/>
                  </wp:wrapPolygon>
                </wp:wrapTight>
                <wp:docPr id="816286157" name="Text Box 816286157"/>
                <wp:cNvGraphicFramePr/>
                <a:graphic xmlns:a="http://schemas.openxmlformats.org/drawingml/2006/main">
                  <a:graphicData uri="http://schemas.microsoft.com/office/word/2010/wordprocessingShape">
                    <wps:wsp>
                      <wps:cNvSpPr txBox="1"/>
                      <wps:spPr>
                        <a:xfrm>
                          <a:off x="0" y="0"/>
                          <a:ext cx="1362075" cy="16649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A24406C" w14:textId="77777777" w:rsidR="00C6444C" w:rsidRDefault="00C6444C" w:rsidP="00020D20">
                            <w:pPr>
                              <w:jc w:val="center"/>
                            </w:pPr>
                            <w:r>
                              <w:rPr>
                                <w:noProof/>
                              </w:rPr>
                              <w:drawing>
                                <wp:inline distT="0" distB="0" distL="0" distR="0" wp14:anchorId="5D99026F" wp14:editId="51FF394F">
                                  <wp:extent cx="457200" cy="457200"/>
                                  <wp:effectExtent l="0" t="0" r="0" b="0"/>
                                  <wp:docPr id="816286150" name="Picture 81628615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1397AB2" w14:textId="5E150DEE" w:rsidR="00C6444C" w:rsidRPr="00954116" w:rsidRDefault="00C6444C" w:rsidP="00020D20">
                            <w:pPr>
                              <w:pStyle w:val="Calloutboxes"/>
                            </w:pPr>
                            <w:r w:rsidRPr="00394A74">
                              <w:t>FTA guidance circulars are available on the FTA website for many grant-related topics:</w:t>
                            </w:r>
                          </w:p>
                          <w:p w14:paraId="265D4094" w14:textId="63D91E96" w:rsidR="00C6444C" w:rsidRPr="00DC0E7A" w:rsidRDefault="00202C92">
                            <w:pPr>
                              <w:pStyle w:val="Title"/>
                            </w:pPr>
                            <w:hyperlink r:id="rId871" w:history="1">
                              <w:r w:rsidR="00C6444C" w:rsidRPr="00020D20">
                                <w:rPr>
                                  <w:rStyle w:val="Hyperlink"/>
                                  <w:rFonts w:ascii="Calibri" w:hAnsi="Calibri" w:cstheme="majorBidi"/>
                                  <w:i/>
                                  <w:color w:val="CE5B18"/>
                                  <w:szCs w:val="56"/>
                                  <w:u w:val="none"/>
                                </w:rPr>
                                <w:t>https://www.transit.dot.gov/regulations-and-guidance/fta-circulars/final-circulars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167541" id="Text Box 816286157" o:spid="_x0000_s1226" type="#_x0000_t202" style="position:absolute;left:0;text-align:left;margin-left:107.05pt;margin-top:42.7pt;width:107.25pt;height:131.1pt;z-index:-251698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" fillcolor="#f7f7f7" stroked="f" strokeweight=".5pt">
                <v:shadow on="t" type="perspective" color="black" opacity="26214f" offset="0,0" matrix="66847f,,,66847f"/>
                <v:textbox>
                  <w:txbxContent>
                    <w:p w14:paraId="4A24406C" w14:textId="77777777" w:rsidR="00C6444C" w:rsidRDefault="00C6444C" w:rsidP="00020D20">
                      <w:pPr>
                        <w:jc w:val="center"/>
                      </w:pPr>
                      <w:r>
                        <w:rPr>
                          <w:noProof/>
                        </w:rPr>
                        <w:drawing>
                          <wp:inline distT="0" distB="0" distL="0" distR="0" wp14:anchorId="5D99026F" wp14:editId="51FF394F">
                            <wp:extent cx="457200" cy="457200"/>
                            <wp:effectExtent l="0" t="0" r="0" b="0"/>
                            <wp:docPr id="816286150" name="Picture 81628615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1397AB2" w14:textId="5E150DEE" w:rsidR="00C6444C" w:rsidRPr="00954116" w:rsidRDefault="00C6444C" w:rsidP="00020D20">
                      <w:pPr>
                        <w:pStyle w:val="Calloutboxes"/>
                      </w:pPr>
                      <w:r w:rsidRPr="00394A74">
                        <w:t>FTA guidance circulars are available on the FTA website for many grant-related topics:</w:t>
                      </w:r>
                    </w:p>
                    <w:p w14:paraId="265D4094" w14:textId="63D91E96" w:rsidR="00C6444C" w:rsidRPr="00DC0E7A" w:rsidRDefault="00C6444C">
                      <w:pPr>
                        <w:pStyle w:val="Title"/>
                      </w:pPr>
                      <w:hyperlink r:id="rId872" w:history="1">
                        <w:r w:rsidRPr="00020D20">
                          <w:rPr>
                            <w:rStyle w:val="Hyperlink"/>
                            <w:rFonts w:ascii="Calibri" w:hAnsi="Calibri" w:cstheme="majorBidi"/>
                            <w:i/>
                            <w:color w:val="CE5B18"/>
                            <w:szCs w:val="56"/>
                            <w:u w:val="none"/>
                          </w:rPr>
                          <w:t>https://www.transit.dot.gov/regulations-and-guidance/fta-circulars/final-circulars</w:t>
                        </w:r>
                      </w:hyperlink>
                    </w:p>
                  </w:txbxContent>
                </v:textbox>
                <w10:wrap type="tight"/>
              </v:shape>
            </w:pict>
          </mc:Fallback>
        </mc:AlternateContent>
      </w:r>
      <w:r w:rsidR="002B6A0A" w:rsidRPr="002B6A0A">
        <w:t xml:space="preserve">FTA issues regulatory guidance to provide grantees with direction on program specific issues and statutory requirements. </w:t>
      </w:r>
      <w:r w:rsidR="00E70871">
        <w:t>Each FTA grant program has an accompanying circular and must also comply with the Federal Uniform Guidance also called the Super Circular.</w:t>
      </w:r>
    </w:p>
    <w:p w14:paraId="28D63771" w14:textId="092E4CE5" w:rsidR="002B6A0A" w:rsidRPr="002B6A0A" w:rsidRDefault="00E70871" w:rsidP="00020D20">
      <w:pPr>
        <w:pStyle w:val="SubHeading3"/>
        <w:jc w:val="both"/>
        <w:rPr>
          <w:bCs/>
        </w:rPr>
      </w:pPr>
      <w:r>
        <w:t>ADOT Requirement Documents</w:t>
      </w:r>
    </w:p>
    <w:p w14:paraId="4255620C" w14:textId="0D433237" w:rsidR="002B6A0A" w:rsidRDefault="00E70871" w:rsidP="00020D20">
      <w:pPr>
        <w:ind w:left="180"/>
        <w:jc w:val="both"/>
        <w:rPr>
          <w:bCs/>
        </w:rPr>
      </w:pPr>
      <w:r>
        <w:t>ADOT outlines its requirements in each contract, Guidebooks, and the State Management Plan as well as the requirements outlined in the</w:t>
      </w:r>
      <w:r w:rsidR="00FE32A7">
        <w:t xml:space="preserve"> Notice of Funding Availability</w:t>
      </w:r>
      <w:r>
        <w:t xml:space="preserve"> </w:t>
      </w:r>
      <w:r w:rsidR="00FE32A7">
        <w:t>(</w:t>
      </w:r>
      <w:r>
        <w:t>NOFA</w:t>
      </w:r>
      <w:r w:rsidR="00FE32A7">
        <w:t>)</w:t>
      </w:r>
      <w:r>
        <w:t xml:space="preserve"> for each grant application. These documents can be found in </w:t>
      </w:r>
      <w:hyperlink r:id="rId873" w:history="1">
        <w:r w:rsidRPr="00020D20">
          <w:rPr>
            <w:rStyle w:val="TitleChar"/>
          </w:rPr>
          <w:t>E</w:t>
        </w:r>
        <w:r w:rsidR="00ED653F" w:rsidRPr="00020D20">
          <w:rPr>
            <w:rStyle w:val="TitleChar"/>
          </w:rPr>
          <w:t>-</w:t>
        </w:r>
        <w:r w:rsidRPr="00020D20">
          <w:rPr>
            <w:rStyle w:val="TitleChar"/>
          </w:rPr>
          <w:t>GRANTS</w:t>
        </w:r>
      </w:hyperlink>
      <w:r>
        <w:t xml:space="preserve"> and the ADOT Transit webpage.</w:t>
      </w:r>
      <w:r w:rsidR="00CC0E98" w:rsidRPr="00CC0E98">
        <w:rPr>
          <w:b/>
          <w:highlight w:val="yellow"/>
        </w:rPr>
        <w:t xml:space="preserve"> </w:t>
      </w:r>
    </w:p>
    <w:p w14:paraId="11CF8512" w14:textId="77777777" w:rsidR="00FF51A4" w:rsidRDefault="00FF51A4" w:rsidP="00020D20">
      <w:pPr>
        <w:pStyle w:val="SectionHeadersADOTText"/>
        <w:jc w:val="both"/>
        <w:sectPr w:rsidR="00FF51A4" w:rsidSect="00020D20">
          <w:type w:val="continuous"/>
          <w:pgSz w:w="12240" w:h="15840"/>
          <w:pgMar w:top="1440" w:right="1440" w:bottom="1440" w:left="1440" w:header="720" w:footer="720" w:gutter="0"/>
          <w:pgNumType w:chapStyle="1"/>
          <w:cols w:num="2" w:space="720"/>
          <w:docGrid w:linePitch="360"/>
        </w:sectPr>
      </w:pPr>
    </w:p>
    <w:p w14:paraId="2915B825" w14:textId="46B46690" w:rsidR="00FF51A4" w:rsidRDefault="00FF51A4" w:rsidP="00020D20">
      <w:pPr>
        <w:pStyle w:val="SectionHeadersADOTText"/>
        <w:jc w:val="both"/>
        <w:sectPr w:rsidR="00FF51A4" w:rsidSect="008E695B">
          <w:type w:val="continuous"/>
          <w:pgSz w:w="12240" w:h="15840"/>
          <w:pgMar w:top="1440" w:right="1440" w:bottom="1440" w:left="1440" w:header="720" w:footer="720" w:gutter="0"/>
          <w:cols w:space="720"/>
          <w:docGrid w:linePitch="360"/>
        </w:sectPr>
      </w:pPr>
    </w:p>
    <w:p w14:paraId="34E0F9AD" w14:textId="35D72DFA" w:rsidR="00D45347" w:rsidRDefault="00141D4A" w:rsidP="00020D20">
      <w:pPr>
        <w:pStyle w:val="BodyTextTitle"/>
        <w:spacing w:before="0" w:after="0" w:line="240" w:lineRule="auto"/>
        <w:jc w:val="both"/>
      </w:pPr>
      <w:r>
        <w:t>15</w:t>
      </w:r>
      <w:r w:rsidR="00D45347">
        <w:t xml:space="preserve"> </w:t>
      </w:r>
      <w:r>
        <w:t xml:space="preserve">| </w:t>
      </w:r>
      <w:r w:rsidR="00D45347">
        <w:t>FREIGHT</w:t>
      </w:r>
    </w:p>
    <w:p w14:paraId="3C40EBCC" w14:textId="0A7490BB" w:rsidR="00141D4A" w:rsidRPr="00020D20" w:rsidRDefault="00141D4A" w:rsidP="00020D20">
      <w:pPr>
        <w:pStyle w:val="BodyTextTitle"/>
        <w:spacing w:before="0" w:line="240" w:lineRule="auto"/>
        <w:jc w:val="both"/>
        <w:rPr>
          <w:sz w:val="36"/>
        </w:rPr>
      </w:pPr>
      <w:r w:rsidRPr="00020D20">
        <w:rPr>
          <w:sz w:val="36"/>
        </w:rPr>
        <w:t>TABLE OF CONTENTS</w:t>
      </w:r>
    </w:p>
    <w:p w14:paraId="20C2BB71" w14:textId="17B30A8C" w:rsidR="00141D4A" w:rsidRDefault="002767F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_Ref50039751 \h </w:instrText>
      </w:r>
      <w:r w:rsidR="002D38FC">
        <w:instrText xml:space="preserve"> \* MERGEFORMAT </w:instrText>
      </w:r>
      <w:r>
        <w:fldChar w:fldCharType="separate"/>
      </w:r>
      <w:r w:rsidR="00075CE4">
        <w:t xml:space="preserve">15.1 | </w:t>
      </w:r>
      <w:r w:rsidRPr="00DA7DB9">
        <w:t>PURPOSE</w:t>
      </w:r>
      <w:r>
        <w:fldChar w:fldCharType="end"/>
      </w:r>
    </w:p>
    <w:p w14:paraId="2832D14D" w14:textId="4AA8652A"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_Ref50039756 \h </w:instrText>
      </w:r>
      <w:r w:rsidR="002D38FC">
        <w:instrText xml:space="preserve"> \* MERGEFORMAT </w:instrText>
      </w:r>
      <w:r>
        <w:fldChar w:fldCharType="separate"/>
      </w:r>
      <w:r w:rsidR="00075CE4">
        <w:t xml:space="preserve">15.2 | </w:t>
      </w:r>
      <w:r w:rsidRPr="00DA7DB9">
        <w:t>AUTHORITY</w:t>
      </w:r>
      <w:r>
        <w:fldChar w:fldCharType="end"/>
      </w:r>
    </w:p>
    <w:p w14:paraId="3FB662E6" w14:textId="393DE0F6"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_Ref50039761 \h </w:instrText>
      </w:r>
      <w:r w:rsidR="002D38FC">
        <w:instrText xml:space="preserve"> \* MERGEFORMAT </w:instrText>
      </w:r>
      <w:r>
        <w:fldChar w:fldCharType="separate"/>
      </w:r>
      <w:r w:rsidR="00075CE4">
        <w:t xml:space="preserve">15.3 | </w:t>
      </w:r>
      <w:r w:rsidRPr="005B66A9">
        <w:t>ARIZONA FREIGHT MOBILITY</w:t>
      </w:r>
      <w:r>
        <w:fldChar w:fldCharType="end"/>
      </w:r>
    </w:p>
    <w:p w14:paraId="757DAB0B" w14:textId="15EC1C01"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_Ref50039765 \h </w:instrText>
      </w:r>
      <w:r w:rsidR="002D38FC">
        <w:instrText xml:space="preserve"> \* MERGEFORMAT </w:instrText>
      </w:r>
      <w:r>
        <w:fldChar w:fldCharType="separate"/>
      </w:r>
      <w:r w:rsidRPr="00DA7DB9">
        <w:t>15.3.1 | Truck Freight</w:t>
      </w:r>
      <w:r>
        <w:fldChar w:fldCharType="end"/>
      </w:r>
    </w:p>
    <w:p w14:paraId="52706AF6" w14:textId="1DFB15A7"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_Ref50039768 \h </w:instrText>
      </w:r>
      <w:r w:rsidR="002D38FC">
        <w:instrText xml:space="preserve"> \* MERGEFORMAT </w:instrText>
      </w:r>
      <w:r>
        <w:fldChar w:fldCharType="separate"/>
      </w:r>
      <w:r w:rsidRPr="00DA7DB9">
        <w:t>15.3.2 | Rail Freight</w:t>
      </w:r>
      <w:r>
        <w:fldChar w:fldCharType="end"/>
      </w:r>
    </w:p>
    <w:p w14:paraId="4255A6A7" w14:textId="447A5F7D" w:rsidR="00D527BA" w:rsidRDefault="000167D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_Ref50039992 \h </w:instrText>
      </w:r>
      <w:r w:rsidR="002D38FC">
        <w:instrText xml:space="preserve"> \* MERGEFORMAT </w:instrText>
      </w:r>
      <w:r>
        <w:fldChar w:fldCharType="separate"/>
      </w:r>
      <w:r w:rsidRPr="00DA7DB9">
        <w:t>BNSF Phoenix Intermodal Facility</w:t>
      </w:r>
      <w:r>
        <w:fldChar w:fldCharType="end"/>
      </w:r>
    </w:p>
    <w:p w14:paraId="249FF2CD" w14:textId="25AE249D" w:rsidR="00D527BA" w:rsidRDefault="000167D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_Ref50039996 \h </w:instrText>
      </w:r>
      <w:r w:rsidR="002D38FC">
        <w:instrText xml:space="preserve"> \* MERGEFORMAT </w:instrText>
      </w:r>
      <w:r>
        <w:fldChar w:fldCharType="separate"/>
      </w:r>
      <w:r w:rsidRPr="00DA7DB9">
        <w:t>Union Pacific Phoenix Intermodal Facility</w:t>
      </w:r>
      <w:r>
        <w:fldChar w:fldCharType="end"/>
      </w:r>
    </w:p>
    <w:p w14:paraId="03B16263" w14:textId="24BF6B96" w:rsidR="00D527BA" w:rsidRDefault="000167D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_Ref50040001 \h </w:instrText>
      </w:r>
      <w:r w:rsidR="002D38FC">
        <w:instrText xml:space="preserve"> \* MERGEFORMAT </w:instrText>
      </w:r>
      <w:r>
        <w:fldChar w:fldCharType="separate"/>
      </w:r>
      <w:r w:rsidRPr="00DA7DB9">
        <w:t>Port of Tucson</w:t>
      </w:r>
      <w:r>
        <w:fldChar w:fldCharType="end"/>
      </w:r>
    </w:p>
    <w:p w14:paraId="71C50F81" w14:textId="5E8F1715" w:rsidR="00D527BA" w:rsidRDefault="000167D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_Ref50040005 \h </w:instrText>
      </w:r>
      <w:r w:rsidR="002D38FC">
        <w:instrText xml:space="preserve"> \* MERGEFORMAT </w:instrText>
      </w:r>
      <w:r>
        <w:fldChar w:fldCharType="separate"/>
      </w:r>
      <w:r w:rsidRPr="00DA7DB9">
        <w:t>San Pedro &amp; Southwestern Railroad Benson Transload</w:t>
      </w:r>
      <w:r>
        <w:fldChar w:fldCharType="end"/>
      </w:r>
    </w:p>
    <w:p w14:paraId="16BB31C0" w14:textId="3275664F"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_Ref50039772 \h </w:instrText>
      </w:r>
      <w:r w:rsidR="002D38FC">
        <w:instrText xml:space="preserve"> \* MERGEFORMAT </w:instrText>
      </w:r>
      <w:r>
        <w:fldChar w:fldCharType="separate"/>
      </w:r>
      <w:r w:rsidR="00CC26E3" w:rsidRPr="00DA7DB9">
        <w:t>15.3.</w:t>
      </w:r>
      <w:r w:rsidR="00CC26E3">
        <w:t>3</w:t>
      </w:r>
      <w:r w:rsidR="00CC26E3" w:rsidRPr="00DA7DB9">
        <w:t xml:space="preserve"> | Air Freight</w:t>
      </w:r>
      <w:r>
        <w:fldChar w:fldCharType="end"/>
      </w:r>
    </w:p>
    <w:p w14:paraId="15AE78BD" w14:textId="5CE2AAD5" w:rsidR="008D2B96" w:rsidRDefault="00EC5614"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_Ref50040417 \h </w:instrText>
      </w:r>
      <w:r w:rsidR="002D38FC">
        <w:instrText xml:space="preserve"> \* MERGEFORMAT </w:instrText>
      </w:r>
      <w:r>
        <w:fldChar w:fldCharType="separate"/>
      </w:r>
      <w:r w:rsidR="00CC26E3">
        <w:t>15.3.4 | Pipeline System</w:t>
      </w:r>
      <w:r>
        <w:fldChar w:fldCharType="end"/>
      </w:r>
    </w:p>
    <w:p w14:paraId="26599DA6" w14:textId="7EC087D0"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_Ref50039775 \h </w:instrText>
      </w:r>
      <w:r w:rsidR="002D38FC">
        <w:instrText xml:space="preserve"> \* MERGEFORMAT </w:instrText>
      </w:r>
      <w:r>
        <w:fldChar w:fldCharType="separate"/>
      </w:r>
      <w:r w:rsidR="00CC26E3">
        <w:t>15.3.5 | Borders and International Freight Gateways</w:t>
      </w:r>
      <w:r>
        <w:fldChar w:fldCharType="end"/>
      </w:r>
    </w:p>
    <w:p w14:paraId="3C33442B" w14:textId="3B273FFB" w:rsidR="002767F3" w:rsidRDefault="002767F3"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_Ref50039781 \h </w:instrText>
      </w:r>
      <w:r w:rsidR="002D38FC">
        <w:instrText xml:space="preserve"> \* MERGEFORMAT </w:instrText>
      </w:r>
      <w:r>
        <w:fldChar w:fldCharType="separate"/>
      </w:r>
      <w:r w:rsidR="00CC26E3">
        <w:t>15.3.6 | Freight Clusters</w:t>
      </w:r>
      <w:r>
        <w:fldChar w:fldCharType="end"/>
      </w:r>
    </w:p>
    <w:p w14:paraId="52488C35" w14:textId="6BCE5F1E"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_Ref50039802 \h </w:instrText>
      </w:r>
      <w:r w:rsidR="002D38FC">
        <w:instrText xml:space="preserve"> \* MERGEFORMAT </w:instrText>
      </w:r>
      <w:r>
        <w:fldChar w:fldCharType="separate"/>
      </w:r>
      <w:r w:rsidR="00075CE4">
        <w:t xml:space="preserve">15.4 | </w:t>
      </w:r>
      <w:r w:rsidRPr="00A34E8C">
        <w:t>ARIZONA FREIGHT-RELATED PLANS</w:t>
      </w:r>
      <w:r>
        <w:fldChar w:fldCharType="end"/>
      </w:r>
    </w:p>
    <w:p w14:paraId="0F1E1249" w14:textId="6723E10E"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_Ref50039842 \h </w:instrText>
      </w:r>
      <w:r w:rsidR="002D38FC">
        <w:instrText xml:space="preserve"> \* MERGEFORMAT </w:instrText>
      </w:r>
      <w:r>
        <w:fldChar w:fldCharType="separate"/>
      </w:r>
      <w:r>
        <w:t>15.4.1 | Arizona State Rail Plan, TBA</w:t>
      </w:r>
      <w:r>
        <w:fldChar w:fldCharType="end"/>
      </w:r>
    </w:p>
    <w:p w14:paraId="7D3721FA" w14:textId="667DCA4C"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_Ref50039855 \h </w:instrText>
      </w:r>
      <w:r w:rsidR="002D38FC">
        <w:instrText xml:space="preserve"> \* MERGEFORMAT </w:instrText>
      </w:r>
      <w:r>
        <w:fldChar w:fldCharType="separate"/>
      </w:r>
      <w:r w:rsidRPr="00200213">
        <w:t>15.4.</w:t>
      </w:r>
      <w:r>
        <w:t>2</w:t>
      </w:r>
      <w:r w:rsidRPr="00200213">
        <w:t xml:space="preserve"> | Arizona-Sonora Border Master Plan</w:t>
      </w:r>
      <w:r>
        <w:fldChar w:fldCharType="end"/>
      </w:r>
    </w:p>
    <w:p w14:paraId="1C847776" w14:textId="02C6BB40" w:rsidR="00CC26E3" w:rsidRDefault="00CC26E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_Ref50040600 \h </w:instrText>
      </w:r>
      <w:r w:rsidR="002D38FC">
        <w:instrText xml:space="preserve"> \* MERGEFORMAT </w:instrText>
      </w:r>
      <w:r>
        <w:fldChar w:fldCharType="separate"/>
      </w:r>
      <w:r w:rsidRPr="00200213">
        <w:t>Transportation Project Evaluation Criteria</w:t>
      </w:r>
      <w:r>
        <w:fldChar w:fldCharType="end"/>
      </w:r>
    </w:p>
    <w:p w14:paraId="16E98D7C" w14:textId="1D0A4079"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_Ref50039858 \h </w:instrText>
      </w:r>
      <w:r w:rsidR="002D38FC">
        <w:instrText xml:space="preserve"> \* MERGEFORMAT </w:instrText>
      </w:r>
      <w:r>
        <w:fldChar w:fldCharType="separate"/>
      </w:r>
      <w:r w:rsidRPr="00200213">
        <w:t>15.4.</w:t>
      </w:r>
      <w:r>
        <w:t>3</w:t>
      </w:r>
      <w:r w:rsidRPr="00200213">
        <w:t xml:space="preserve"> | Arizona State Freight Plan</w:t>
      </w:r>
      <w:r>
        <w:fldChar w:fldCharType="end"/>
      </w:r>
    </w:p>
    <w:p w14:paraId="0F04FFA8" w14:textId="2D581A9B"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_Ref50039861 \h </w:instrText>
      </w:r>
      <w:r w:rsidR="002D38FC">
        <w:instrText xml:space="preserve"> \* MERGEFORMAT </w:instrText>
      </w:r>
      <w:r>
        <w:fldChar w:fldCharType="separate"/>
      </w:r>
      <w:r w:rsidRPr="00200213">
        <w:t>15.4.</w:t>
      </w:r>
      <w:r>
        <w:t>5</w:t>
      </w:r>
      <w:r w:rsidRPr="00200213">
        <w:t xml:space="preserve"> | </w:t>
      </w:r>
      <w:r>
        <w:t>Arizona Bi-National Corridor Study</w:t>
      </w:r>
      <w:r>
        <w:fldChar w:fldCharType="end"/>
      </w:r>
    </w:p>
    <w:p w14:paraId="5E1E956F" w14:textId="28018314"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_Ref50039864 \h </w:instrText>
      </w:r>
      <w:r w:rsidR="002D38FC">
        <w:instrText xml:space="preserve"> \* MERGEFORMAT </w:instrText>
      </w:r>
      <w:r>
        <w:fldChar w:fldCharType="separate"/>
      </w:r>
      <w:r w:rsidRPr="00200213">
        <w:t>15.4.</w:t>
      </w:r>
      <w:r>
        <w:t>6</w:t>
      </w:r>
      <w:r w:rsidRPr="00200213">
        <w:t xml:space="preserve"> | Arizona </w:t>
      </w:r>
      <w:r>
        <w:t>Port of Entry Study</w:t>
      </w:r>
      <w:r>
        <w:fldChar w:fldCharType="end"/>
      </w:r>
    </w:p>
    <w:p w14:paraId="771D648B" w14:textId="5D0E56C7"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_Ref50039867 \h </w:instrText>
      </w:r>
      <w:r w:rsidR="002D38FC">
        <w:instrText xml:space="preserve"> \* MERGEFORMAT </w:instrText>
      </w:r>
      <w:r>
        <w:fldChar w:fldCharType="separate"/>
      </w:r>
      <w:r w:rsidRPr="00200213">
        <w:t>15.4.</w:t>
      </w:r>
      <w:r>
        <w:t>7</w:t>
      </w:r>
      <w:r w:rsidRPr="00200213">
        <w:t xml:space="preserve"> | </w:t>
      </w:r>
      <w:r>
        <w:t>Arizona Transportation Asset Management Plan</w:t>
      </w:r>
      <w:r>
        <w:fldChar w:fldCharType="end"/>
      </w:r>
    </w:p>
    <w:p w14:paraId="50F3FAFC" w14:textId="0A23F932"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_Ref50039870 \h </w:instrText>
      </w:r>
      <w:r w:rsidR="002D38FC">
        <w:instrText xml:space="preserve"> \* MERGEFORMAT </w:instrText>
      </w:r>
      <w:r>
        <w:fldChar w:fldCharType="separate"/>
      </w:r>
      <w:r w:rsidRPr="00200213">
        <w:t>15.4.</w:t>
      </w:r>
      <w:r>
        <w:t>8 | Statewide Rail Crossing Safety Action Plan</w:t>
      </w:r>
      <w:r>
        <w:fldChar w:fldCharType="end"/>
      </w:r>
    </w:p>
    <w:p w14:paraId="25D440B3" w14:textId="211BB208"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_Ref50039873 \h </w:instrText>
      </w:r>
      <w:r w:rsidR="002D38FC">
        <w:instrText xml:space="preserve"> \* MERGEFORMAT </w:instrText>
      </w:r>
      <w:r>
        <w:fldChar w:fldCharType="separate"/>
      </w:r>
      <w:r w:rsidR="00075CE4">
        <w:t xml:space="preserve">15.5 | </w:t>
      </w:r>
      <w:r w:rsidRPr="00200213">
        <w:t>ARIZONA FREIGHT ORGANIZATIONS</w:t>
      </w:r>
      <w:r>
        <w:fldChar w:fldCharType="end"/>
      </w:r>
    </w:p>
    <w:p w14:paraId="54EE3479" w14:textId="3E899F98"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_Ref50039876 \h </w:instrText>
      </w:r>
      <w:r w:rsidR="002D38FC">
        <w:instrText xml:space="preserve"> \* MERGEFORMAT </w:instrText>
      </w:r>
      <w:r>
        <w:fldChar w:fldCharType="separate"/>
      </w:r>
      <w:r w:rsidRPr="00200213">
        <w:t xml:space="preserve">15.5.1 | Transportation &amp; Trade </w:t>
      </w:r>
      <w:r w:rsidRPr="00850300">
        <w:t>Corridor</w:t>
      </w:r>
      <w:r w:rsidRPr="00200213">
        <w:t xml:space="preserve"> Alliance</w:t>
      </w:r>
      <w:r>
        <w:fldChar w:fldCharType="end"/>
      </w:r>
    </w:p>
    <w:p w14:paraId="19B56415" w14:textId="40BC5705"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_Ref50039879 \h </w:instrText>
      </w:r>
      <w:r w:rsidR="002D38FC">
        <w:instrText xml:space="preserve"> \* MERGEFORMAT </w:instrText>
      </w:r>
      <w:r>
        <w:fldChar w:fldCharType="separate"/>
      </w:r>
      <w:r w:rsidRPr="00200213">
        <w:t>15.5.2 | Arizona Trucking Association</w:t>
      </w:r>
      <w:r>
        <w:fldChar w:fldCharType="end"/>
      </w:r>
    </w:p>
    <w:p w14:paraId="115EDCC9" w14:textId="14633BA0"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_Ref50039882 \h </w:instrText>
      </w:r>
      <w:r w:rsidR="002D38FC">
        <w:instrText xml:space="preserve"> \* MERGEFORMAT </w:instrText>
      </w:r>
      <w:r>
        <w:fldChar w:fldCharType="separate"/>
      </w:r>
      <w:r w:rsidRPr="00200213">
        <w:t>15.5.3 | Arizona State Railroad Association</w:t>
      </w:r>
      <w:r>
        <w:fldChar w:fldCharType="end"/>
      </w:r>
    </w:p>
    <w:p w14:paraId="753249D2" w14:textId="3DF336AD"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_Ref50039885 \h </w:instrText>
      </w:r>
      <w:r w:rsidR="002D38FC">
        <w:instrText xml:space="preserve"> \* MERGEFORMAT </w:instrText>
      </w:r>
      <w:r>
        <w:fldChar w:fldCharType="separate"/>
      </w:r>
      <w:r w:rsidRPr="00200213">
        <w:t>15.5.4 | Airforwarders Association</w:t>
      </w:r>
      <w:r>
        <w:fldChar w:fldCharType="end"/>
      </w:r>
    </w:p>
    <w:p w14:paraId="4B2D7EAC" w14:textId="3685649D"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_Ref50039889 \h </w:instrText>
      </w:r>
      <w:r w:rsidR="002D38FC">
        <w:instrText xml:space="preserve"> \* MERGEFORMAT </w:instrText>
      </w:r>
      <w:r>
        <w:fldChar w:fldCharType="separate"/>
      </w:r>
      <w:r w:rsidRPr="00200213">
        <w:t>15.5.5 | Southern Arizona Logistics Education Organization</w:t>
      </w:r>
      <w:r>
        <w:fldChar w:fldCharType="end"/>
      </w:r>
    </w:p>
    <w:p w14:paraId="30C5314D" w14:textId="3671A5BD"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_Ref50039893 \h </w:instrText>
      </w:r>
      <w:r w:rsidR="002D38FC">
        <w:instrText xml:space="preserve"> \* MERGEFORMAT </w:instrText>
      </w:r>
      <w:r>
        <w:fldChar w:fldCharType="separate"/>
      </w:r>
      <w:r w:rsidR="00075CE4">
        <w:t xml:space="preserve">15.6 | </w:t>
      </w:r>
      <w:r w:rsidRPr="00200213">
        <w:t>ARIZONA-MEXICO BORDER-RELATED FREIGHT PLANNING</w:t>
      </w:r>
      <w:r>
        <w:fldChar w:fldCharType="end"/>
      </w:r>
    </w:p>
    <w:p w14:paraId="0E2D3053" w14:textId="40F0212C"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_Ref50039897 \h </w:instrText>
      </w:r>
      <w:r w:rsidR="002D38FC">
        <w:instrText xml:space="preserve"> \* MERGEFORMAT </w:instrText>
      </w:r>
      <w:r>
        <w:fldChar w:fldCharType="separate"/>
      </w:r>
      <w:r w:rsidRPr="00200213">
        <w:t>15.6.1 | Arizona POE Freight Issues</w:t>
      </w:r>
      <w:r>
        <w:fldChar w:fldCharType="end"/>
      </w:r>
    </w:p>
    <w:p w14:paraId="78990044" w14:textId="361D7B04" w:rsidR="00D527BA" w:rsidRDefault="00D527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_Ref50039908 \h </w:instrText>
      </w:r>
      <w:r w:rsidR="002D38FC">
        <w:instrText xml:space="preserve"> \* MERGEFORMAT </w:instrText>
      </w:r>
      <w:r>
        <w:fldChar w:fldCharType="separate"/>
      </w:r>
      <w:r w:rsidRPr="00200213">
        <w:t>15.6.2 | Canamex &amp; I-11</w:t>
      </w:r>
      <w:r>
        <w:fldChar w:fldCharType="end"/>
      </w:r>
      <w:r>
        <w:fldChar w:fldCharType="begin"/>
      </w:r>
      <w:r>
        <w:instrText xml:space="preserve"> REF _Ref50039842 \h </w:instrText>
      </w:r>
      <w:r w:rsidR="002D38FC">
        <w:instrText xml:space="preserve"> \* MERGEFORMAT </w:instrText>
      </w:r>
      <w:r>
        <w:fldChar w:fldCharType="end"/>
      </w:r>
    </w:p>
    <w:p w14:paraId="6789EAF0" w14:textId="77777777" w:rsidR="00BB09EC" w:rsidRDefault="00141D4A"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BB09EC" w:rsidSect="006F18AB">
          <w:footerReference w:type="default" r:id="rId874"/>
          <w:pgSz w:w="12240" w:h="15840"/>
          <w:pgMar w:top="1440" w:right="1440" w:bottom="1440" w:left="1440" w:header="720" w:footer="720" w:gutter="0"/>
          <w:pgNumType w:start="1" w:chapStyle="1"/>
          <w:cols w:space="720"/>
          <w:docGrid w:linePitch="360"/>
        </w:sectPr>
      </w:pPr>
      <w:r>
        <w:br w:type="page"/>
      </w:r>
    </w:p>
    <w:p w14:paraId="3CE509DE" w14:textId="50F98990" w:rsidR="00DA7DB9" w:rsidRPr="00DA7DB9" w:rsidRDefault="00C95B0B" w:rsidP="00020D20">
      <w:pPr>
        <w:pStyle w:val="Heading1"/>
        <w:tabs>
          <w:tab w:val="left" w:pos="360"/>
        </w:tabs>
        <w:jc w:val="both"/>
      </w:pPr>
      <w:bookmarkStart w:id="519" w:name="_|_Freight"/>
      <w:bookmarkStart w:id="520" w:name="_Toc49862242"/>
      <w:bookmarkStart w:id="521" w:name="_Toc49870636"/>
      <w:bookmarkStart w:id="522" w:name="_Toc50540242"/>
      <w:bookmarkEnd w:id="519"/>
      <w:r>
        <w:t xml:space="preserve">| </w:t>
      </w:r>
      <w:r w:rsidR="00DA7DB9" w:rsidRPr="00DA7DB9">
        <w:t>Freight</w:t>
      </w:r>
      <w:bookmarkEnd w:id="520"/>
      <w:bookmarkEnd w:id="521"/>
      <w:bookmarkEnd w:id="522"/>
    </w:p>
    <w:p w14:paraId="480F6C20" w14:textId="77777777" w:rsidR="00FF51A4" w:rsidRDefault="00FF51A4" w:rsidP="00020D20">
      <w:pPr>
        <w:pStyle w:val="SectionHeadersADOTText"/>
        <w:jc w:val="both"/>
        <w:sectPr w:rsidR="00FF51A4" w:rsidSect="00020D20">
          <w:footerReference w:type="default" r:id="rId875"/>
          <w:type w:val="continuous"/>
          <w:pgSz w:w="12240" w:h="15840"/>
          <w:pgMar w:top="1440" w:right="1440" w:bottom="1440" w:left="1440" w:header="720" w:footer="720" w:gutter="0"/>
          <w:pgNumType w:start="1" w:chapStyle="1"/>
          <w:cols w:space="720"/>
          <w:docGrid w:linePitch="360"/>
        </w:sectPr>
      </w:pPr>
    </w:p>
    <w:p w14:paraId="4E7E59ED" w14:textId="3166992F" w:rsidR="00DA7DB9" w:rsidRPr="00DA7DB9" w:rsidRDefault="00DA7DB9" w:rsidP="00020D20">
      <w:pPr>
        <w:pStyle w:val="Heading2"/>
      </w:pPr>
      <w:bookmarkStart w:id="523" w:name="_Ref50039751"/>
      <w:r w:rsidRPr="00DA7DB9">
        <w:t>15.1 | PURPOSE</w:t>
      </w:r>
      <w:bookmarkEnd w:id="523"/>
    </w:p>
    <w:p w14:paraId="48D69EC1" w14:textId="19C77F66" w:rsidR="00C6133D" w:rsidRDefault="00C6133D" w:rsidP="00020D20">
      <w:pPr>
        <w:jc w:val="both"/>
      </w:pPr>
      <w:r w:rsidRPr="00DA7DB9">
        <w:t xml:space="preserve">In the broadest sense, freight transportation is the movement of goods from one place to another. More specifically, it is the movement of goods from where they are produced to where they are consumed. In addition to considering the shipment of goods between metropolitan areas, transportation planners also need to consider the picking up and delivery of goods within metropolitan areas. Hence MPOs—and COGs providing transportation planning for smaller metropolitan areas—must understand the issues related to both the regional and local movement of freight. According to the </w:t>
      </w:r>
      <w:hyperlink r:id="rId876" w:history="1">
        <w:r w:rsidRPr="00B179ED">
          <w:rPr>
            <w:rStyle w:val="TitleChar"/>
          </w:rPr>
          <w:t>Arizona Multimodal Freight Analysis Study</w:t>
        </w:r>
      </w:hyperlink>
      <w:r w:rsidRPr="00DA7DB9">
        <w:t>, the state’s border with Mexico, together with its proximity to Long Beach, California, the location of the largest North American container port, means that</w:t>
      </w:r>
      <w:r>
        <w:t xml:space="preserve"> the globalization trend i</w:t>
      </w:r>
      <w:r w:rsidRPr="00DA7DB9">
        <w:t>n the production and delivery of</w:t>
      </w:r>
      <w:r>
        <w:t xml:space="preserve"> </w:t>
      </w:r>
      <w:r w:rsidRPr="00DA7DB9">
        <w:t>products</w:t>
      </w:r>
      <w:r>
        <w:t xml:space="preserve"> has a significant effect on</w:t>
      </w:r>
      <w:r w:rsidRPr="00DA7DB9">
        <w:t xml:space="preserve"> </w:t>
      </w:r>
      <w:r>
        <w:t xml:space="preserve">freight traveling from, to, and through </w:t>
      </w:r>
      <w:r w:rsidRPr="00DA7DB9">
        <w:t>Arizona</w:t>
      </w:r>
      <w:r>
        <w:t>.</w:t>
      </w:r>
    </w:p>
    <w:p w14:paraId="604CB542" w14:textId="452FE2CD" w:rsidR="00DA7DB9" w:rsidRPr="00DA7DB9" w:rsidRDefault="00DA7DB9" w:rsidP="00020D20">
      <w:pPr>
        <w:jc w:val="both"/>
        <w:rPr>
          <w:b/>
          <w:bCs/>
        </w:rPr>
      </w:pPr>
      <w:r w:rsidRPr="00DA7DB9">
        <w:t>This chapter presents the MPO responsibilities for freight planning</w:t>
      </w:r>
      <w:r w:rsidR="00B65A41">
        <w:t xml:space="preserve"> a</w:t>
      </w:r>
      <w:r w:rsidR="00E75D3A">
        <w:t>nd</w:t>
      </w:r>
      <w:r w:rsidR="00B65A41">
        <w:t xml:space="preserve"> provide</w:t>
      </w:r>
      <w:r w:rsidR="00E75D3A">
        <w:t>s</w:t>
      </w:r>
      <w:r w:rsidR="00B65A41">
        <w:t xml:space="preserve"> </w:t>
      </w:r>
      <w:r w:rsidR="00E75D3A">
        <w:t xml:space="preserve">an overview of the assets and facilities that comprise Arizona’s freight transportation system. </w:t>
      </w:r>
      <w:r w:rsidR="000B3EB0">
        <w:t xml:space="preserve">Arizona’s freight system consists of highways, railroads, air cargo terminals, pipeline, and land port of entry facilities. </w:t>
      </w:r>
      <w:r w:rsidR="0090323F">
        <w:t xml:space="preserve">By volume, over three-quarters of the state’s freight moves along the state’s roadway network. </w:t>
      </w:r>
      <w:r w:rsidR="00AD204D">
        <w:t>Figure 15-1 provides a statewide map of the multimodal freight transportation system.</w:t>
      </w:r>
      <w:r w:rsidR="00330100">
        <w:t xml:space="preserve"> </w:t>
      </w:r>
      <w:r w:rsidRPr="00DA7DB9">
        <w:t>Th</w:t>
      </w:r>
      <w:r w:rsidR="00D22476">
        <w:t>is</w:t>
      </w:r>
      <w:r w:rsidRPr="00DA7DB9">
        <w:t xml:space="preserve"> chapter includes summaries of key recent and on-going freight-related transportation studies and plans, together with hyperlinks to study documents and web sites as available. Summaries of organizations comprised of freight customers, freight carriers, and other stakeholders are </w:t>
      </w:r>
      <w:r w:rsidR="00C6133D">
        <w:t>also</w:t>
      </w:r>
      <w:r w:rsidRPr="00DA7DB9">
        <w:t xml:space="preserve"> provided.</w:t>
      </w:r>
    </w:p>
    <w:p w14:paraId="63968350" w14:textId="77777777" w:rsidR="00D22476" w:rsidRDefault="00D22476">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D22476" w:rsidSect="00020D20">
          <w:type w:val="continuous"/>
          <w:pgSz w:w="12240" w:h="15840"/>
          <w:pgMar w:top="1440" w:right="1440" w:bottom="1440" w:left="1440" w:header="720" w:footer="720" w:gutter="0"/>
          <w:cols w:num="2" w:space="720"/>
          <w:docGrid w:linePitch="360"/>
        </w:sectPr>
      </w:pPr>
    </w:p>
    <w:p w14:paraId="17307D7A" w14:textId="77777777" w:rsidR="00AD204D" w:rsidRDefault="00AD204D"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AD204D" w:rsidSect="00C6133D">
          <w:type w:val="continuous"/>
          <w:pgSz w:w="12240" w:h="15840"/>
          <w:pgMar w:top="1440" w:right="1440" w:bottom="1440" w:left="1440" w:header="720" w:footer="720" w:gutter="0"/>
          <w:cols w:space="720"/>
          <w:docGrid w:linePitch="360"/>
        </w:sectPr>
      </w:pPr>
      <w:r>
        <w:br w:type="page"/>
      </w:r>
    </w:p>
    <w:p w14:paraId="40D6D881" w14:textId="556FF694" w:rsidR="00AD204D" w:rsidRDefault="005B7D61" w:rsidP="00020D20">
      <w:pPr>
        <w:pStyle w:val="Heading4"/>
        <w:jc w:val="both"/>
      </w:pPr>
      <w:r>
        <w:rPr>
          <w:noProof/>
        </w:rPr>
        <w:drawing>
          <wp:anchor distT="0" distB="0" distL="114300" distR="114300" simplePos="0" relativeHeight="251618641" behindDoc="0" locked="0" layoutInCell="1" allowOverlap="1" wp14:anchorId="682EFF69" wp14:editId="315B1601">
            <wp:simplePos x="0" y="0"/>
            <wp:positionH relativeFrom="column">
              <wp:posOffset>0</wp:posOffset>
            </wp:positionH>
            <wp:positionV relativeFrom="paragraph">
              <wp:posOffset>205740</wp:posOffset>
            </wp:positionV>
            <wp:extent cx="5928360" cy="7272020"/>
            <wp:effectExtent l="0" t="0" r="0" b="5080"/>
            <wp:wrapTopAndBottom/>
            <wp:docPr id="816286502" name="Picture 816286502"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502" name="Arizona Multimodal Freight Transportation System.png"/>
                    <pic:cNvPicPr/>
                  </pic:nvPicPr>
                  <pic:blipFill rotWithShape="1">
                    <a:blip r:embed="rId877" cstate="hqprint">
                      <a:extLst>
                        <a:ext uri="{28A0092B-C50C-407E-A947-70E740481C1C}">
                          <a14:useLocalDpi xmlns:a14="http://schemas.microsoft.com/office/drawing/2010/main" val="0"/>
                        </a:ext>
                      </a:extLst>
                    </a:blip>
                    <a:srcRect t="5230"/>
                    <a:stretch/>
                  </pic:blipFill>
                  <pic:spPr bwMode="auto">
                    <a:xfrm>
                      <a:off x="0" y="0"/>
                      <a:ext cx="5928360" cy="7272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204D" w:rsidRPr="00AA574A">
        <w:t>Figure 15-</w:t>
      </w:r>
      <w:r w:rsidR="00AD204D">
        <w:t>1</w:t>
      </w:r>
      <w:r w:rsidR="00AD204D" w:rsidRPr="00AA574A">
        <w:t xml:space="preserve"> | </w:t>
      </w:r>
      <w:r w:rsidR="00AD204D">
        <w:t>Arizona Multimodal Freight Transportation System</w:t>
      </w:r>
    </w:p>
    <w:p w14:paraId="752DD927" w14:textId="31E9124E" w:rsidR="00AD204D" w:rsidRDefault="00AD204D" w:rsidP="00020D20">
      <w:pPr>
        <w:jc w:val="both"/>
        <w:rPr>
          <w:rFonts w:asciiTheme="majorHAnsi" w:eastAsiaTheme="majorEastAsia" w:hAnsiTheme="majorHAnsi" w:cstheme="majorBidi"/>
          <w:b/>
          <w:color w:val="012768"/>
          <w:sz w:val="24"/>
          <w:szCs w:val="26"/>
        </w:rPr>
      </w:pPr>
      <w:r>
        <w:br w:type="page"/>
      </w:r>
    </w:p>
    <w:p w14:paraId="0271F7A1" w14:textId="77777777" w:rsidR="00AD204D" w:rsidRDefault="00AD204D" w:rsidP="00020D20">
      <w:pPr>
        <w:pStyle w:val="Heading2"/>
        <w:rPr>
          <w:b w:val="0"/>
        </w:rPr>
        <w:sectPr w:rsidR="00AD204D" w:rsidSect="00020D20">
          <w:type w:val="continuous"/>
          <w:pgSz w:w="12240" w:h="15840"/>
          <w:pgMar w:top="1440" w:right="1440" w:bottom="1440" w:left="1440" w:header="720" w:footer="720" w:gutter="0"/>
          <w:pgNumType w:chapStyle="1"/>
          <w:cols w:space="720"/>
          <w:docGrid w:linePitch="360"/>
        </w:sectPr>
      </w:pPr>
    </w:p>
    <w:p w14:paraId="6FFF6AD4" w14:textId="44401697" w:rsidR="00DA7DB9" w:rsidRPr="00DA7DB9" w:rsidRDefault="00DA7DB9">
      <w:pPr>
        <w:pStyle w:val="Heading2"/>
      </w:pPr>
      <w:bookmarkStart w:id="524" w:name="_Ref50039756"/>
      <w:r w:rsidRPr="00DA7DB9">
        <w:t>15.2 | AUTHORITY</w:t>
      </w:r>
      <w:bookmarkEnd w:id="524"/>
    </w:p>
    <w:p w14:paraId="34B23AA2" w14:textId="0718783B" w:rsidR="009B784F" w:rsidRDefault="00D22476" w:rsidP="00020D20">
      <w:pPr>
        <w:jc w:val="both"/>
      </w:pPr>
      <w:r>
        <w:rPr>
          <w:rFonts w:cstheme="minorHAnsi"/>
          <w:noProof/>
        </w:rPr>
        <mc:AlternateContent>
          <mc:Choice Requires="wps">
            <w:drawing>
              <wp:anchor distT="0" distB="0" distL="114300" distR="114300" simplePos="0" relativeHeight="251618371" behindDoc="1" locked="0" layoutInCell="1" allowOverlap="1" wp14:anchorId="748E76F3" wp14:editId="0E67E8C7">
                <wp:simplePos x="0" y="0"/>
                <wp:positionH relativeFrom="column">
                  <wp:posOffset>1416685</wp:posOffset>
                </wp:positionH>
                <wp:positionV relativeFrom="paragraph">
                  <wp:posOffset>161925</wp:posOffset>
                </wp:positionV>
                <wp:extent cx="1362075" cy="1601470"/>
                <wp:effectExtent l="76200" t="95250" r="85725" b="93980"/>
                <wp:wrapTight wrapText="bothSides">
                  <wp:wrapPolygon edited="0">
                    <wp:start x="-1208" y="-1285"/>
                    <wp:lineTo x="-1208" y="22611"/>
                    <wp:lineTo x="22657" y="22611"/>
                    <wp:lineTo x="22657" y="-1285"/>
                    <wp:lineTo x="-1208" y="-1285"/>
                  </wp:wrapPolygon>
                </wp:wrapTight>
                <wp:docPr id="816286162" name="Text Box 816286162"/>
                <wp:cNvGraphicFramePr/>
                <a:graphic xmlns:a="http://schemas.openxmlformats.org/drawingml/2006/main">
                  <a:graphicData uri="http://schemas.microsoft.com/office/word/2010/wordprocessingShape">
                    <wps:wsp>
                      <wps:cNvSpPr txBox="1"/>
                      <wps:spPr>
                        <a:xfrm>
                          <a:off x="0" y="0"/>
                          <a:ext cx="1362075" cy="16014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EBB614B" w14:textId="77777777" w:rsidR="00C6444C" w:rsidRDefault="00C6444C" w:rsidP="00020D20">
                            <w:pPr>
                              <w:jc w:val="center"/>
                            </w:pPr>
                            <w:r>
                              <w:rPr>
                                <w:noProof/>
                              </w:rPr>
                              <w:drawing>
                                <wp:inline distT="0" distB="0" distL="0" distR="0" wp14:anchorId="2637E046" wp14:editId="48A39254">
                                  <wp:extent cx="457200" cy="457200"/>
                                  <wp:effectExtent l="0" t="0" r="0" b="0"/>
                                  <wp:docPr id="816286154" name="Picture 81628615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EBFAD1B" w14:textId="04E4E8F9" w:rsidR="00C6444C" w:rsidRPr="00977A9B" w:rsidRDefault="00C6444C" w:rsidP="00020D20">
                            <w:pPr>
                              <w:pStyle w:val="Calloutboxes"/>
                            </w:pPr>
                            <w:r w:rsidRPr="00394A74">
                              <w:t xml:space="preserve">The FHWA provides a number of freight planning manuals, peer agency data, and other useful </w:t>
                            </w:r>
                            <w:r w:rsidRPr="00954116">
                              <w:t>t</w:t>
                            </w:r>
                            <w:r w:rsidRPr="005A6734">
                              <w:t>ools available online at:</w:t>
                            </w:r>
                          </w:p>
                          <w:p w14:paraId="37DFEB04" w14:textId="0BCAB400" w:rsidR="00C6444C" w:rsidRPr="00020D20" w:rsidRDefault="00202C92">
                            <w:pPr>
                              <w:pStyle w:val="Title"/>
                              <w:rPr>
                                <w:sz w:val="16"/>
                              </w:rPr>
                            </w:pPr>
                            <w:hyperlink r:id="rId878" w:history="1">
                              <w:r w:rsidR="00C6444C" w:rsidRPr="00020D20">
                                <w:rPr>
                                  <w:rStyle w:val="Hyperlink"/>
                                  <w:rFonts w:ascii="Calibri" w:hAnsi="Calibri" w:cstheme="majorBidi"/>
                                  <w:i/>
                                  <w:color w:val="CE5B18"/>
                                  <w:szCs w:val="56"/>
                                  <w:u w:val="none"/>
                                </w:rPr>
                                <w:t>https://www.fhwa.dot.gov/planning/freight_planning/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8E76F3" id="Text Box 816286162" o:spid="_x0000_s1227" type="#_x0000_t202" style="position:absolute;left:0;text-align:left;margin-left:111.55pt;margin-top:12.75pt;width:107.25pt;height:126.1pt;z-index:-251698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" fillcolor="#f7f7f7" stroked="f" strokeweight=".5pt">
                <v:shadow on="t" type="perspective" color="black" opacity="26214f" offset="0,0" matrix="66847f,,,66847f"/>
                <v:textbox>
                  <w:txbxContent>
                    <w:p w14:paraId="5EBB614B" w14:textId="77777777" w:rsidR="00C6444C" w:rsidRDefault="00C6444C" w:rsidP="00020D20">
                      <w:pPr>
                        <w:jc w:val="center"/>
                      </w:pPr>
                      <w:r>
                        <w:rPr>
                          <w:noProof/>
                        </w:rPr>
                        <w:drawing>
                          <wp:inline distT="0" distB="0" distL="0" distR="0" wp14:anchorId="2637E046" wp14:editId="48A39254">
                            <wp:extent cx="457200" cy="457200"/>
                            <wp:effectExtent l="0" t="0" r="0" b="0"/>
                            <wp:docPr id="816286154" name="Picture 81628615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EBFAD1B" w14:textId="04E4E8F9" w:rsidR="00C6444C" w:rsidRPr="00977A9B" w:rsidRDefault="00C6444C" w:rsidP="00020D20">
                      <w:pPr>
                        <w:pStyle w:val="Calloutboxes"/>
                      </w:pPr>
                      <w:r w:rsidRPr="00394A74">
                        <w:t xml:space="preserve">The FHWA provides a number of freight planning manuals, peer agency data, and other useful </w:t>
                      </w:r>
                      <w:r w:rsidRPr="00954116">
                        <w:t>t</w:t>
                      </w:r>
                      <w:r w:rsidRPr="005A6734">
                        <w:t>ools available online at:</w:t>
                      </w:r>
                    </w:p>
                    <w:p w14:paraId="37DFEB04" w14:textId="0BCAB400" w:rsidR="00C6444C" w:rsidRPr="00020D20" w:rsidRDefault="00C6444C">
                      <w:pPr>
                        <w:pStyle w:val="Title"/>
                        <w:rPr>
                          <w:sz w:val="16"/>
                        </w:rPr>
                      </w:pPr>
                      <w:hyperlink r:id="rId879" w:history="1">
                        <w:r w:rsidRPr="00020D20">
                          <w:rPr>
                            <w:rStyle w:val="Hyperlink"/>
                            <w:rFonts w:ascii="Calibri" w:hAnsi="Calibri" w:cstheme="majorBidi"/>
                            <w:i/>
                            <w:color w:val="CE5B18"/>
                            <w:szCs w:val="56"/>
                            <w:u w:val="none"/>
                          </w:rPr>
                          <w:t>https://www.fhwa.dot.gov/planning/freight_planning/</w:t>
                        </w:r>
                      </w:hyperlink>
                    </w:p>
                  </w:txbxContent>
                </v:textbox>
                <w10:wrap type="tight"/>
              </v:shape>
            </w:pict>
          </mc:Fallback>
        </mc:AlternateContent>
      </w:r>
      <w:r w:rsidR="00DA7DB9" w:rsidRPr="00DA7DB9">
        <w:t xml:space="preserve">Freight planning responsibilities and requirements are provided for in </w:t>
      </w:r>
      <w:r w:rsidR="000D734F">
        <w:t>the FAST Act</w:t>
      </w:r>
      <w:r w:rsidR="00DA7DB9" w:rsidRPr="00DA7DB9">
        <w:t>, which was enacted in 201</w:t>
      </w:r>
      <w:r w:rsidR="000D734F">
        <w:t>5</w:t>
      </w:r>
      <w:r w:rsidR="00DA7DB9" w:rsidRPr="00DA7DB9">
        <w:t xml:space="preserve">. </w:t>
      </w:r>
      <w:r w:rsidR="000D734F">
        <w:t xml:space="preserve">The FAST Act requires the establishment of a five-year statewide Freight Plan in order for a state </w:t>
      </w:r>
      <w:r w:rsidR="00E86636">
        <w:t>to access</w:t>
      </w:r>
      <w:r w:rsidR="000D734F">
        <w:t xml:space="preserve"> freight-specific funding</w:t>
      </w:r>
      <w:r w:rsidR="00E86636">
        <w:t>. ADOT completed</w:t>
      </w:r>
      <w:r w:rsidR="00CD704B">
        <w:t xml:space="preserve"> the five-year</w:t>
      </w:r>
      <w:r w:rsidR="00B7243A">
        <w:t xml:space="preserve"> freight</w:t>
      </w:r>
      <w:r w:rsidR="00B8331F">
        <w:t xml:space="preserve"> </w:t>
      </w:r>
      <w:r w:rsidR="00D56FFD">
        <w:t xml:space="preserve">plan, </w:t>
      </w:r>
      <w:hyperlink r:id="rId880" w:history="1">
        <w:r w:rsidR="00B8331F" w:rsidRPr="00CD704B">
          <w:rPr>
            <w:rStyle w:val="TitleChar"/>
          </w:rPr>
          <w:t>A to Z</w:t>
        </w:r>
        <w:r w:rsidR="00E86636" w:rsidRPr="00CD704B">
          <w:rPr>
            <w:rStyle w:val="TitleChar"/>
          </w:rPr>
          <w:t xml:space="preserve"> Arizona</w:t>
        </w:r>
        <w:r w:rsidR="00B8331F" w:rsidRPr="00CD704B">
          <w:rPr>
            <w:rStyle w:val="TitleChar"/>
          </w:rPr>
          <w:t xml:space="preserve"> State </w:t>
        </w:r>
        <w:r w:rsidR="00E86636" w:rsidRPr="00CD704B" w:rsidDel="00B8331F">
          <w:rPr>
            <w:rStyle w:val="TitleChar"/>
          </w:rPr>
          <w:t xml:space="preserve">’s State </w:t>
        </w:r>
        <w:r w:rsidR="00E86636" w:rsidRPr="00CD704B">
          <w:rPr>
            <w:rStyle w:val="TitleChar"/>
          </w:rPr>
          <w:t>Freight Plan</w:t>
        </w:r>
      </w:hyperlink>
      <w:r w:rsidR="00D56FFD" w:rsidRPr="007B6EEE">
        <w:rPr>
          <w:rStyle w:val="TitleChar"/>
        </w:rPr>
        <w:t>,</w:t>
      </w:r>
      <w:r w:rsidR="00E86636">
        <w:t xml:space="preserve"> in 2017 to fulfill the federal requirements. </w:t>
      </w:r>
      <w:r w:rsidR="00DA7DB9" w:rsidRPr="00DA7DB9">
        <w:t>The federal authority for freight and rail planning is listed in table 15.1</w:t>
      </w:r>
    </w:p>
    <w:p w14:paraId="08870E55" w14:textId="7172ECB2" w:rsidR="009B784F" w:rsidRDefault="009B784F" w:rsidP="00020D20">
      <w:pPr>
        <w:jc w:val="both"/>
      </w:pPr>
      <w:r>
        <w:t xml:space="preserve">New under the </w:t>
      </w:r>
      <w:r w:rsidRPr="00DA7DB9">
        <w:t>F</w:t>
      </w:r>
      <w:r>
        <w:t>AST Act is the establishment of the Nationally Significant Freight and Highway Projects (NSFHP) program to provide financial assistance</w:t>
      </w:r>
      <w:r w:rsidR="005B66A9">
        <w:t xml:space="preserve"> in the form of competitive grants under the Fostering Advancements in Shipping and Transportation for the </w:t>
      </w:r>
      <w:r w:rsidR="00D22476">
        <w:t>Infrastructure for Rebuilding America</w:t>
      </w:r>
      <w:r w:rsidR="005B66A9">
        <w:t xml:space="preserve"> (</w:t>
      </w:r>
      <w:r w:rsidR="00D22476">
        <w:t>INFRA</w:t>
      </w:r>
      <w:r w:rsidR="005B66A9">
        <w:t xml:space="preserve">) program. FASTLANE grants are for </w:t>
      </w:r>
      <w:r>
        <w:t xml:space="preserve">nationally and regionally significant freight and highway projects that align with the program goals </w:t>
      </w:r>
      <w:r w:rsidR="005B66A9">
        <w:t>that will</w:t>
      </w:r>
      <w:r>
        <w:t>:</w:t>
      </w:r>
    </w:p>
    <w:p w14:paraId="046121B8" w14:textId="477B7AF7" w:rsidR="009B784F" w:rsidRDefault="009B784F" w:rsidP="00020D20">
      <w:pPr>
        <w:pStyle w:val="Body-Bullets"/>
        <w:jc w:val="both"/>
      </w:pPr>
      <w:r>
        <w:t>I</w:t>
      </w:r>
      <w:r w:rsidRPr="009B784F">
        <w:t>mprove the safety, efficiency, and reliability of the movement of freight and people;</w:t>
      </w:r>
      <w:r>
        <w:t xml:space="preserve"> </w:t>
      </w:r>
    </w:p>
    <w:p w14:paraId="25002CCC" w14:textId="4E74FA5C" w:rsidR="009B784F" w:rsidRDefault="009B784F" w:rsidP="00020D20">
      <w:pPr>
        <w:pStyle w:val="Body-Bullets"/>
        <w:jc w:val="both"/>
      </w:pPr>
      <w:r>
        <w:t>G</w:t>
      </w:r>
      <w:r w:rsidRPr="009B784F">
        <w:t>enerate national or regional economic benefits and an increase in global economic competitiveness of the U.S;</w:t>
      </w:r>
    </w:p>
    <w:p w14:paraId="1923C681" w14:textId="77777777" w:rsidR="009B784F" w:rsidRDefault="009B784F" w:rsidP="00020D20">
      <w:pPr>
        <w:pStyle w:val="Body-Bullets"/>
        <w:jc w:val="both"/>
      </w:pPr>
      <w:r>
        <w:t>R</w:t>
      </w:r>
      <w:r w:rsidRPr="009B784F">
        <w:t>educe highway congestion and bottlenecks;</w:t>
      </w:r>
      <w:r>
        <w:t xml:space="preserve"> </w:t>
      </w:r>
    </w:p>
    <w:p w14:paraId="6C800850" w14:textId="77777777" w:rsidR="009B784F" w:rsidRDefault="009B784F" w:rsidP="00020D20">
      <w:pPr>
        <w:pStyle w:val="Body-Bullets"/>
        <w:jc w:val="both"/>
      </w:pPr>
      <w:r>
        <w:t>I</w:t>
      </w:r>
      <w:r w:rsidRPr="009B784F">
        <w:t>mprove connectivity between modes of freight transportation;</w:t>
      </w:r>
    </w:p>
    <w:p w14:paraId="75972A0D" w14:textId="77777777" w:rsidR="009B784F" w:rsidRDefault="009B784F" w:rsidP="00020D20">
      <w:pPr>
        <w:pStyle w:val="Body-Bullets"/>
        <w:jc w:val="both"/>
      </w:pPr>
      <w:r>
        <w:t>E</w:t>
      </w:r>
      <w:r w:rsidRPr="009B784F">
        <w:t>nhance the resiliency of critical highway infrastructure and help protect the environment;</w:t>
      </w:r>
      <w:r>
        <w:t xml:space="preserve"> </w:t>
      </w:r>
    </w:p>
    <w:p w14:paraId="5D742507" w14:textId="77777777" w:rsidR="009B784F" w:rsidRDefault="009B784F" w:rsidP="00020D20">
      <w:pPr>
        <w:pStyle w:val="Body-Bullets"/>
        <w:jc w:val="both"/>
      </w:pPr>
      <w:r>
        <w:t>I</w:t>
      </w:r>
      <w:r w:rsidRPr="009B784F">
        <w:t>mprove roadways vital to national energy security; and</w:t>
      </w:r>
      <w:r>
        <w:t xml:space="preserve"> </w:t>
      </w:r>
    </w:p>
    <w:p w14:paraId="7FAA9991" w14:textId="45A170E0" w:rsidR="009B784F" w:rsidRPr="00AA574A" w:rsidRDefault="009B784F" w:rsidP="00020D20">
      <w:pPr>
        <w:pStyle w:val="Body-Bullets"/>
        <w:jc w:val="both"/>
      </w:pPr>
      <w:r>
        <w:t>A</w:t>
      </w:r>
      <w:r w:rsidRPr="00AA574A">
        <w:t>ddress the impact of population growth on the movement of people and freight.</w:t>
      </w:r>
    </w:p>
    <w:p w14:paraId="134A5D11" w14:textId="6DB1E76C" w:rsidR="00DA7DB9" w:rsidRPr="00AA574A" w:rsidRDefault="00DA7DB9" w:rsidP="00020D20">
      <w:pPr>
        <w:jc w:val="both"/>
        <w:rPr>
          <w:rFonts w:cstheme="minorHAnsi"/>
        </w:rPr>
      </w:pPr>
    </w:p>
    <w:p w14:paraId="16FB9194" w14:textId="77777777" w:rsidR="00DA4D0E" w:rsidRPr="00AA574A" w:rsidRDefault="00DA4D0E" w:rsidP="00020D20">
      <w:pPr>
        <w:pStyle w:val="Heading4"/>
        <w:jc w:val="both"/>
        <w:rPr>
          <w:rFonts w:eastAsiaTheme="minorHAnsi"/>
        </w:rPr>
        <w:sectPr w:rsidR="00DA4D0E" w:rsidRPr="00AA574A" w:rsidSect="00020D20">
          <w:type w:val="continuous"/>
          <w:pgSz w:w="12240" w:h="15840"/>
          <w:pgMar w:top="1440" w:right="1440" w:bottom="1440" w:left="1440" w:header="720" w:footer="720" w:gutter="0"/>
          <w:pgNumType w:chapStyle="1"/>
          <w:cols w:num="2" w:space="720"/>
          <w:docGrid w:linePitch="360"/>
        </w:sectPr>
      </w:pPr>
    </w:p>
    <w:p w14:paraId="1F336352" w14:textId="77777777" w:rsidR="006355EA" w:rsidRPr="00AA574A" w:rsidRDefault="006355EA" w:rsidP="00020D20">
      <w:pPr>
        <w:pStyle w:val="Heading4"/>
        <w:jc w:val="both"/>
        <w:rPr>
          <w:rFonts w:eastAsiaTheme="minorHAnsi"/>
        </w:rPr>
      </w:pPr>
      <w:r w:rsidRPr="00AA574A">
        <w:rPr>
          <w:rFonts w:eastAsiaTheme="minorHAnsi"/>
        </w:rPr>
        <w:br w:type="page"/>
      </w:r>
    </w:p>
    <w:p w14:paraId="09468C1E" w14:textId="7802D1B1" w:rsidR="00DA7DB9" w:rsidRDefault="00DA7DB9" w:rsidP="00020D20">
      <w:pPr>
        <w:pStyle w:val="Heading4"/>
        <w:jc w:val="both"/>
      </w:pPr>
      <w:r w:rsidRPr="00DA7DB9">
        <w:t>Table 15-1 | Authority</w:t>
      </w:r>
    </w:p>
    <w:tbl>
      <w:tblPr>
        <w:tblW w:w="9365" w:type="dxa"/>
        <w:tblInd w:w="-10" w:type="dxa"/>
        <w:tblLayout w:type="fixed"/>
        <w:tblCellMar>
          <w:left w:w="0" w:type="dxa"/>
          <w:right w:w="0" w:type="dxa"/>
        </w:tblCellMar>
        <w:tblLook w:val="0000" w:firstRow="0" w:lastRow="0" w:firstColumn="0" w:lastColumn="0" w:noHBand="0" w:noVBand="0"/>
      </w:tblPr>
      <w:tblGrid>
        <w:gridCol w:w="545"/>
        <w:gridCol w:w="1822"/>
        <w:gridCol w:w="6998"/>
      </w:tblGrid>
      <w:tr w:rsidR="004467E8" w:rsidRPr="004467E8" w14:paraId="1F3F5B0F" w14:textId="77777777" w:rsidTr="00020D20">
        <w:trPr>
          <w:trHeight w:hRule="exact" w:val="378"/>
        </w:trPr>
        <w:tc>
          <w:tcPr>
            <w:tcW w:w="2367" w:type="dxa"/>
            <w:gridSpan w:val="2"/>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657193B6" w14:textId="77777777" w:rsidR="00DA7DB9" w:rsidRPr="00020D20" w:rsidRDefault="00DA7DB9" w:rsidP="00020D20">
            <w:pPr>
              <w:spacing w:before="0" w:after="0" w:line="240" w:lineRule="auto"/>
              <w:jc w:val="center"/>
              <w:rPr>
                <w:sz w:val="22"/>
              </w:rPr>
            </w:pPr>
            <w:r w:rsidRPr="00020D20">
              <w:rPr>
                <w:sz w:val="22"/>
              </w:rPr>
              <w:t>Code</w:t>
            </w:r>
          </w:p>
        </w:tc>
        <w:tc>
          <w:tcPr>
            <w:tcW w:w="6998"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513CA97F" w14:textId="77777777" w:rsidR="00DA7DB9" w:rsidRPr="00020D20" w:rsidRDefault="00DA7DB9" w:rsidP="00020D20">
            <w:pPr>
              <w:spacing w:before="0" w:after="0" w:line="240" w:lineRule="auto"/>
              <w:jc w:val="center"/>
              <w:rPr>
                <w:sz w:val="22"/>
              </w:rPr>
            </w:pPr>
            <w:r w:rsidRPr="00020D20">
              <w:rPr>
                <w:sz w:val="22"/>
              </w:rPr>
              <w:t>Description</w:t>
            </w:r>
          </w:p>
        </w:tc>
      </w:tr>
      <w:tr w:rsidR="00D91081" w:rsidRPr="00DA7DB9" w14:paraId="6052E199" w14:textId="77777777" w:rsidTr="00020D20">
        <w:trPr>
          <w:cantSplit/>
          <w:trHeight w:val="936"/>
        </w:trPr>
        <w:tc>
          <w:tcPr>
            <w:tcW w:w="545"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172C0EE3" w14:textId="700B1970" w:rsidR="00D91081" w:rsidRDefault="007F2D8C" w:rsidP="00020D20">
            <w:pPr>
              <w:spacing w:before="0" w:after="0" w:line="240" w:lineRule="auto"/>
              <w:jc w:val="center"/>
            </w:pPr>
            <w:r w:rsidRPr="00020D20">
              <w:rPr>
                <w:sz w:val="22"/>
              </w:rPr>
              <w:t>Federal</w:t>
            </w:r>
          </w:p>
        </w:tc>
        <w:tc>
          <w:tcPr>
            <w:tcW w:w="182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043D523" w14:textId="7383D316" w:rsidR="00D91081" w:rsidRDefault="00202C92">
            <w:pPr>
              <w:pStyle w:val="Title"/>
            </w:pPr>
            <w:hyperlink r:id="rId881" w:history="1">
              <w:r w:rsidR="00D91081">
                <w:rPr>
                  <w:rStyle w:val="Hyperlink"/>
                  <w:rFonts w:asciiTheme="minorHAnsi" w:hAnsiTheme="minorHAnsi" w:cstheme="majorBidi"/>
                  <w:i/>
                  <w:iCs w:val="0"/>
                  <w:color w:val="CE5B18"/>
                  <w:sz w:val="20"/>
                  <w:szCs w:val="56"/>
                  <w:u w:val="none"/>
                </w:rPr>
                <w:t xml:space="preserve">FAST Act </w:t>
              </w:r>
              <w:r w:rsidR="00D91081" w:rsidRPr="00DA4D0E">
                <w:rPr>
                  <w:rStyle w:val="Hyperlink"/>
                  <w:rFonts w:asciiTheme="minorHAnsi" w:hAnsiTheme="minorHAnsi" w:cstheme="majorBidi"/>
                  <w:i/>
                  <w:iCs w:val="0"/>
                  <w:color w:val="CE5B18"/>
                  <w:sz w:val="20"/>
                  <w:szCs w:val="56"/>
                  <w:u w:val="none"/>
                </w:rPr>
                <w:t>Section 1116</w:t>
              </w:r>
            </w:hyperlink>
          </w:p>
        </w:tc>
        <w:tc>
          <w:tcPr>
            <w:tcW w:w="699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F78723F" w14:textId="77777777" w:rsidR="00D91081" w:rsidRDefault="00D91081" w:rsidP="00020D20">
            <w:pPr>
              <w:pStyle w:val="Body-Bullets"/>
              <w:tabs>
                <w:tab w:val="clear" w:pos="720"/>
              </w:tabs>
              <w:ind w:left="614"/>
            </w:pPr>
            <w:r w:rsidRPr="00DA4D0E">
              <w:t>Section 1116 titled, “</w:t>
            </w:r>
            <w:r>
              <w:t>National Highway Freight Program”</w:t>
            </w:r>
            <w:r w:rsidRPr="00DA4D0E">
              <w:t xml:space="preserve"> </w:t>
            </w:r>
            <w:r>
              <w:t xml:space="preserve">establishes a new National Highway Freight Program to improve the efficient movement of freight on the National Highway Freight Network (NHFN) and support, including: </w:t>
            </w:r>
            <w:r w:rsidRPr="00E86636">
              <w:t>Investing in infrastructure and operational improvements that strengthen economic competitiveness, reduce congestion, reduce the cost of freight transportation, improve reliability, and increase productivity;</w:t>
            </w:r>
          </w:p>
          <w:p w14:paraId="4AC3DC83" w14:textId="77777777" w:rsidR="00D91081" w:rsidRDefault="00D91081" w:rsidP="00020D20">
            <w:pPr>
              <w:pStyle w:val="Body-Bullets"/>
              <w:tabs>
                <w:tab w:val="clear" w:pos="720"/>
              </w:tabs>
              <w:ind w:left="614"/>
            </w:pPr>
            <w:r w:rsidRPr="00E86636">
              <w:t>Improving the safety, security, efficiency, and resiliency of freight transportation in rural and urban areas;</w:t>
            </w:r>
          </w:p>
          <w:p w14:paraId="56EF70B8" w14:textId="77777777" w:rsidR="00D91081" w:rsidRDefault="00D91081" w:rsidP="00020D20">
            <w:pPr>
              <w:pStyle w:val="Body-Bullets"/>
              <w:tabs>
                <w:tab w:val="clear" w:pos="720"/>
              </w:tabs>
              <w:ind w:left="614"/>
            </w:pPr>
            <w:r w:rsidRPr="00E86636">
              <w:t>Improving the state of good repair of the NHFN;</w:t>
            </w:r>
          </w:p>
          <w:p w14:paraId="3AC42899" w14:textId="77777777" w:rsidR="00D91081" w:rsidRDefault="00D91081" w:rsidP="00020D20">
            <w:pPr>
              <w:pStyle w:val="Body-Bullets"/>
              <w:tabs>
                <w:tab w:val="clear" w:pos="720"/>
              </w:tabs>
              <w:ind w:left="614"/>
            </w:pPr>
            <w:r w:rsidRPr="00E86636">
              <w:t>Using innovation and advanced technology to improve NHFN safety, efficiency, and reliability;</w:t>
            </w:r>
          </w:p>
          <w:p w14:paraId="125642B0" w14:textId="77777777" w:rsidR="00D91081" w:rsidRDefault="00D91081" w:rsidP="00020D20">
            <w:pPr>
              <w:pStyle w:val="Body-Bullets"/>
              <w:tabs>
                <w:tab w:val="clear" w:pos="720"/>
              </w:tabs>
              <w:ind w:left="614"/>
            </w:pPr>
            <w:r w:rsidRPr="00E86636">
              <w:t>Improving the efficiency and productivity of the NHFN;</w:t>
            </w:r>
          </w:p>
          <w:p w14:paraId="41C9A482" w14:textId="77777777" w:rsidR="00D91081" w:rsidRDefault="00D91081" w:rsidP="00020D20">
            <w:pPr>
              <w:pStyle w:val="Body-Bullets"/>
              <w:tabs>
                <w:tab w:val="clear" w:pos="720"/>
              </w:tabs>
              <w:ind w:left="614"/>
            </w:pPr>
            <w:r w:rsidRPr="00E86636">
              <w:t>Improving State flexibility to support multi-State corridor planning and address highway freight connectivity; and</w:t>
            </w:r>
          </w:p>
          <w:p w14:paraId="15545BCF" w14:textId="7488DE6B" w:rsidR="00D91081" w:rsidRDefault="00D91081" w:rsidP="00020D20">
            <w:pPr>
              <w:pStyle w:val="Body-Bullets"/>
              <w:tabs>
                <w:tab w:val="clear" w:pos="720"/>
              </w:tabs>
              <w:ind w:left="614"/>
            </w:pPr>
            <w:r>
              <w:t>R</w:t>
            </w:r>
            <w:r w:rsidRPr="00E86636">
              <w:t>educing the environmental impacts of freight movement on the NHFN</w:t>
            </w:r>
          </w:p>
        </w:tc>
      </w:tr>
      <w:tr w:rsidR="00D91081" w:rsidRPr="00DA7DB9" w14:paraId="548A1961" w14:textId="77777777" w:rsidTr="00020D20">
        <w:trPr>
          <w:trHeight w:val="936"/>
        </w:trPr>
        <w:tc>
          <w:tcPr>
            <w:tcW w:w="545" w:type="dxa"/>
            <w:vMerge/>
            <w:tcBorders>
              <w:left w:val="single" w:sz="4" w:space="0" w:color="auto"/>
              <w:bottom w:val="single" w:sz="4" w:space="0" w:color="FFFFFF" w:themeColor="background1"/>
              <w:right w:val="single" w:sz="4" w:space="0" w:color="auto"/>
            </w:tcBorders>
            <w:shd w:val="clear" w:color="auto" w:fill="012768"/>
          </w:tcPr>
          <w:p w14:paraId="7C5E8178" w14:textId="77777777" w:rsidR="00D91081" w:rsidRPr="00DA7DB9" w:rsidRDefault="00D91081" w:rsidP="00020D20">
            <w:pPr>
              <w:spacing w:before="0" w:after="0" w:line="240" w:lineRule="auto"/>
              <w:jc w:val="center"/>
              <w:rPr>
                <w:rFonts w:cstheme="minorHAnsi"/>
              </w:rPr>
            </w:pPr>
          </w:p>
        </w:tc>
        <w:tc>
          <w:tcPr>
            <w:tcW w:w="182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099D041" w14:textId="16F1889B" w:rsidR="00D91081" w:rsidRPr="00DA4D0E" w:rsidRDefault="00202C92">
            <w:pPr>
              <w:pStyle w:val="Title"/>
            </w:pPr>
            <w:hyperlink r:id="rId882" w:history="1">
              <w:r w:rsidR="00D91081" w:rsidRPr="00DA4D0E">
                <w:rPr>
                  <w:rStyle w:val="Hyperlink"/>
                  <w:rFonts w:asciiTheme="minorHAnsi" w:hAnsiTheme="minorHAnsi" w:cstheme="majorBidi"/>
                  <w:i/>
                  <w:iCs w:val="0"/>
                  <w:color w:val="CE5B18"/>
                  <w:sz w:val="20"/>
                  <w:szCs w:val="56"/>
                  <w:u w:val="none"/>
                </w:rPr>
                <w:t>23 U.S.C. § 133</w:t>
              </w:r>
            </w:hyperlink>
          </w:p>
        </w:tc>
        <w:tc>
          <w:tcPr>
            <w:tcW w:w="699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7D72A9A" w14:textId="1C4E5BCF" w:rsidR="00D91081" w:rsidRPr="00DA4D0E" w:rsidRDefault="00D91081" w:rsidP="00020D20">
            <w:pPr>
              <w:spacing w:before="0" w:after="0" w:line="240" w:lineRule="auto"/>
              <w:jc w:val="both"/>
            </w:pPr>
            <w:r w:rsidRPr="00DA4D0E">
              <w:t xml:space="preserve">Surface Transportation </w:t>
            </w:r>
            <w:r>
              <w:t>Block Gr</w:t>
            </w:r>
            <w:r w:rsidR="00114BA9">
              <w:t>ant</w:t>
            </w:r>
            <w:r>
              <w:t xml:space="preserve"> </w:t>
            </w:r>
            <w:r w:rsidRPr="00DA4D0E">
              <w:t>Program</w:t>
            </w:r>
          </w:p>
        </w:tc>
      </w:tr>
      <w:tr w:rsidR="00D91081" w:rsidRPr="00DA7DB9" w14:paraId="3623A578" w14:textId="77777777" w:rsidTr="00020D20">
        <w:trPr>
          <w:trHeight w:val="936"/>
        </w:trPr>
        <w:tc>
          <w:tcPr>
            <w:tcW w:w="545" w:type="dxa"/>
            <w:vMerge/>
            <w:tcBorders>
              <w:left w:val="single" w:sz="4" w:space="0" w:color="auto"/>
              <w:bottom w:val="single" w:sz="4" w:space="0" w:color="FFFFFF" w:themeColor="background1"/>
              <w:right w:val="single" w:sz="4" w:space="0" w:color="auto"/>
            </w:tcBorders>
            <w:shd w:val="clear" w:color="auto" w:fill="012768"/>
          </w:tcPr>
          <w:p w14:paraId="50FC8A5C" w14:textId="77777777" w:rsidR="00D91081" w:rsidRPr="00DA7DB9" w:rsidRDefault="00D91081" w:rsidP="00020D20">
            <w:pPr>
              <w:spacing w:before="0" w:after="0" w:line="240" w:lineRule="auto"/>
              <w:jc w:val="center"/>
              <w:rPr>
                <w:rFonts w:cstheme="minorHAnsi"/>
              </w:rPr>
            </w:pPr>
          </w:p>
        </w:tc>
        <w:tc>
          <w:tcPr>
            <w:tcW w:w="182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354C963" w14:textId="4B12588E" w:rsidR="00D91081" w:rsidRPr="00DA4D0E" w:rsidRDefault="00202C92">
            <w:pPr>
              <w:pStyle w:val="Title"/>
            </w:pPr>
            <w:hyperlink r:id="rId883" w:history="1">
              <w:r w:rsidR="00D91081" w:rsidRPr="00DA4D0E">
                <w:rPr>
                  <w:rStyle w:val="Hyperlink"/>
                  <w:rFonts w:asciiTheme="minorHAnsi" w:hAnsiTheme="minorHAnsi" w:cstheme="majorBidi"/>
                  <w:i/>
                  <w:iCs w:val="0"/>
                  <w:color w:val="CE5B18"/>
                  <w:sz w:val="20"/>
                  <w:szCs w:val="56"/>
                  <w:u w:val="none"/>
                </w:rPr>
                <w:t>23 U.S.C. § 505</w:t>
              </w:r>
            </w:hyperlink>
          </w:p>
        </w:tc>
        <w:tc>
          <w:tcPr>
            <w:tcW w:w="699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6BE85E6" w14:textId="7864A198" w:rsidR="00D91081" w:rsidRPr="00DA4D0E" w:rsidRDefault="00D91081" w:rsidP="00020D20">
            <w:pPr>
              <w:spacing w:before="0" w:after="0" w:line="240" w:lineRule="auto"/>
              <w:jc w:val="both"/>
            </w:pPr>
            <w:r w:rsidRPr="00DA4D0E">
              <w:t>State Planning and Research Program</w:t>
            </w:r>
          </w:p>
        </w:tc>
      </w:tr>
      <w:tr w:rsidR="00595A77" w:rsidRPr="00DA7DB9" w14:paraId="39089C84" w14:textId="77777777" w:rsidTr="00020D20">
        <w:trPr>
          <w:trHeight w:val="936"/>
        </w:trPr>
        <w:tc>
          <w:tcPr>
            <w:tcW w:w="545" w:type="dxa"/>
            <w:vMerge/>
            <w:tcBorders>
              <w:left w:val="single" w:sz="4" w:space="0" w:color="auto"/>
              <w:bottom w:val="single" w:sz="4" w:space="0" w:color="FFFFFF" w:themeColor="background1"/>
              <w:right w:val="single" w:sz="4" w:space="0" w:color="auto"/>
            </w:tcBorders>
            <w:shd w:val="clear" w:color="auto" w:fill="012768"/>
          </w:tcPr>
          <w:p w14:paraId="57C18AC8" w14:textId="77777777" w:rsidR="00595A77" w:rsidRPr="00DA7DB9" w:rsidRDefault="00595A77" w:rsidP="00020D20">
            <w:pPr>
              <w:spacing w:before="0" w:after="0" w:line="240" w:lineRule="auto"/>
              <w:jc w:val="center"/>
              <w:rPr>
                <w:rFonts w:cstheme="minorHAnsi"/>
              </w:rPr>
            </w:pPr>
          </w:p>
        </w:tc>
        <w:tc>
          <w:tcPr>
            <w:tcW w:w="182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6F5FAB7" w14:textId="633DA328" w:rsidR="00595A77" w:rsidRPr="00FD55EA" w:rsidRDefault="00202C92">
            <w:pPr>
              <w:pStyle w:val="Title"/>
            </w:pPr>
            <w:hyperlink r:id="rId884" w:history="1">
              <w:r w:rsidR="007D4210" w:rsidRPr="00020D20">
                <w:rPr>
                  <w:rStyle w:val="Hyperlink"/>
                  <w:rFonts w:ascii="Calibri" w:hAnsi="Calibri" w:cstheme="majorBidi"/>
                  <w:i/>
                  <w:color w:val="CE5B18"/>
                  <w:sz w:val="20"/>
                  <w:szCs w:val="56"/>
                  <w:u w:val="none"/>
                </w:rPr>
                <w:t>49 U</w:t>
              </w:r>
              <w:r w:rsidR="00827E59" w:rsidRPr="00020D20">
                <w:rPr>
                  <w:rStyle w:val="Hyperlink"/>
                  <w:rFonts w:ascii="Calibri" w:hAnsi="Calibri" w:cstheme="majorBidi"/>
                  <w:i/>
                  <w:color w:val="CE5B18"/>
                  <w:sz w:val="20"/>
                  <w:szCs w:val="56"/>
                  <w:u w:val="none"/>
                </w:rPr>
                <w:t>.S.C. § 70202</w:t>
              </w:r>
            </w:hyperlink>
          </w:p>
        </w:tc>
        <w:tc>
          <w:tcPr>
            <w:tcW w:w="699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5A01314" w14:textId="546120A8" w:rsidR="00595A77" w:rsidRPr="00DA4D0E" w:rsidRDefault="00FD55EA" w:rsidP="00020D20">
            <w:pPr>
              <w:spacing w:before="0" w:after="0" w:line="240" w:lineRule="auto"/>
              <w:jc w:val="both"/>
            </w:pPr>
            <w:r>
              <w:t>State Freight Plans</w:t>
            </w:r>
          </w:p>
        </w:tc>
      </w:tr>
      <w:tr w:rsidR="00595A77" w:rsidRPr="00DA7DB9" w14:paraId="02346579" w14:textId="77777777" w:rsidTr="00020D20">
        <w:trPr>
          <w:trHeight w:val="936"/>
        </w:trPr>
        <w:tc>
          <w:tcPr>
            <w:tcW w:w="545" w:type="dxa"/>
            <w:vMerge/>
            <w:tcBorders>
              <w:left w:val="single" w:sz="4" w:space="0" w:color="auto"/>
              <w:bottom w:val="single" w:sz="4" w:space="0" w:color="FFFFFF" w:themeColor="background1"/>
              <w:right w:val="single" w:sz="4" w:space="0" w:color="auto"/>
            </w:tcBorders>
            <w:shd w:val="clear" w:color="auto" w:fill="012768"/>
          </w:tcPr>
          <w:p w14:paraId="1A693AEA" w14:textId="77777777" w:rsidR="00595A77" w:rsidRPr="00DA7DB9" w:rsidRDefault="00595A77" w:rsidP="00020D20">
            <w:pPr>
              <w:spacing w:before="0" w:after="0" w:line="240" w:lineRule="auto"/>
              <w:jc w:val="center"/>
              <w:rPr>
                <w:rFonts w:cstheme="minorHAnsi"/>
              </w:rPr>
            </w:pPr>
          </w:p>
        </w:tc>
        <w:tc>
          <w:tcPr>
            <w:tcW w:w="182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205D702" w14:textId="1473C335" w:rsidR="00595A77" w:rsidRPr="00FD55EA" w:rsidRDefault="00202C92">
            <w:pPr>
              <w:pStyle w:val="Title"/>
            </w:pPr>
            <w:hyperlink r:id="rId885" w:history="1">
              <w:r w:rsidR="00FD55EA" w:rsidRPr="00020D20">
                <w:rPr>
                  <w:rStyle w:val="Hyperlink"/>
                  <w:rFonts w:ascii="Calibri" w:hAnsi="Calibri" w:cstheme="majorBidi"/>
                  <w:i/>
                  <w:color w:val="CE5B18"/>
                  <w:sz w:val="20"/>
                  <w:szCs w:val="56"/>
                  <w:u w:val="none"/>
                </w:rPr>
                <w:t xml:space="preserve">23 U.S.C. § </w:t>
              </w:r>
              <w:r w:rsidR="00FD55EA" w:rsidRPr="00020D20">
                <w:rPr>
                  <w:rStyle w:val="Hyperlink"/>
                  <w:rFonts w:ascii="Calibri" w:hAnsi="Calibri" w:cstheme="majorBidi"/>
                  <w:color w:val="CE5B18"/>
                  <w:sz w:val="20"/>
                  <w:szCs w:val="56"/>
                  <w:u w:val="none"/>
                </w:rPr>
                <w:t>167(i)(4)</w:t>
              </w:r>
            </w:hyperlink>
          </w:p>
        </w:tc>
        <w:tc>
          <w:tcPr>
            <w:tcW w:w="699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51643D0" w14:textId="7C6BCB9D" w:rsidR="00595A77" w:rsidRPr="00DA4D0E" w:rsidRDefault="00FD55EA" w:rsidP="00020D20">
            <w:pPr>
              <w:spacing w:before="0" w:after="0" w:line="240" w:lineRule="auto"/>
              <w:jc w:val="both"/>
            </w:pPr>
            <w:r>
              <w:t>National Highway Freight Program</w:t>
            </w:r>
          </w:p>
        </w:tc>
      </w:tr>
      <w:tr w:rsidR="00595A77" w:rsidRPr="00DA7DB9" w14:paraId="0C1973BD" w14:textId="77777777" w:rsidTr="00020D20">
        <w:trPr>
          <w:trHeight w:val="936"/>
        </w:trPr>
        <w:tc>
          <w:tcPr>
            <w:tcW w:w="545" w:type="dxa"/>
            <w:vMerge/>
            <w:tcBorders>
              <w:left w:val="single" w:sz="4" w:space="0" w:color="auto"/>
              <w:bottom w:val="single" w:sz="4" w:space="0" w:color="FFFFFF" w:themeColor="background1"/>
              <w:right w:val="single" w:sz="4" w:space="0" w:color="auto"/>
            </w:tcBorders>
            <w:shd w:val="clear" w:color="auto" w:fill="012768"/>
          </w:tcPr>
          <w:p w14:paraId="2F257D71" w14:textId="77777777" w:rsidR="00595A77" w:rsidRPr="00DA7DB9" w:rsidRDefault="00595A77" w:rsidP="00020D20">
            <w:pPr>
              <w:spacing w:before="0" w:after="0" w:line="240" w:lineRule="auto"/>
              <w:jc w:val="center"/>
              <w:rPr>
                <w:rFonts w:cstheme="minorHAnsi"/>
              </w:rPr>
            </w:pPr>
          </w:p>
        </w:tc>
        <w:tc>
          <w:tcPr>
            <w:tcW w:w="182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4C4A3184" w14:textId="2D21386A" w:rsidR="00595A77" w:rsidRPr="00FD55EA" w:rsidRDefault="00202C92">
            <w:pPr>
              <w:pStyle w:val="Title"/>
            </w:pPr>
            <w:hyperlink r:id="rId886" w:history="1">
              <w:r w:rsidR="00FD55EA" w:rsidRPr="00020D20">
                <w:rPr>
                  <w:rStyle w:val="Hyperlink"/>
                  <w:rFonts w:ascii="Calibri" w:hAnsi="Calibri" w:cstheme="majorBidi"/>
                  <w:i/>
                  <w:color w:val="CE5B18"/>
                  <w:sz w:val="20"/>
                  <w:szCs w:val="56"/>
                  <w:u w:val="none"/>
                </w:rPr>
                <w:t>23 U.S.C. § 104(b)(5)</w:t>
              </w:r>
            </w:hyperlink>
          </w:p>
        </w:tc>
        <w:tc>
          <w:tcPr>
            <w:tcW w:w="6998"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55A8126" w14:textId="2D366AD6" w:rsidR="00595A77" w:rsidRPr="00DA4D0E" w:rsidRDefault="00FD55EA" w:rsidP="00020D20">
            <w:pPr>
              <w:spacing w:before="0" w:after="0" w:line="240" w:lineRule="auto"/>
              <w:jc w:val="both"/>
            </w:pPr>
            <w:r>
              <w:t>Apportionment</w:t>
            </w:r>
          </w:p>
        </w:tc>
      </w:tr>
    </w:tbl>
    <w:p w14:paraId="1D9D99FB" w14:textId="77777777" w:rsidR="00DA4D0E" w:rsidRDefault="00DA4D0E" w:rsidP="00020D20">
      <w:pPr>
        <w:pStyle w:val="Heading5"/>
        <w:jc w:val="both"/>
        <w:rPr>
          <w:rFonts w:cstheme="minorHAnsi"/>
        </w:rPr>
        <w:sectPr w:rsidR="00DA4D0E" w:rsidSect="00020D20">
          <w:type w:val="continuous"/>
          <w:pgSz w:w="12240" w:h="15840"/>
          <w:pgMar w:top="1440" w:right="1440" w:bottom="1440" w:left="1440" w:header="720" w:footer="720" w:gutter="0"/>
          <w:pgNumType w:chapStyle="1"/>
          <w:cols w:space="720"/>
          <w:docGrid w:linePitch="360"/>
        </w:sectPr>
      </w:pPr>
    </w:p>
    <w:p w14:paraId="66DFE38C" w14:textId="77777777" w:rsidR="00595A77" w:rsidRPr="005B66A9" w:rsidRDefault="00595A77" w:rsidP="00020D20">
      <w:pPr>
        <w:pStyle w:val="Heading2"/>
      </w:pPr>
      <w:bookmarkStart w:id="525" w:name="_Ref50039761"/>
      <w:r w:rsidRPr="005B66A9">
        <w:t>15.3 | ARIZONA FREIGHT MOBILITY</w:t>
      </w:r>
      <w:bookmarkEnd w:id="525"/>
    </w:p>
    <w:p w14:paraId="362968FF" w14:textId="77777777" w:rsidR="00595A77" w:rsidRPr="005B66A9" w:rsidRDefault="000B6BE9" w:rsidP="00020D20">
      <w:pPr>
        <w:jc w:val="both"/>
        <w:rPr>
          <w:rFonts w:cstheme="minorHAnsi"/>
        </w:rPr>
      </w:pPr>
      <w:r>
        <w:rPr>
          <w:rFonts w:cstheme="minorHAnsi"/>
          <w:noProof/>
        </w:rPr>
        <mc:AlternateContent>
          <mc:Choice Requires="wps">
            <w:drawing>
              <wp:anchor distT="0" distB="0" distL="114300" distR="114300" simplePos="0" relativeHeight="251618513" behindDoc="1" locked="0" layoutInCell="1" allowOverlap="1" wp14:anchorId="4B41810E" wp14:editId="4359C78D">
                <wp:simplePos x="0" y="0"/>
                <wp:positionH relativeFrom="column">
                  <wp:posOffset>4706691</wp:posOffset>
                </wp:positionH>
                <wp:positionV relativeFrom="paragraph">
                  <wp:posOffset>1067507</wp:posOffset>
                </wp:positionV>
                <wp:extent cx="1228725" cy="2143125"/>
                <wp:effectExtent l="76200" t="95250" r="85725" b="104775"/>
                <wp:wrapTight wrapText="bothSides">
                  <wp:wrapPolygon edited="0">
                    <wp:start x="-1340" y="-960"/>
                    <wp:lineTo x="-1340" y="21504"/>
                    <wp:lineTo x="-1005" y="22464"/>
                    <wp:lineTo x="22437" y="22464"/>
                    <wp:lineTo x="22772" y="21120"/>
                    <wp:lineTo x="22772" y="-960"/>
                    <wp:lineTo x="-1340" y="-960"/>
                  </wp:wrapPolygon>
                </wp:wrapTight>
                <wp:docPr id="1690911399" name="Text Box 1690911399"/>
                <wp:cNvGraphicFramePr/>
                <a:graphic xmlns:a="http://schemas.openxmlformats.org/drawingml/2006/main">
                  <a:graphicData uri="http://schemas.microsoft.com/office/word/2010/wordprocessingShape">
                    <wps:wsp>
                      <wps:cNvSpPr txBox="1"/>
                      <wps:spPr>
                        <a:xfrm>
                          <a:off x="0" y="0"/>
                          <a:ext cx="1228725" cy="21431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930908E" w14:textId="77777777" w:rsidR="00C6444C" w:rsidRDefault="00C6444C" w:rsidP="00020D20">
                            <w:pPr>
                              <w:jc w:val="center"/>
                            </w:pPr>
                            <w:r>
                              <w:rPr>
                                <w:noProof/>
                              </w:rPr>
                              <w:drawing>
                                <wp:inline distT="0" distB="0" distL="0" distR="0" wp14:anchorId="58D14810" wp14:editId="00F630D5">
                                  <wp:extent cx="457200" cy="457200"/>
                                  <wp:effectExtent l="0" t="0" r="0" b="0"/>
                                  <wp:docPr id="816286156" name="Picture 816286156">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7268104" w14:textId="77777777" w:rsidR="00C6444C" w:rsidRPr="00FE3DA2" w:rsidRDefault="00C6444C" w:rsidP="00020D20">
                            <w:pPr>
                              <w:pStyle w:val="Calloutboxes"/>
                            </w:pPr>
                            <w:r w:rsidRPr="00394A74">
                              <w:t xml:space="preserve">Freight </w:t>
                            </w:r>
                            <w:r w:rsidRPr="00954116">
                              <w:t>movements on the Arizona highway system are characterized by their high share of through traffic</w:t>
                            </w:r>
                            <w:r w:rsidRPr="005A6734">
                              <w:t xml:space="preserve"> – that is, neither originating or destined to Arizona – accounting for 39 percent of total flows by volume and 63 percent of flows by value</w:t>
                            </w:r>
                            <w:r w:rsidRPr="00977A9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41810E" id="Text Box 1690911399" o:spid="_x0000_s1228" type="#_x0000_t202" style="position:absolute;left:0;text-align:left;margin-left:370.6pt;margin-top:84.05pt;width:96.75pt;height:168.75pt;z-index:-251697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" fillcolor="#f7f7f7" stroked="f" strokeweight=".5pt">
                <v:shadow on="t" type="perspective" color="black" opacity="26214f" offset="0,0" matrix="66847f,,,66847f"/>
                <v:textbox>
                  <w:txbxContent>
                    <w:p w14:paraId="6930908E" w14:textId="77777777" w:rsidR="00C6444C" w:rsidRDefault="00C6444C" w:rsidP="00020D20">
                      <w:pPr>
                        <w:jc w:val="center"/>
                      </w:pPr>
                      <w:r>
                        <w:rPr>
                          <w:noProof/>
                        </w:rPr>
                        <w:drawing>
                          <wp:inline distT="0" distB="0" distL="0" distR="0" wp14:anchorId="58D14810" wp14:editId="00F630D5">
                            <wp:extent cx="457200" cy="457200"/>
                            <wp:effectExtent l="0" t="0" r="0" b="0"/>
                            <wp:docPr id="816286156" name="Picture 816286156">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7268104" w14:textId="77777777" w:rsidR="00C6444C" w:rsidRPr="00FE3DA2" w:rsidRDefault="00C6444C" w:rsidP="00020D20">
                      <w:pPr>
                        <w:pStyle w:val="Calloutboxes"/>
                      </w:pPr>
                      <w:r w:rsidRPr="00394A74">
                        <w:t xml:space="preserve">Freight </w:t>
                      </w:r>
                      <w:r w:rsidRPr="00954116">
                        <w:t>movements on the Arizona highway system are characterized by their high share of through traffic</w:t>
                      </w:r>
                      <w:r w:rsidRPr="005A6734">
                        <w:t xml:space="preserve"> – that is, neither originating or destined to Arizona – accounting for 39 percent of total flows by volume and 63 percent of flows by value</w:t>
                      </w:r>
                      <w:r w:rsidRPr="00977A9B">
                        <w:t>.</w:t>
                      </w:r>
                    </w:p>
                  </w:txbxContent>
                </v:textbox>
                <w10:wrap type="tight"/>
              </v:shape>
            </w:pict>
          </mc:Fallback>
        </mc:AlternateContent>
      </w:r>
      <w:r w:rsidR="00595A77" w:rsidRPr="008A65C1">
        <w:rPr>
          <w:rFonts w:cstheme="minorHAnsi"/>
        </w:rPr>
        <w:t xml:space="preserve">According to the </w:t>
      </w:r>
      <w:hyperlink r:id="rId887" w:history="1">
        <w:r w:rsidR="00595A77" w:rsidRPr="008A65C1">
          <w:rPr>
            <w:rStyle w:val="TitleChar"/>
            <w:bCs/>
          </w:rPr>
          <w:t>2017 Arizona State Freight Plan</w:t>
        </w:r>
      </w:hyperlink>
      <w:r w:rsidR="00595A77" w:rsidRPr="008A65C1">
        <w:rPr>
          <w:rFonts w:cstheme="minorHAnsi"/>
        </w:rPr>
        <w:t xml:space="preserve">, </w:t>
      </w:r>
      <w:hyperlink r:id="rId888" w:history="1">
        <w:r w:rsidR="00595A77" w:rsidRPr="008A65C1">
          <w:rPr>
            <w:rStyle w:val="TitleChar"/>
            <w:bCs/>
          </w:rPr>
          <w:t>Arizona Multimodal Freight Analysis Study</w:t>
        </w:r>
      </w:hyperlink>
      <w:r w:rsidR="00595A77" w:rsidRPr="008A65C1">
        <w:rPr>
          <w:rFonts w:cstheme="minorHAnsi"/>
        </w:rPr>
        <w:t>, 65.5 percent of the total tonnage of freight moving on Arizona’s multimodal networks is carried by trucks, 34.5 percent is carried by rail, and 0.1 percent is carried by air.</w:t>
      </w:r>
    </w:p>
    <w:p w14:paraId="4128559D" w14:textId="77777777" w:rsidR="00DA7DB9" w:rsidRPr="00DA7DB9" w:rsidRDefault="00DA7DB9" w:rsidP="00020D20">
      <w:pPr>
        <w:pStyle w:val="Heading3"/>
        <w:jc w:val="both"/>
      </w:pPr>
      <w:bookmarkStart w:id="526" w:name="_Ref50039765"/>
      <w:r w:rsidRPr="00DA7DB9">
        <w:t>15.3.1 | Truck Freight</w:t>
      </w:r>
      <w:bookmarkEnd w:id="526"/>
    </w:p>
    <w:p w14:paraId="0989C17E" w14:textId="0D9F4A1C" w:rsidR="00C00489" w:rsidRDefault="00F074A1" w:rsidP="00020D20">
      <w:pPr>
        <w:jc w:val="both"/>
      </w:pPr>
      <w:r w:rsidRPr="004D2198">
        <w:t xml:space="preserve">There are over 66,000 highway miles in Arizona. The access-controlled Interstate </w:t>
      </w:r>
      <w:r>
        <w:t>H</w:t>
      </w:r>
      <w:r w:rsidRPr="004D2198">
        <w:t xml:space="preserve">ighway </w:t>
      </w:r>
      <w:r>
        <w:t>S</w:t>
      </w:r>
      <w:r w:rsidRPr="004D2198">
        <w:t xml:space="preserve">ystem – comprising the core components of the </w:t>
      </w:r>
      <w:r>
        <w:t>state</w:t>
      </w:r>
      <w:r w:rsidRPr="004D2198">
        <w:t xml:space="preserve">’s highway freight network – makes up </w:t>
      </w:r>
      <w:r>
        <w:t>two percent</w:t>
      </w:r>
      <w:r w:rsidRPr="004D2198">
        <w:t xml:space="preserve"> of total highway miles in the </w:t>
      </w:r>
      <w:r>
        <w:t>s</w:t>
      </w:r>
      <w:r w:rsidRPr="004D2198">
        <w:t>tate or 1,168 miles</w:t>
      </w:r>
      <w:r>
        <w:t>, and is the most intensively utilized freight infrastructure in Arizona</w:t>
      </w:r>
      <w:r w:rsidRPr="004D2198">
        <w:t>.</w:t>
      </w:r>
      <w:r>
        <w:t xml:space="preserve"> </w:t>
      </w:r>
    </w:p>
    <w:p w14:paraId="50935945" w14:textId="58DCACCE" w:rsidR="00C00489" w:rsidRDefault="00C00489" w:rsidP="00020D20">
      <w:pPr>
        <w:jc w:val="both"/>
        <w:rPr>
          <w:rFonts w:cstheme="minorHAnsi"/>
        </w:rPr>
      </w:pPr>
      <w:r>
        <w:rPr>
          <w:rFonts w:cstheme="minorHAnsi"/>
        </w:rPr>
        <w:t>The</w:t>
      </w:r>
      <w:r w:rsidRPr="00020D20">
        <w:rPr>
          <w:rStyle w:val="TitleChar"/>
        </w:rPr>
        <w:t xml:space="preserve"> </w:t>
      </w:r>
      <w:hyperlink r:id="rId889" w:anchor="nhfp" w:history="1">
        <w:r w:rsidRPr="00020D20">
          <w:rPr>
            <w:rStyle w:val="TitleChar"/>
          </w:rPr>
          <w:t>FAST Act National Highway Freight Program (Section 1116)</w:t>
        </w:r>
      </w:hyperlink>
      <w:r w:rsidR="00363B5F">
        <w:rPr>
          <w:rFonts w:cstheme="minorHAnsi"/>
        </w:rPr>
        <w:t xml:space="preserve"> explains that the MPO, in consultation with the State, is responsible to designate the </w:t>
      </w:r>
      <w:r w:rsidR="00163ED0">
        <w:rPr>
          <w:rFonts w:cstheme="minorHAnsi"/>
        </w:rPr>
        <w:t>Critical Urban Freight Corridor (</w:t>
      </w:r>
      <w:r w:rsidR="00363B5F">
        <w:rPr>
          <w:rFonts w:cstheme="minorHAnsi"/>
        </w:rPr>
        <w:t>CUFC</w:t>
      </w:r>
      <w:r w:rsidR="00163ED0">
        <w:rPr>
          <w:rFonts w:cstheme="minorHAnsi"/>
        </w:rPr>
        <w:t>)</w:t>
      </w:r>
      <w:r w:rsidR="00363B5F">
        <w:rPr>
          <w:rFonts w:cstheme="minorHAnsi"/>
        </w:rPr>
        <w:t xml:space="preserve"> routes if the urbanized area population is 500,000 or more, while</w:t>
      </w:r>
      <w:r w:rsidR="003D11E7">
        <w:rPr>
          <w:rFonts w:cstheme="minorHAnsi"/>
        </w:rPr>
        <w:t xml:space="preserve"> for</w:t>
      </w:r>
      <w:r w:rsidR="00363B5F">
        <w:rPr>
          <w:rFonts w:cstheme="minorHAnsi"/>
        </w:rPr>
        <w:t xml:space="preserve"> an area with a population less than 500,000 the State, in consultation with the MPO, is responsible to designate the CURF. The minimum population for an urbanized area is 50,000, as defined by the Census Bureau. Being located inside or outside an adjusted urbanized boundary determines whether </w:t>
      </w:r>
      <w:r w:rsidR="00163ED0">
        <w:rPr>
          <w:rFonts w:cstheme="minorHAnsi"/>
        </w:rPr>
        <w:t xml:space="preserve">the public road can be designated as a Critical Rural Freight Corridor (CRFC) </w:t>
      </w:r>
      <w:r w:rsidR="008F6FD9">
        <w:rPr>
          <w:rFonts w:cstheme="minorHAnsi"/>
        </w:rPr>
        <w:t>or</w:t>
      </w:r>
      <w:r w:rsidR="00163ED0">
        <w:rPr>
          <w:rFonts w:cstheme="minorHAnsi"/>
        </w:rPr>
        <w:t xml:space="preserve"> a CUFC. CUFC routes must be within the adjusted boundaries of an urbanized area while the CRFC routes must be outside. </w:t>
      </w:r>
    </w:p>
    <w:p w14:paraId="01B86C63" w14:textId="560CA407" w:rsidR="00163ED0" w:rsidRDefault="00961614" w:rsidP="00020D20">
      <w:pPr>
        <w:jc w:val="both"/>
        <w:rPr>
          <w:rFonts w:cstheme="minorHAnsi"/>
        </w:rPr>
      </w:pPr>
      <w:r>
        <w:rPr>
          <w:rFonts w:cstheme="minorHAnsi"/>
          <w:noProof/>
        </w:rPr>
        <mc:AlternateContent>
          <mc:Choice Requires="wps">
            <w:drawing>
              <wp:anchor distT="0" distB="0" distL="114300" distR="114300" simplePos="0" relativeHeight="251618542" behindDoc="1" locked="0" layoutInCell="1" allowOverlap="1" wp14:anchorId="73D5ED92" wp14:editId="66493AF8">
                <wp:simplePos x="0" y="0"/>
                <wp:positionH relativeFrom="column">
                  <wp:posOffset>0</wp:posOffset>
                </wp:positionH>
                <wp:positionV relativeFrom="paragraph">
                  <wp:posOffset>92710</wp:posOffset>
                </wp:positionV>
                <wp:extent cx="1306195" cy="1630045"/>
                <wp:effectExtent l="76200" t="95250" r="84455" b="103505"/>
                <wp:wrapTight wrapText="bothSides">
                  <wp:wrapPolygon edited="0">
                    <wp:start x="-1260" y="-1262"/>
                    <wp:lineTo x="-1260" y="22719"/>
                    <wp:lineTo x="22682" y="22719"/>
                    <wp:lineTo x="22682" y="-1262"/>
                    <wp:lineTo x="-1260" y="-1262"/>
                  </wp:wrapPolygon>
                </wp:wrapTight>
                <wp:docPr id="1690911408" name="Text Box 1690911408"/>
                <wp:cNvGraphicFramePr/>
                <a:graphic xmlns:a="http://schemas.openxmlformats.org/drawingml/2006/main">
                  <a:graphicData uri="http://schemas.microsoft.com/office/word/2010/wordprocessingShape">
                    <wps:wsp>
                      <wps:cNvSpPr txBox="1"/>
                      <wps:spPr>
                        <a:xfrm>
                          <a:off x="0" y="0"/>
                          <a:ext cx="1306195" cy="163004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CACEB75" w14:textId="77777777" w:rsidR="00C6444C" w:rsidRDefault="00C6444C" w:rsidP="00020D20">
                            <w:pPr>
                              <w:jc w:val="center"/>
                            </w:pPr>
                            <w:r>
                              <w:rPr>
                                <w:noProof/>
                              </w:rPr>
                              <w:drawing>
                                <wp:inline distT="0" distB="0" distL="0" distR="0" wp14:anchorId="68BCEDC2" wp14:editId="1D9968A6">
                                  <wp:extent cx="457200" cy="457200"/>
                                  <wp:effectExtent l="0" t="0" r="0" b="0"/>
                                  <wp:docPr id="816286158" name="Picture 81628615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0EC519B" w14:textId="3019AB2D" w:rsidR="00C6444C" w:rsidRPr="00020D20" w:rsidRDefault="00202C92" w:rsidP="00020D20">
                            <w:pPr>
                              <w:pStyle w:val="BalloonText"/>
                              <w:jc w:val="center"/>
                              <w:rPr>
                                <w:rFonts w:ascii="Calibri" w:eastAsiaTheme="majorEastAsia" w:hAnsi="Calibri" w:cstheme="majorBidi"/>
                                <w:i/>
                                <w:color w:val="CE5B18"/>
                                <w:spacing w:val="-10"/>
                                <w:kern w:val="28"/>
                                <w:sz w:val="16"/>
                                <w:szCs w:val="16"/>
                              </w:rPr>
                            </w:pPr>
                            <w:hyperlink r:id="rId890" w:history="1">
                              <w:r w:rsidR="00C6444C" w:rsidRPr="00020D20">
                                <w:rPr>
                                  <w:rStyle w:val="Hyperlink"/>
                                  <w:rFonts w:ascii="Calibri" w:eastAsiaTheme="majorEastAsia" w:hAnsi="Calibri" w:cstheme="majorBidi"/>
                                  <w:i w:val="0"/>
                                  <w:iCs w:val="0"/>
                                  <w:color w:val="CE5B18"/>
                                  <w:spacing w:val="-10"/>
                                  <w:kern w:val="28"/>
                                  <w:u w:val="none"/>
                                </w:rPr>
                                <w:t>National Highway Freight Program Guidance: Designating and Certifying Critical Rural Freight Corridors and Critical Urban Freight Corridors Questions and Answers</w:t>
                              </w:r>
                            </w:hyperlink>
                          </w:p>
                          <w:p w14:paraId="00D1B895" w14:textId="551C1649" w:rsidR="00C6444C" w:rsidRPr="00020D20" w:rsidRDefault="00C6444C" w:rsidP="00020D20">
                            <w:pPr>
                              <w:tabs>
                                <w:tab w:val="clear" w:pos="180"/>
                                <w:tab w:val="clear" w:pos="360"/>
                                <w:tab w:val="clear" w:pos="540"/>
                                <w:tab w:val="clear" w:pos="720"/>
                              </w:tabs>
                              <w:spacing w:before="0"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D5ED92" id="Text Box 1690911408" o:spid="_x0000_s1229" type="#_x0000_t202" style="position:absolute;left:0;text-align:left;margin-left:0;margin-top:7.3pt;width:102.85pt;height:128.35pt;z-index:-2516979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" fillcolor="#f7f7f7" stroked="f" strokeweight=".5pt">
                <v:shadow on="t" type="perspective" color="black" opacity="26214f" offset="0,0" matrix="66847f,,,66847f"/>
                <v:textbox>
                  <w:txbxContent>
                    <w:p w14:paraId="2CACEB75" w14:textId="77777777" w:rsidR="00C6444C" w:rsidRDefault="00C6444C" w:rsidP="00020D20">
                      <w:pPr>
                        <w:jc w:val="center"/>
                      </w:pPr>
                      <w:r>
                        <w:rPr>
                          <w:noProof/>
                        </w:rPr>
                        <w:drawing>
                          <wp:inline distT="0" distB="0" distL="0" distR="0" wp14:anchorId="68BCEDC2" wp14:editId="1D9968A6">
                            <wp:extent cx="457200" cy="457200"/>
                            <wp:effectExtent l="0" t="0" r="0" b="0"/>
                            <wp:docPr id="816286158" name="Picture 81628615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0EC519B" w14:textId="3019AB2D" w:rsidR="00C6444C" w:rsidRPr="00020D20" w:rsidRDefault="00C6444C" w:rsidP="00020D20">
                      <w:pPr>
                        <w:pStyle w:val="BalloonText"/>
                        <w:jc w:val="center"/>
                        <w:rPr>
                          <w:rFonts w:ascii="Calibri" w:eastAsiaTheme="majorEastAsia" w:hAnsi="Calibri" w:cstheme="majorBidi"/>
                          <w:i/>
                          <w:color w:val="CE5B18"/>
                          <w:spacing w:val="-10"/>
                          <w:kern w:val="28"/>
                          <w:sz w:val="16"/>
                          <w:szCs w:val="16"/>
                        </w:rPr>
                      </w:pPr>
                      <w:hyperlink r:id="rId891" w:history="1">
                        <w:r w:rsidRPr="00020D20">
                          <w:rPr>
                            <w:rStyle w:val="Hyperlink"/>
                            <w:rFonts w:ascii="Calibri" w:eastAsiaTheme="majorEastAsia" w:hAnsi="Calibri" w:cstheme="majorBidi"/>
                            <w:i w:val="0"/>
                            <w:iCs w:val="0"/>
                            <w:color w:val="CE5B18"/>
                            <w:spacing w:val="-10"/>
                            <w:kern w:val="28"/>
                            <w:u w:val="none"/>
                          </w:rPr>
                          <w:t>National Highway Freight Program Guidance: Designating and Certifying Critical Rural Freight Corridors and Critical Urban Freight Corridors Questions and Answers</w:t>
                        </w:r>
                      </w:hyperlink>
                    </w:p>
                    <w:p w14:paraId="00D1B895" w14:textId="551C1649" w:rsidR="00C6444C" w:rsidRPr="00020D20" w:rsidRDefault="00C6444C" w:rsidP="00020D20">
                      <w:pPr>
                        <w:tabs>
                          <w:tab w:val="clear" w:pos="180"/>
                          <w:tab w:val="clear" w:pos="360"/>
                          <w:tab w:val="clear" w:pos="540"/>
                          <w:tab w:val="clear" w:pos="720"/>
                        </w:tabs>
                        <w:spacing w:before="0" w:after="0" w:line="240" w:lineRule="auto"/>
                        <w:jc w:val="center"/>
                        <w:rPr>
                          <w:sz w:val="16"/>
                          <w:szCs w:val="16"/>
                        </w:rPr>
                      </w:pPr>
                    </w:p>
                  </w:txbxContent>
                </v:textbox>
                <w10:wrap type="tight"/>
              </v:shape>
            </w:pict>
          </mc:Fallback>
        </mc:AlternateContent>
      </w:r>
      <w:r w:rsidR="00163ED0">
        <w:rPr>
          <w:rFonts w:cstheme="minorHAnsi"/>
        </w:rPr>
        <w:t xml:space="preserve">A state may designate as CRFCs a maximum of 150 miles of highway or 20 percent of the Primary Highway Freight System (PHFS) mileage in the State, whichever is greater. For each State, a maximum of 75 miles of highway or 10 percent of the PHFS mileage in the State, whichever is greater, may be designated as CUFCs. The mileage is based on centerline roadway mileage. </w:t>
      </w:r>
      <w:r w:rsidR="000B6BE9">
        <w:rPr>
          <w:rFonts w:cstheme="minorHAnsi"/>
        </w:rPr>
        <w:t xml:space="preserve">Arizona has a CRFC maximum mileage limit of 205.12 and a CUFC maximum mileage of 102.56. </w:t>
      </w:r>
    </w:p>
    <w:p w14:paraId="34354EF5" w14:textId="1B193A1A" w:rsidR="00DA7DB9" w:rsidRPr="00DA7DB9" w:rsidRDefault="00DA7DB9" w:rsidP="00020D20">
      <w:pPr>
        <w:jc w:val="both"/>
        <w:rPr>
          <w:rFonts w:cstheme="minorHAnsi"/>
          <w:b/>
        </w:rPr>
      </w:pPr>
      <w:r w:rsidRPr="00DA7DB9">
        <w:rPr>
          <w:rFonts w:cstheme="minorHAnsi"/>
        </w:rPr>
        <w:t xml:space="preserve">According to the </w:t>
      </w:r>
      <w:hyperlink r:id="rId892" w:history="1">
        <w:r w:rsidRPr="00AE3172">
          <w:rPr>
            <w:rStyle w:val="TitleChar"/>
          </w:rPr>
          <w:t>Arizona Trucking Association</w:t>
        </w:r>
      </w:hyperlink>
      <w:r w:rsidRPr="00DA7DB9">
        <w:rPr>
          <w:rFonts w:cstheme="minorHAnsi"/>
        </w:rPr>
        <w:t xml:space="preserve"> (ATA), trucks carried </w:t>
      </w:r>
      <w:r w:rsidR="005C2356">
        <w:rPr>
          <w:rFonts w:cstheme="minorHAnsi"/>
        </w:rPr>
        <w:t>86</w:t>
      </w:r>
      <w:r w:rsidR="005C2356" w:rsidRPr="00DA7DB9">
        <w:rPr>
          <w:rFonts w:cstheme="minorHAnsi"/>
        </w:rPr>
        <w:t xml:space="preserve"> </w:t>
      </w:r>
      <w:r w:rsidRPr="00DA7DB9">
        <w:rPr>
          <w:rFonts w:cstheme="minorHAnsi"/>
        </w:rPr>
        <w:t>percent of total manufactured tonnage in the state in 201</w:t>
      </w:r>
      <w:r w:rsidR="005C2356">
        <w:rPr>
          <w:rFonts w:cstheme="minorHAnsi"/>
        </w:rPr>
        <w:t>6</w:t>
      </w:r>
      <w:r w:rsidRPr="00DA7DB9">
        <w:rPr>
          <w:rFonts w:cstheme="minorHAnsi"/>
        </w:rPr>
        <w:t xml:space="preserve">—or </w:t>
      </w:r>
      <w:r w:rsidR="005C2356">
        <w:rPr>
          <w:rFonts w:cstheme="minorHAnsi"/>
        </w:rPr>
        <w:t>127</w:t>
      </w:r>
      <w:r w:rsidRPr="00DA7DB9">
        <w:rPr>
          <w:rFonts w:cstheme="minorHAnsi"/>
        </w:rPr>
        <w:t>,</w:t>
      </w:r>
      <w:r w:rsidR="005C2356">
        <w:rPr>
          <w:rFonts w:cstheme="minorHAnsi"/>
        </w:rPr>
        <w:t>8</w:t>
      </w:r>
      <w:r w:rsidRPr="00DA7DB9">
        <w:rPr>
          <w:rFonts w:cstheme="minorHAnsi"/>
        </w:rPr>
        <w:t>8</w:t>
      </w:r>
      <w:r w:rsidR="005C2356">
        <w:rPr>
          <w:rFonts w:cstheme="minorHAnsi"/>
        </w:rPr>
        <w:t>6</w:t>
      </w:r>
      <w:r w:rsidRPr="00DA7DB9">
        <w:rPr>
          <w:rFonts w:cstheme="minorHAnsi"/>
        </w:rPr>
        <w:t xml:space="preserve"> tons per day. Many smaller Arizona communities depend exclusively on trucks for the movement of freight. In 201</w:t>
      </w:r>
      <w:r w:rsidR="005C2356">
        <w:rPr>
          <w:rFonts w:cstheme="minorHAnsi"/>
        </w:rPr>
        <w:t>6</w:t>
      </w:r>
      <w:r w:rsidRPr="00DA7DB9">
        <w:rPr>
          <w:rFonts w:cstheme="minorHAnsi"/>
        </w:rPr>
        <w:t>, the Arizona’s trucking industry provided 10</w:t>
      </w:r>
      <w:r w:rsidR="005C2356">
        <w:rPr>
          <w:rFonts w:cstheme="minorHAnsi"/>
        </w:rPr>
        <w:t>5,940</w:t>
      </w:r>
      <w:r w:rsidRPr="00DA7DB9">
        <w:rPr>
          <w:rFonts w:cstheme="minorHAnsi"/>
        </w:rPr>
        <w:t xml:space="preserve"> jobs, or 1 out of every </w:t>
      </w:r>
      <w:r w:rsidR="005C2356">
        <w:rPr>
          <w:rFonts w:cstheme="minorHAnsi"/>
        </w:rPr>
        <w:t>21</w:t>
      </w:r>
      <w:r w:rsidRPr="00DA7DB9">
        <w:rPr>
          <w:rFonts w:cstheme="minorHAnsi"/>
        </w:rPr>
        <w:t>.</w:t>
      </w:r>
      <w:r>
        <w:rPr>
          <w:rFonts w:cstheme="minorHAnsi"/>
        </w:rPr>
        <w:t xml:space="preserve"> </w:t>
      </w:r>
    </w:p>
    <w:p w14:paraId="7C22ED82" w14:textId="60674389" w:rsidR="00DA7DB9" w:rsidRPr="00DA7DB9" w:rsidRDefault="00DA7DB9" w:rsidP="00020D20">
      <w:pPr>
        <w:jc w:val="both"/>
        <w:rPr>
          <w:rFonts w:cstheme="minorHAnsi"/>
        </w:rPr>
      </w:pPr>
      <w:r w:rsidRPr="00DA7DB9">
        <w:rPr>
          <w:rFonts w:cstheme="minorHAnsi"/>
        </w:rPr>
        <w:t>MPO and COG transportation planners need to consider the significant contribution to the economy made by all freight transportation carriers, including the trucking industry. According to the ATA,</w:t>
      </w:r>
      <w:r w:rsidR="007A7057">
        <w:rPr>
          <w:rFonts w:cstheme="minorHAnsi"/>
        </w:rPr>
        <w:t xml:space="preserve"> the t</w:t>
      </w:r>
      <w:r w:rsidRPr="00DA7DB9">
        <w:rPr>
          <w:rFonts w:cstheme="minorHAnsi"/>
        </w:rPr>
        <w:t>otal trucking industry wages paid in Arizona in 201</w:t>
      </w:r>
      <w:r w:rsidR="005C2356">
        <w:rPr>
          <w:rFonts w:cstheme="minorHAnsi"/>
        </w:rPr>
        <w:t>6</w:t>
      </w:r>
      <w:r w:rsidRPr="00DA7DB9">
        <w:rPr>
          <w:rFonts w:cstheme="minorHAnsi"/>
        </w:rPr>
        <w:t xml:space="preserve"> exceeded $4.</w:t>
      </w:r>
      <w:r w:rsidR="005C2356">
        <w:rPr>
          <w:rFonts w:cstheme="minorHAnsi"/>
        </w:rPr>
        <w:t>7</w:t>
      </w:r>
      <w:r w:rsidRPr="00DA7DB9">
        <w:rPr>
          <w:rFonts w:cstheme="minorHAnsi"/>
        </w:rPr>
        <w:t xml:space="preserve"> billion, with an average annual trucking industry salary of $4</w:t>
      </w:r>
      <w:r w:rsidR="005C2356">
        <w:rPr>
          <w:rFonts w:cstheme="minorHAnsi"/>
        </w:rPr>
        <w:t>4,459</w:t>
      </w:r>
      <w:r w:rsidRPr="00DA7DB9">
        <w:rPr>
          <w:rFonts w:cstheme="minorHAnsi"/>
        </w:rPr>
        <w:t>. The U.S. Bureau of Labor Statistics reported in May 201</w:t>
      </w:r>
      <w:r w:rsidR="007A7057">
        <w:rPr>
          <w:rFonts w:cstheme="minorHAnsi"/>
        </w:rPr>
        <w:t>6</w:t>
      </w:r>
      <w:r w:rsidRPr="00DA7DB9">
        <w:rPr>
          <w:rFonts w:cstheme="minorHAnsi"/>
        </w:rPr>
        <w:t xml:space="preserve"> that truck drivers, heavy, tractor-trailer and light, delivery drivers, held </w:t>
      </w:r>
      <w:r w:rsidR="007A7057">
        <w:rPr>
          <w:rFonts w:cstheme="minorHAnsi"/>
        </w:rPr>
        <w:t>23,310</w:t>
      </w:r>
      <w:r w:rsidRPr="00DA7DB9">
        <w:rPr>
          <w:rFonts w:cstheme="minorHAnsi"/>
        </w:rPr>
        <w:t xml:space="preserve"> jobs</w:t>
      </w:r>
      <w:r w:rsidR="007A7057">
        <w:rPr>
          <w:rFonts w:cstheme="minorHAnsi"/>
        </w:rPr>
        <w:t xml:space="preserve"> in Arizona</w:t>
      </w:r>
      <w:r w:rsidRPr="00DA7DB9">
        <w:rPr>
          <w:rFonts w:cstheme="minorHAnsi"/>
        </w:rPr>
        <w:t xml:space="preserve"> with a mean annual salary of $</w:t>
      </w:r>
      <w:r w:rsidR="007A7057">
        <w:rPr>
          <w:rFonts w:cstheme="minorHAnsi"/>
        </w:rPr>
        <w:t>42,310</w:t>
      </w:r>
      <w:r w:rsidRPr="00DA7DB9">
        <w:rPr>
          <w:rFonts w:cstheme="minorHAnsi"/>
        </w:rPr>
        <w:t>.</w:t>
      </w:r>
    </w:p>
    <w:p w14:paraId="62FE92A1" w14:textId="77777777" w:rsidR="00DA7DB9" w:rsidRPr="00DA7DB9" w:rsidRDefault="00DA7DB9" w:rsidP="00020D20">
      <w:pPr>
        <w:pStyle w:val="Heading3"/>
        <w:jc w:val="both"/>
      </w:pPr>
      <w:bookmarkStart w:id="527" w:name="_Ref50039768"/>
      <w:r w:rsidRPr="00DA7DB9">
        <w:t>15.3.2 | Rail Freight</w:t>
      </w:r>
      <w:bookmarkEnd w:id="527"/>
    </w:p>
    <w:p w14:paraId="21186C48" w14:textId="7496D860" w:rsidR="00DB462B" w:rsidRDefault="00DB462B" w:rsidP="00020D20">
      <w:pPr>
        <w:jc w:val="both"/>
        <w:rPr>
          <w:lang w:eastAsia="en-CA"/>
        </w:rPr>
      </w:pPr>
      <w:r>
        <w:t>Arizona’s freight rail system covers nearly 2,000 route miles and links Arizona industries and consumers with domestic and global trading partners</w:t>
      </w:r>
      <w:r w:rsidR="0048262C">
        <w:t xml:space="preserve">. </w:t>
      </w:r>
      <w:r w:rsidRPr="002A5326">
        <w:rPr>
          <w:lang w:eastAsia="en-CA"/>
        </w:rPr>
        <w:t xml:space="preserve">As documented in the 2011 Arizona State Rail Plan prepared by ADOT, the </w:t>
      </w:r>
      <w:r>
        <w:rPr>
          <w:lang w:eastAsia="en-CA"/>
        </w:rPr>
        <w:t>state</w:t>
      </w:r>
      <w:r w:rsidRPr="002A5326">
        <w:rPr>
          <w:lang w:eastAsia="en-CA"/>
        </w:rPr>
        <w:t xml:space="preserve">’s freight rail system </w:t>
      </w:r>
      <w:r>
        <w:rPr>
          <w:lang w:eastAsia="en-CA"/>
        </w:rPr>
        <w:t xml:space="preserve">consists of two </w:t>
      </w:r>
      <w:r w:rsidRPr="002A5326">
        <w:rPr>
          <w:lang w:eastAsia="en-CA"/>
        </w:rPr>
        <w:t xml:space="preserve">Class I </w:t>
      </w:r>
      <w:r>
        <w:rPr>
          <w:lang w:eastAsia="en-CA"/>
        </w:rPr>
        <w:t>r</w:t>
      </w:r>
      <w:r w:rsidRPr="002A5326">
        <w:rPr>
          <w:lang w:eastAsia="en-CA"/>
        </w:rPr>
        <w:t>ailroa</w:t>
      </w:r>
      <w:r>
        <w:rPr>
          <w:lang w:eastAsia="en-CA"/>
        </w:rPr>
        <w:t>ds and</w:t>
      </w:r>
      <w:r w:rsidRPr="002A5326">
        <w:rPr>
          <w:lang w:eastAsia="en-CA"/>
        </w:rPr>
        <w:t xml:space="preserve"> </w:t>
      </w:r>
      <w:r>
        <w:rPr>
          <w:lang w:eastAsia="en-CA"/>
        </w:rPr>
        <w:t xml:space="preserve">13 short line (or Class III) and terminal railroads. </w:t>
      </w:r>
    </w:p>
    <w:p w14:paraId="43592030" w14:textId="2D19CB9F" w:rsidR="00DA7DB9" w:rsidRDefault="00DB462B" w:rsidP="00020D20">
      <w:pPr>
        <w:jc w:val="both"/>
      </w:pPr>
      <w:r w:rsidRPr="00634613">
        <w:rPr>
          <w:noProof/>
        </w:rPr>
        <w:t>Class</w:t>
      </w:r>
      <w:r>
        <w:t xml:space="preserve"> I carriers </w:t>
      </w:r>
      <w:r w:rsidR="0069256D">
        <w:t xml:space="preserve">Burlington Northern Santa Fe Railroad </w:t>
      </w:r>
      <w:r w:rsidR="00566456">
        <w:t>(</w:t>
      </w:r>
      <w:r>
        <w:t>BNSF</w:t>
      </w:r>
      <w:r w:rsidR="00566456">
        <w:t>)</w:t>
      </w:r>
      <w:r>
        <w:t xml:space="preserve"> Railway and Union Pacific Railroad (UPRR) operate 1,465 miles, or 73 percent of Arizona’s rail network, and intermodal transfer facilities in Phoenix and Tucson</w:t>
      </w:r>
      <w:r w:rsidR="0048262C">
        <w:t xml:space="preserve">. </w:t>
      </w:r>
      <w:r>
        <w:t xml:space="preserve">Short line carriers provide local service to rail-dependent industries like mining and provide connections to the Class I network. </w:t>
      </w:r>
      <w:r>
        <w:rPr>
          <w:rFonts w:cs="Calibri"/>
          <w:color w:val="000000"/>
        </w:rPr>
        <w:t>Arizona’s active</w:t>
      </w:r>
      <w:r w:rsidRPr="00046AC9">
        <w:rPr>
          <w:rFonts w:cs="Calibri"/>
          <w:color w:val="000000"/>
        </w:rPr>
        <w:t xml:space="preserve"> </w:t>
      </w:r>
      <w:r>
        <w:rPr>
          <w:rFonts w:cs="Calibri"/>
          <w:color w:val="000000"/>
        </w:rPr>
        <w:t>s</w:t>
      </w:r>
      <w:r w:rsidRPr="002A5326">
        <w:rPr>
          <w:rFonts w:cs="Calibri"/>
          <w:color w:val="000000"/>
        </w:rPr>
        <w:t>hort</w:t>
      </w:r>
      <w:r>
        <w:rPr>
          <w:rFonts w:cs="Calibri"/>
          <w:color w:val="000000"/>
        </w:rPr>
        <w:t xml:space="preserve"> l</w:t>
      </w:r>
      <w:r w:rsidRPr="002A5326">
        <w:rPr>
          <w:rFonts w:cs="Calibri"/>
          <w:color w:val="000000"/>
        </w:rPr>
        <w:t xml:space="preserve">ine </w:t>
      </w:r>
      <w:r>
        <w:rPr>
          <w:rFonts w:cs="Calibri"/>
          <w:color w:val="000000"/>
        </w:rPr>
        <w:t>r</w:t>
      </w:r>
      <w:r w:rsidRPr="002A5326">
        <w:rPr>
          <w:rFonts w:cs="Calibri"/>
          <w:color w:val="000000"/>
        </w:rPr>
        <w:t xml:space="preserve">ailroads </w:t>
      </w:r>
      <w:r>
        <w:rPr>
          <w:rFonts w:cs="Calibri"/>
          <w:color w:val="000000"/>
        </w:rPr>
        <w:t>operate 529 </w:t>
      </w:r>
      <w:r w:rsidRPr="002A5326">
        <w:rPr>
          <w:rFonts w:cs="Calibri"/>
          <w:color w:val="000000"/>
        </w:rPr>
        <w:t>miles of tra</w:t>
      </w:r>
      <w:r>
        <w:rPr>
          <w:rFonts w:cs="Calibri"/>
          <w:color w:val="000000"/>
        </w:rPr>
        <w:t>ck equivalent to approximately 23 percent of the route miles of the state’s overall freight rail system. Several key intermodal and bulk terminals provide railroad access to Arizona shippers and consumers.</w:t>
      </w:r>
      <w:r w:rsidR="00021392">
        <w:rPr>
          <w:rFonts w:cs="Calibri"/>
          <w:color w:val="000000"/>
        </w:rPr>
        <w:t xml:space="preserve"> </w:t>
      </w:r>
    </w:p>
    <w:p w14:paraId="7265132F" w14:textId="744B16D7" w:rsidR="00DA7DB9" w:rsidRPr="00DA7DB9" w:rsidRDefault="003221C0" w:rsidP="00020D20">
      <w:pPr>
        <w:pStyle w:val="SubHeading3"/>
        <w:jc w:val="both"/>
      </w:pPr>
      <w:r w:rsidRPr="003221C0">
        <w:t xml:space="preserve"> </w:t>
      </w:r>
      <w:bookmarkStart w:id="528" w:name="_Ref50039992"/>
      <w:r w:rsidR="00DA7DB9" w:rsidRPr="00DA7DB9">
        <w:t>BNSF Phoenix Intermodal Facility</w:t>
      </w:r>
      <w:bookmarkEnd w:id="528"/>
    </w:p>
    <w:p w14:paraId="2A9DF68D" w14:textId="718BE762" w:rsidR="00DA7DB9" w:rsidRPr="00DA7DB9" w:rsidRDefault="00021392" w:rsidP="00020D20">
      <w:pPr>
        <w:jc w:val="both"/>
      </w:pPr>
      <w:r>
        <w:rPr>
          <w:rFonts w:cstheme="minorHAnsi"/>
          <w:noProof/>
        </w:rPr>
        <mc:AlternateContent>
          <mc:Choice Requires="wps">
            <w:drawing>
              <wp:anchor distT="0" distB="0" distL="114300" distR="114300" simplePos="0" relativeHeight="251618372" behindDoc="1" locked="0" layoutInCell="1" allowOverlap="1" wp14:anchorId="78BB2581" wp14:editId="226838A0">
                <wp:simplePos x="0" y="0"/>
                <wp:positionH relativeFrom="column">
                  <wp:posOffset>0</wp:posOffset>
                </wp:positionH>
                <wp:positionV relativeFrom="paragraph">
                  <wp:posOffset>593090</wp:posOffset>
                </wp:positionV>
                <wp:extent cx="1352550" cy="1708150"/>
                <wp:effectExtent l="76200" t="95250" r="76200" b="101600"/>
                <wp:wrapTight wrapText="bothSides">
                  <wp:wrapPolygon edited="0">
                    <wp:start x="-1217" y="-1204"/>
                    <wp:lineTo x="-1217" y="22644"/>
                    <wp:lineTo x="22513" y="22644"/>
                    <wp:lineTo x="22513" y="-1204"/>
                    <wp:lineTo x="-1217" y="-1204"/>
                  </wp:wrapPolygon>
                </wp:wrapTight>
                <wp:docPr id="816286036" name="Text Box 816286036"/>
                <wp:cNvGraphicFramePr/>
                <a:graphic xmlns:a="http://schemas.openxmlformats.org/drawingml/2006/main">
                  <a:graphicData uri="http://schemas.microsoft.com/office/word/2010/wordprocessingShape">
                    <wps:wsp>
                      <wps:cNvSpPr txBox="1"/>
                      <wps:spPr>
                        <a:xfrm>
                          <a:off x="0" y="0"/>
                          <a:ext cx="1352550" cy="17081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56B5C52" w14:textId="77777777" w:rsidR="00C6444C" w:rsidRDefault="00C6444C" w:rsidP="00020D20">
                            <w:pPr>
                              <w:jc w:val="center"/>
                            </w:pPr>
                            <w:r>
                              <w:rPr>
                                <w:noProof/>
                              </w:rPr>
                              <w:drawing>
                                <wp:inline distT="0" distB="0" distL="0" distR="0" wp14:anchorId="4540DEEF" wp14:editId="57D6A498">
                                  <wp:extent cx="457200" cy="457200"/>
                                  <wp:effectExtent l="0" t="0" r="0" b="0"/>
                                  <wp:docPr id="816286160" name="Picture 81628616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2C1A1B0" w14:textId="46F6999E" w:rsidR="00C6444C" w:rsidRPr="00954116" w:rsidRDefault="00C6444C" w:rsidP="00020D20">
                            <w:pPr>
                              <w:pStyle w:val="Calloutboxes"/>
                            </w:pPr>
                            <w:r w:rsidRPr="00394A74">
                              <w:t>For further Information for rail companies and organizations visit:</w:t>
                            </w:r>
                          </w:p>
                          <w:p w14:paraId="7D702646" w14:textId="3B5058BA" w:rsidR="00C6444C" w:rsidRPr="00020D20" w:rsidRDefault="00202C92">
                            <w:pPr>
                              <w:pStyle w:val="Title"/>
                              <w:rPr>
                                <w:sz w:val="16"/>
                              </w:rPr>
                            </w:pPr>
                            <w:hyperlink r:id="rId893" w:history="1">
                              <w:r w:rsidR="00C6444C" w:rsidRPr="00020D20">
                                <w:rPr>
                                  <w:rStyle w:val="Hyperlink"/>
                                  <w:rFonts w:ascii="Calibri" w:hAnsi="Calibri" w:cstheme="majorBidi"/>
                                  <w:i/>
                                  <w:color w:val="CE5B18"/>
                                  <w:szCs w:val="56"/>
                                  <w:u w:val="none"/>
                                </w:rPr>
                                <w:t>BNSF Railway</w:t>
                              </w:r>
                            </w:hyperlink>
                          </w:p>
                          <w:p w14:paraId="463E7021" w14:textId="0FABFF9E" w:rsidR="00C6444C" w:rsidRPr="00020D20" w:rsidRDefault="00202C92">
                            <w:pPr>
                              <w:pStyle w:val="Title"/>
                              <w:rPr>
                                <w:sz w:val="16"/>
                              </w:rPr>
                            </w:pPr>
                            <w:hyperlink r:id="rId894" w:history="1">
                              <w:r w:rsidR="00C6444C" w:rsidRPr="00020D20">
                                <w:rPr>
                                  <w:rStyle w:val="Hyperlink"/>
                                  <w:rFonts w:ascii="Calibri" w:hAnsi="Calibri" w:cstheme="majorBidi"/>
                                  <w:i/>
                                  <w:color w:val="CE5B18"/>
                                  <w:szCs w:val="56"/>
                                  <w:u w:val="none"/>
                                </w:rPr>
                                <w:t>Union Pacific</w:t>
                              </w:r>
                            </w:hyperlink>
                          </w:p>
                          <w:p w14:paraId="27C786D0" w14:textId="26B259FA" w:rsidR="00C6444C" w:rsidRPr="00020D20" w:rsidRDefault="00202C92">
                            <w:pPr>
                              <w:pStyle w:val="Title"/>
                              <w:rPr>
                                <w:sz w:val="16"/>
                              </w:rPr>
                            </w:pPr>
                            <w:hyperlink r:id="rId895" w:history="1">
                              <w:r w:rsidR="00C6444C" w:rsidRPr="00020D20">
                                <w:rPr>
                                  <w:rStyle w:val="Hyperlink"/>
                                  <w:rFonts w:ascii="Calibri" w:hAnsi="Calibri" w:cstheme="majorBidi"/>
                                  <w:i/>
                                  <w:color w:val="CE5B18"/>
                                  <w:szCs w:val="56"/>
                                  <w:u w:val="none"/>
                                </w:rPr>
                                <w:t>Association of American Railroads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BB2581" id="Text Box 816286036" o:spid="_x0000_s1230" type="#_x0000_t202" style="position:absolute;left:0;text-align:left;margin-left:0;margin-top:46.7pt;width:106.5pt;height:134.5pt;z-index:-251698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" fillcolor="#f7f7f7" stroked="f" strokeweight=".5pt">
                <v:shadow on="t" type="perspective" color="black" opacity="26214f" offset="0,0" matrix="66847f,,,66847f"/>
                <v:textbox>
                  <w:txbxContent>
                    <w:p w14:paraId="456B5C52" w14:textId="77777777" w:rsidR="00C6444C" w:rsidRDefault="00C6444C" w:rsidP="00020D20">
                      <w:pPr>
                        <w:jc w:val="center"/>
                      </w:pPr>
                      <w:r>
                        <w:rPr>
                          <w:noProof/>
                        </w:rPr>
                        <w:drawing>
                          <wp:inline distT="0" distB="0" distL="0" distR="0" wp14:anchorId="4540DEEF" wp14:editId="57D6A498">
                            <wp:extent cx="457200" cy="457200"/>
                            <wp:effectExtent l="0" t="0" r="0" b="0"/>
                            <wp:docPr id="816286160" name="Picture 81628616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2C1A1B0" w14:textId="46F6999E" w:rsidR="00C6444C" w:rsidRPr="00954116" w:rsidRDefault="00C6444C" w:rsidP="00020D20">
                      <w:pPr>
                        <w:pStyle w:val="Calloutboxes"/>
                      </w:pPr>
                      <w:r w:rsidRPr="00394A74">
                        <w:t>For further Information for rail companies and organizations visit:</w:t>
                      </w:r>
                    </w:p>
                    <w:p w14:paraId="7D702646" w14:textId="3B5058BA" w:rsidR="00C6444C" w:rsidRPr="00020D20" w:rsidRDefault="00C6444C">
                      <w:pPr>
                        <w:pStyle w:val="Title"/>
                        <w:rPr>
                          <w:sz w:val="16"/>
                        </w:rPr>
                      </w:pPr>
                      <w:hyperlink r:id="rId896" w:history="1">
                        <w:r w:rsidRPr="00020D20">
                          <w:rPr>
                            <w:rStyle w:val="Hyperlink"/>
                            <w:rFonts w:ascii="Calibri" w:hAnsi="Calibri" w:cstheme="majorBidi"/>
                            <w:i/>
                            <w:color w:val="CE5B18"/>
                            <w:szCs w:val="56"/>
                            <w:u w:val="none"/>
                          </w:rPr>
                          <w:t>BNSF Railway</w:t>
                        </w:r>
                      </w:hyperlink>
                    </w:p>
                    <w:p w14:paraId="463E7021" w14:textId="0FABFF9E" w:rsidR="00C6444C" w:rsidRPr="00020D20" w:rsidRDefault="00C6444C">
                      <w:pPr>
                        <w:pStyle w:val="Title"/>
                        <w:rPr>
                          <w:sz w:val="16"/>
                        </w:rPr>
                      </w:pPr>
                      <w:hyperlink r:id="rId897" w:history="1">
                        <w:r w:rsidRPr="00020D20">
                          <w:rPr>
                            <w:rStyle w:val="Hyperlink"/>
                            <w:rFonts w:ascii="Calibri" w:hAnsi="Calibri" w:cstheme="majorBidi"/>
                            <w:i/>
                            <w:color w:val="CE5B18"/>
                            <w:szCs w:val="56"/>
                            <w:u w:val="none"/>
                          </w:rPr>
                          <w:t>Union Pacific</w:t>
                        </w:r>
                      </w:hyperlink>
                    </w:p>
                    <w:p w14:paraId="27C786D0" w14:textId="26B259FA" w:rsidR="00C6444C" w:rsidRPr="00020D20" w:rsidRDefault="00C6444C">
                      <w:pPr>
                        <w:pStyle w:val="Title"/>
                        <w:rPr>
                          <w:sz w:val="16"/>
                        </w:rPr>
                      </w:pPr>
                      <w:hyperlink r:id="rId898" w:history="1">
                        <w:r w:rsidRPr="00020D20">
                          <w:rPr>
                            <w:rStyle w:val="Hyperlink"/>
                            <w:rFonts w:ascii="Calibri" w:hAnsi="Calibri" w:cstheme="majorBidi"/>
                            <w:i/>
                            <w:color w:val="CE5B18"/>
                            <w:szCs w:val="56"/>
                            <w:u w:val="none"/>
                          </w:rPr>
                          <w:t>Association of American Railroads</w:t>
                        </w:r>
                      </w:hyperlink>
                    </w:p>
                  </w:txbxContent>
                </v:textbox>
                <w10:wrap type="tight"/>
              </v:shape>
            </w:pict>
          </mc:Fallback>
        </mc:AlternateContent>
      </w:r>
      <w:r w:rsidR="00DA7DB9" w:rsidRPr="00DA7DB9">
        <w:t xml:space="preserve">The </w:t>
      </w:r>
      <w:r w:rsidR="00DA7DB9" w:rsidRPr="006A5A9B">
        <w:rPr>
          <w:rStyle w:val="Heading5Char"/>
        </w:rPr>
        <w:t>BNSF Phoenix Intermodal Facility</w:t>
      </w:r>
      <w:r w:rsidR="00DA7DB9" w:rsidRPr="00DA7DB9">
        <w:t xml:space="preserve"> is located on the west side of Grand Avenue between Camelback and Bethany Home Roads. Previously known as “Desert Lift,” this facility has mobile cranes that can be used to load and unload containerized freight to and from the rail cars designed specifically for carrying containers. The facility has five lots for transloading containers and repairing the cranes used for the process. Easy access to I-17 is provided.</w:t>
      </w:r>
    </w:p>
    <w:p w14:paraId="1B5CC564" w14:textId="77777777" w:rsidR="00DA7DB9" w:rsidRPr="00DA7DB9" w:rsidRDefault="00DA7DB9" w:rsidP="00020D20">
      <w:pPr>
        <w:pStyle w:val="SubHeading3"/>
        <w:jc w:val="both"/>
      </w:pPr>
      <w:bookmarkStart w:id="529" w:name="_Ref50039996"/>
      <w:r w:rsidRPr="00DA7DB9">
        <w:t>Union Pacific Phoenix Intermodal Facility</w:t>
      </w:r>
      <w:bookmarkEnd w:id="529"/>
    </w:p>
    <w:p w14:paraId="510D4A8B" w14:textId="77777777" w:rsidR="00DA7DB9" w:rsidRPr="00DA7DB9" w:rsidRDefault="00DA7DB9" w:rsidP="00020D20">
      <w:pPr>
        <w:jc w:val="both"/>
      </w:pPr>
      <w:r w:rsidRPr="006A5A9B">
        <w:rPr>
          <w:rStyle w:val="Heading5Char"/>
        </w:rPr>
        <w:t>Union Pacific’s Phoenix Intermodal Facility</w:t>
      </w:r>
      <w:r w:rsidRPr="00DA7DB9">
        <w:t xml:space="preserve"> is located on 67th Avenue south of Interstate 10 and is convenient to I-17 and SR Loop 101. Like the BNSF facility, the UP facility is equipped to load and unload containers from rail cars. </w:t>
      </w:r>
    </w:p>
    <w:bookmarkStart w:id="530" w:name="_Ref50040001"/>
    <w:p w14:paraId="05F19FB3" w14:textId="18FB9CE4" w:rsidR="00DA7DB9" w:rsidRPr="00DA7DB9" w:rsidRDefault="002E2E55" w:rsidP="00020D20">
      <w:pPr>
        <w:pStyle w:val="SubHeading3"/>
        <w:jc w:val="both"/>
      </w:pPr>
      <w:r>
        <w:rPr>
          <w:rFonts w:cstheme="minorHAnsi"/>
          <w:noProof/>
        </w:rPr>
        <mc:AlternateContent>
          <mc:Choice Requires="wps">
            <w:drawing>
              <wp:anchor distT="0" distB="0" distL="114300" distR="114300" simplePos="0" relativeHeight="251618373" behindDoc="1" locked="0" layoutInCell="1" allowOverlap="1" wp14:anchorId="1E5FFB69" wp14:editId="1351279F">
                <wp:simplePos x="0" y="0"/>
                <wp:positionH relativeFrom="column">
                  <wp:posOffset>1371600</wp:posOffset>
                </wp:positionH>
                <wp:positionV relativeFrom="paragraph">
                  <wp:posOffset>213995</wp:posOffset>
                </wp:positionV>
                <wp:extent cx="1370965" cy="1144905"/>
                <wp:effectExtent l="95250" t="76200" r="95885" b="74295"/>
                <wp:wrapTight wrapText="bothSides">
                  <wp:wrapPolygon edited="0">
                    <wp:start x="-900" y="-1438"/>
                    <wp:lineTo x="-1501" y="-1078"/>
                    <wp:lineTo x="-1201" y="22642"/>
                    <wp:lineTo x="22510" y="22642"/>
                    <wp:lineTo x="22811" y="4672"/>
                    <wp:lineTo x="22210" y="-719"/>
                    <wp:lineTo x="22210" y="-1438"/>
                    <wp:lineTo x="-900" y="-1438"/>
                  </wp:wrapPolygon>
                </wp:wrapTight>
                <wp:docPr id="816286046" name="Text Box 816286046"/>
                <wp:cNvGraphicFramePr/>
                <a:graphic xmlns:a="http://schemas.openxmlformats.org/drawingml/2006/main">
                  <a:graphicData uri="http://schemas.microsoft.com/office/word/2010/wordprocessingShape">
                    <wps:wsp>
                      <wps:cNvSpPr txBox="1"/>
                      <wps:spPr>
                        <a:xfrm>
                          <a:off x="0" y="0"/>
                          <a:ext cx="1370965" cy="11449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646EA02" w14:textId="77777777" w:rsidR="00C6444C" w:rsidRDefault="00C6444C" w:rsidP="00020D20">
                            <w:pPr>
                              <w:jc w:val="center"/>
                            </w:pPr>
                            <w:r>
                              <w:rPr>
                                <w:noProof/>
                              </w:rPr>
                              <w:drawing>
                                <wp:inline distT="0" distB="0" distL="0" distR="0" wp14:anchorId="4BA89A64" wp14:editId="1E37D608">
                                  <wp:extent cx="457200" cy="457200"/>
                                  <wp:effectExtent l="0" t="0" r="0" b="0"/>
                                  <wp:docPr id="816286163" name="Picture 81628616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4FF46D" w14:textId="523F6414" w:rsidR="00C6444C" w:rsidRPr="00954116" w:rsidRDefault="00C6444C" w:rsidP="00020D20">
                            <w:pPr>
                              <w:pStyle w:val="Calloutboxes"/>
                            </w:pPr>
                            <w:r w:rsidRPr="00394A74">
                              <w:t>For further Information on The Port of Tucson visit:</w:t>
                            </w:r>
                          </w:p>
                          <w:p w14:paraId="2AAB8AC5" w14:textId="54710B52" w:rsidR="00C6444C" w:rsidRPr="00020D20" w:rsidRDefault="00202C92">
                            <w:pPr>
                              <w:pStyle w:val="Title"/>
                              <w:rPr>
                                <w:sz w:val="16"/>
                              </w:rPr>
                            </w:pPr>
                            <w:hyperlink r:id="rId899" w:history="1">
                              <w:r w:rsidR="00C6444C" w:rsidRPr="00020D20">
                                <w:rPr>
                                  <w:rStyle w:val="Hyperlink"/>
                                  <w:rFonts w:ascii="Calibri" w:hAnsi="Calibri" w:cstheme="majorBidi"/>
                                  <w:i/>
                                  <w:color w:val="CE5B18"/>
                                  <w:szCs w:val="56"/>
                                  <w:u w:val="none"/>
                                </w:rPr>
                                <w:t>http://www.portoftucson.net/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5FFB69" id="Text Box 816286046" o:spid="_x0000_s1231" type="#_x0000_t202" style="position:absolute;left:0;text-align:left;margin-left:108pt;margin-top:16.85pt;width:107.95pt;height:90.15pt;z-index:-251698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" fillcolor="#f7f7f7" stroked="f" strokeweight=".5pt">
                <v:shadow on="t" type="perspective" color="black" opacity="26214f" offset="0,0" matrix="66847f,,,66847f"/>
                <v:textbox>
                  <w:txbxContent>
                    <w:p w14:paraId="2646EA02" w14:textId="77777777" w:rsidR="00C6444C" w:rsidRDefault="00C6444C" w:rsidP="00020D20">
                      <w:pPr>
                        <w:jc w:val="center"/>
                      </w:pPr>
                      <w:r>
                        <w:rPr>
                          <w:noProof/>
                        </w:rPr>
                        <w:drawing>
                          <wp:inline distT="0" distB="0" distL="0" distR="0" wp14:anchorId="4BA89A64" wp14:editId="1E37D608">
                            <wp:extent cx="457200" cy="457200"/>
                            <wp:effectExtent l="0" t="0" r="0" b="0"/>
                            <wp:docPr id="816286163" name="Picture 81628616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4FF46D" w14:textId="523F6414" w:rsidR="00C6444C" w:rsidRPr="00954116" w:rsidRDefault="00C6444C" w:rsidP="00020D20">
                      <w:pPr>
                        <w:pStyle w:val="Calloutboxes"/>
                      </w:pPr>
                      <w:r w:rsidRPr="00394A74">
                        <w:t>For further Information on The Port of Tucson visit:</w:t>
                      </w:r>
                    </w:p>
                    <w:p w14:paraId="2AAB8AC5" w14:textId="54710B52" w:rsidR="00C6444C" w:rsidRPr="00020D20" w:rsidRDefault="00C6444C">
                      <w:pPr>
                        <w:pStyle w:val="Title"/>
                        <w:rPr>
                          <w:sz w:val="16"/>
                        </w:rPr>
                      </w:pPr>
                      <w:hyperlink r:id="rId900" w:history="1">
                        <w:r w:rsidRPr="00020D20">
                          <w:rPr>
                            <w:rStyle w:val="Hyperlink"/>
                            <w:rFonts w:ascii="Calibri" w:hAnsi="Calibri" w:cstheme="majorBidi"/>
                            <w:i/>
                            <w:color w:val="CE5B18"/>
                            <w:szCs w:val="56"/>
                            <w:u w:val="none"/>
                          </w:rPr>
                          <w:t>http://www.portoftucson.net/</w:t>
                        </w:r>
                      </w:hyperlink>
                    </w:p>
                  </w:txbxContent>
                </v:textbox>
                <w10:wrap type="tight"/>
              </v:shape>
            </w:pict>
          </mc:Fallback>
        </mc:AlternateContent>
      </w:r>
      <w:r w:rsidR="00DA7DB9" w:rsidRPr="00DA7DB9">
        <w:t>Port of Tucson</w:t>
      </w:r>
      <w:bookmarkEnd w:id="530"/>
    </w:p>
    <w:p w14:paraId="049B29FD" w14:textId="447308D1" w:rsidR="00DA7DB9" w:rsidRPr="00DA7DB9" w:rsidRDefault="00DA7DB9" w:rsidP="00020D20">
      <w:pPr>
        <w:jc w:val="both"/>
        <w:rPr>
          <w:rFonts w:cstheme="minorHAnsi"/>
        </w:rPr>
      </w:pPr>
      <w:r w:rsidRPr="00DA7DB9">
        <w:rPr>
          <w:rFonts w:cstheme="minorHAnsi"/>
        </w:rPr>
        <w:t xml:space="preserve">The </w:t>
      </w:r>
      <w:r w:rsidRPr="006A5A9B">
        <w:rPr>
          <w:rStyle w:val="Heading5Char"/>
        </w:rPr>
        <w:t>Port of Tucson</w:t>
      </w:r>
      <w:r w:rsidRPr="00DA7DB9">
        <w:rPr>
          <w:rFonts w:cstheme="minorHAnsi"/>
        </w:rPr>
        <w:t xml:space="preserve"> is an inland port rail facility located in east Tucson near UPRR’s Wilmot Siding. The port provides a variety of rail-oriented transportation services in and around the southwest region of the United States, including intermodal freight, container handling, boxcar access, and a team track facility. </w:t>
      </w:r>
    </w:p>
    <w:p w14:paraId="4FA676D9" w14:textId="77777777" w:rsidR="00DA7DB9" w:rsidRPr="00DA7DB9" w:rsidRDefault="00DA7DB9" w:rsidP="00020D20">
      <w:pPr>
        <w:pStyle w:val="SubHeading3"/>
        <w:jc w:val="both"/>
      </w:pPr>
      <w:bookmarkStart w:id="531" w:name="_Ref50040005"/>
      <w:r w:rsidRPr="00DA7DB9">
        <w:t>San Pedro &amp; Southwestern Railroad Benson Transload</w:t>
      </w:r>
      <w:bookmarkEnd w:id="531"/>
    </w:p>
    <w:p w14:paraId="402A358E" w14:textId="77777777" w:rsidR="00DA7DB9" w:rsidRPr="00DA7DB9" w:rsidRDefault="00DA7DB9" w:rsidP="00020D20">
      <w:pPr>
        <w:jc w:val="both"/>
        <w:rPr>
          <w:rFonts w:cstheme="minorHAnsi"/>
        </w:rPr>
      </w:pPr>
      <w:r w:rsidRPr="00DA7DB9">
        <w:rPr>
          <w:rFonts w:cstheme="minorHAnsi"/>
        </w:rPr>
        <w:t xml:space="preserve">The </w:t>
      </w:r>
      <w:r w:rsidRPr="006A5A9B">
        <w:rPr>
          <w:rStyle w:val="Heading5Char"/>
        </w:rPr>
        <w:t>San Pedro &amp; Southwestern Railroad</w:t>
      </w:r>
      <w:r w:rsidRPr="00DA7DB9">
        <w:rPr>
          <w:rFonts w:cstheme="minorHAnsi"/>
        </w:rPr>
        <w:t xml:space="preserve"> (SPSR) operates a transload facility adjacent to its headquarters in Benson, which is convenient to I-10. The three-acre facility can accommodate up to 10 railcars. Truck parking and warehouse and storage facilities are available, and the lot is forklift accessible.</w:t>
      </w:r>
    </w:p>
    <w:p w14:paraId="2E555072" w14:textId="77777777" w:rsidR="00DA7DB9" w:rsidRPr="00DA7DB9" w:rsidRDefault="00DA7DB9" w:rsidP="00020D20">
      <w:pPr>
        <w:jc w:val="both"/>
        <w:rPr>
          <w:rFonts w:cstheme="minorHAnsi"/>
        </w:rPr>
      </w:pPr>
      <w:r w:rsidRPr="00DA7DB9">
        <w:rPr>
          <w:rFonts w:cstheme="minorHAnsi"/>
        </w:rPr>
        <w:t>Similar “team track” type facilities are located in a number of Arizona communities for the purpose of transloading construction materials and other bulk commodities needed locally.</w:t>
      </w:r>
    </w:p>
    <w:p w14:paraId="19FBE04F" w14:textId="0C261B90" w:rsidR="00DA7DB9" w:rsidRPr="00DA7DB9" w:rsidRDefault="00DA7DB9" w:rsidP="00020D20">
      <w:pPr>
        <w:pStyle w:val="Heading3"/>
        <w:jc w:val="both"/>
      </w:pPr>
      <w:bookmarkStart w:id="532" w:name="_Ref50039772"/>
      <w:r w:rsidRPr="00DA7DB9">
        <w:t>15.3.</w:t>
      </w:r>
      <w:r w:rsidR="00CC26E3">
        <w:t>3</w:t>
      </w:r>
      <w:r w:rsidRPr="00DA7DB9">
        <w:t xml:space="preserve"> | Air Freight</w:t>
      </w:r>
      <w:bookmarkEnd w:id="532"/>
    </w:p>
    <w:p w14:paraId="732A576F" w14:textId="2CFC0A6D" w:rsidR="004347CE" w:rsidRDefault="004347CE" w:rsidP="00020D20">
      <w:pPr>
        <w:jc w:val="both"/>
      </w:pPr>
      <w:r w:rsidRPr="00675D24">
        <w:t>While Arizona has multiple airports that handle freight,</w:t>
      </w:r>
      <w:r>
        <w:t xml:space="preserve"> n</w:t>
      </w:r>
      <w:r w:rsidRPr="00F26001">
        <w:t>early all air cargo originating or terminating in Arizona is moved through Phoenix Sky Harbor International Airport (nearly 90</w:t>
      </w:r>
      <w:r>
        <w:t xml:space="preserve"> percent</w:t>
      </w:r>
      <w:r w:rsidRPr="00F26001">
        <w:t>) and Tucson International Airport (nearly 10</w:t>
      </w:r>
      <w:r>
        <w:t xml:space="preserve"> percent</w:t>
      </w:r>
      <w:r w:rsidRPr="00F26001">
        <w:t>)</w:t>
      </w:r>
      <w:r w:rsidR="00A25771">
        <w:t xml:space="preserve">. </w:t>
      </w:r>
    </w:p>
    <w:p w14:paraId="3A694193" w14:textId="77777777" w:rsidR="004347CE" w:rsidRDefault="004347CE" w:rsidP="00020D20">
      <w:pPr>
        <w:jc w:val="both"/>
      </w:pPr>
      <w:r>
        <w:t>Integrators such as FedEx and UPS have increasingly expanded their market share in the movement of air cargo. In 2013, only 13 percent of air cargo in Arizona was carried on passenger aircraft.</w:t>
      </w:r>
    </w:p>
    <w:p w14:paraId="30F5E63A" w14:textId="6ADEA80C" w:rsidR="00A34E8C" w:rsidRDefault="00A34E8C" w:rsidP="00020D20">
      <w:pPr>
        <w:jc w:val="both"/>
        <w:rPr>
          <w:rFonts w:cstheme="minorHAnsi"/>
        </w:rPr>
      </w:pPr>
      <w:r w:rsidRPr="00A34E8C">
        <w:rPr>
          <w:rFonts w:cstheme="minorHAnsi"/>
        </w:rPr>
        <w:t>Any improvement that shortens the time consumed for the collection, distribution, and dispatch of air cargo enhances the efficiency of air freight operation. A roadway infrastructure serving the air cargo terminal that facilitates the movement of trucks to and from the terminal is desirable. Also desirable is easy access between the air terminal and an interstate highway or other limited access facility, effectively eliminating the need for trucks to negotiate miles of city streets and traffic to and from the airport.</w:t>
      </w:r>
    </w:p>
    <w:p w14:paraId="7AE1D1C9" w14:textId="1C415AE3" w:rsidR="005877E3" w:rsidRDefault="005877E3" w:rsidP="00020D20">
      <w:pPr>
        <w:jc w:val="both"/>
      </w:pPr>
      <w:r>
        <w:t xml:space="preserve">While estimates suggest no new on-airport cargo infrastructure will be needed until 2031, highway access to air cargo facilities at </w:t>
      </w:r>
      <w:r w:rsidRPr="003E2EA2">
        <w:t>Phoenix Sky Harbor International Airport</w:t>
      </w:r>
      <w:r>
        <w:t>, especially the South Air Cargo complex, will need to be addressed.</w:t>
      </w:r>
    </w:p>
    <w:p w14:paraId="1545FB4E" w14:textId="43130070" w:rsidR="00EC5614" w:rsidRPr="00A34E8C" w:rsidRDefault="00EC5614" w:rsidP="00020D20">
      <w:pPr>
        <w:pStyle w:val="Heading3"/>
        <w:jc w:val="both"/>
        <w:rPr>
          <w:rFonts w:cstheme="minorHAnsi"/>
        </w:rPr>
      </w:pPr>
      <w:bookmarkStart w:id="533" w:name="_Ref50040417"/>
      <w:r>
        <w:t>15.3.</w:t>
      </w:r>
      <w:r w:rsidR="00CC26E3">
        <w:t>4</w:t>
      </w:r>
      <w:r>
        <w:t xml:space="preserve"> | Pipeline System</w:t>
      </w:r>
      <w:bookmarkEnd w:id="533"/>
    </w:p>
    <w:p w14:paraId="72911DB4" w14:textId="374797C0" w:rsidR="00875BC1" w:rsidRPr="002C0B6E" w:rsidRDefault="00875BC1" w:rsidP="00020D20">
      <w:pPr>
        <w:jc w:val="both"/>
      </w:pPr>
      <w:r>
        <w:t>T</w:t>
      </w:r>
      <w:r w:rsidRPr="002C0B6E">
        <w:t xml:space="preserve">wo major pipelines – both operated by Kinder Morgan </w:t>
      </w:r>
      <w:r>
        <w:t>–</w:t>
      </w:r>
      <w:r w:rsidRPr="002C0B6E">
        <w:t xml:space="preserve"> supply Arizona with petroleum products. The “West Line” supplies products from the Los Angeles basin to Phoenix while the “East Line” originates in El Paso, T</w:t>
      </w:r>
      <w:r>
        <w:t>exas</w:t>
      </w:r>
      <w:r w:rsidRPr="002C0B6E">
        <w:t xml:space="preserve"> and connects to both Tucson and Phoenix. Liquid products are typically delivered to the end user by tanker truck from distribution terminals. Given the limited oil and gas production in the </w:t>
      </w:r>
      <w:r>
        <w:t>state</w:t>
      </w:r>
      <w:r w:rsidRPr="002C0B6E">
        <w:t>, there are effectively no gathering pipelines in Arizona</w:t>
      </w:r>
      <w:r w:rsidR="00A25771" w:rsidRPr="002C0B6E">
        <w:t xml:space="preserve">. </w:t>
      </w:r>
    </w:p>
    <w:p w14:paraId="442D79C0" w14:textId="77777777" w:rsidR="00875BC1" w:rsidRPr="002C0B6E" w:rsidRDefault="00875BC1" w:rsidP="00020D20">
      <w:pPr>
        <w:jc w:val="both"/>
      </w:pPr>
      <w:r w:rsidRPr="002C0B6E">
        <w:t xml:space="preserve">Most of the </w:t>
      </w:r>
      <w:r>
        <w:t xml:space="preserve">last mile </w:t>
      </w:r>
      <w:r w:rsidRPr="002C0B6E">
        <w:t>gas</w:t>
      </w:r>
      <w:r>
        <w:t>oline</w:t>
      </w:r>
      <w:r w:rsidRPr="002C0B6E">
        <w:t xml:space="preserve"> </w:t>
      </w:r>
      <w:r>
        <w:t xml:space="preserve">deliveries </w:t>
      </w:r>
      <w:r w:rsidRPr="002C0B6E">
        <w:t>in Arizona rel</w:t>
      </w:r>
      <w:r>
        <w:t>y</w:t>
      </w:r>
      <w:r w:rsidRPr="002C0B6E">
        <w:t xml:space="preserve"> on truck deliveries which are made via </w:t>
      </w:r>
      <w:r>
        <w:t xml:space="preserve">Arizona’s petroleum product terminals. Because Arizona lacks petroleum refineries, petroleum </w:t>
      </w:r>
      <w:r>
        <w:rPr>
          <w:noProof/>
        </w:rPr>
        <w:t xml:space="preserve">terminals </w:t>
      </w:r>
      <w:r>
        <w:t xml:space="preserve">provide retail gasoline and diesel statewide via local delivery trucks.  </w:t>
      </w:r>
      <w:r>
        <w:rPr>
          <w:noProof/>
        </w:rPr>
        <w:t xml:space="preserve">Of note, ethanol </w:t>
      </w:r>
      <w:r w:rsidRPr="00634613">
        <w:rPr>
          <w:noProof/>
        </w:rPr>
        <w:t>is</w:t>
      </w:r>
      <w:r>
        <w:rPr>
          <w:noProof/>
        </w:rPr>
        <w:t xml:space="preserve"> also mixed with gasoline at the terminals, but because ethanol cannot be shipped by pipeline, it is delivered to the terminals by truck (e.g. from the ethanol plant near </w:t>
      </w:r>
      <w:r w:rsidRPr="00FA394C">
        <w:rPr>
          <w:noProof/>
        </w:rPr>
        <w:t>Maricopa)</w:t>
      </w:r>
      <w:r w:rsidRPr="007D66EB">
        <w:rPr>
          <w:noProof/>
        </w:rPr>
        <w:t>.</w:t>
      </w:r>
      <w:r w:rsidRPr="00FA394C">
        <w:t xml:space="preserve"> </w:t>
      </w:r>
      <w:r w:rsidRPr="002C0B6E">
        <w:t>Natural gas is distributed to end users by pipeline.</w:t>
      </w:r>
    </w:p>
    <w:p w14:paraId="1FA4A23A" w14:textId="633190D2" w:rsidR="00875BC1" w:rsidRDefault="00875BC1" w:rsidP="00020D20">
      <w:pPr>
        <w:jc w:val="both"/>
      </w:pPr>
      <w:r w:rsidRPr="002C0B6E">
        <w:t>Because pipelines are controlled by private businesses, information on their performance is difficult to ascertain.</w:t>
      </w:r>
    </w:p>
    <w:p w14:paraId="74CC9548" w14:textId="59A015B8" w:rsidR="00D64158" w:rsidRDefault="00D64158" w:rsidP="00020D20">
      <w:pPr>
        <w:pStyle w:val="Heading3"/>
        <w:jc w:val="both"/>
      </w:pPr>
      <w:bookmarkStart w:id="534" w:name="_Ref50039775"/>
      <w:r>
        <w:t>15.3.</w:t>
      </w:r>
      <w:r w:rsidR="00CC26E3">
        <w:t>5</w:t>
      </w:r>
      <w:r>
        <w:t xml:space="preserve"> | Borders and International Freight Gateways</w:t>
      </w:r>
      <w:bookmarkEnd w:id="534"/>
    </w:p>
    <w:p w14:paraId="51DDEF28" w14:textId="2AF58E4B" w:rsidR="00D64158" w:rsidRPr="0041100B" w:rsidRDefault="00D64158" w:rsidP="00020D20">
      <w:pPr>
        <w:jc w:val="both"/>
      </w:pPr>
      <w:r>
        <w:t>Arizona</w:t>
      </w:r>
      <w:r>
        <w:rPr>
          <w:spacing w:val="-3"/>
        </w:rPr>
        <w:t xml:space="preserve"> </w:t>
      </w:r>
      <w:r>
        <w:rPr>
          <w:spacing w:val="-1"/>
        </w:rPr>
        <w:t>and</w:t>
      </w:r>
      <w:r>
        <w:rPr>
          <w:spacing w:val="-2"/>
        </w:rPr>
        <w:t xml:space="preserve"> </w:t>
      </w:r>
      <w:r>
        <w:t>the</w:t>
      </w:r>
      <w:r>
        <w:rPr>
          <w:spacing w:val="-2"/>
        </w:rPr>
        <w:t xml:space="preserve"> S</w:t>
      </w:r>
      <w:r>
        <w:t>tate</w:t>
      </w:r>
      <w:r>
        <w:rPr>
          <w:spacing w:val="-2"/>
        </w:rPr>
        <w:t xml:space="preserve"> </w:t>
      </w:r>
      <w:r>
        <w:rPr>
          <w:spacing w:val="-1"/>
        </w:rPr>
        <w:t xml:space="preserve">of </w:t>
      </w:r>
      <w:r>
        <w:t>Sonora</w:t>
      </w:r>
      <w:r>
        <w:rPr>
          <w:spacing w:val="-2"/>
        </w:rPr>
        <w:t xml:space="preserve">, </w:t>
      </w:r>
      <w:r>
        <w:t>Mexico</w:t>
      </w:r>
      <w:r>
        <w:rPr>
          <w:spacing w:val="-2"/>
        </w:rPr>
        <w:t xml:space="preserve"> </w:t>
      </w:r>
      <w:r>
        <w:t>share</w:t>
      </w:r>
      <w:r>
        <w:rPr>
          <w:spacing w:val="-2"/>
        </w:rPr>
        <w:t xml:space="preserve"> </w:t>
      </w:r>
      <w:r>
        <w:rPr>
          <w:spacing w:val="-1"/>
        </w:rPr>
        <w:t>approximately</w:t>
      </w:r>
      <w:r>
        <w:rPr>
          <w:spacing w:val="26"/>
        </w:rPr>
        <w:t xml:space="preserve"> </w:t>
      </w:r>
      <w:r>
        <w:rPr>
          <w:spacing w:val="-1"/>
        </w:rPr>
        <w:t xml:space="preserve">360 </w:t>
      </w:r>
      <w:r>
        <w:t>miles</w:t>
      </w:r>
      <w:r>
        <w:rPr>
          <w:spacing w:val="-1"/>
        </w:rPr>
        <w:t xml:space="preserve"> of</w:t>
      </w:r>
      <w:r>
        <w:t xml:space="preserve"> </w:t>
      </w:r>
      <w:r>
        <w:rPr>
          <w:spacing w:val="-1"/>
        </w:rPr>
        <w:t>international</w:t>
      </w:r>
      <w:r>
        <w:t xml:space="preserve"> </w:t>
      </w:r>
      <w:r>
        <w:rPr>
          <w:spacing w:val="-3"/>
        </w:rPr>
        <w:t>border.</w:t>
      </w:r>
      <w:r>
        <w:rPr>
          <w:spacing w:val="-5"/>
        </w:rPr>
        <w:t xml:space="preserve"> </w:t>
      </w:r>
      <w:r>
        <w:t>There are</w:t>
      </w:r>
      <w:r>
        <w:rPr>
          <w:spacing w:val="-2"/>
        </w:rPr>
        <w:t xml:space="preserve"> </w:t>
      </w:r>
      <w:r>
        <w:t>six bor</w:t>
      </w:r>
      <w:r>
        <w:rPr>
          <w:spacing w:val="-1"/>
        </w:rPr>
        <w:t>der</w:t>
      </w:r>
      <w:r>
        <w:t xml:space="preserve"> crossing locations </w:t>
      </w:r>
      <w:r>
        <w:rPr>
          <w:spacing w:val="-1"/>
        </w:rPr>
        <w:t>along</w:t>
      </w:r>
      <w:r>
        <w:t xml:space="preserve"> Arizona’s </w:t>
      </w:r>
      <w:r>
        <w:rPr>
          <w:spacing w:val="-1"/>
        </w:rPr>
        <w:t>border with Mexico</w:t>
      </w:r>
    </w:p>
    <w:p w14:paraId="437A5B05" w14:textId="77777777" w:rsidR="00D64158" w:rsidRDefault="00D64158" w:rsidP="00020D20">
      <w:pPr>
        <w:jc w:val="both"/>
        <w:rPr>
          <w:lang w:eastAsia="en-CA"/>
        </w:rPr>
      </w:pPr>
      <w:r>
        <w:rPr>
          <w:lang w:eastAsia="en-CA"/>
        </w:rPr>
        <w:t xml:space="preserve">Arizona’s six border crossing locations are host to nine Land Ports of Entry (LPOE). </w:t>
      </w:r>
      <w:r w:rsidRPr="0072562F">
        <w:rPr>
          <w:noProof/>
          <w:lang w:eastAsia="en-CA"/>
        </w:rPr>
        <w:t>A LPOE</w:t>
      </w:r>
      <w:r>
        <w:rPr>
          <w:lang w:eastAsia="en-CA"/>
        </w:rPr>
        <w:t xml:space="preserve"> is an official location for the entry of goods and people, along with the enforcement of duties and laws.  The border crossing location of San Luis-San Luis Rio Colorado features two LPOEs while the location of Nogales-Nogales features three LPOEs. </w:t>
      </w:r>
    </w:p>
    <w:p w14:paraId="3E177B50" w14:textId="21DDC5A8" w:rsidR="00D64158" w:rsidRDefault="00D64158" w:rsidP="00020D20">
      <w:pPr>
        <w:jc w:val="both"/>
        <w:rPr>
          <w:lang w:eastAsia="en-CA"/>
        </w:rPr>
        <w:sectPr w:rsidR="00D64158" w:rsidSect="00020D20">
          <w:type w:val="continuous"/>
          <w:pgSz w:w="12240" w:h="15840"/>
          <w:pgMar w:top="1440" w:right="1440" w:bottom="1440" w:left="1440" w:header="720" w:footer="720" w:gutter="0"/>
          <w:pgNumType w:chapStyle="1"/>
          <w:cols w:num="2" w:space="720"/>
          <w:docGrid w:linePitch="360"/>
        </w:sectPr>
      </w:pPr>
      <w:r>
        <w:rPr>
          <w:lang w:eastAsia="en-CA"/>
        </w:rPr>
        <w:t>There are four types of flows that LPOEs on the Arizona-Sonora border may process: pedestrians, passenger vehicles, commercial vehicles, and rail. The type of flow processed by a specific LPOE depends on the infrastructure and staffing characteristics of each entry point. The complete list of LPOEs located on the Arizona-Sonora border, along with their location and the type of flows processed, is provided in Table 15-</w:t>
      </w:r>
      <w:r w:rsidR="005F23EF">
        <w:rPr>
          <w:lang w:eastAsia="en-CA"/>
        </w:rPr>
        <w:t>2</w:t>
      </w:r>
      <w:r>
        <w:rPr>
          <w:lang w:eastAsia="en-CA"/>
        </w:rPr>
        <w:t>.</w:t>
      </w:r>
    </w:p>
    <w:p w14:paraId="7F8DB42F" w14:textId="5EB02583" w:rsidR="00D64158" w:rsidRDefault="00766218" w:rsidP="00020D20">
      <w:pPr>
        <w:pStyle w:val="Heading4"/>
        <w:jc w:val="both"/>
        <w:rPr>
          <w:lang w:eastAsia="en-CA"/>
        </w:rPr>
      </w:pPr>
      <w:r>
        <w:t>Table 15-</w:t>
      </w:r>
      <w:r w:rsidR="005F23EF">
        <w:t>2</w:t>
      </w:r>
      <w:r w:rsidRPr="00DA7DB9">
        <w:t xml:space="preserve"> | </w:t>
      </w:r>
      <w:r>
        <w:t>Land Ports of Entry in Arizona</w:t>
      </w:r>
    </w:p>
    <w:tbl>
      <w:tblPr>
        <w:tblW w:w="9445" w:type="dxa"/>
        <w:tblLook w:val="04A0" w:firstRow="1" w:lastRow="0" w:firstColumn="1" w:lastColumn="0" w:noHBand="0" w:noVBand="1"/>
      </w:tblPr>
      <w:tblGrid>
        <w:gridCol w:w="1436"/>
        <w:gridCol w:w="2699"/>
        <w:gridCol w:w="5310"/>
      </w:tblGrid>
      <w:tr w:rsidR="00D64158" w14:paraId="79CE6094" w14:textId="77777777" w:rsidTr="00020D20">
        <w:tc>
          <w:tcPr>
            <w:tcW w:w="1436" w:type="dxa"/>
            <w:tcBorders>
              <w:top w:val="single" w:sz="4" w:space="0" w:color="auto"/>
              <w:left w:val="single" w:sz="4" w:space="0" w:color="auto"/>
              <w:bottom w:val="single" w:sz="4" w:space="0" w:color="auto"/>
              <w:right w:val="single" w:sz="4" w:space="0" w:color="FFFFFF" w:themeColor="background1"/>
            </w:tcBorders>
            <w:shd w:val="clear" w:color="auto" w:fill="012768"/>
          </w:tcPr>
          <w:p w14:paraId="1AFE1D80" w14:textId="4E8D0ACD" w:rsidR="00D64158" w:rsidRPr="00020D20" w:rsidRDefault="00D64158" w:rsidP="00020D20">
            <w:pPr>
              <w:spacing w:before="0" w:after="0" w:line="240" w:lineRule="auto"/>
              <w:jc w:val="center"/>
              <w:rPr>
                <w:rFonts w:cs="Calibri"/>
                <w:color w:val="FFFFFF" w:themeColor="background1"/>
                <w:sz w:val="22"/>
              </w:rPr>
            </w:pPr>
            <w:r w:rsidRPr="00020D20">
              <w:rPr>
                <w:rFonts w:cs="Calibri"/>
                <w:color w:val="FFFFFF" w:themeColor="background1"/>
                <w:sz w:val="22"/>
              </w:rPr>
              <w:t>LPOE</w:t>
            </w:r>
          </w:p>
        </w:tc>
        <w:tc>
          <w:tcPr>
            <w:tcW w:w="2699"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Pr>
          <w:p w14:paraId="21BE814E" w14:textId="71B2ADEC" w:rsidR="00D64158" w:rsidRPr="00020D20" w:rsidRDefault="00D64158" w:rsidP="00020D20">
            <w:pPr>
              <w:spacing w:before="0" w:after="0" w:line="240" w:lineRule="auto"/>
              <w:jc w:val="center"/>
              <w:rPr>
                <w:rFonts w:cs="Calibri"/>
                <w:color w:val="FFFFFF" w:themeColor="background1"/>
                <w:sz w:val="22"/>
              </w:rPr>
            </w:pPr>
            <w:r w:rsidRPr="00020D20">
              <w:rPr>
                <w:rFonts w:cs="Calibri"/>
                <w:color w:val="FFFFFF" w:themeColor="background1"/>
                <w:sz w:val="22"/>
              </w:rPr>
              <w:t>Border Crossing Location</w:t>
            </w:r>
          </w:p>
        </w:tc>
        <w:tc>
          <w:tcPr>
            <w:tcW w:w="5310" w:type="dxa"/>
            <w:tcBorders>
              <w:top w:val="single" w:sz="4" w:space="0" w:color="auto"/>
              <w:left w:val="single" w:sz="4" w:space="0" w:color="FFFFFF" w:themeColor="background1"/>
              <w:bottom w:val="single" w:sz="4" w:space="0" w:color="auto"/>
              <w:right w:val="single" w:sz="4" w:space="0" w:color="auto"/>
            </w:tcBorders>
            <w:shd w:val="clear" w:color="auto" w:fill="012768"/>
          </w:tcPr>
          <w:p w14:paraId="247363F4" w14:textId="2D5FF6CD" w:rsidR="00D64158" w:rsidRPr="00020D20" w:rsidRDefault="00D64158" w:rsidP="00020D20">
            <w:pPr>
              <w:spacing w:before="0" w:after="0" w:line="240" w:lineRule="auto"/>
              <w:jc w:val="center"/>
              <w:rPr>
                <w:rFonts w:cs="Calibri"/>
                <w:color w:val="FFFFFF" w:themeColor="background1"/>
                <w:sz w:val="22"/>
              </w:rPr>
            </w:pPr>
            <w:r w:rsidRPr="00020D20">
              <w:rPr>
                <w:rFonts w:cs="Calibri"/>
                <w:color w:val="FFFFFF" w:themeColor="background1"/>
                <w:sz w:val="22"/>
              </w:rPr>
              <w:t>Type of Flows Processed</w:t>
            </w:r>
          </w:p>
        </w:tc>
      </w:tr>
      <w:tr w:rsidR="00D64158" w14:paraId="1CEFFC58" w14:textId="77777777" w:rsidTr="00020D20">
        <w:tc>
          <w:tcPr>
            <w:tcW w:w="1436" w:type="dxa"/>
            <w:tcBorders>
              <w:top w:val="single" w:sz="4" w:space="0" w:color="auto"/>
              <w:left w:val="single" w:sz="4" w:space="0" w:color="auto"/>
              <w:bottom w:val="single" w:sz="4" w:space="0" w:color="auto"/>
              <w:right w:val="single" w:sz="4" w:space="0" w:color="auto"/>
            </w:tcBorders>
          </w:tcPr>
          <w:p w14:paraId="7D5BFEE7" w14:textId="4454AD5F" w:rsidR="00D64158" w:rsidRPr="0041100B" w:rsidRDefault="00766218" w:rsidP="00020D20">
            <w:pPr>
              <w:spacing w:before="0" w:after="0" w:line="240" w:lineRule="auto"/>
              <w:jc w:val="center"/>
            </w:pPr>
            <w:r w:rsidRPr="00472679">
              <w:t>San Luis</w:t>
            </w:r>
          </w:p>
        </w:tc>
        <w:tc>
          <w:tcPr>
            <w:tcW w:w="2699" w:type="dxa"/>
            <w:tcBorders>
              <w:top w:val="single" w:sz="4" w:space="0" w:color="auto"/>
              <w:left w:val="single" w:sz="4" w:space="0" w:color="auto"/>
              <w:bottom w:val="single" w:sz="4" w:space="0" w:color="auto"/>
              <w:right w:val="single" w:sz="4" w:space="0" w:color="auto"/>
            </w:tcBorders>
          </w:tcPr>
          <w:p w14:paraId="4D4EEEE9" w14:textId="7BB8AD82" w:rsidR="00D64158" w:rsidRPr="0041100B" w:rsidRDefault="00766218" w:rsidP="00020D20">
            <w:pPr>
              <w:spacing w:before="0" w:after="0" w:line="240" w:lineRule="auto"/>
              <w:jc w:val="center"/>
            </w:pPr>
            <w:r w:rsidRPr="00472679">
              <w:t>San Luis, Arizona</w:t>
            </w:r>
          </w:p>
        </w:tc>
        <w:tc>
          <w:tcPr>
            <w:tcW w:w="5310" w:type="dxa"/>
            <w:tcBorders>
              <w:top w:val="single" w:sz="4" w:space="0" w:color="auto"/>
              <w:left w:val="single" w:sz="4" w:space="0" w:color="auto"/>
              <w:bottom w:val="single" w:sz="4" w:space="0" w:color="auto"/>
              <w:right w:val="single" w:sz="4" w:space="0" w:color="auto"/>
            </w:tcBorders>
          </w:tcPr>
          <w:p w14:paraId="68303862" w14:textId="34C6D52C" w:rsidR="00D64158" w:rsidRPr="0041100B" w:rsidRDefault="00766218" w:rsidP="00020D20">
            <w:pPr>
              <w:spacing w:before="0" w:after="0" w:line="240" w:lineRule="auto"/>
            </w:pPr>
            <w:r w:rsidRPr="00472679">
              <w:t>Passenger vehicles and pedestrians</w:t>
            </w:r>
          </w:p>
        </w:tc>
      </w:tr>
      <w:tr w:rsidR="00D64158" w14:paraId="0E0DD86D" w14:textId="77777777" w:rsidTr="00020D20">
        <w:tc>
          <w:tcPr>
            <w:tcW w:w="1436" w:type="dxa"/>
            <w:tcBorders>
              <w:top w:val="single" w:sz="4" w:space="0" w:color="auto"/>
              <w:left w:val="single" w:sz="4" w:space="0" w:color="auto"/>
              <w:bottom w:val="single" w:sz="4" w:space="0" w:color="auto"/>
              <w:right w:val="single" w:sz="4" w:space="0" w:color="auto"/>
            </w:tcBorders>
            <w:shd w:val="clear" w:color="auto" w:fill="E7E6E6" w:themeFill="background2"/>
          </w:tcPr>
          <w:p w14:paraId="3DB06F4C" w14:textId="02709F5D" w:rsidR="00D64158" w:rsidRPr="0041100B" w:rsidRDefault="00766218" w:rsidP="00020D20">
            <w:pPr>
              <w:spacing w:before="0" w:after="0" w:line="240" w:lineRule="auto"/>
              <w:jc w:val="center"/>
            </w:pPr>
            <w:r w:rsidRPr="00472679">
              <w:t>San Luis</w:t>
            </w:r>
          </w:p>
        </w:tc>
        <w:tc>
          <w:tcPr>
            <w:tcW w:w="2699" w:type="dxa"/>
            <w:tcBorders>
              <w:top w:val="single" w:sz="4" w:space="0" w:color="auto"/>
              <w:left w:val="single" w:sz="4" w:space="0" w:color="auto"/>
              <w:bottom w:val="single" w:sz="4" w:space="0" w:color="auto"/>
              <w:right w:val="single" w:sz="4" w:space="0" w:color="auto"/>
            </w:tcBorders>
            <w:shd w:val="clear" w:color="auto" w:fill="E7E6E6" w:themeFill="background2"/>
          </w:tcPr>
          <w:p w14:paraId="34AA7A58" w14:textId="63A29002" w:rsidR="00D64158" w:rsidRPr="0041100B" w:rsidRDefault="00766218" w:rsidP="00020D20">
            <w:pPr>
              <w:spacing w:before="0" w:after="0" w:line="240" w:lineRule="auto"/>
              <w:jc w:val="center"/>
            </w:pPr>
            <w:r w:rsidRPr="00472679">
              <w:t>San Luis, Arizona</w:t>
            </w:r>
          </w:p>
        </w:tc>
        <w:tc>
          <w:tcPr>
            <w:tcW w:w="5310" w:type="dxa"/>
            <w:tcBorders>
              <w:top w:val="single" w:sz="4" w:space="0" w:color="auto"/>
              <w:left w:val="single" w:sz="4" w:space="0" w:color="auto"/>
              <w:bottom w:val="single" w:sz="4" w:space="0" w:color="auto"/>
              <w:right w:val="single" w:sz="4" w:space="0" w:color="auto"/>
            </w:tcBorders>
            <w:shd w:val="clear" w:color="auto" w:fill="E7E6E6" w:themeFill="background2"/>
          </w:tcPr>
          <w:p w14:paraId="0B24639B" w14:textId="53D7884F" w:rsidR="00D64158" w:rsidRPr="0041100B" w:rsidRDefault="00766218" w:rsidP="00020D20">
            <w:pPr>
              <w:spacing w:before="0" w:after="0" w:line="240" w:lineRule="auto"/>
            </w:pPr>
            <w:r w:rsidRPr="00472679">
              <w:t>Commercial vehicles</w:t>
            </w:r>
          </w:p>
        </w:tc>
      </w:tr>
      <w:tr w:rsidR="00766218" w14:paraId="40AE25E9" w14:textId="77777777" w:rsidTr="00020D20">
        <w:tc>
          <w:tcPr>
            <w:tcW w:w="1436" w:type="dxa"/>
            <w:tcBorders>
              <w:top w:val="single" w:sz="4" w:space="0" w:color="auto"/>
              <w:left w:val="single" w:sz="4" w:space="0" w:color="auto"/>
              <w:bottom w:val="single" w:sz="4" w:space="0" w:color="auto"/>
              <w:right w:val="single" w:sz="4" w:space="0" w:color="auto"/>
            </w:tcBorders>
          </w:tcPr>
          <w:p w14:paraId="44347A08" w14:textId="3E4634EF" w:rsidR="00766218" w:rsidRPr="0041100B" w:rsidRDefault="00766218" w:rsidP="00020D20">
            <w:pPr>
              <w:spacing w:before="0" w:after="0" w:line="240" w:lineRule="auto"/>
              <w:jc w:val="center"/>
            </w:pPr>
            <w:r w:rsidRPr="00472679">
              <w:t>Lukeville</w:t>
            </w:r>
          </w:p>
        </w:tc>
        <w:tc>
          <w:tcPr>
            <w:tcW w:w="2699" w:type="dxa"/>
            <w:tcBorders>
              <w:top w:val="single" w:sz="4" w:space="0" w:color="auto"/>
              <w:left w:val="single" w:sz="4" w:space="0" w:color="auto"/>
              <w:bottom w:val="single" w:sz="4" w:space="0" w:color="auto"/>
              <w:right w:val="single" w:sz="4" w:space="0" w:color="auto"/>
            </w:tcBorders>
          </w:tcPr>
          <w:p w14:paraId="2C3A53BB" w14:textId="0B364BE0" w:rsidR="00766218" w:rsidRPr="0041100B" w:rsidRDefault="00766218" w:rsidP="00020D20">
            <w:pPr>
              <w:spacing w:before="0" w:after="0" w:line="240" w:lineRule="auto"/>
              <w:jc w:val="center"/>
            </w:pPr>
            <w:r w:rsidRPr="00472679">
              <w:t>Lukeville, Arizona</w:t>
            </w:r>
          </w:p>
        </w:tc>
        <w:tc>
          <w:tcPr>
            <w:tcW w:w="5310" w:type="dxa"/>
            <w:tcBorders>
              <w:top w:val="single" w:sz="4" w:space="0" w:color="auto"/>
              <w:left w:val="single" w:sz="4" w:space="0" w:color="auto"/>
              <w:bottom w:val="single" w:sz="4" w:space="0" w:color="auto"/>
              <w:right w:val="single" w:sz="4" w:space="0" w:color="auto"/>
            </w:tcBorders>
          </w:tcPr>
          <w:p w14:paraId="54AB0A12" w14:textId="0B44F4FF" w:rsidR="00766218" w:rsidRPr="0041100B" w:rsidRDefault="00766218" w:rsidP="00020D20">
            <w:pPr>
              <w:spacing w:before="0" w:after="0" w:line="240" w:lineRule="auto"/>
            </w:pPr>
            <w:r w:rsidRPr="00472679">
              <w:t>Commercial vehicles, passenger ve</w:t>
            </w:r>
            <w:r w:rsidRPr="00766218">
              <w:t>hicles, and pedestrians</w:t>
            </w:r>
          </w:p>
        </w:tc>
      </w:tr>
      <w:tr w:rsidR="00766218" w14:paraId="2AD22232" w14:textId="77777777" w:rsidTr="00020D20">
        <w:tc>
          <w:tcPr>
            <w:tcW w:w="1436" w:type="dxa"/>
            <w:tcBorders>
              <w:top w:val="single" w:sz="4" w:space="0" w:color="auto"/>
              <w:left w:val="single" w:sz="4" w:space="0" w:color="auto"/>
              <w:bottom w:val="single" w:sz="4" w:space="0" w:color="auto"/>
              <w:right w:val="single" w:sz="4" w:space="0" w:color="auto"/>
            </w:tcBorders>
            <w:shd w:val="clear" w:color="auto" w:fill="E7E6E6" w:themeFill="background2"/>
          </w:tcPr>
          <w:p w14:paraId="73F13F85" w14:textId="2CD7B3E7" w:rsidR="00766218" w:rsidRPr="0041100B" w:rsidRDefault="00766218" w:rsidP="00020D20">
            <w:pPr>
              <w:spacing w:before="0" w:after="0" w:line="240" w:lineRule="auto"/>
              <w:jc w:val="center"/>
            </w:pPr>
            <w:r w:rsidRPr="00472679">
              <w:t>Sasabe</w:t>
            </w:r>
          </w:p>
        </w:tc>
        <w:tc>
          <w:tcPr>
            <w:tcW w:w="2699" w:type="dxa"/>
            <w:tcBorders>
              <w:top w:val="single" w:sz="4" w:space="0" w:color="auto"/>
              <w:left w:val="single" w:sz="4" w:space="0" w:color="auto"/>
              <w:bottom w:val="single" w:sz="4" w:space="0" w:color="auto"/>
              <w:right w:val="single" w:sz="4" w:space="0" w:color="auto"/>
            </w:tcBorders>
            <w:shd w:val="clear" w:color="auto" w:fill="E7E6E6" w:themeFill="background2"/>
          </w:tcPr>
          <w:p w14:paraId="091ED665" w14:textId="5A3AF34C" w:rsidR="00766218" w:rsidRPr="0041100B" w:rsidRDefault="00766218" w:rsidP="00020D20">
            <w:pPr>
              <w:spacing w:before="0" w:after="0" w:line="240" w:lineRule="auto"/>
              <w:jc w:val="center"/>
            </w:pPr>
            <w:r w:rsidRPr="00472679">
              <w:t>Sasabe, Arizona</w:t>
            </w:r>
          </w:p>
        </w:tc>
        <w:tc>
          <w:tcPr>
            <w:tcW w:w="5310" w:type="dxa"/>
            <w:tcBorders>
              <w:top w:val="single" w:sz="4" w:space="0" w:color="auto"/>
              <w:left w:val="single" w:sz="4" w:space="0" w:color="auto"/>
              <w:bottom w:val="single" w:sz="4" w:space="0" w:color="auto"/>
              <w:right w:val="single" w:sz="4" w:space="0" w:color="auto"/>
            </w:tcBorders>
            <w:shd w:val="clear" w:color="auto" w:fill="E7E6E6" w:themeFill="background2"/>
          </w:tcPr>
          <w:p w14:paraId="7F138494" w14:textId="219D8DD0" w:rsidR="00766218" w:rsidRPr="0041100B" w:rsidRDefault="00766218" w:rsidP="00020D20">
            <w:pPr>
              <w:spacing w:before="0" w:after="0" w:line="240" w:lineRule="auto"/>
            </w:pPr>
            <w:r w:rsidRPr="00472679">
              <w:t>Commercial vehicles</w:t>
            </w:r>
            <w:r w:rsidRPr="00766218">
              <w:t>, passenger vehicles, and pedestrians</w:t>
            </w:r>
          </w:p>
        </w:tc>
      </w:tr>
      <w:tr w:rsidR="00766218" w14:paraId="3707F8AE" w14:textId="77777777" w:rsidTr="00020D20">
        <w:tc>
          <w:tcPr>
            <w:tcW w:w="1436" w:type="dxa"/>
            <w:tcBorders>
              <w:top w:val="single" w:sz="4" w:space="0" w:color="auto"/>
              <w:left w:val="single" w:sz="4" w:space="0" w:color="auto"/>
              <w:bottom w:val="single" w:sz="4" w:space="0" w:color="auto"/>
              <w:right w:val="single" w:sz="4" w:space="0" w:color="auto"/>
            </w:tcBorders>
          </w:tcPr>
          <w:p w14:paraId="5A769887" w14:textId="529F6411" w:rsidR="00766218" w:rsidRPr="0041100B" w:rsidRDefault="00766218" w:rsidP="00020D20">
            <w:pPr>
              <w:spacing w:before="0" w:after="0" w:line="240" w:lineRule="auto"/>
              <w:jc w:val="center"/>
            </w:pPr>
            <w:r w:rsidRPr="00472679">
              <w:t>Mariposa</w:t>
            </w:r>
          </w:p>
        </w:tc>
        <w:tc>
          <w:tcPr>
            <w:tcW w:w="2699" w:type="dxa"/>
            <w:tcBorders>
              <w:top w:val="single" w:sz="4" w:space="0" w:color="auto"/>
              <w:left w:val="single" w:sz="4" w:space="0" w:color="auto"/>
              <w:bottom w:val="single" w:sz="4" w:space="0" w:color="auto"/>
              <w:right w:val="single" w:sz="4" w:space="0" w:color="auto"/>
            </w:tcBorders>
          </w:tcPr>
          <w:p w14:paraId="12C64E02" w14:textId="79C1D160" w:rsidR="00766218" w:rsidRPr="0041100B" w:rsidRDefault="00766218" w:rsidP="00020D20">
            <w:pPr>
              <w:spacing w:before="0" w:after="0" w:line="240" w:lineRule="auto"/>
              <w:jc w:val="center"/>
            </w:pPr>
            <w:r w:rsidRPr="00472679">
              <w:t>Mariposa, Arizona</w:t>
            </w:r>
          </w:p>
        </w:tc>
        <w:tc>
          <w:tcPr>
            <w:tcW w:w="5310" w:type="dxa"/>
            <w:tcBorders>
              <w:top w:val="single" w:sz="4" w:space="0" w:color="auto"/>
              <w:left w:val="single" w:sz="4" w:space="0" w:color="auto"/>
              <w:bottom w:val="single" w:sz="4" w:space="0" w:color="auto"/>
              <w:right w:val="single" w:sz="4" w:space="0" w:color="auto"/>
            </w:tcBorders>
          </w:tcPr>
          <w:p w14:paraId="5CAB69D5" w14:textId="04FC30EA" w:rsidR="00766218" w:rsidRPr="0041100B" w:rsidRDefault="00766218" w:rsidP="00020D20">
            <w:pPr>
              <w:spacing w:before="0" w:after="0" w:line="240" w:lineRule="auto"/>
            </w:pPr>
            <w:r w:rsidRPr="00472679">
              <w:t>Commercial vehicles</w:t>
            </w:r>
            <w:r w:rsidRPr="00766218">
              <w:t>, passenger vehicles, and pedestrians</w:t>
            </w:r>
          </w:p>
        </w:tc>
      </w:tr>
      <w:tr w:rsidR="00766218" w14:paraId="5F496CA2" w14:textId="77777777" w:rsidTr="00020D20">
        <w:tc>
          <w:tcPr>
            <w:tcW w:w="1436" w:type="dxa"/>
            <w:tcBorders>
              <w:top w:val="single" w:sz="4" w:space="0" w:color="auto"/>
              <w:left w:val="single" w:sz="4" w:space="0" w:color="auto"/>
              <w:bottom w:val="single" w:sz="4" w:space="0" w:color="auto"/>
              <w:right w:val="single" w:sz="4" w:space="0" w:color="auto"/>
            </w:tcBorders>
            <w:shd w:val="clear" w:color="auto" w:fill="E7E6E6" w:themeFill="background2"/>
          </w:tcPr>
          <w:p w14:paraId="47DBFF0E" w14:textId="079D7A96" w:rsidR="00766218" w:rsidRPr="0041100B" w:rsidRDefault="00766218" w:rsidP="00020D20">
            <w:pPr>
              <w:spacing w:before="0" w:after="0" w:line="240" w:lineRule="auto"/>
              <w:jc w:val="center"/>
            </w:pPr>
            <w:r w:rsidRPr="00472679">
              <w:t>DeConcini</w:t>
            </w:r>
          </w:p>
        </w:tc>
        <w:tc>
          <w:tcPr>
            <w:tcW w:w="2699" w:type="dxa"/>
            <w:tcBorders>
              <w:top w:val="single" w:sz="4" w:space="0" w:color="auto"/>
              <w:left w:val="single" w:sz="4" w:space="0" w:color="auto"/>
              <w:bottom w:val="single" w:sz="4" w:space="0" w:color="auto"/>
              <w:right w:val="single" w:sz="4" w:space="0" w:color="auto"/>
            </w:tcBorders>
            <w:shd w:val="clear" w:color="auto" w:fill="E7E6E6" w:themeFill="background2"/>
          </w:tcPr>
          <w:p w14:paraId="5DD49FBD" w14:textId="7989EB91" w:rsidR="00766218" w:rsidRPr="0041100B" w:rsidRDefault="00766218" w:rsidP="00020D20">
            <w:pPr>
              <w:spacing w:before="0" w:after="0" w:line="240" w:lineRule="auto"/>
              <w:jc w:val="center"/>
            </w:pPr>
            <w:r w:rsidRPr="00472679">
              <w:t>DeConcini, Arizona</w:t>
            </w:r>
          </w:p>
        </w:tc>
        <w:tc>
          <w:tcPr>
            <w:tcW w:w="5310" w:type="dxa"/>
            <w:tcBorders>
              <w:top w:val="single" w:sz="4" w:space="0" w:color="auto"/>
              <w:left w:val="single" w:sz="4" w:space="0" w:color="auto"/>
              <w:bottom w:val="single" w:sz="4" w:space="0" w:color="auto"/>
              <w:right w:val="single" w:sz="4" w:space="0" w:color="auto"/>
            </w:tcBorders>
            <w:shd w:val="clear" w:color="auto" w:fill="E7E6E6" w:themeFill="background2"/>
          </w:tcPr>
          <w:p w14:paraId="410105D4" w14:textId="4EC64C8C" w:rsidR="00766218" w:rsidRPr="0041100B" w:rsidRDefault="00766218" w:rsidP="00020D20">
            <w:pPr>
              <w:spacing w:before="0" w:after="0" w:line="240" w:lineRule="auto"/>
            </w:pPr>
            <w:r w:rsidRPr="00472679">
              <w:t>Passenger vehicles, pedestrians, and rail</w:t>
            </w:r>
          </w:p>
        </w:tc>
      </w:tr>
      <w:tr w:rsidR="00766218" w14:paraId="4B2590A0" w14:textId="77777777" w:rsidTr="00020D20">
        <w:tc>
          <w:tcPr>
            <w:tcW w:w="1436" w:type="dxa"/>
            <w:tcBorders>
              <w:top w:val="single" w:sz="4" w:space="0" w:color="auto"/>
              <w:left w:val="single" w:sz="4" w:space="0" w:color="auto"/>
              <w:bottom w:val="single" w:sz="4" w:space="0" w:color="auto"/>
              <w:right w:val="single" w:sz="4" w:space="0" w:color="auto"/>
            </w:tcBorders>
          </w:tcPr>
          <w:p w14:paraId="1ED95BCB" w14:textId="43ED8B3D" w:rsidR="00766218" w:rsidRPr="0041100B" w:rsidRDefault="00766218" w:rsidP="00020D20">
            <w:pPr>
              <w:spacing w:before="0" w:after="0" w:line="240" w:lineRule="auto"/>
              <w:jc w:val="center"/>
            </w:pPr>
            <w:r w:rsidRPr="00472679">
              <w:t>Morley Gate</w:t>
            </w:r>
          </w:p>
        </w:tc>
        <w:tc>
          <w:tcPr>
            <w:tcW w:w="2699" w:type="dxa"/>
            <w:tcBorders>
              <w:top w:val="single" w:sz="4" w:space="0" w:color="auto"/>
              <w:left w:val="single" w:sz="4" w:space="0" w:color="auto"/>
              <w:bottom w:val="single" w:sz="4" w:space="0" w:color="auto"/>
              <w:right w:val="single" w:sz="4" w:space="0" w:color="auto"/>
            </w:tcBorders>
          </w:tcPr>
          <w:p w14:paraId="13A34587" w14:textId="1C241835" w:rsidR="00766218" w:rsidRPr="0041100B" w:rsidRDefault="00766218" w:rsidP="00020D20">
            <w:pPr>
              <w:spacing w:before="0" w:after="0" w:line="240" w:lineRule="auto"/>
              <w:jc w:val="center"/>
            </w:pPr>
            <w:r w:rsidRPr="00472679">
              <w:t>Morley Gate, Arizona</w:t>
            </w:r>
          </w:p>
        </w:tc>
        <w:tc>
          <w:tcPr>
            <w:tcW w:w="5310" w:type="dxa"/>
            <w:tcBorders>
              <w:top w:val="single" w:sz="4" w:space="0" w:color="auto"/>
              <w:left w:val="single" w:sz="4" w:space="0" w:color="auto"/>
              <w:bottom w:val="single" w:sz="4" w:space="0" w:color="auto"/>
              <w:right w:val="single" w:sz="4" w:space="0" w:color="auto"/>
            </w:tcBorders>
          </w:tcPr>
          <w:p w14:paraId="79AF0A28" w14:textId="484E2FB8" w:rsidR="00766218" w:rsidRPr="0041100B" w:rsidRDefault="00766218" w:rsidP="00020D20">
            <w:pPr>
              <w:spacing w:before="0" w:after="0" w:line="240" w:lineRule="auto"/>
            </w:pPr>
            <w:r w:rsidRPr="00472679">
              <w:t>Pedestrians</w:t>
            </w:r>
          </w:p>
        </w:tc>
      </w:tr>
      <w:tr w:rsidR="00766218" w14:paraId="35143B86" w14:textId="77777777" w:rsidTr="00020D20">
        <w:tc>
          <w:tcPr>
            <w:tcW w:w="1436" w:type="dxa"/>
            <w:tcBorders>
              <w:top w:val="single" w:sz="4" w:space="0" w:color="auto"/>
              <w:left w:val="single" w:sz="4" w:space="0" w:color="auto"/>
              <w:bottom w:val="single" w:sz="4" w:space="0" w:color="auto"/>
              <w:right w:val="single" w:sz="4" w:space="0" w:color="auto"/>
            </w:tcBorders>
            <w:shd w:val="clear" w:color="auto" w:fill="E7E6E6" w:themeFill="background2"/>
          </w:tcPr>
          <w:p w14:paraId="138AD11D" w14:textId="1F8E3040" w:rsidR="00766218" w:rsidRPr="0041100B" w:rsidRDefault="00766218" w:rsidP="00020D20">
            <w:pPr>
              <w:spacing w:before="0" w:after="0" w:line="240" w:lineRule="auto"/>
              <w:jc w:val="center"/>
            </w:pPr>
            <w:r w:rsidRPr="00472679">
              <w:t>Naco</w:t>
            </w:r>
          </w:p>
        </w:tc>
        <w:tc>
          <w:tcPr>
            <w:tcW w:w="2699" w:type="dxa"/>
            <w:tcBorders>
              <w:top w:val="single" w:sz="4" w:space="0" w:color="auto"/>
              <w:left w:val="single" w:sz="4" w:space="0" w:color="auto"/>
              <w:bottom w:val="single" w:sz="4" w:space="0" w:color="auto"/>
              <w:right w:val="single" w:sz="4" w:space="0" w:color="auto"/>
            </w:tcBorders>
            <w:shd w:val="clear" w:color="auto" w:fill="E7E6E6" w:themeFill="background2"/>
          </w:tcPr>
          <w:p w14:paraId="4F850EBD" w14:textId="4474C7C1" w:rsidR="00766218" w:rsidRPr="0041100B" w:rsidRDefault="00766218" w:rsidP="00020D20">
            <w:pPr>
              <w:spacing w:before="0" w:after="0" w:line="240" w:lineRule="auto"/>
              <w:jc w:val="center"/>
            </w:pPr>
            <w:r w:rsidRPr="00472679">
              <w:t>Naco, Arizona</w:t>
            </w:r>
          </w:p>
        </w:tc>
        <w:tc>
          <w:tcPr>
            <w:tcW w:w="5310" w:type="dxa"/>
            <w:tcBorders>
              <w:top w:val="single" w:sz="4" w:space="0" w:color="auto"/>
              <w:left w:val="single" w:sz="4" w:space="0" w:color="auto"/>
              <w:bottom w:val="single" w:sz="4" w:space="0" w:color="auto"/>
              <w:right w:val="single" w:sz="4" w:space="0" w:color="auto"/>
            </w:tcBorders>
            <w:shd w:val="clear" w:color="auto" w:fill="E7E6E6" w:themeFill="background2"/>
          </w:tcPr>
          <w:p w14:paraId="3E935442" w14:textId="04C359CD" w:rsidR="00766218" w:rsidRPr="0041100B" w:rsidRDefault="00766218" w:rsidP="00020D20">
            <w:pPr>
              <w:spacing w:before="0" w:after="0" w:line="240" w:lineRule="auto"/>
            </w:pPr>
            <w:r w:rsidRPr="00472679">
              <w:t>Commercial vehicles</w:t>
            </w:r>
            <w:r w:rsidRPr="00766218">
              <w:t>, passenger vehicles, and pedestrians</w:t>
            </w:r>
          </w:p>
        </w:tc>
      </w:tr>
      <w:tr w:rsidR="00766218" w14:paraId="2A327655" w14:textId="77777777" w:rsidTr="00020D20">
        <w:tc>
          <w:tcPr>
            <w:tcW w:w="1436" w:type="dxa"/>
            <w:tcBorders>
              <w:top w:val="single" w:sz="4" w:space="0" w:color="auto"/>
              <w:left w:val="single" w:sz="4" w:space="0" w:color="auto"/>
              <w:bottom w:val="single" w:sz="4" w:space="0" w:color="auto"/>
              <w:right w:val="single" w:sz="4" w:space="0" w:color="auto"/>
            </w:tcBorders>
          </w:tcPr>
          <w:p w14:paraId="643C4B76" w14:textId="3EEA5F8E" w:rsidR="00766218" w:rsidRPr="0041100B" w:rsidRDefault="00766218" w:rsidP="00020D20">
            <w:pPr>
              <w:spacing w:before="0" w:after="0" w:line="240" w:lineRule="auto"/>
              <w:jc w:val="center"/>
            </w:pPr>
            <w:r w:rsidRPr="00472679">
              <w:t>Douglas</w:t>
            </w:r>
          </w:p>
        </w:tc>
        <w:tc>
          <w:tcPr>
            <w:tcW w:w="2699" w:type="dxa"/>
            <w:tcBorders>
              <w:top w:val="single" w:sz="4" w:space="0" w:color="auto"/>
              <w:left w:val="single" w:sz="4" w:space="0" w:color="auto"/>
              <w:bottom w:val="single" w:sz="4" w:space="0" w:color="auto"/>
              <w:right w:val="single" w:sz="4" w:space="0" w:color="auto"/>
            </w:tcBorders>
          </w:tcPr>
          <w:p w14:paraId="7827C827" w14:textId="510157D6" w:rsidR="00766218" w:rsidRPr="0041100B" w:rsidRDefault="00766218" w:rsidP="00020D20">
            <w:pPr>
              <w:spacing w:before="0" w:after="0" w:line="240" w:lineRule="auto"/>
              <w:jc w:val="center"/>
            </w:pPr>
            <w:r w:rsidRPr="00472679">
              <w:t>Douglas, Arizona</w:t>
            </w:r>
          </w:p>
        </w:tc>
        <w:tc>
          <w:tcPr>
            <w:tcW w:w="5310" w:type="dxa"/>
            <w:tcBorders>
              <w:top w:val="single" w:sz="4" w:space="0" w:color="auto"/>
              <w:left w:val="single" w:sz="4" w:space="0" w:color="auto"/>
              <w:bottom w:val="single" w:sz="4" w:space="0" w:color="auto"/>
              <w:right w:val="single" w:sz="4" w:space="0" w:color="auto"/>
            </w:tcBorders>
          </w:tcPr>
          <w:p w14:paraId="29367BA7" w14:textId="4D326DC7" w:rsidR="00766218" w:rsidRPr="0041100B" w:rsidRDefault="00766218" w:rsidP="00020D20">
            <w:pPr>
              <w:spacing w:before="0" w:after="0" w:line="240" w:lineRule="auto"/>
            </w:pPr>
            <w:r w:rsidRPr="00472679">
              <w:t xml:space="preserve">Commercial </w:t>
            </w:r>
            <w:r w:rsidRPr="00766218">
              <w:t>vehicles, passenger vehicles, and pedestrians</w:t>
            </w:r>
          </w:p>
        </w:tc>
      </w:tr>
    </w:tbl>
    <w:p w14:paraId="3F3AB90A" w14:textId="77777777" w:rsidR="00766218" w:rsidRDefault="00766218" w:rsidP="00020D20">
      <w:pPr>
        <w:jc w:val="both"/>
        <w:rPr>
          <w:lang w:eastAsia="en-CA"/>
        </w:rPr>
        <w:sectPr w:rsidR="00766218" w:rsidSect="00020D20">
          <w:type w:val="continuous"/>
          <w:pgSz w:w="12240" w:h="15840"/>
          <w:pgMar w:top="1440" w:right="1440" w:bottom="1440" w:left="1440" w:header="720" w:footer="720" w:gutter="0"/>
          <w:cols w:space="720"/>
          <w:docGrid w:linePitch="360"/>
        </w:sectPr>
      </w:pPr>
    </w:p>
    <w:p w14:paraId="2ACD5A52" w14:textId="0287FF71" w:rsidR="00D64158" w:rsidRDefault="008F6D16" w:rsidP="00020D20">
      <w:pPr>
        <w:jc w:val="both"/>
        <w:rPr>
          <w:lang w:eastAsia="en-CA"/>
        </w:rPr>
      </w:pPr>
      <w:r>
        <w:rPr>
          <w:rFonts w:cstheme="minorHAnsi"/>
          <w:noProof/>
        </w:rPr>
        <mc:AlternateContent>
          <mc:Choice Requires="wps">
            <w:drawing>
              <wp:anchor distT="0" distB="0" distL="114300" distR="114300" simplePos="0" relativeHeight="251618514" behindDoc="1" locked="0" layoutInCell="1" allowOverlap="1" wp14:anchorId="180C83B6" wp14:editId="2B69BBE8">
                <wp:simplePos x="0" y="0"/>
                <wp:positionH relativeFrom="column">
                  <wp:posOffset>0</wp:posOffset>
                </wp:positionH>
                <wp:positionV relativeFrom="paragraph">
                  <wp:posOffset>174625</wp:posOffset>
                </wp:positionV>
                <wp:extent cx="1409700" cy="1609725"/>
                <wp:effectExtent l="76200" t="95250" r="76200" b="104775"/>
                <wp:wrapTight wrapText="bothSides">
                  <wp:wrapPolygon edited="0">
                    <wp:start x="-1168" y="-1278"/>
                    <wp:lineTo x="-1168" y="22750"/>
                    <wp:lineTo x="22476" y="22750"/>
                    <wp:lineTo x="22476" y="-1278"/>
                    <wp:lineTo x="-1168" y="-1278"/>
                  </wp:wrapPolygon>
                </wp:wrapTight>
                <wp:docPr id="816286501" name="Text Box 816286501"/>
                <wp:cNvGraphicFramePr/>
                <a:graphic xmlns:a="http://schemas.openxmlformats.org/drawingml/2006/main">
                  <a:graphicData uri="http://schemas.microsoft.com/office/word/2010/wordprocessingShape">
                    <wps:wsp>
                      <wps:cNvSpPr txBox="1"/>
                      <wps:spPr>
                        <a:xfrm>
                          <a:off x="0" y="0"/>
                          <a:ext cx="1409700" cy="16097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574572A" w14:textId="77777777" w:rsidR="00C6444C" w:rsidRDefault="00C6444C" w:rsidP="00020D20">
                            <w:pPr>
                              <w:jc w:val="center"/>
                            </w:pPr>
                            <w:r>
                              <w:rPr>
                                <w:noProof/>
                              </w:rPr>
                              <w:drawing>
                                <wp:inline distT="0" distB="0" distL="0" distR="0" wp14:anchorId="5864283F" wp14:editId="1568EADB">
                                  <wp:extent cx="457200" cy="457200"/>
                                  <wp:effectExtent l="0" t="0" r="0" b="0"/>
                                  <wp:docPr id="816286164" name="Picture 81628616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B409936" w14:textId="51B7A10A" w:rsidR="00C6444C" w:rsidRPr="00977A9B" w:rsidRDefault="00C6444C" w:rsidP="00020D20">
                            <w:pPr>
                              <w:pStyle w:val="Calloutboxes"/>
                            </w:pPr>
                            <w:r w:rsidRPr="00394A74">
                              <w:t xml:space="preserve">The LPOEs in Arizona processed approximately $30 billion or seven </w:t>
                            </w:r>
                            <w:r w:rsidRPr="00954116">
                              <w:t xml:space="preserve">percent of the </w:t>
                            </w:r>
                            <w:r w:rsidRPr="005A6734">
                              <w:t>total goods that traveled between the U.S. and Mexico using land transportation modes.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0C83B6" id="Text Box 816286501" o:spid="_x0000_s1232" type="#_x0000_t202" style="position:absolute;left:0;text-align:left;margin-left:0;margin-top:13.75pt;width:111pt;height:126.75pt;z-index:-251697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" fillcolor="#f7f7f7" stroked="f" strokeweight=".5pt">
                <v:shadow on="t" type="perspective" color="black" opacity="26214f" offset="0,0" matrix="66847f,,,66847f"/>
                <v:textbox>
                  <w:txbxContent>
                    <w:p w14:paraId="1574572A" w14:textId="77777777" w:rsidR="00C6444C" w:rsidRDefault="00C6444C" w:rsidP="00020D20">
                      <w:pPr>
                        <w:jc w:val="center"/>
                      </w:pPr>
                      <w:r>
                        <w:rPr>
                          <w:noProof/>
                        </w:rPr>
                        <w:drawing>
                          <wp:inline distT="0" distB="0" distL="0" distR="0" wp14:anchorId="5864283F" wp14:editId="1568EADB">
                            <wp:extent cx="457200" cy="457200"/>
                            <wp:effectExtent l="0" t="0" r="0" b="0"/>
                            <wp:docPr id="816286164" name="Picture 81628616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B409936" w14:textId="51B7A10A" w:rsidR="00C6444C" w:rsidRPr="00977A9B" w:rsidRDefault="00C6444C" w:rsidP="00020D20">
                      <w:pPr>
                        <w:pStyle w:val="Calloutboxes"/>
                      </w:pPr>
                      <w:r w:rsidRPr="00394A74">
                        <w:t xml:space="preserve">The LPOEs in Arizona processed approximately $30 billion or seven </w:t>
                      </w:r>
                      <w:r w:rsidRPr="00954116">
                        <w:t xml:space="preserve">percent of the </w:t>
                      </w:r>
                      <w:r w:rsidRPr="005A6734">
                        <w:t>total goods that traveled between the U.S. and Mexico using land transportation modes.</w:t>
                      </w:r>
                    </w:p>
                  </w:txbxContent>
                </v:textbox>
                <w10:wrap type="tight"/>
              </v:shape>
            </w:pict>
          </mc:Fallback>
        </mc:AlternateContent>
      </w:r>
      <w:r w:rsidR="00D64158">
        <w:rPr>
          <w:lang w:eastAsia="en-CA"/>
        </w:rPr>
        <w:t xml:space="preserve">During 2014, more than $437 billion worth of goods moved through the U.S.-Mexico border using land transportation modes (truck, </w:t>
      </w:r>
      <w:r w:rsidR="00D64158" w:rsidRPr="00005E03">
        <w:rPr>
          <w:noProof/>
          <w:lang w:eastAsia="en-CA"/>
        </w:rPr>
        <w:t>rail</w:t>
      </w:r>
      <w:r w:rsidR="00D64158">
        <w:rPr>
          <w:noProof/>
          <w:lang w:eastAsia="en-CA"/>
        </w:rPr>
        <w:t>,</w:t>
      </w:r>
      <w:r w:rsidR="00D64158">
        <w:rPr>
          <w:lang w:eastAsia="en-CA"/>
        </w:rPr>
        <w:t xml:space="preserve"> and pipeline). Of this value, $359 billion, or 82 percent, corresponded to goods moved by truck. The DeConcini LPOE, located in Nogales, Arizona, is the only </w:t>
      </w:r>
      <w:r w:rsidR="00D64158" w:rsidRPr="00D34D44">
        <w:rPr>
          <w:noProof/>
          <w:lang w:eastAsia="en-CA"/>
        </w:rPr>
        <w:t>crossing for</w:t>
      </w:r>
      <w:r w:rsidR="00D64158">
        <w:rPr>
          <w:lang w:eastAsia="en-CA"/>
        </w:rPr>
        <w:t xml:space="preserve"> rail. Historically, Naco</w:t>
      </w:r>
      <w:r w:rsidR="000B1D8E">
        <w:rPr>
          <w:lang w:eastAsia="en-CA"/>
        </w:rPr>
        <w:t>,</w:t>
      </w:r>
      <w:r w:rsidR="00D64158">
        <w:rPr>
          <w:lang w:eastAsia="en-CA"/>
        </w:rPr>
        <w:t xml:space="preserve"> and Douglas LPOEs had railroad crossings, but these lines have since been abandoned.</w:t>
      </w:r>
    </w:p>
    <w:p w14:paraId="217EB15E" w14:textId="00D4327F" w:rsidR="00D64158" w:rsidRDefault="008F6D16" w:rsidP="00020D20">
      <w:pPr>
        <w:jc w:val="both"/>
        <w:rPr>
          <w:lang w:eastAsia="en-CA"/>
        </w:rPr>
      </w:pPr>
      <w:r>
        <w:rPr>
          <w:lang w:eastAsia="en-CA"/>
        </w:rPr>
        <w:t>Of the $30 billion processed by Arizona border crossings, approximately $20 billion (or two-</w:t>
      </w:r>
      <w:r w:rsidR="00D64158">
        <w:rPr>
          <w:lang w:eastAsia="en-CA"/>
        </w:rPr>
        <w:t xml:space="preserve">thirds) crossed the border by truck, $10 </w:t>
      </w:r>
      <w:r w:rsidR="00D64158" w:rsidRPr="00020D20">
        <w:t>billion</w:t>
      </w:r>
      <w:r w:rsidR="00D64158">
        <w:rPr>
          <w:lang w:eastAsia="en-CA"/>
        </w:rPr>
        <w:t xml:space="preserve"> crossed by rail and a negligible amount was moved by pipeline.</w:t>
      </w:r>
    </w:p>
    <w:p w14:paraId="1467234B" w14:textId="77777777" w:rsidR="00D64158" w:rsidRDefault="00D64158" w:rsidP="00020D20">
      <w:pPr>
        <w:jc w:val="both"/>
      </w:pPr>
      <w:r>
        <w:t>For freight entering Arizona from Mexico, a</w:t>
      </w:r>
      <w:r w:rsidRPr="00FC7345">
        <w:t xml:space="preserve"> greater percentage of volume/value</w:t>
      </w:r>
      <w:r>
        <w:t xml:space="preserve"> travels by rail </w:t>
      </w:r>
      <w:r w:rsidRPr="00FC7345">
        <w:t xml:space="preserve">than </w:t>
      </w:r>
      <w:r>
        <w:t xml:space="preserve">for </w:t>
      </w:r>
      <w:r w:rsidRPr="00FC7345">
        <w:t>other southern border states, but trucking still comprises the largest portion of trade</w:t>
      </w:r>
      <w:r>
        <w:t xml:space="preserve"> between Arizona and Sonora</w:t>
      </w:r>
      <w:r w:rsidRPr="00FC7345">
        <w:t>.</w:t>
      </w:r>
    </w:p>
    <w:p w14:paraId="53C1A253" w14:textId="77777777" w:rsidR="00D64158" w:rsidRDefault="00D64158" w:rsidP="00020D20">
      <w:pPr>
        <w:jc w:val="both"/>
      </w:pPr>
      <w:r>
        <w:t xml:space="preserve">Land-based border flows are heavily </w:t>
      </w:r>
      <w:r w:rsidRPr="00D34D44">
        <w:rPr>
          <w:noProof/>
        </w:rPr>
        <w:t xml:space="preserve">concentrated </w:t>
      </w:r>
      <w:r>
        <w:rPr>
          <w:noProof/>
        </w:rPr>
        <w:t>at</w:t>
      </w:r>
      <w:r>
        <w:t xml:space="preserve"> two border crossings:</w:t>
      </w:r>
    </w:p>
    <w:p w14:paraId="467D3F31" w14:textId="77777777" w:rsidR="00D64158" w:rsidRDefault="00D64158" w:rsidP="00020D20">
      <w:pPr>
        <w:pStyle w:val="Body-Bullets"/>
        <w:jc w:val="both"/>
      </w:pPr>
      <w:r>
        <w:t>O</w:t>
      </w:r>
      <w:r w:rsidRPr="000C1ADE">
        <w:t>ver 85 percent of exports and 88 percent impo</w:t>
      </w:r>
      <w:r>
        <w:t>rts from or to Arizona</w:t>
      </w:r>
      <w:r w:rsidRPr="000C1ADE">
        <w:t xml:space="preserve"> use the Nogales</w:t>
      </w:r>
      <w:r>
        <w:t>-</w:t>
      </w:r>
      <w:r w:rsidRPr="000C1ADE">
        <w:t>Nogales border crossing</w:t>
      </w:r>
      <w:r w:rsidDel="003E2EA2">
        <w:t>.</w:t>
      </w:r>
    </w:p>
    <w:p w14:paraId="4DEE0A00" w14:textId="77777777" w:rsidR="00D64158" w:rsidRPr="000C1ADE" w:rsidRDefault="00D64158" w:rsidP="00020D20">
      <w:pPr>
        <w:pStyle w:val="Body-Bullets"/>
        <w:jc w:val="both"/>
      </w:pPr>
      <w:r>
        <w:t xml:space="preserve">Over ten percent of exports and imports from or to Arizona uses the </w:t>
      </w:r>
      <w:r w:rsidRPr="000C1ADE">
        <w:t>Douglas</w:t>
      </w:r>
      <w:r>
        <w:t>-</w:t>
      </w:r>
      <w:r w:rsidRPr="000C1ADE">
        <w:t>Agua Prieta</w:t>
      </w:r>
      <w:r>
        <w:t xml:space="preserve"> </w:t>
      </w:r>
      <w:r w:rsidRPr="000C1ADE">
        <w:t>border crossing</w:t>
      </w:r>
      <w:r>
        <w:t>.</w:t>
      </w:r>
    </w:p>
    <w:p w14:paraId="40027B9D" w14:textId="726E1B9F" w:rsidR="00D64158" w:rsidRDefault="00D64158" w:rsidP="00020D20">
      <w:pPr>
        <w:jc w:val="both"/>
      </w:pPr>
      <w:r>
        <w:t xml:space="preserve">Recent improvements to LPOEs in the region have reduced congestion; however, stakeholders expect continued growth in </w:t>
      </w:r>
      <w:r w:rsidRPr="00D34D44">
        <w:rPr>
          <w:noProof/>
        </w:rPr>
        <w:t>border</w:t>
      </w:r>
      <w:r>
        <w:t xml:space="preserve"> volumes, suggesting the need for continued planning and investment in border infrastructure.</w:t>
      </w:r>
    </w:p>
    <w:p w14:paraId="35EDDD4C" w14:textId="4A12B984" w:rsidR="00A911BF" w:rsidRDefault="00CC26E3" w:rsidP="00020D20">
      <w:pPr>
        <w:pStyle w:val="Heading3"/>
        <w:jc w:val="both"/>
      </w:pPr>
      <w:bookmarkStart w:id="535" w:name="_Ref50039781"/>
      <w:r>
        <w:t>15.3.6</w:t>
      </w:r>
      <w:r w:rsidR="00A911BF">
        <w:t xml:space="preserve"> | </w:t>
      </w:r>
      <w:r w:rsidR="00AC2EF3">
        <w:t>Freight Cluster</w:t>
      </w:r>
      <w:r w:rsidR="0017263B">
        <w:t>s</w:t>
      </w:r>
      <w:bookmarkEnd w:id="535"/>
    </w:p>
    <w:p w14:paraId="749F374D" w14:textId="5B33B45C" w:rsidR="00A911BF" w:rsidRPr="002C2896" w:rsidRDefault="00A911BF" w:rsidP="00020D20">
      <w:pPr>
        <w:jc w:val="both"/>
      </w:pPr>
      <w:r>
        <w:t>Freight clusters are concentrations of freight-dependent businesses, often engaged in warehousing or industrial activities and frequently supported by nearby intermodal transfer terminals, airports, or pipeline terminals which facilitate the movement of goods between modes</w:t>
      </w:r>
      <w:r w:rsidR="0048262C">
        <w:t xml:space="preserve">. </w:t>
      </w:r>
    </w:p>
    <w:p w14:paraId="1B1976F1" w14:textId="104FD6C5" w:rsidR="00A911BF" w:rsidRPr="002C2896" w:rsidRDefault="00A911BF" w:rsidP="00020D20">
      <w:pPr>
        <w:jc w:val="both"/>
      </w:pPr>
      <w:r>
        <w:t xml:space="preserve">In Arizona, the greatest concentration of freight activity is located along the I-10 corridor in Phoenix and </w:t>
      </w:r>
      <w:r w:rsidRPr="0073347D">
        <w:rPr>
          <w:noProof/>
        </w:rPr>
        <w:t>Tucson,</w:t>
      </w:r>
      <w:r>
        <w:t xml:space="preserve"> and includes clusters located at Tolleson, Sky Harbor Airport, Chandler, and the Port of Tucson</w:t>
      </w:r>
      <w:r w:rsidR="0048262C">
        <w:t xml:space="preserve">. </w:t>
      </w:r>
      <w:r w:rsidRPr="009453A0">
        <w:t xml:space="preserve">Outside the two </w:t>
      </w:r>
      <w:r>
        <w:t xml:space="preserve">largest </w:t>
      </w:r>
      <w:r w:rsidRPr="009453A0">
        <w:t>metropolitan areas,</w:t>
      </w:r>
      <w:r>
        <w:t xml:space="preserve"> Phoenix and Tucson,</w:t>
      </w:r>
      <w:r w:rsidRPr="009453A0">
        <w:t xml:space="preserve"> clusters are notably located in Casa Grande, Yuma, Prescott Valley, Flagstaff, Lake Havasu City, Bullhead City, Sierra Vista</w:t>
      </w:r>
      <w:r>
        <w:t>,</w:t>
      </w:r>
      <w:r w:rsidRPr="009453A0">
        <w:t xml:space="preserve"> and the border city of Nogales.</w:t>
      </w:r>
    </w:p>
    <w:p w14:paraId="0526A045" w14:textId="3AF4B9AB" w:rsidR="00A911BF" w:rsidRDefault="00A911BF" w:rsidP="00020D20">
      <w:pPr>
        <w:jc w:val="both"/>
      </w:pPr>
      <w:r w:rsidRPr="00FF551A">
        <w:t xml:space="preserve">Arizona’s freight clusters </w:t>
      </w:r>
      <w:r>
        <w:t>are</w:t>
      </w:r>
      <w:r w:rsidRPr="00FF551A">
        <w:t xml:space="preserve"> generally well connected to the multimodal transportation system, although some experience congestion and delays.</w:t>
      </w:r>
    </w:p>
    <w:p w14:paraId="23BE9B0B" w14:textId="77777777" w:rsidR="00A34E8C" w:rsidRPr="00A34E8C" w:rsidRDefault="00A34E8C">
      <w:pPr>
        <w:pStyle w:val="Heading2"/>
      </w:pPr>
      <w:bookmarkStart w:id="536" w:name="_Ref50039802"/>
      <w:r w:rsidRPr="00A34E8C">
        <w:t>15.4 | ARIZONA FREIGHT-RELATED PLANS</w:t>
      </w:r>
      <w:bookmarkEnd w:id="536"/>
    </w:p>
    <w:p w14:paraId="0D717F6E" w14:textId="1D28E86D" w:rsidR="007F54E7" w:rsidRPr="00F30EEF" w:rsidRDefault="00A34E8C" w:rsidP="00020D20">
      <w:pPr>
        <w:jc w:val="both"/>
        <w:rPr>
          <w:rFonts w:cstheme="minorHAnsi"/>
        </w:rPr>
      </w:pPr>
      <w:r w:rsidRPr="00A34E8C">
        <w:rPr>
          <w:rFonts w:cstheme="minorHAnsi"/>
        </w:rPr>
        <w:t xml:space="preserve">With the exception of studies specifically devoted to transit or passenger rail service, nearly all transportation planning conducted in Arizona includes findings and recommendations germane to freight movement. For example, climbing lane and passing lane studies respond to the needs of highway motorists sharing the road with commercial trucks. Studies of roadways of regional significance identify existing or planned arterial roadways with alignments and traffic characteristics that show them to be of critical importance to both motorists and trucks. These studies recommend improvements that consider the needs of trucks, including travel lane width, minimum turning radii, types of traffic control, and lengths of turn storage lanes. Area planning studies also consider freight needs. For example, the 2009 </w:t>
      </w:r>
      <w:hyperlink r:id="rId901" w:history="1">
        <w:r w:rsidRPr="004A11F7">
          <w:rPr>
            <w:rStyle w:val="TitleChar"/>
          </w:rPr>
          <w:t>La Paz County Area Transportation Study</w:t>
        </w:r>
      </w:hyperlink>
      <w:r w:rsidRPr="00A34E8C">
        <w:rPr>
          <w:rFonts w:cstheme="minorHAnsi"/>
        </w:rPr>
        <w:t xml:space="preserve"> analyzes access to a proposed industrial park in Quartzsite as well as improvements needed to an I-10 exit to better accommodate heavy trucks and recreational vehicles. Freight is the primary focus of recent studies summarized below:</w:t>
      </w:r>
    </w:p>
    <w:p w14:paraId="047CAD99" w14:textId="77777777" w:rsidR="00342660" w:rsidRDefault="00342660" w:rsidP="00020D20">
      <w:pPr>
        <w:pStyle w:val="Heading3"/>
        <w:jc w:val="both"/>
      </w:pPr>
      <w:bookmarkStart w:id="537" w:name="_Ref50039842"/>
      <w:r>
        <w:t>15.4.1 | Arizona State Rail Plan, TBA</w:t>
      </w:r>
      <w:bookmarkEnd w:id="537"/>
    </w:p>
    <w:p w14:paraId="16CB37C7" w14:textId="789D8EC8" w:rsidR="00671BCA" w:rsidRPr="00D2617D" w:rsidRDefault="00671BCA" w:rsidP="00020D20">
      <w:pPr>
        <w:jc w:val="both"/>
        <w:rPr>
          <w:b/>
          <w:i/>
          <w:caps/>
          <w:color w:val="FF0000"/>
          <w:u w:val="single"/>
        </w:rPr>
      </w:pPr>
      <w:r w:rsidRPr="00D2617D">
        <w:rPr>
          <w:b/>
          <w:i/>
          <w:caps/>
          <w:color w:val="FF0000"/>
          <w:u w:val="single"/>
        </w:rPr>
        <w:t>(To be filled in when study completed)</w:t>
      </w:r>
    </w:p>
    <w:p w14:paraId="2DBBC0D8" w14:textId="011302F4" w:rsidR="00200213" w:rsidRPr="00200213" w:rsidRDefault="00200213" w:rsidP="00020D20">
      <w:pPr>
        <w:pStyle w:val="Heading3"/>
        <w:jc w:val="both"/>
      </w:pPr>
      <w:bookmarkStart w:id="538" w:name="_Ref50039855"/>
      <w:r w:rsidRPr="00200213">
        <w:t>15.4.</w:t>
      </w:r>
      <w:r w:rsidR="00EB0846">
        <w:t>2</w:t>
      </w:r>
      <w:r w:rsidRPr="00200213">
        <w:t xml:space="preserve"> | Arizona-Sonora Border Master Plan</w:t>
      </w:r>
      <w:bookmarkEnd w:id="538"/>
    </w:p>
    <w:p w14:paraId="16E1EAF9" w14:textId="4E09EB5D" w:rsidR="00200213" w:rsidRPr="00200213" w:rsidRDefault="00342660" w:rsidP="00020D20">
      <w:pPr>
        <w:jc w:val="both"/>
        <w:rPr>
          <w:rFonts w:cstheme="minorHAnsi"/>
        </w:rPr>
      </w:pPr>
      <w:r>
        <w:rPr>
          <w:rFonts w:cstheme="minorHAnsi"/>
          <w:noProof/>
        </w:rPr>
        <mc:AlternateContent>
          <mc:Choice Requires="wps">
            <w:drawing>
              <wp:anchor distT="0" distB="0" distL="114300" distR="114300" simplePos="0" relativeHeight="251618374" behindDoc="1" locked="0" layoutInCell="1" allowOverlap="1" wp14:anchorId="3D895B24" wp14:editId="3266E3AA">
                <wp:simplePos x="0" y="0"/>
                <wp:positionH relativeFrom="column">
                  <wp:posOffset>1242695</wp:posOffset>
                </wp:positionH>
                <wp:positionV relativeFrom="paragraph">
                  <wp:posOffset>157480</wp:posOffset>
                </wp:positionV>
                <wp:extent cx="1379220" cy="1597660"/>
                <wp:effectExtent l="76200" t="95250" r="68580" b="97790"/>
                <wp:wrapTight wrapText="bothSides">
                  <wp:wrapPolygon edited="0">
                    <wp:start x="-1193" y="-1288"/>
                    <wp:lineTo x="-1193" y="22665"/>
                    <wp:lineTo x="22376" y="22665"/>
                    <wp:lineTo x="22376" y="-1288"/>
                    <wp:lineTo x="-1193" y="-1288"/>
                  </wp:wrapPolygon>
                </wp:wrapTight>
                <wp:docPr id="816286109" name="Text Box 816286109"/>
                <wp:cNvGraphicFramePr/>
                <a:graphic xmlns:a="http://schemas.openxmlformats.org/drawingml/2006/main">
                  <a:graphicData uri="http://schemas.microsoft.com/office/word/2010/wordprocessingShape">
                    <wps:wsp>
                      <wps:cNvSpPr txBox="1"/>
                      <wps:spPr>
                        <a:xfrm>
                          <a:off x="0" y="0"/>
                          <a:ext cx="1379220" cy="159766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142F416" w14:textId="77777777" w:rsidR="00C6444C" w:rsidRDefault="00C6444C" w:rsidP="00020D20">
                            <w:pPr>
                              <w:jc w:val="center"/>
                            </w:pPr>
                            <w:r>
                              <w:rPr>
                                <w:noProof/>
                              </w:rPr>
                              <w:drawing>
                                <wp:inline distT="0" distB="0" distL="0" distR="0" wp14:anchorId="20189415" wp14:editId="69F5A62C">
                                  <wp:extent cx="457200" cy="457200"/>
                                  <wp:effectExtent l="0" t="0" r="0" b="0"/>
                                  <wp:docPr id="816286165" name="Picture 81628616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367DB0D" w14:textId="4BB7676B" w:rsidR="00C6444C" w:rsidRPr="005A6734" w:rsidRDefault="00C6444C" w:rsidP="00020D20">
                            <w:pPr>
                              <w:pStyle w:val="Calloutboxes"/>
                            </w:pPr>
                            <w:r w:rsidRPr="00394A74">
                              <w:t>For more information on the Ar</w:t>
                            </w:r>
                            <w:r w:rsidRPr="00954116">
                              <w:t>izona-Sonora Border Master Plan follow:</w:t>
                            </w:r>
                          </w:p>
                          <w:p w14:paraId="56074E02" w14:textId="19408E8C" w:rsidR="00C6444C" w:rsidRPr="00020D20" w:rsidRDefault="00202C92">
                            <w:pPr>
                              <w:pStyle w:val="Title"/>
                              <w:rPr>
                                <w:sz w:val="16"/>
                              </w:rPr>
                            </w:pPr>
                            <w:hyperlink r:id="rId902" w:history="1">
                              <w:r w:rsidR="00C6444C" w:rsidRPr="00020D20">
                                <w:rPr>
                                  <w:rStyle w:val="Hyperlink"/>
                                  <w:rFonts w:ascii="Calibri" w:hAnsi="Calibri" w:cstheme="majorBidi"/>
                                  <w:i/>
                                  <w:color w:val="CE5B18"/>
                                  <w:szCs w:val="56"/>
                                  <w:u w:val="none"/>
                                </w:rPr>
                                <w:t>https://azdot.gov/planning/transportation-studies/completed-transportation-studies/arizona-sonora-border-master-plan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895B24" id="Text Box 816286109" o:spid="_x0000_s1233" type="#_x0000_t202" style="position:absolute;left:0;text-align:left;margin-left:97.85pt;margin-top:12.4pt;width:108.6pt;height:125.8pt;z-index:-251698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" fillcolor="#f7f7f7" stroked="f" strokeweight=".5pt">
                <v:shadow on="t" type="perspective" color="black" opacity="26214f" offset="0,0" matrix="66847f,,,66847f"/>
                <v:textbox>
                  <w:txbxContent>
                    <w:p w14:paraId="7142F416" w14:textId="77777777" w:rsidR="00C6444C" w:rsidRDefault="00C6444C" w:rsidP="00020D20">
                      <w:pPr>
                        <w:jc w:val="center"/>
                      </w:pPr>
                      <w:r>
                        <w:rPr>
                          <w:noProof/>
                        </w:rPr>
                        <w:drawing>
                          <wp:inline distT="0" distB="0" distL="0" distR="0" wp14:anchorId="20189415" wp14:editId="69F5A62C">
                            <wp:extent cx="457200" cy="457200"/>
                            <wp:effectExtent l="0" t="0" r="0" b="0"/>
                            <wp:docPr id="816286165" name="Picture 81628616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367DB0D" w14:textId="4BB7676B" w:rsidR="00C6444C" w:rsidRPr="005A6734" w:rsidRDefault="00C6444C" w:rsidP="00020D20">
                      <w:pPr>
                        <w:pStyle w:val="Calloutboxes"/>
                      </w:pPr>
                      <w:r w:rsidRPr="00394A74">
                        <w:t>For more information on the Ar</w:t>
                      </w:r>
                      <w:r w:rsidRPr="00954116">
                        <w:t>izona-Sonora Border Master Plan follow:</w:t>
                      </w:r>
                    </w:p>
                    <w:p w14:paraId="56074E02" w14:textId="19408E8C" w:rsidR="00C6444C" w:rsidRPr="00020D20" w:rsidRDefault="00C6444C">
                      <w:pPr>
                        <w:pStyle w:val="Title"/>
                        <w:rPr>
                          <w:sz w:val="16"/>
                        </w:rPr>
                      </w:pPr>
                      <w:hyperlink r:id="rId903" w:history="1">
                        <w:r w:rsidRPr="00020D20">
                          <w:rPr>
                            <w:rStyle w:val="Hyperlink"/>
                            <w:rFonts w:ascii="Calibri" w:hAnsi="Calibri" w:cstheme="majorBidi"/>
                            <w:i/>
                            <w:color w:val="CE5B18"/>
                            <w:szCs w:val="56"/>
                            <w:u w:val="none"/>
                          </w:rPr>
                          <w:t>https://azdot.gov/planning/transportation-studies/completed-transportation-studies/arizona-sonora-border-master-plan</w:t>
                        </w:r>
                      </w:hyperlink>
                    </w:p>
                  </w:txbxContent>
                </v:textbox>
                <w10:wrap type="tight"/>
              </v:shape>
            </w:pict>
          </mc:Fallback>
        </mc:AlternateContent>
      </w:r>
      <w:r w:rsidR="00200213" w:rsidRPr="00200213">
        <w:rPr>
          <w:rFonts w:cstheme="minorHAnsi"/>
        </w:rPr>
        <w:t xml:space="preserve">The Arizona-Sonora </w:t>
      </w:r>
      <w:r w:rsidR="00885144">
        <w:rPr>
          <w:rFonts w:cstheme="minorHAnsi"/>
        </w:rPr>
        <w:t>Border Master Plan (</w:t>
      </w:r>
      <w:r w:rsidR="00200213" w:rsidRPr="00200213">
        <w:rPr>
          <w:rFonts w:cstheme="minorHAnsi"/>
        </w:rPr>
        <w:t>BMP</w:t>
      </w:r>
      <w:r w:rsidR="00885144">
        <w:rPr>
          <w:rFonts w:cstheme="minorHAnsi"/>
        </w:rPr>
        <w:t>)</w:t>
      </w:r>
      <w:r w:rsidR="00200213" w:rsidRPr="00200213">
        <w:rPr>
          <w:rFonts w:cstheme="minorHAnsi"/>
        </w:rPr>
        <w:t xml:space="preserve"> was prepared by ADOT in collaboration with the FHWA, </w:t>
      </w:r>
      <w:hyperlink r:id="rId904" w:history="1">
        <w:r w:rsidR="00200213" w:rsidRPr="0059052C">
          <w:rPr>
            <w:rStyle w:val="TitleChar"/>
          </w:rPr>
          <w:t>Secretaría de Comunicaciones y Transportes</w:t>
        </w:r>
      </w:hyperlink>
      <w:r w:rsidR="00200213" w:rsidRPr="00200213">
        <w:rPr>
          <w:rFonts w:cstheme="minorHAnsi"/>
        </w:rPr>
        <w:t xml:space="preserve"> (SCT), and the government of the state of Sonora, Mexico. The purpose of the plan is to identify means of improving the efficiency and effectiveness of transportation facilities used in the movement of people and goods between Arizona and Sonora. The principal objectives of the plan are to:</w:t>
      </w:r>
    </w:p>
    <w:p w14:paraId="74001763" w14:textId="77777777" w:rsidR="00200213" w:rsidRPr="00200213" w:rsidRDefault="00200213" w:rsidP="00020D20">
      <w:pPr>
        <w:pStyle w:val="Body-Bullets"/>
        <w:jc w:val="both"/>
      </w:pPr>
      <w:r w:rsidRPr="00200213">
        <w:t>develop and implement a plan for identifying, prioritizing, and promoting land port of entry (LPOE) and related transportation projects and services;</w:t>
      </w:r>
    </w:p>
    <w:p w14:paraId="428E355D" w14:textId="77777777" w:rsidR="00200213" w:rsidRPr="00200213" w:rsidRDefault="00200213" w:rsidP="00020D20">
      <w:pPr>
        <w:pStyle w:val="Body-Bullets"/>
        <w:jc w:val="both"/>
      </w:pPr>
      <w:r w:rsidRPr="00200213">
        <w:t>design a process to ensure relevant international stakeholders participate in the planning of LPOE projects and related transportation infrastructure improvements in the border region;</w:t>
      </w:r>
    </w:p>
    <w:p w14:paraId="64A20920" w14:textId="64146AA4" w:rsidR="00200213" w:rsidRPr="00200213" w:rsidRDefault="00200213" w:rsidP="00020D20">
      <w:pPr>
        <w:pStyle w:val="Body-Bullets"/>
        <w:jc w:val="both"/>
      </w:pPr>
      <w:r w:rsidRPr="00200213">
        <w:t>increase understanding of the LPOE and transportation planning processes on both sides of the border; and</w:t>
      </w:r>
    </w:p>
    <w:p w14:paraId="3744F062" w14:textId="77777777" w:rsidR="00200213" w:rsidRPr="00200213" w:rsidRDefault="00200213" w:rsidP="00020D20">
      <w:pPr>
        <w:pStyle w:val="Body-Bullets"/>
        <w:jc w:val="both"/>
      </w:pPr>
      <w:r w:rsidRPr="00200213">
        <w:t>establish a process for continued dialogue among relevant international stakeholders that promotes coordination on current and future projects, especially through coordination of planning and programming processes adopted and pursued by study participants and partners.</w:t>
      </w:r>
    </w:p>
    <w:p w14:paraId="6AC6BEAF" w14:textId="77777777" w:rsidR="00200213" w:rsidRPr="00200213" w:rsidRDefault="00200213" w:rsidP="00020D20">
      <w:pPr>
        <w:jc w:val="both"/>
        <w:rPr>
          <w:rFonts w:cstheme="minorHAnsi"/>
        </w:rPr>
      </w:pPr>
      <w:r w:rsidRPr="00200213">
        <w:rPr>
          <w:rFonts w:cstheme="minorHAnsi"/>
        </w:rPr>
        <w:t xml:space="preserve">The plan identifies three hierarchical areas for evaluating the specific needs associated with the cross-border movement of people and goods between Arizona and Sonora: the </w:t>
      </w:r>
      <w:r w:rsidRPr="009F4932">
        <w:rPr>
          <w:rStyle w:val="Heading5Char"/>
        </w:rPr>
        <w:t>Focus Area</w:t>
      </w:r>
      <w:r w:rsidRPr="00200213">
        <w:rPr>
          <w:rFonts w:cstheme="minorHAnsi"/>
        </w:rPr>
        <w:t xml:space="preserve">; the </w:t>
      </w:r>
      <w:r w:rsidRPr="009F4932">
        <w:rPr>
          <w:rStyle w:val="Heading5Char"/>
        </w:rPr>
        <w:t>Area of Influence</w:t>
      </w:r>
      <w:r w:rsidRPr="00200213">
        <w:rPr>
          <w:rFonts w:cstheme="minorHAnsi"/>
        </w:rPr>
        <w:t xml:space="preserve">; and </w:t>
      </w:r>
      <w:r w:rsidRPr="009F4932">
        <w:rPr>
          <w:rStyle w:val="Heading5Char"/>
        </w:rPr>
        <w:t>the Regional Area of Influence</w:t>
      </w:r>
      <w:r w:rsidRPr="00200213">
        <w:rPr>
          <w:rFonts w:cstheme="minorHAnsi"/>
        </w:rPr>
        <w:t xml:space="preserve">. </w:t>
      </w:r>
    </w:p>
    <w:p w14:paraId="56782173" w14:textId="01413D1C" w:rsidR="00200213" w:rsidRPr="00200213" w:rsidRDefault="00200213" w:rsidP="00020D20">
      <w:pPr>
        <w:pStyle w:val="Body-Bullets"/>
        <w:jc w:val="both"/>
      </w:pPr>
      <w:r w:rsidRPr="00200213">
        <w:t xml:space="preserve">The </w:t>
      </w:r>
      <w:r w:rsidRPr="00AA574A">
        <w:t>Focus Area</w:t>
      </w:r>
      <w:r w:rsidRPr="00200213">
        <w:t xml:space="preserve"> is an approximately 20-mile-wide zone along the 389-mile Arizona-</w:t>
      </w:r>
      <w:r w:rsidRPr="00AA574A">
        <w:t xml:space="preserve"> </w:t>
      </w:r>
      <w:r w:rsidRPr="00200213">
        <w:t>Sonora international border that extends 10 miles on each side of the border. This zone includes the three principal border metropolitan areas: Yuma/San Luis; Nogales/Nogales; and Douglas/Agua Prieta. All of Arizona’s nine ports of entry (POEs) are located within the Focus Area.</w:t>
      </w:r>
    </w:p>
    <w:p w14:paraId="59A81ED4" w14:textId="77777777" w:rsidR="00200213" w:rsidRPr="00200213" w:rsidRDefault="00200213" w:rsidP="00020D20">
      <w:pPr>
        <w:pStyle w:val="Body-Bullets"/>
        <w:jc w:val="both"/>
      </w:pPr>
      <w:r w:rsidRPr="00AA574A">
        <w:t>The Area of Influence</w:t>
      </w:r>
      <w:r w:rsidRPr="00200213">
        <w:t xml:space="preserve"> includes the Focus Area, and extends 80 miles on each side of the border to include the major east-west corridors in both Arizona and Sonora (e.g. Interstates 8 and 10 and the Union Pacific Sunset main line).</w:t>
      </w:r>
    </w:p>
    <w:p w14:paraId="1ABFF81E" w14:textId="3911712E" w:rsidR="00A34E8C" w:rsidRDefault="00200213" w:rsidP="00020D20">
      <w:pPr>
        <w:pStyle w:val="Body-Bullets"/>
        <w:jc w:val="both"/>
      </w:pPr>
      <w:r w:rsidRPr="00AA574A">
        <w:t>The Regional Area of Influence</w:t>
      </w:r>
      <w:r w:rsidRPr="00200213">
        <w:t xml:space="preserve"> includes the </w:t>
      </w:r>
      <w:hyperlink r:id="rId905" w:history="1">
        <w:r w:rsidRPr="00AA574A">
          <w:t>California-Baja California BMP</w:t>
        </w:r>
      </w:hyperlink>
      <w:r w:rsidRPr="00200213">
        <w:t xml:space="preserve"> to the west and the </w:t>
      </w:r>
      <w:hyperlink r:id="rId906" w:history="1">
        <w:r w:rsidRPr="00AA574A">
          <w:t>New Mexico-Chihuahua BMP</w:t>
        </w:r>
      </w:hyperlink>
      <w:r w:rsidRPr="00200213">
        <w:t xml:space="preserve"> to the east.</w:t>
      </w:r>
    </w:p>
    <w:p w14:paraId="7F6B027D" w14:textId="32FC828B" w:rsidR="00200213" w:rsidRPr="00200213" w:rsidRDefault="00200213" w:rsidP="00020D20">
      <w:pPr>
        <w:jc w:val="both"/>
        <w:rPr>
          <w:rFonts w:cstheme="minorHAnsi"/>
        </w:rPr>
      </w:pPr>
      <w:r w:rsidRPr="00200213">
        <w:rPr>
          <w:rFonts w:cstheme="minorHAnsi"/>
        </w:rPr>
        <w:t xml:space="preserve">The process for continued dialogue among relevant international stakeholders as initiated with a Work Plan supported by a comprehensive </w:t>
      </w:r>
      <w:r w:rsidRPr="00343CEC">
        <w:rPr>
          <w:rStyle w:val="Heading5Char"/>
        </w:rPr>
        <w:t>Stakeholder Outreach Plan</w:t>
      </w:r>
      <w:r w:rsidRPr="00200213">
        <w:rPr>
          <w:rFonts w:cstheme="minorHAnsi"/>
        </w:rPr>
        <w:t xml:space="preserve">. The </w:t>
      </w:r>
      <w:r w:rsidRPr="00343CEC">
        <w:rPr>
          <w:rStyle w:val="Heading5Char"/>
        </w:rPr>
        <w:t>Stakeholder Outreach Plan</w:t>
      </w:r>
      <w:r w:rsidRPr="00200213">
        <w:rPr>
          <w:rFonts w:cstheme="minorHAnsi"/>
        </w:rPr>
        <w:t xml:space="preserve"> included development of a </w:t>
      </w:r>
      <w:r w:rsidRPr="00343CEC">
        <w:rPr>
          <w:rStyle w:val="Heading5Char"/>
        </w:rPr>
        <w:t>Policy Advisory Committee (PAC)</w:t>
      </w:r>
      <w:r w:rsidRPr="00200213">
        <w:rPr>
          <w:rFonts w:cstheme="minorHAnsi"/>
        </w:rPr>
        <w:t xml:space="preserve"> and </w:t>
      </w:r>
      <w:r w:rsidRPr="00343CEC">
        <w:rPr>
          <w:rStyle w:val="Heading5Char"/>
        </w:rPr>
        <w:t>Technical Working Group (TWG)</w:t>
      </w:r>
      <w:r w:rsidRPr="00200213">
        <w:rPr>
          <w:rFonts w:cstheme="minorHAnsi"/>
        </w:rPr>
        <w:t xml:space="preserve">. </w:t>
      </w:r>
    </w:p>
    <w:p w14:paraId="474B7B75" w14:textId="77777777" w:rsidR="00200213" w:rsidRPr="00200213" w:rsidRDefault="00200213" w:rsidP="00020D20">
      <w:pPr>
        <w:pStyle w:val="SubHeading3"/>
        <w:jc w:val="both"/>
      </w:pPr>
      <w:bookmarkStart w:id="539" w:name="_Ref50040600"/>
      <w:r w:rsidRPr="00200213">
        <w:t>Transportation Project Evaluation Criteria</w:t>
      </w:r>
      <w:bookmarkEnd w:id="539"/>
      <w:r w:rsidRPr="00200213">
        <w:t xml:space="preserve"> </w:t>
      </w:r>
    </w:p>
    <w:p w14:paraId="35CC0FB2" w14:textId="77777777" w:rsidR="00200213" w:rsidRPr="00200213" w:rsidRDefault="00200213" w:rsidP="00020D20">
      <w:pPr>
        <w:jc w:val="both"/>
        <w:rPr>
          <w:rFonts w:cstheme="minorHAnsi"/>
        </w:rPr>
      </w:pPr>
      <w:r w:rsidRPr="00200213">
        <w:rPr>
          <w:rFonts w:cstheme="minorHAnsi"/>
        </w:rPr>
        <w:t>Projects were divided into three types to reflect differences in funding sources: 1) LPOEs; 2) multimodal infrastructure (MMI), including roadways, bridges, highway interchanges, transit, pedestrians, and bicyclists; 3) rail.</w:t>
      </w:r>
    </w:p>
    <w:p w14:paraId="7082F17C" w14:textId="77777777" w:rsidR="00200213" w:rsidRPr="00200213" w:rsidRDefault="00200213" w:rsidP="00020D20">
      <w:pPr>
        <w:jc w:val="both"/>
        <w:rPr>
          <w:rFonts w:cstheme="minorHAnsi"/>
        </w:rPr>
      </w:pPr>
      <w:r w:rsidRPr="00200213">
        <w:rPr>
          <w:rFonts w:cstheme="minorHAnsi"/>
        </w:rPr>
        <w:t>The planners developed categories of evaluation for use in prioritizing prospective projects. These categories are based upon similar criterion developed for BMPs prepared in California and Texas. Five major categories of evaluation criteria were developed: 1) cost effectiveness; 2) project readiness; 3) capacity/congestion; 4) regional benefit; 5) LPOE connectivity.</w:t>
      </w:r>
    </w:p>
    <w:p w14:paraId="6A77095F" w14:textId="77777777" w:rsidR="00200213" w:rsidRPr="00200213" w:rsidRDefault="00200213" w:rsidP="00020D20">
      <w:pPr>
        <w:jc w:val="both"/>
        <w:rPr>
          <w:rFonts w:cstheme="minorHAnsi"/>
        </w:rPr>
      </w:pPr>
      <w:r w:rsidRPr="00200213">
        <w:rPr>
          <w:rFonts w:cstheme="minorHAnsi"/>
        </w:rPr>
        <w:t>The evaluation criteria were used to rank projects in Sonora and Arizona separately. Logically paired projects, such as Arizona and Sonora POE facilities at the same border crossing, were combined. The top eight highest ranking combined projects pertaining to freight movement follow:</w:t>
      </w:r>
    </w:p>
    <w:p w14:paraId="73AF6DEE" w14:textId="77777777" w:rsidR="00200213" w:rsidRPr="00200213" w:rsidRDefault="00200213" w:rsidP="00020D20">
      <w:pPr>
        <w:pStyle w:val="NumberedList"/>
        <w:numPr>
          <w:ilvl w:val="0"/>
          <w:numId w:val="282"/>
        </w:numPr>
        <w:jc w:val="both"/>
      </w:pPr>
      <w:r w:rsidRPr="00200213">
        <w:t>Upgrade Nogales III POE in Sonora, which is opposite the already upgraded Nogales Mariposa facility in Arizona.</w:t>
      </w:r>
    </w:p>
    <w:p w14:paraId="2C193D4C" w14:textId="5164F606" w:rsidR="00200213" w:rsidRPr="00200213" w:rsidRDefault="00200213" w:rsidP="00020D20">
      <w:pPr>
        <w:pStyle w:val="NumberedList"/>
        <w:jc w:val="both"/>
      </w:pPr>
      <w:r w:rsidRPr="00200213">
        <w:t>Expand and modernize the Sono</w:t>
      </w:r>
      <w:r w:rsidR="0091073A">
        <w:t>i</w:t>
      </w:r>
      <w:r w:rsidRPr="00200213">
        <w:t>ta, Sonora facility, which is opposite the already upgraded Lukeville, Arizona POE.</w:t>
      </w:r>
    </w:p>
    <w:p w14:paraId="5F514D92" w14:textId="2132CC01" w:rsidR="00200213" w:rsidRPr="00200213" w:rsidRDefault="00200213" w:rsidP="00020D20">
      <w:pPr>
        <w:pStyle w:val="NumberedList"/>
        <w:jc w:val="both"/>
      </w:pPr>
      <w:r w:rsidRPr="00200213">
        <w:t>Construct a new customs processing facility for commercial vehicles at the Nogales III POE.</w:t>
      </w:r>
    </w:p>
    <w:p w14:paraId="4D19C663" w14:textId="77777777" w:rsidR="00200213" w:rsidRPr="00200213" w:rsidRDefault="00200213" w:rsidP="00020D20">
      <w:pPr>
        <w:pStyle w:val="NumberedList"/>
        <w:jc w:val="both"/>
      </w:pPr>
      <w:r w:rsidRPr="00200213">
        <w:t>Expand and modernize the San Luis I facilities on both sides of the border, including an improved connection to SR 195.</w:t>
      </w:r>
    </w:p>
    <w:p w14:paraId="70DC9077" w14:textId="77777777" w:rsidR="00200213" w:rsidRPr="00200213" w:rsidRDefault="00200213" w:rsidP="00020D20">
      <w:pPr>
        <w:pStyle w:val="NumberedList"/>
        <w:jc w:val="both"/>
      </w:pPr>
      <w:r w:rsidRPr="00200213">
        <w:t>Construct new commercial POE facilities in Douglas/Agua Prieta.</w:t>
      </w:r>
    </w:p>
    <w:p w14:paraId="589F1087" w14:textId="77777777" w:rsidR="00200213" w:rsidRPr="00200213" w:rsidRDefault="00200213" w:rsidP="00020D20">
      <w:pPr>
        <w:pStyle w:val="NumberedList"/>
        <w:jc w:val="both"/>
      </w:pPr>
      <w:r w:rsidRPr="00200213">
        <w:t>Construct a new rail POE in Nogales west of current crossing, bypassing downtown traffic congestion.</w:t>
      </w:r>
    </w:p>
    <w:p w14:paraId="6949E913" w14:textId="77777777" w:rsidR="00200213" w:rsidRPr="00200213" w:rsidRDefault="00200213" w:rsidP="00020D20">
      <w:pPr>
        <w:pStyle w:val="NumberedList"/>
        <w:jc w:val="both"/>
      </w:pPr>
      <w:r w:rsidRPr="00200213">
        <w:t>Construct a new rail POE at the San Luis II crossing.</w:t>
      </w:r>
    </w:p>
    <w:p w14:paraId="537F7C88" w14:textId="77777777" w:rsidR="00200213" w:rsidRPr="00200213" w:rsidRDefault="00200213" w:rsidP="00020D20">
      <w:pPr>
        <w:pStyle w:val="NumberedList"/>
        <w:jc w:val="both"/>
      </w:pPr>
      <w:r w:rsidRPr="00200213">
        <w:t>Restore the rail POE at Naco, rehabilitating and/or restoring the rail line from Naco to the Union Pacific Sunset main line at Benson.</w:t>
      </w:r>
    </w:p>
    <w:p w14:paraId="0507DBDC" w14:textId="1513F0AC" w:rsidR="00200213" w:rsidRPr="00200213" w:rsidRDefault="00671BCA" w:rsidP="00020D20">
      <w:pPr>
        <w:pStyle w:val="Heading3"/>
        <w:jc w:val="both"/>
      </w:pPr>
      <w:r>
        <w:br w:type="column"/>
      </w:r>
      <w:bookmarkStart w:id="540" w:name="_Ref50039858"/>
      <w:r w:rsidR="00200213" w:rsidRPr="00200213">
        <w:t>15.4.</w:t>
      </w:r>
      <w:r w:rsidR="00EB0846">
        <w:t>3</w:t>
      </w:r>
      <w:r w:rsidR="00200213" w:rsidRPr="00200213">
        <w:t xml:space="preserve"> | Arizona State Freight Plan</w:t>
      </w:r>
      <w:bookmarkEnd w:id="540"/>
      <w:r w:rsidR="00200213" w:rsidRPr="00200213">
        <w:t xml:space="preserve"> </w:t>
      </w:r>
    </w:p>
    <w:p w14:paraId="6EFBAA72" w14:textId="0C2138F2" w:rsidR="00A446AB" w:rsidRPr="00E60DE5" w:rsidRDefault="00FF02F4" w:rsidP="00020D20">
      <w:pPr>
        <w:jc w:val="both"/>
        <w:rPr>
          <w:rFonts w:cstheme="minorHAnsi"/>
        </w:rPr>
      </w:pPr>
      <w:r>
        <w:rPr>
          <w:rFonts w:cstheme="minorHAnsi"/>
        </w:rPr>
        <w:t xml:space="preserve">In 2017, </w:t>
      </w:r>
      <w:r w:rsidR="00200213" w:rsidRPr="00200213">
        <w:rPr>
          <w:rFonts w:cstheme="minorHAnsi"/>
        </w:rPr>
        <w:t xml:space="preserve">ADOT’s Multimodal Planning Division </w:t>
      </w:r>
      <w:r>
        <w:rPr>
          <w:rFonts w:cstheme="minorHAnsi"/>
        </w:rPr>
        <w:t>published</w:t>
      </w:r>
      <w:r w:rsidR="00200213" w:rsidRPr="00200213">
        <w:rPr>
          <w:rFonts w:cstheme="minorHAnsi"/>
        </w:rPr>
        <w:t xml:space="preserve"> </w:t>
      </w:r>
      <w:r>
        <w:rPr>
          <w:rFonts w:cstheme="minorHAnsi"/>
        </w:rPr>
        <w:t>the five-year</w:t>
      </w:r>
      <w:r w:rsidRPr="007B6EEE">
        <w:rPr>
          <w:rStyle w:val="TitleChar"/>
        </w:rPr>
        <w:t xml:space="preserve"> </w:t>
      </w:r>
      <w:hyperlink r:id="rId907" w:history="1">
        <w:r w:rsidRPr="00AA574A">
          <w:rPr>
            <w:rStyle w:val="TitleChar"/>
          </w:rPr>
          <w:t>Arizona</w:t>
        </w:r>
        <w:r w:rsidR="00200213" w:rsidRPr="00AA574A">
          <w:rPr>
            <w:rStyle w:val="TitleChar"/>
          </w:rPr>
          <w:t xml:space="preserve"> State Freight Plan</w:t>
        </w:r>
      </w:hyperlink>
      <w:r>
        <w:rPr>
          <w:rFonts w:cstheme="minorHAnsi"/>
        </w:rPr>
        <w:t xml:space="preserve"> to fulfill the federal requirements for state freight plans as stated in the FAST Act.</w:t>
      </w:r>
      <w:r w:rsidR="00544E0C">
        <w:rPr>
          <w:rFonts w:cstheme="minorHAnsi"/>
        </w:rPr>
        <w:t xml:space="preserve"> The study summarized the state’s freight knowledge to guide ADOT’s decision-making to increase the prominence of freight in the planning and programming activities of ADOT.</w:t>
      </w:r>
      <w:r w:rsidR="00A446AB">
        <w:rPr>
          <w:rFonts w:cstheme="minorHAnsi"/>
        </w:rPr>
        <w:t xml:space="preserve"> In addition to recognizing the goals of the FAST Act and Arizona’s LRTP, the state freight plan looks to support the state’s freight transportation system through balancing current and new funding resources along with the positions of the various stakeholders that include:</w:t>
      </w:r>
      <w:r w:rsidR="004F104C">
        <w:rPr>
          <w:rFonts w:cstheme="minorHAnsi"/>
        </w:rPr>
        <w:t xml:space="preserve"> </w:t>
      </w:r>
      <w:r w:rsidR="00A446AB">
        <w:rPr>
          <w:rFonts w:cstheme="minorHAnsi"/>
        </w:rPr>
        <w:t>Freight shippers</w:t>
      </w:r>
      <w:r w:rsidR="004F104C">
        <w:rPr>
          <w:rFonts w:cstheme="minorHAnsi"/>
        </w:rPr>
        <w:t xml:space="preserve">, </w:t>
      </w:r>
      <w:r w:rsidR="00A446AB">
        <w:rPr>
          <w:rFonts w:cstheme="minorHAnsi"/>
        </w:rPr>
        <w:t>Consumers</w:t>
      </w:r>
      <w:r w:rsidR="004F104C">
        <w:rPr>
          <w:rFonts w:cstheme="minorHAnsi"/>
        </w:rPr>
        <w:t xml:space="preserve">, </w:t>
      </w:r>
      <w:r w:rsidR="00A446AB">
        <w:rPr>
          <w:rFonts w:cstheme="minorHAnsi"/>
        </w:rPr>
        <w:t>Carriers</w:t>
      </w:r>
      <w:r w:rsidR="004F104C">
        <w:rPr>
          <w:rFonts w:cstheme="minorHAnsi"/>
        </w:rPr>
        <w:t xml:space="preserve">, </w:t>
      </w:r>
      <w:r w:rsidR="00A446AB">
        <w:rPr>
          <w:rFonts w:cstheme="minorHAnsi"/>
        </w:rPr>
        <w:t>Society</w:t>
      </w:r>
      <w:r w:rsidR="004F104C">
        <w:rPr>
          <w:rFonts w:cstheme="minorHAnsi"/>
        </w:rPr>
        <w:t xml:space="preserve">, and </w:t>
      </w:r>
      <w:r w:rsidR="00A446AB" w:rsidRPr="00E60DE5">
        <w:rPr>
          <w:rFonts w:cstheme="minorHAnsi"/>
        </w:rPr>
        <w:t>Government</w:t>
      </w:r>
      <w:r w:rsidR="004F104C">
        <w:rPr>
          <w:rFonts w:cstheme="minorHAnsi"/>
        </w:rPr>
        <w:t>.</w:t>
      </w:r>
    </w:p>
    <w:p w14:paraId="65F46894" w14:textId="2A1F2A82" w:rsidR="00466631" w:rsidRPr="00200213" w:rsidRDefault="00466631" w:rsidP="00020D20">
      <w:pPr>
        <w:pStyle w:val="Heading3"/>
        <w:jc w:val="both"/>
      </w:pPr>
      <w:r w:rsidRPr="00200213">
        <w:t>15.4.</w:t>
      </w:r>
      <w:r w:rsidR="00EB0846">
        <w:t>4</w:t>
      </w:r>
      <w:r w:rsidRPr="00200213">
        <w:t xml:space="preserve"> | Arizona State </w:t>
      </w:r>
      <w:r>
        <w:t>Truck Parking Study</w:t>
      </w:r>
    </w:p>
    <w:p w14:paraId="37788859" w14:textId="0F562703" w:rsidR="00466631" w:rsidRDefault="004F104C" w:rsidP="00020D20">
      <w:pPr>
        <w:jc w:val="both"/>
      </w:pPr>
      <w:r>
        <w:t>A further step beyond</w:t>
      </w:r>
      <w:r w:rsidR="00A446AB">
        <w:t xml:space="preserve"> the </w:t>
      </w:r>
      <w:r w:rsidR="00A446AB" w:rsidRPr="00AA574A">
        <w:rPr>
          <w:rStyle w:val="Heading5Char"/>
        </w:rPr>
        <w:t>Arizona State Freight Plan</w:t>
      </w:r>
      <w:r w:rsidR="00A446AB" w:rsidRPr="00AA574A">
        <w:t>,</w:t>
      </w:r>
      <w:r w:rsidR="00A446AB">
        <w:t xml:space="preserve"> the </w:t>
      </w:r>
      <w:hyperlink r:id="rId908" w:history="1">
        <w:r w:rsidR="00A446AB" w:rsidRPr="00AA574A">
          <w:rPr>
            <w:rStyle w:val="TitleChar"/>
          </w:rPr>
          <w:t>Arizona State Truck Parking Study</w:t>
        </w:r>
      </w:hyperlink>
      <w:r w:rsidR="00466631" w:rsidRPr="00200213">
        <w:t xml:space="preserve"> </w:t>
      </w:r>
      <w:r>
        <w:t>addresses the inadequate supply of truck parking, which affects the safety and efficiency of freight movement across the state.</w:t>
      </w:r>
      <w:r w:rsidRPr="004F104C">
        <w:t xml:space="preserve"> </w:t>
      </w:r>
      <w:r>
        <w:t>Inadequate truck parking results in truck drivers parking on highway shoulders, on/off ramps, vacant property, or local surface streets. These parking behaviors can negatively affect highway safety, infrastructure condition, and quality of life. Recommendations included an implementation plan for expanding state-owned rest area truck parking capacity and policies that outline a framework for continuing to address the truck parking needs in Arizona</w:t>
      </w:r>
      <w:r w:rsidR="00791B94">
        <w:t xml:space="preserve"> that include design standards, stakeholder partnerships, and truck parking information integration with Arizona’s 511 system</w:t>
      </w:r>
      <w:r>
        <w:t xml:space="preserve">. </w:t>
      </w:r>
    </w:p>
    <w:p w14:paraId="4F735C8C" w14:textId="518FFCF4" w:rsidR="00F86ED2" w:rsidRPr="00200213" w:rsidRDefault="00F86ED2" w:rsidP="00020D20">
      <w:pPr>
        <w:pStyle w:val="Heading3"/>
        <w:jc w:val="both"/>
      </w:pPr>
      <w:bookmarkStart w:id="541" w:name="_Ref50039861"/>
      <w:r w:rsidRPr="00200213">
        <w:t>15.4.</w:t>
      </w:r>
      <w:r w:rsidR="00EB0846">
        <w:t>5</w:t>
      </w:r>
      <w:r w:rsidRPr="00200213">
        <w:t xml:space="preserve"> | </w:t>
      </w:r>
      <w:r>
        <w:t>Arizona Bi-National Corridor Study</w:t>
      </w:r>
      <w:bookmarkEnd w:id="541"/>
    </w:p>
    <w:p w14:paraId="77234859" w14:textId="4711E068" w:rsidR="00F86ED2" w:rsidRDefault="0075125F" w:rsidP="00020D20">
      <w:pPr>
        <w:jc w:val="both"/>
        <w:rPr>
          <w:shd w:val="clear" w:color="auto" w:fill="FFFFFF"/>
        </w:rPr>
      </w:pPr>
      <w:r>
        <w:rPr>
          <w:shd w:val="clear" w:color="auto" w:fill="FFFFFF"/>
        </w:rPr>
        <w:t xml:space="preserve">This </w:t>
      </w:r>
      <w:hyperlink r:id="rId909" w:history="1">
        <w:r w:rsidRPr="00020D20">
          <w:rPr>
            <w:rStyle w:val="TitleChar"/>
          </w:rPr>
          <w:t>Binational Freight Corridor Study</w:t>
        </w:r>
      </w:hyperlink>
      <w:r>
        <w:rPr>
          <w:shd w:val="clear" w:color="auto" w:fill="FFFFFF"/>
        </w:rPr>
        <w:t xml:space="preserve"> will provide the Arizona Department of Transportation (ADOT) with sufficient information to broaden its understanding of manufacturing and production trends in the Phoenix–Mexico City Corridor (Pacific Corridor or Corridor 15) and the El Paso–Mexico City Corridor (Central Corridor or Corridor 45). </w:t>
      </w:r>
    </w:p>
    <w:p w14:paraId="2EDC627E" w14:textId="78640279" w:rsidR="0075125F" w:rsidRDefault="0075125F" w:rsidP="00020D20">
      <w:pPr>
        <w:jc w:val="both"/>
        <w:rPr>
          <w:rFonts w:cstheme="minorHAnsi"/>
        </w:rPr>
      </w:pPr>
      <w:r>
        <w:rPr>
          <w:shd w:val="clear" w:color="auto" w:fill="FFFFFF"/>
        </w:rPr>
        <w:t>The Study Team is assessing freight performance of the Pacific and Central Corridors, compiling a comprehensive inventory of existing freight assets and planning needs, identifying and estimating several performance metrics, including travel time reliability, truck delay, and average truck speed to identify areas of improvement through various strategies (including capacity addition, intelligent transportation systems (ITS), regulatory changes, port of entry staffing, changes to land use or zoning restrictions, etc.). The study scope of work also includes developing a forecast of the future volume and value of freight that is likely to use the corridor, should all requested projects be implemented.</w:t>
      </w:r>
    </w:p>
    <w:p w14:paraId="1A9EEF85" w14:textId="1EE1EF8C" w:rsidR="00F86ED2" w:rsidRPr="00200213" w:rsidRDefault="00F86ED2" w:rsidP="00020D20">
      <w:pPr>
        <w:pStyle w:val="Heading3"/>
        <w:jc w:val="both"/>
      </w:pPr>
      <w:bookmarkStart w:id="542" w:name="_Ref50039864"/>
      <w:r w:rsidRPr="00200213">
        <w:t>15.4.</w:t>
      </w:r>
      <w:r w:rsidR="001755FF">
        <w:t>6</w:t>
      </w:r>
      <w:r w:rsidRPr="00200213">
        <w:t xml:space="preserve"> | Arizona </w:t>
      </w:r>
      <w:r>
        <w:t>Port of Entry Study</w:t>
      </w:r>
      <w:bookmarkEnd w:id="542"/>
    </w:p>
    <w:p w14:paraId="7BFFF70E" w14:textId="010F729A" w:rsidR="00671BCA" w:rsidRPr="00020D20" w:rsidRDefault="00671BCA" w:rsidP="00020D20">
      <w:pPr>
        <w:jc w:val="both"/>
        <w:rPr>
          <w:i/>
          <w:caps/>
          <w:color w:val="FF0000"/>
          <w:u w:val="single"/>
        </w:rPr>
      </w:pPr>
      <w:bookmarkStart w:id="543" w:name="_Ref50039867"/>
      <w:r w:rsidRPr="00020D20">
        <w:rPr>
          <w:b/>
          <w:i/>
          <w:caps/>
          <w:color w:val="FF0000"/>
          <w:u w:val="single"/>
        </w:rPr>
        <w:t>(To be filled in when study completed)</w:t>
      </w:r>
    </w:p>
    <w:p w14:paraId="7BDA3FE7" w14:textId="2B751127" w:rsidR="00F86ED2" w:rsidRPr="00200213" w:rsidRDefault="00F86ED2" w:rsidP="00020D20">
      <w:pPr>
        <w:pStyle w:val="Heading3"/>
        <w:jc w:val="both"/>
      </w:pPr>
      <w:r w:rsidRPr="00200213">
        <w:t>15.4.</w:t>
      </w:r>
      <w:r w:rsidR="001755FF">
        <w:t>7</w:t>
      </w:r>
      <w:r w:rsidRPr="00200213">
        <w:t xml:space="preserve"> | </w:t>
      </w:r>
      <w:r>
        <w:t>Arizona Transportation Asset Management Plan</w:t>
      </w:r>
      <w:bookmarkEnd w:id="543"/>
    </w:p>
    <w:p w14:paraId="413FFA92" w14:textId="77777777" w:rsidR="00EE0311" w:rsidRDefault="00EE0311" w:rsidP="00020D20">
      <w:pPr>
        <w:jc w:val="both"/>
      </w:pPr>
      <w:r>
        <w:t>ADOT is responsible for the construction, operation, management and maintenance of the State Highway System (SHS) which comprises more than 21,000 lane miles and is valued at more than $20 billion. The dependable and efficient operation of this transportation network is vital to Arizona’s economic competitiveness and quality of life. Moreover, the safety and welfare of the travelling public depends on the successful management of the transportation assets on the SHS and the National Highway System (NHS).</w:t>
      </w:r>
    </w:p>
    <w:p w14:paraId="4E7C9040" w14:textId="77777777" w:rsidR="00EE0311" w:rsidRDefault="00EE0311" w:rsidP="00020D20">
      <w:pPr>
        <w:jc w:val="both"/>
      </w:pPr>
      <w:r>
        <w:t>The majority of ADOT’s bridge and pavement infrastructure will reach the end of its normal lifecycle over the next 10 years. With proper preservation treatments, the life of this infrastructure can be extended. However, as Arizona’s highway system ages, the resources needed to maintain it will increase. This makes the identification and implementation of strategies that preserve existing assets while controlling costs essential to sustaining a balanced, fiscally sound state highway program.</w:t>
      </w:r>
    </w:p>
    <w:p w14:paraId="1BB6BF98" w14:textId="388095E8" w:rsidR="00EE0311" w:rsidRDefault="00EE0311" w:rsidP="00020D20">
      <w:pPr>
        <w:jc w:val="both"/>
      </w:pPr>
      <w:r>
        <w:t xml:space="preserve">Managing assets throughout their lifecycle with an emphasis on preservation treatments is a proactive approach, requiring a long-term perspective and significant planning. It is becoming a standard practice for </w:t>
      </w:r>
      <w:r w:rsidR="007C5BE1">
        <w:t>departments of transportation (</w:t>
      </w:r>
      <w:r>
        <w:t>DOTs</w:t>
      </w:r>
      <w:r w:rsidR="007C5BE1">
        <w:t>)</w:t>
      </w:r>
      <w:r>
        <w:t xml:space="preserve"> to address this planning need by the development of a </w:t>
      </w:r>
      <w:hyperlink r:id="rId910" w:history="1">
        <w:r w:rsidR="00BB6771" w:rsidRPr="00020D20">
          <w:rPr>
            <w:rStyle w:val="TitleChar"/>
          </w:rPr>
          <w:t>Transportation Asset Management Plan</w:t>
        </w:r>
      </w:hyperlink>
      <w:r w:rsidR="00BB6771">
        <w:t xml:space="preserve"> (TAMP).</w:t>
      </w:r>
    </w:p>
    <w:p w14:paraId="30873A67" w14:textId="6A6A3B20" w:rsidR="00F86ED2" w:rsidRPr="00200213" w:rsidRDefault="00F86ED2" w:rsidP="00020D20">
      <w:pPr>
        <w:pStyle w:val="Heading3"/>
        <w:jc w:val="both"/>
      </w:pPr>
      <w:bookmarkStart w:id="544" w:name="_Ref50039870"/>
      <w:r w:rsidRPr="00200213">
        <w:t>15.4.</w:t>
      </w:r>
      <w:r w:rsidR="001755FF">
        <w:t>8</w:t>
      </w:r>
      <w:r>
        <w:t xml:space="preserve"> | Statewide Rail Crossing Safety Action Plan</w:t>
      </w:r>
      <w:bookmarkEnd w:id="544"/>
    </w:p>
    <w:p w14:paraId="339E0E7B" w14:textId="5A384688" w:rsidR="00F86ED2" w:rsidRDefault="00304E4B" w:rsidP="00020D20">
      <w:pPr>
        <w:jc w:val="both"/>
        <w:rPr>
          <w:rFonts w:cstheme="minorHAnsi"/>
        </w:rPr>
      </w:pPr>
      <w:r>
        <w:rPr>
          <w:rFonts w:cstheme="minorHAnsi"/>
          <w:noProof/>
        </w:rPr>
        <mc:AlternateContent>
          <mc:Choice Requires="wps">
            <w:drawing>
              <wp:anchor distT="0" distB="0" distL="114300" distR="114300" simplePos="0" relativeHeight="251618531" behindDoc="1" locked="0" layoutInCell="1" allowOverlap="1" wp14:anchorId="75239CDE" wp14:editId="3038C8F3">
                <wp:simplePos x="0" y="0"/>
                <wp:positionH relativeFrom="column">
                  <wp:posOffset>1371600</wp:posOffset>
                </wp:positionH>
                <wp:positionV relativeFrom="paragraph">
                  <wp:posOffset>934720</wp:posOffset>
                </wp:positionV>
                <wp:extent cx="1379220" cy="1642110"/>
                <wp:effectExtent l="76200" t="95250" r="68580" b="91440"/>
                <wp:wrapTight wrapText="bothSides">
                  <wp:wrapPolygon edited="0">
                    <wp:start x="-1193" y="-1253"/>
                    <wp:lineTo x="-1193" y="22552"/>
                    <wp:lineTo x="22376" y="22552"/>
                    <wp:lineTo x="22376" y="-1253"/>
                    <wp:lineTo x="-1193" y="-1253"/>
                  </wp:wrapPolygon>
                </wp:wrapTight>
                <wp:docPr id="1690911565" name="Text Box 1690911565"/>
                <wp:cNvGraphicFramePr/>
                <a:graphic xmlns:a="http://schemas.openxmlformats.org/drawingml/2006/main">
                  <a:graphicData uri="http://schemas.microsoft.com/office/word/2010/wordprocessingShape">
                    <wps:wsp>
                      <wps:cNvSpPr txBox="1"/>
                      <wps:spPr>
                        <a:xfrm>
                          <a:off x="0" y="0"/>
                          <a:ext cx="1379220" cy="164211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9523D09" w14:textId="77777777" w:rsidR="00C6444C" w:rsidRDefault="00C6444C" w:rsidP="00020D20">
                            <w:pPr>
                              <w:jc w:val="center"/>
                            </w:pPr>
                            <w:r>
                              <w:rPr>
                                <w:noProof/>
                              </w:rPr>
                              <w:drawing>
                                <wp:inline distT="0" distB="0" distL="0" distR="0" wp14:anchorId="3DC47034" wp14:editId="3A2266B9">
                                  <wp:extent cx="457200" cy="457200"/>
                                  <wp:effectExtent l="0" t="0" r="0" b="0"/>
                                  <wp:docPr id="816286175" name="Picture 81628617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2FC3BAB" w14:textId="5DE783AF" w:rsidR="00C6444C" w:rsidRPr="00977A9B" w:rsidRDefault="00C6444C" w:rsidP="00020D20">
                            <w:pPr>
                              <w:pStyle w:val="Calloutboxes"/>
                            </w:pPr>
                            <w:r w:rsidRPr="00394A74">
                              <w:t>F</w:t>
                            </w:r>
                            <w:r w:rsidRPr="00954116">
                              <w:t>or more in</w:t>
                            </w:r>
                            <w:r w:rsidRPr="005A6734">
                              <w:t>formation on the State Highway-Rail Grade Crossing Action Plan</w:t>
                            </w:r>
                          </w:p>
                          <w:p w14:paraId="15B3ACE4" w14:textId="0C8CF592" w:rsidR="00C6444C" w:rsidRPr="00020D20" w:rsidRDefault="00202C92" w:rsidP="00020D20">
                            <w:pPr>
                              <w:spacing w:before="0" w:after="0" w:line="240" w:lineRule="auto"/>
                              <w:jc w:val="center"/>
                              <w:rPr>
                                <w:sz w:val="16"/>
                                <w:szCs w:val="16"/>
                              </w:rPr>
                            </w:pPr>
                            <w:hyperlink r:id="rId911" w:history="1">
                              <w:r w:rsidR="00C6444C" w:rsidRPr="00020D20">
                                <w:rPr>
                                  <w:rStyle w:val="TitleChar"/>
                                  <w:sz w:val="16"/>
                                  <w:szCs w:val="16"/>
                                </w:rPr>
                                <w:t>https://www.federalregister.gov/documents/2019/11/07/2019-24197/state-highway-rail-grade-crossing-action-plans</w:t>
                              </w:r>
                            </w:hyperlink>
                          </w:p>
                          <w:p w14:paraId="2189C7D8" w14:textId="2A3EB269" w:rsidR="00C6444C" w:rsidRPr="00020D20" w:rsidRDefault="00C6444C">
                            <w:pPr>
                              <w:pStyle w:val="Title"/>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239CDE" id="Text Box 1690911565" o:spid="_x0000_s1234" type="#_x0000_t202" style="position:absolute;left:0;text-align:left;margin-left:108pt;margin-top:73.6pt;width:108.6pt;height:129.3pt;z-index:-251697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" fillcolor="#f7f7f7" stroked="f" strokeweight=".5pt">
                <v:shadow on="t" type="perspective" color="black" opacity="26214f" offset="0,0" matrix="66847f,,,66847f"/>
                <v:textbox>
                  <w:txbxContent>
                    <w:p w14:paraId="19523D09" w14:textId="77777777" w:rsidR="00C6444C" w:rsidRDefault="00C6444C" w:rsidP="00020D20">
                      <w:pPr>
                        <w:jc w:val="center"/>
                      </w:pPr>
                      <w:r>
                        <w:rPr>
                          <w:noProof/>
                        </w:rPr>
                        <w:drawing>
                          <wp:inline distT="0" distB="0" distL="0" distR="0" wp14:anchorId="3DC47034" wp14:editId="3A2266B9">
                            <wp:extent cx="457200" cy="457200"/>
                            <wp:effectExtent l="0" t="0" r="0" b="0"/>
                            <wp:docPr id="816286175" name="Picture 81628617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2FC3BAB" w14:textId="5DE783AF" w:rsidR="00C6444C" w:rsidRPr="00977A9B" w:rsidRDefault="00C6444C" w:rsidP="00020D20">
                      <w:pPr>
                        <w:pStyle w:val="Calloutboxes"/>
                      </w:pPr>
                      <w:r w:rsidRPr="00394A74">
                        <w:t>F</w:t>
                      </w:r>
                      <w:r w:rsidRPr="00954116">
                        <w:t>or more in</w:t>
                      </w:r>
                      <w:r w:rsidRPr="005A6734">
                        <w:t>formation on the State Highway-Rail Grade Crossing Action Plan</w:t>
                      </w:r>
                    </w:p>
                    <w:p w14:paraId="15B3ACE4" w14:textId="0C8CF592" w:rsidR="00C6444C" w:rsidRPr="00020D20" w:rsidRDefault="00C6444C" w:rsidP="00020D20">
                      <w:pPr>
                        <w:spacing w:before="0" w:after="0" w:line="240" w:lineRule="auto"/>
                        <w:jc w:val="center"/>
                        <w:rPr>
                          <w:sz w:val="16"/>
                          <w:szCs w:val="16"/>
                        </w:rPr>
                      </w:pPr>
                      <w:hyperlink r:id="rId912" w:history="1">
                        <w:r w:rsidRPr="00020D20">
                          <w:rPr>
                            <w:rStyle w:val="TitleChar"/>
                            <w:sz w:val="16"/>
                            <w:szCs w:val="16"/>
                          </w:rPr>
                          <w:t>https://www.federalregister.gov/documents/2019/11/07/2019-24197/state-highway-rail-grade-crossing-action-plans</w:t>
                        </w:r>
                      </w:hyperlink>
                    </w:p>
                    <w:p w14:paraId="2189C7D8" w14:textId="2A3EB269" w:rsidR="00C6444C" w:rsidRPr="00020D20" w:rsidRDefault="00C6444C">
                      <w:pPr>
                        <w:pStyle w:val="Title"/>
                        <w:rPr>
                          <w:sz w:val="16"/>
                          <w:szCs w:val="16"/>
                        </w:rPr>
                      </w:pPr>
                    </w:p>
                  </w:txbxContent>
                </v:textbox>
                <w10:wrap type="tight"/>
              </v:shape>
            </w:pict>
          </mc:Fallback>
        </mc:AlternateContent>
      </w:r>
      <w:r w:rsidR="004F2E2A">
        <w:rPr>
          <w:rFonts w:cstheme="minorHAnsi"/>
        </w:rPr>
        <w:t xml:space="preserve">This proposed rule would revise Federal Railroad Administration’s (FRA) existing regulation on State highway-rail grade crossing action plans (49 </w:t>
      </w:r>
      <w:r w:rsidR="009628C0">
        <w:rPr>
          <w:rFonts w:cstheme="minorHAnsi"/>
        </w:rPr>
        <w:t xml:space="preserve">C.F.R. </w:t>
      </w:r>
      <w:r w:rsidR="004F2E2A">
        <w:rPr>
          <w:rFonts w:cstheme="minorHAnsi"/>
        </w:rPr>
        <w:t>234.11) to require 40 States and the District of Columbia to develop and implement FRA-approved highway-rail grade crossing actions plans. The proposed rule would also require the ten States pre</w:t>
      </w:r>
      <w:r w:rsidR="008F6FD9">
        <w:rPr>
          <w:rFonts w:cstheme="minorHAnsi"/>
        </w:rPr>
        <w:t>v</w:t>
      </w:r>
      <w:r w:rsidR="004F2E2A">
        <w:rPr>
          <w:rFonts w:cstheme="minorHAnsi"/>
        </w:rPr>
        <w:t xml:space="preserve">iously required to develop highway-rail grade crossing action plans by the Rail Safety Improvement Act of 2008 (RSIA) and FRA’s implementing regulation at 49 </w:t>
      </w:r>
      <w:r w:rsidR="009628C0">
        <w:rPr>
          <w:rFonts w:cstheme="minorHAnsi"/>
        </w:rPr>
        <w:t xml:space="preserve">C.F.R. </w:t>
      </w:r>
      <w:r w:rsidR="004F2E2A">
        <w:rPr>
          <w:rFonts w:cstheme="minorHAnsi"/>
        </w:rPr>
        <w:t>234.11 to update their plans and to submit reports describing the actions they have taken to implement their plans.</w:t>
      </w:r>
    </w:p>
    <w:p w14:paraId="58A3FC61" w14:textId="2E8E12D9" w:rsidR="004F2E2A" w:rsidRDefault="004F2E2A" w:rsidP="00020D20">
      <w:pPr>
        <w:jc w:val="both"/>
        <w:rPr>
          <w:rFonts w:cstheme="minorHAnsi"/>
        </w:rPr>
      </w:pPr>
      <w:r>
        <w:rPr>
          <w:rFonts w:cstheme="minorHAnsi"/>
        </w:rPr>
        <w:t>The FAST Act mandate contains specific requirements for the contents of the highway-rail grade crossing action plans. As set forth in section 11401(b)(2) of the FAST Act, each highway-rail grade crossing safety plan must identify highway-rail grade crossings that: (a) Have experience</w:t>
      </w:r>
      <w:r w:rsidR="00787D01">
        <w:rPr>
          <w:rFonts w:cstheme="minorHAnsi"/>
        </w:rPr>
        <w:t>d</w:t>
      </w:r>
      <w:r>
        <w:rPr>
          <w:rFonts w:cstheme="minorHAnsi"/>
        </w:rPr>
        <w:t xml:space="preserve"> recent highway-rail grade crossing accidents or incidents; (b) have experienced multiple highway-rail </w:t>
      </w:r>
      <w:r w:rsidR="00787D01">
        <w:rPr>
          <w:rFonts w:cstheme="minorHAnsi"/>
        </w:rPr>
        <w:t>grade crossing accidents or incidents; (c) are at high-risk for accidents or incidents. Section 11401(b)(2) of the FAST Act further provides that each highway-rail grade crossing action plan must identify specific strategies for improving safety at highway-rail grade crossings, including highway-rail grade crossing closures or grade separations. Each State highway-rail grade crossing action plan much also designate a State official responsible for managing implementation of the plan.</w:t>
      </w:r>
    </w:p>
    <w:p w14:paraId="69986E13" w14:textId="75EA3BED" w:rsidR="00200213" w:rsidRDefault="00200213">
      <w:pPr>
        <w:pStyle w:val="Heading2"/>
      </w:pPr>
      <w:bookmarkStart w:id="545" w:name="_Ref50039873"/>
      <w:r w:rsidRPr="00200213">
        <w:t>15.5 | ARIZONA FREIGHT ORGANIZATIONS</w:t>
      </w:r>
      <w:bookmarkEnd w:id="545"/>
    </w:p>
    <w:p w14:paraId="6BE61A91" w14:textId="77777777" w:rsidR="00200213" w:rsidRPr="00200213" w:rsidRDefault="00200213" w:rsidP="00020D20">
      <w:pPr>
        <w:pStyle w:val="Heading3"/>
        <w:jc w:val="both"/>
      </w:pPr>
      <w:bookmarkStart w:id="546" w:name="_Ref50039876"/>
      <w:r w:rsidRPr="00200213">
        <w:t xml:space="preserve">15.5.1 | Transportation &amp; Trade </w:t>
      </w:r>
      <w:r w:rsidRPr="00850300">
        <w:t>Corridor</w:t>
      </w:r>
      <w:r w:rsidRPr="00200213">
        <w:t xml:space="preserve"> Alliance</w:t>
      </w:r>
      <w:bookmarkEnd w:id="546"/>
    </w:p>
    <w:p w14:paraId="7596229C" w14:textId="782D22F0" w:rsidR="00200213" w:rsidRPr="00200213" w:rsidRDefault="00200213" w:rsidP="00020D20">
      <w:pPr>
        <w:jc w:val="both"/>
        <w:rPr>
          <w:rFonts w:cstheme="minorHAnsi"/>
        </w:rPr>
      </w:pPr>
      <w:r w:rsidRPr="00200213">
        <w:rPr>
          <w:rFonts w:cstheme="minorHAnsi"/>
        </w:rPr>
        <w:t xml:space="preserve">The </w:t>
      </w:r>
      <w:hyperlink r:id="rId913" w:history="1">
        <w:r w:rsidRPr="008C2E9C">
          <w:rPr>
            <w:rStyle w:val="TitleChar"/>
          </w:rPr>
          <w:t>Transportation and Trade Corridor Alliance</w:t>
        </w:r>
      </w:hyperlink>
      <w:r w:rsidRPr="00200213">
        <w:rPr>
          <w:rFonts w:cstheme="minorHAnsi"/>
        </w:rPr>
        <w:t xml:space="preserve"> (TTCA) is a collaboration led by the </w:t>
      </w:r>
      <w:r w:rsidRPr="008C2E9C">
        <w:rPr>
          <w:rStyle w:val="Heading5Char"/>
        </w:rPr>
        <w:t>Arizona Department of Transportation</w:t>
      </w:r>
      <w:r w:rsidRPr="00200213">
        <w:rPr>
          <w:rFonts w:cstheme="minorHAnsi"/>
        </w:rPr>
        <w:t xml:space="preserve">, the Arizona Mexico Commission, and the Arizona Commerce Authority that brings together the public and private sector, state and local governments, planning organizations, transportation and logistics companies, port authorities and other relevant stakeholders to assess issues and opportunities in trade, transportation, logistics and supply chain development. </w:t>
      </w:r>
      <w:r w:rsidRPr="009C15B3">
        <w:rPr>
          <w:rStyle w:val="Heading5Char"/>
        </w:rPr>
        <w:t>The Transportation and Trade Corridor Alliance</w:t>
      </w:r>
      <w:r w:rsidRPr="00200213">
        <w:rPr>
          <w:rFonts w:cstheme="minorHAnsi"/>
        </w:rPr>
        <w:t xml:space="preserve"> addresses:</w:t>
      </w:r>
    </w:p>
    <w:p w14:paraId="1BBAB748" w14:textId="77777777" w:rsidR="00200213" w:rsidRPr="00200213" w:rsidRDefault="00200213" w:rsidP="00020D20">
      <w:pPr>
        <w:pStyle w:val="Body-Bullets"/>
        <w:jc w:val="both"/>
      </w:pPr>
      <w:r w:rsidRPr="00200213">
        <w:t>Defining a new approach that incorporates local initiatives into a broader state context as it pertains to transportation and trade opportunities.</w:t>
      </w:r>
    </w:p>
    <w:p w14:paraId="6515FB54" w14:textId="77777777" w:rsidR="00200213" w:rsidRPr="00200213" w:rsidRDefault="00200213" w:rsidP="00020D20">
      <w:pPr>
        <w:pStyle w:val="Body-Bullets"/>
        <w:jc w:val="both"/>
      </w:pPr>
      <w:r w:rsidRPr="00200213">
        <w:t>Identifying ways to increase the value of our trade corridors.</w:t>
      </w:r>
    </w:p>
    <w:p w14:paraId="1757ABDF" w14:textId="77777777" w:rsidR="00200213" w:rsidRPr="00200213" w:rsidRDefault="00200213" w:rsidP="00020D20">
      <w:pPr>
        <w:pStyle w:val="Body-Bullets"/>
        <w:jc w:val="both"/>
      </w:pPr>
      <w:r w:rsidRPr="00200213">
        <w:t>Opportunities and challenges that impact global logistics in the state of Arizona.</w:t>
      </w:r>
    </w:p>
    <w:p w14:paraId="19694223" w14:textId="77777777" w:rsidR="00200213" w:rsidRPr="00200213" w:rsidRDefault="00200213" w:rsidP="00020D20">
      <w:pPr>
        <w:pStyle w:val="Body-Bullets"/>
        <w:jc w:val="both"/>
      </w:pPr>
      <w:r w:rsidRPr="00200213">
        <w:t>Integrating rail and/or intermodal facilities for sustainable growth and job diversification in the state.</w:t>
      </w:r>
    </w:p>
    <w:p w14:paraId="761AEE10" w14:textId="77777777" w:rsidR="00200213" w:rsidRPr="00200213" w:rsidRDefault="00200213" w:rsidP="00020D20">
      <w:pPr>
        <w:jc w:val="both"/>
        <w:rPr>
          <w:rFonts w:cstheme="minorHAnsi"/>
        </w:rPr>
      </w:pPr>
      <w:r w:rsidRPr="00200213">
        <w:rPr>
          <w:rFonts w:cstheme="minorHAnsi"/>
        </w:rPr>
        <w:t>The TTCA has a freight committee that discusses freight issues/opportunities for expansion.</w:t>
      </w:r>
    </w:p>
    <w:p w14:paraId="022BC23E" w14:textId="77777777" w:rsidR="00200213" w:rsidRPr="00200213" w:rsidRDefault="00200213" w:rsidP="00020D20">
      <w:pPr>
        <w:pStyle w:val="Heading3"/>
        <w:jc w:val="both"/>
      </w:pPr>
      <w:bookmarkStart w:id="547" w:name="_Ref50039879"/>
      <w:r w:rsidRPr="00200213">
        <w:t>15.5.2 | Arizona Trucking Association</w:t>
      </w:r>
      <w:bookmarkEnd w:id="547"/>
    </w:p>
    <w:p w14:paraId="63C783B0" w14:textId="22AEC12C" w:rsidR="00200213" w:rsidRPr="00200213" w:rsidRDefault="00200213" w:rsidP="00020D20">
      <w:pPr>
        <w:jc w:val="both"/>
        <w:rPr>
          <w:rFonts w:cstheme="minorHAnsi"/>
        </w:rPr>
      </w:pPr>
      <w:r w:rsidRPr="00200213">
        <w:rPr>
          <w:rFonts w:cstheme="minorHAnsi"/>
        </w:rPr>
        <w:t xml:space="preserve">The ATA was formed in September 1937 as the Arizona Motor Transport Association—a nonprofit trade organization. The organization’s name was officially changed to </w:t>
      </w:r>
      <w:hyperlink r:id="rId914" w:history="1">
        <w:r w:rsidRPr="00A97AE3">
          <w:rPr>
            <w:rStyle w:val="TitleChar"/>
          </w:rPr>
          <w:t>Arizona Trucking Association</w:t>
        </w:r>
      </w:hyperlink>
      <w:r w:rsidRPr="00200213">
        <w:rPr>
          <w:rFonts w:cstheme="minorHAnsi"/>
        </w:rPr>
        <w:t xml:space="preserve"> in 2004.</w:t>
      </w:r>
    </w:p>
    <w:p w14:paraId="7813D57F" w14:textId="77777777" w:rsidR="00200213" w:rsidRPr="00200213" w:rsidRDefault="00200213" w:rsidP="00020D20">
      <w:pPr>
        <w:jc w:val="both"/>
        <w:rPr>
          <w:rFonts w:cstheme="minorHAnsi"/>
        </w:rPr>
      </w:pPr>
      <w:r w:rsidRPr="00200213">
        <w:rPr>
          <w:rFonts w:cstheme="minorHAnsi"/>
        </w:rPr>
        <w:t>The ATA conducts seminars and training at their headquarters facility located at 75th Avenue and Madison Street in Tolleson. The ATA informs the public of the integral role that trucks play in the transportation of freight and also keeps members apprised of federal and state legislation and regulations that affect the trucking industry. ATA members are encouraged to contribute to T.A.L.E., the ATA’s political action committee, which supports candidates with positions favorable to the industry.</w:t>
      </w:r>
    </w:p>
    <w:p w14:paraId="2BF262D2" w14:textId="77777777" w:rsidR="00200213" w:rsidRPr="00200213" w:rsidRDefault="00200213" w:rsidP="00020D20">
      <w:pPr>
        <w:jc w:val="both"/>
        <w:rPr>
          <w:rFonts w:cstheme="minorHAnsi"/>
        </w:rPr>
      </w:pPr>
      <w:r w:rsidRPr="00200213">
        <w:rPr>
          <w:rFonts w:cstheme="minorHAnsi"/>
        </w:rPr>
        <w:t>According to the ATA, the association’s membership more than doubled from 2002 to 2008, enabling the provision of expanded programs and services at ATA’s headquarters facility.</w:t>
      </w:r>
    </w:p>
    <w:p w14:paraId="0CC5EB88" w14:textId="77777777" w:rsidR="00200213" w:rsidRPr="00200213" w:rsidRDefault="00200213" w:rsidP="00020D20">
      <w:pPr>
        <w:pStyle w:val="Heading3"/>
        <w:jc w:val="both"/>
      </w:pPr>
      <w:bookmarkStart w:id="548" w:name="_Ref50039882"/>
      <w:r w:rsidRPr="00200213">
        <w:t>15.5.3 | Arizona State Railroad Association</w:t>
      </w:r>
      <w:bookmarkEnd w:id="548"/>
    </w:p>
    <w:p w14:paraId="1FE980B2" w14:textId="1AF40F33" w:rsidR="00200213" w:rsidRPr="00200213" w:rsidRDefault="00200213" w:rsidP="00020D20">
      <w:pPr>
        <w:jc w:val="both"/>
        <w:rPr>
          <w:rFonts w:cstheme="minorHAnsi"/>
        </w:rPr>
      </w:pPr>
      <w:r w:rsidRPr="00200213">
        <w:rPr>
          <w:rFonts w:cstheme="minorHAnsi"/>
        </w:rPr>
        <w:t xml:space="preserve">The </w:t>
      </w:r>
      <w:r w:rsidRPr="00A97AE3">
        <w:rPr>
          <w:rStyle w:val="Heading5Char"/>
        </w:rPr>
        <w:t>Arizona State Railroad Association</w:t>
      </w:r>
      <w:r w:rsidRPr="00200213">
        <w:rPr>
          <w:rFonts w:cstheme="minorHAnsi"/>
        </w:rPr>
        <w:t xml:space="preserve"> is a member of the </w:t>
      </w:r>
      <w:hyperlink r:id="rId915" w:history="1">
        <w:r w:rsidRPr="000C2975">
          <w:rPr>
            <w:rStyle w:val="TitleChar"/>
          </w:rPr>
          <w:t>American Short Line and Regional Railroad Association</w:t>
        </w:r>
      </w:hyperlink>
      <w:r w:rsidRPr="00200213">
        <w:rPr>
          <w:rFonts w:cstheme="minorHAnsi"/>
        </w:rPr>
        <w:t xml:space="preserve"> (ASLRRA). The ASLRRA enables America’s small rail lines to work together to educate federal, state, and local government officials and private sector stakeholders on the importance and function of the short line and regional railroad industry. The ASLRRA also provides safety and security information and training to member railroads on topics such as the handling of hazardous materials. Information with respect to compliance with federal and state regulations is also provided. The ASLRRA conducts meetings and seminars to inform members about new legislation, best industry practices, and new technology. The association presents annual safety awards to member railroads as warranted. The contact for the </w:t>
      </w:r>
      <w:r w:rsidRPr="001251BD">
        <w:rPr>
          <w:rStyle w:val="Heading5Char"/>
        </w:rPr>
        <w:t>Arizona State Railroad Association</w:t>
      </w:r>
      <w:r w:rsidRPr="00200213">
        <w:rPr>
          <w:rFonts w:cstheme="minorHAnsi"/>
        </w:rPr>
        <w:t xml:space="preserve"> is Lowell S. Jacobson, the CEO of the Copper Basin Railway.</w:t>
      </w:r>
    </w:p>
    <w:p w14:paraId="5BFB00A8" w14:textId="77777777" w:rsidR="00200213" w:rsidRPr="00200213" w:rsidRDefault="00200213" w:rsidP="00020D20">
      <w:pPr>
        <w:pStyle w:val="Heading3"/>
        <w:jc w:val="both"/>
      </w:pPr>
      <w:bookmarkStart w:id="549" w:name="_Ref50039885"/>
      <w:r w:rsidRPr="00200213">
        <w:t>15.5.4 | Airforwarders Association</w:t>
      </w:r>
      <w:bookmarkEnd w:id="549"/>
    </w:p>
    <w:p w14:paraId="3609E2F7" w14:textId="6E27130B" w:rsidR="00200213" w:rsidRDefault="00200213" w:rsidP="00020D20">
      <w:pPr>
        <w:jc w:val="both"/>
        <w:rPr>
          <w:rFonts w:cstheme="minorHAnsi"/>
        </w:rPr>
      </w:pPr>
      <w:r w:rsidRPr="00200213">
        <w:rPr>
          <w:rFonts w:cstheme="minorHAnsi"/>
        </w:rPr>
        <w:t xml:space="preserve">The </w:t>
      </w:r>
      <w:hyperlink r:id="rId916" w:history="1">
        <w:r w:rsidRPr="001251BD">
          <w:rPr>
            <w:rStyle w:val="TitleChar"/>
          </w:rPr>
          <w:t>Airforwarders Association</w:t>
        </w:r>
      </w:hyperlink>
      <w:r w:rsidRPr="00200213">
        <w:rPr>
          <w:rFonts w:cstheme="minorHAnsi"/>
        </w:rPr>
        <w:t xml:space="preserve"> was founded in 1990 by three air forwarding organizations that recognized the importance of providing the industry with a unified voice on issues of importance to all industry members. In March 2013, the association represented more than 200 air forwarding companies and has more than 3,000 offices throughout the United States. The association itself does not have a presence in Arizona, however freight divisions of the major airlines serving the state, such as American and Delta, are active members. According to the association, air forwarding is a 17-billion-dollar industry.</w:t>
      </w:r>
    </w:p>
    <w:p w14:paraId="251A73A3" w14:textId="77777777" w:rsidR="00200213" w:rsidRPr="00200213" w:rsidRDefault="00200213" w:rsidP="00020D20">
      <w:pPr>
        <w:jc w:val="both"/>
        <w:rPr>
          <w:rFonts w:cstheme="minorHAnsi"/>
        </w:rPr>
      </w:pPr>
      <w:r w:rsidRPr="00200213">
        <w:rPr>
          <w:rFonts w:cstheme="minorHAnsi"/>
        </w:rPr>
        <w:t xml:space="preserve">The association is proactively involved in promoting effective improvements to air car security. It also seeks to educate stakeholders and the public on the importance of the air forwarding industry and to ensure that industry representatives are included in all discussions and planning relating to air freight. </w:t>
      </w:r>
    </w:p>
    <w:p w14:paraId="02D2F0E9" w14:textId="77777777" w:rsidR="00200213" w:rsidRPr="00200213" w:rsidRDefault="00200213" w:rsidP="00020D20">
      <w:pPr>
        <w:pStyle w:val="Heading3"/>
        <w:jc w:val="both"/>
      </w:pPr>
      <w:bookmarkStart w:id="550" w:name="_Ref50039889"/>
      <w:r w:rsidRPr="00200213">
        <w:t>15.5.5 | Southern Arizona Logistics Education Organization</w:t>
      </w:r>
      <w:bookmarkEnd w:id="550"/>
    </w:p>
    <w:p w14:paraId="7170D310" w14:textId="41240FF5" w:rsidR="00200213" w:rsidRPr="00200213" w:rsidRDefault="00200213" w:rsidP="00020D20">
      <w:pPr>
        <w:jc w:val="both"/>
        <w:rPr>
          <w:rFonts w:cstheme="minorHAnsi"/>
        </w:rPr>
      </w:pPr>
      <w:r w:rsidRPr="00200213">
        <w:rPr>
          <w:rFonts w:cstheme="minorHAnsi"/>
        </w:rPr>
        <w:t xml:space="preserve">The mission of the </w:t>
      </w:r>
      <w:hyperlink r:id="rId917" w:history="1">
        <w:r w:rsidRPr="001F300E">
          <w:rPr>
            <w:rStyle w:val="TitleChar"/>
          </w:rPr>
          <w:t>Southern Arizona Logistics Education Organization</w:t>
        </w:r>
      </w:hyperlink>
      <w:r w:rsidRPr="00200213">
        <w:rPr>
          <w:rFonts w:cstheme="minorHAnsi"/>
        </w:rPr>
        <w:t xml:space="preserve"> (SALEO) is to “educate, promote and grow the transportation and logistics industry by networking the logistics service providers and users in the Arizona-Mexico region.”</w:t>
      </w:r>
    </w:p>
    <w:p w14:paraId="105E0467" w14:textId="77777777" w:rsidR="00200213" w:rsidRPr="00200213" w:rsidRDefault="00200213" w:rsidP="00020D20">
      <w:pPr>
        <w:jc w:val="both"/>
        <w:rPr>
          <w:rFonts w:cstheme="minorHAnsi"/>
        </w:rPr>
      </w:pPr>
      <w:r w:rsidRPr="00200213">
        <w:rPr>
          <w:rFonts w:cstheme="minorHAnsi"/>
        </w:rPr>
        <w:t>The objectives of SALEO are to:</w:t>
      </w:r>
    </w:p>
    <w:p w14:paraId="01DBAA14" w14:textId="77777777" w:rsidR="00200213" w:rsidRPr="00200213" w:rsidRDefault="00200213" w:rsidP="00020D20">
      <w:pPr>
        <w:pStyle w:val="Body-Bullets"/>
        <w:jc w:val="both"/>
      </w:pPr>
      <w:r w:rsidRPr="00200213">
        <w:t>produce a well-qualified and self-sustaining logistics workforce.</w:t>
      </w:r>
    </w:p>
    <w:p w14:paraId="63187FC1" w14:textId="77777777" w:rsidR="00200213" w:rsidRPr="00200213" w:rsidRDefault="00200213" w:rsidP="00020D20">
      <w:pPr>
        <w:pStyle w:val="Body-Bullets"/>
        <w:jc w:val="both"/>
      </w:pPr>
      <w:r w:rsidRPr="00200213">
        <w:t>participate in regional transportation planning that affects freight movements.</w:t>
      </w:r>
    </w:p>
    <w:p w14:paraId="3DE9FBB0" w14:textId="77777777" w:rsidR="00200213" w:rsidRPr="00200213" w:rsidRDefault="00200213" w:rsidP="00020D20">
      <w:pPr>
        <w:pStyle w:val="Body-Bullets"/>
        <w:jc w:val="both"/>
      </w:pPr>
      <w:r w:rsidRPr="00200213">
        <w:t>conduct economic development activities that promote the logistics industry.</w:t>
      </w:r>
    </w:p>
    <w:p w14:paraId="546960FC" w14:textId="77777777" w:rsidR="00200213" w:rsidRPr="00200213" w:rsidRDefault="00200213" w:rsidP="00020D20">
      <w:pPr>
        <w:pStyle w:val="Body-Bullets"/>
        <w:jc w:val="both"/>
      </w:pPr>
      <w:r w:rsidRPr="00200213">
        <w:t>develop strategic partnerships designed to advance education and workforce efforts.</w:t>
      </w:r>
    </w:p>
    <w:p w14:paraId="69BA796A" w14:textId="77777777" w:rsidR="00200213" w:rsidRPr="00200213" w:rsidRDefault="00200213" w:rsidP="00020D20">
      <w:pPr>
        <w:pStyle w:val="Body-Bullets"/>
        <w:jc w:val="both"/>
      </w:pPr>
      <w:r w:rsidRPr="00200213">
        <w:t>identify regional logistics service providers that can facilitate the movement of freight to, from, and through the Arizona-Mexico region.</w:t>
      </w:r>
    </w:p>
    <w:p w14:paraId="31D0B77E" w14:textId="77777777" w:rsidR="00200213" w:rsidRPr="00200213" w:rsidRDefault="00200213" w:rsidP="00020D20">
      <w:pPr>
        <w:jc w:val="both"/>
        <w:rPr>
          <w:rFonts w:cstheme="minorHAnsi"/>
        </w:rPr>
      </w:pPr>
      <w:r w:rsidRPr="00200213">
        <w:rPr>
          <w:rFonts w:cstheme="minorHAnsi"/>
        </w:rPr>
        <w:t>SALEO provides a forum where logistic providers and users can discuss best practices and understand ongoing issues that affect transportation and logistics. The organization also provides networking opportunities for logistics professionals.</w:t>
      </w:r>
    </w:p>
    <w:p w14:paraId="2F1C2A67" w14:textId="77777777" w:rsidR="00200213" w:rsidRPr="00200213" w:rsidRDefault="00200213" w:rsidP="00020D20">
      <w:pPr>
        <w:pStyle w:val="Heading2"/>
      </w:pPr>
      <w:bookmarkStart w:id="551" w:name="_Ref50039893"/>
      <w:r w:rsidRPr="00200213">
        <w:t>15.6 | ARIZONA-MEXICO BORDER-RELATED FREIGHT PLANNING</w:t>
      </w:r>
      <w:bookmarkEnd w:id="551"/>
    </w:p>
    <w:p w14:paraId="66936BC9" w14:textId="77777777" w:rsidR="00200213" w:rsidRPr="00200213" w:rsidRDefault="00200213" w:rsidP="00020D20">
      <w:pPr>
        <w:jc w:val="both"/>
        <w:rPr>
          <w:rFonts w:cstheme="minorHAnsi"/>
        </w:rPr>
      </w:pPr>
      <w:r w:rsidRPr="00200213">
        <w:rPr>
          <w:rFonts w:cstheme="minorHAnsi"/>
        </w:rPr>
        <w:t>Arizona has nine POEs on the Mexico border. From east to west, they are:</w:t>
      </w:r>
    </w:p>
    <w:p w14:paraId="409AEAF7" w14:textId="77777777" w:rsidR="00200213" w:rsidRPr="00200213" w:rsidRDefault="00200213" w:rsidP="00020D20">
      <w:pPr>
        <w:pStyle w:val="Body-Bullets"/>
        <w:jc w:val="both"/>
      </w:pPr>
      <w:r w:rsidRPr="00200213">
        <w:t>San Luis I</w:t>
      </w:r>
    </w:p>
    <w:p w14:paraId="1234E39E" w14:textId="77777777" w:rsidR="00200213" w:rsidRPr="00200213" w:rsidRDefault="00200213" w:rsidP="00020D20">
      <w:pPr>
        <w:pStyle w:val="Body-Bullets"/>
        <w:jc w:val="both"/>
      </w:pPr>
      <w:r w:rsidRPr="00200213">
        <w:t>San Luis II</w:t>
      </w:r>
    </w:p>
    <w:p w14:paraId="120CEEBB" w14:textId="77777777" w:rsidR="00200213" w:rsidRPr="00200213" w:rsidRDefault="00200213" w:rsidP="00020D20">
      <w:pPr>
        <w:pStyle w:val="Body-Bullets"/>
        <w:jc w:val="both"/>
      </w:pPr>
      <w:r w:rsidRPr="00200213">
        <w:t>Lukeville</w:t>
      </w:r>
    </w:p>
    <w:p w14:paraId="152F369B" w14:textId="77777777" w:rsidR="00200213" w:rsidRPr="00200213" w:rsidRDefault="00200213" w:rsidP="00020D20">
      <w:pPr>
        <w:pStyle w:val="Body-Bullets"/>
        <w:jc w:val="both"/>
      </w:pPr>
      <w:r w:rsidRPr="00200213">
        <w:t>Sasabe</w:t>
      </w:r>
    </w:p>
    <w:p w14:paraId="4F4E9467" w14:textId="77777777" w:rsidR="00200213" w:rsidRPr="00200213" w:rsidRDefault="00200213" w:rsidP="00020D20">
      <w:pPr>
        <w:pStyle w:val="Body-Bullets"/>
        <w:jc w:val="both"/>
      </w:pPr>
      <w:r w:rsidRPr="00200213">
        <w:t xml:space="preserve">Nogales Mariposa </w:t>
      </w:r>
    </w:p>
    <w:p w14:paraId="14A000D2" w14:textId="77777777" w:rsidR="00200213" w:rsidRPr="00200213" w:rsidRDefault="00200213" w:rsidP="00020D20">
      <w:pPr>
        <w:pStyle w:val="Body-Bullets"/>
        <w:jc w:val="both"/>
      </w:pPr>
      <w:r w:rsidRPr="00200213">
        <w:t xml:space="preserve">Nogales DeConcini </w:t>
      </w:r>
    </w:p>
    <w:p w14:paraId="594C441E" w14:textId="77777777" w:rsidR="00200213" w:rsidRPr="00200213" w:rsidRDefault="00200213" w:rsidP="00020D20">
      <w:pPr>
        <w:pStyle w:val="Body-Bullets"/>
        <w:jc w:val="both"/>
      </w:pPr>
      <w:r w:rsidRPr="00200213">
        <w:t xml:space="preserve">Nogales Morley Gate </w:t>
      </w:r>
    </w:p>
    <w:p w14:paraId="5DDE05D8" w14:textId="77777777" w:rsidR="00200213" w:rsidRPr="00200213" w:rsidRDefault="00200213" w:rsidP="00020D20">
      <w:pPr>
        <w:pStyle w:val="Body-Bullets"/>
        <w:jc w:val="both"/>
      </w:pPr>
      <w:r w:rsidRPr="00200213">
        <w:t>Naco</w:t>
      </w:r>
    </w:p>
    <w:p w14:paraId="29930C3B" w14:textId="77777777" w:rsidR="00200213" w:rsidRPr="00200213" w:rsidRDefault="00200213" w:rsidP="00020D20">
      <w:pPr>
        <w:pStyle w:val="Body-Bullets"/>
        <w:jc w:val="both"/>
      </w:pPr>
      <w:r w:rsidRPr="00200213">
        <w:t>Douglas</w:t>
      </w:r>
    </w:p>
    <w:p w14:paraId="09490855" w14:textId="00858A8A" w:rsidR="00200213" w:rsidRPr="00200213" w:rsidRDefault="00200213" w:rsidP="00020D20">
      <w:pPr>
        <w:jc w:val="both"/>
        <w:rPr>
          <w:rFonts w:cstheme="minorHAnsi"/>
        </w:rPr>
      </w:pPr>
      <w:r w:rsidRPr="00200213">
        <w:rPr>
          <w:rFonts w:cstheme="minorHAnsi"/>
        </w:rPr>
        <w:t>Table 15-</w:t>
      </w:r>
      <w:r w:rsidR="00CD5E16">
        <w:rPr>
          <w:rFonts w:cstheme="minorHAnsi"/>
        </w:rPr>
        <w:t>3</w:t>
      </w:r>
      <w:r w:rsidRPr="00200213">
        <w:rPr>
          <w:rFonts w:cstheme="minorHAnsi"/>
        </w:rPr>
        <w:t xml:space="preserve"> summarizes the freight features of the border crossing locations. As table 15-</w:t>
      </w:r>
      <w:r w:rsidR="00CD5E16">
        <w:rPr>
          <w:rFonts w:cstheme="minorHAnsi"/>
        </w:rPr>
        <w:t>3</w:t>
      </w:r>
      <w:r w:rsidRPr="00200213">
        <w:rPr>
          <w:rFonts w:cstheme="minorHAnsi"/>
        </w:rPr>
        <w:t xml:space="preserve"> shows, most freight traffic to and from Mexico travels through the Nogales POEs. </w:t>
      </w:r>
    </w:p>
    <w:p w14:paraId="51D150A3" w14:textId="77777777" w:rsidR="00200213" w:rsidRPr="00200213" w:rsidRDefault="00200213" w:rsidP="00020D20">
      <w:pPr>
        <w:pStyle w:val="Heading3"/>
        <w:jc w:val="both"/>
      </w:pPr>
      <w:bookmarkStart w:id="552" w:name="_Ref50039897"/>
      <w:r w:rsidRPr="00200213">
        <w:t>15.6.1 | Arizona POE Freight Issues</w:t>
      </w:r>
      <w:bookmarkEnd w:id="552"/>
    </w:p>
    <w:p w14:paraId="660F5A0D" w14:textId="77777777" w:rsidR="00200213" w:rsidRPr="00200213" w:rsidRDefault="00200213" w:rsidP="00020D20">
      <w:pPr>
        <w:jc w:val="both"/>
        <w:rPr>
          <w:rFonts w:cstheme="minorHAnsi"/>
        </w:rPr>
      </w:pPr>
      <w:r w:rsidRPr="00200213">
        <w:rPr>
          <w:rFonts w:cstheme="minorHAnsi"/>
        </w:rPr>
        <w:t xml:space="preserve">The predominant freight-related POE issues are traffic congestion and the dangers that exist due to the commingling of increasing amounts of commercial vehicle, noncommercial vehicle, and pedestrian traffic at the key border crossings. </w:t>
      </w:r>
    </w:p>
    <w:p w14:paraId="75FE8095" w14:textId="77777777" w:rsidR="00200213" w:rsidRPr="00200213" w:rsidRDefault="00200213" w:rsidP="00020D20">
      <w:pPr>
        <w:jc w:val="both"/>
        <w:rPr>
          <w:rFonts w:cstheme="minorHAnsi"/>
        </w:rPr>
      </w:pPr>
      <w:r w:rsidRPr="00200213">
        <w:rPr>
          <w:rFonts w:cstheme="minorHAnsi"/>
        </w:rPr>
        <w:t>The more remote crossings, such as Lukeville, Sasabe, and Naco, are not congested, but they are far from urban areas and, more significantly, inconvenient to existing Arizona and Sonora transportation infrastructure.</w:t>
      </w:r>
    </w:p>
    <w:p w14:paraId="7B99149E" w14:textId="22818A21" w:rsidR="00200213" w:rsidRDefault="00200213" w:rsidP="00020D20">
      <w:pPr>
        <w:jc w:val="both"/>
        <w:rPr>
          <w:rFonts w:cstheme="minorHAnsi"/>
        </w:rPr>
      </w:pPr>
      <w:r w:rsidRPr="00200213">
        <w:rPr>
          <w:rFonts w:cstheme="minorHAnsi"/>
        </w:rPr>
        <w:t xml:space="preserve">On the Arizona side, the San Luis II POE opened in 2010 and SR 195, the “Area Service Highway” connecting the port with I-8 east of Yuma was completed. </w:t>
      </w:r>
      <w:r w:rsidR="007B6E15">
        <w:rPr>
          <w:rFonts w:cstheme="minorHAnsi"/>
        </w:rPr>
        <w:t>Currently</w:t>
      </w:r>
      <w:r w:rsidR="00BA58D3" w:rsidRPr="00200213">
        <w:rPr>
          <w:rFonts w:cstheme="minorHAnsi"/>
        </w:rPr>
        <w:t>,</w:t>
      </w:r>
      <w:r w:rsidRPr="00200213">
        <w:rPr>
          <w:rFonts w:cstheme="minorHAnsi"/>
        </w:rPr>
        <w:t xml:space="preserve"> the San Luis II POE</w:t>
      </w:r>
      <w:r w:rsidR="007B6E15">
        <w:rPr>
          <w:rFonts w:cstheme="minorHAnsi"/>
        </w:rPr>
        <w:t xml:space="preserve"> is going through the design phase of a Government Services Administration Rehabilitation of the facility installing more vehicle lanes and pedestrian upgrades.</w:t>
      </w:r>
    </w:p>
    <w:p w14:paraId="050DA608" w14:textId="77777777" w:rsidR="00850300" w:rsidRDefault="00850300" w:rsidP="00020D20">
      <w:pPr>
        <w:pStyle w:val="Heading4"/>
        <w:jc w:val="both"/>
        <w:sectPr w:rsidR="00850300" w:rsidSect="00020D20">
          <w:type w:val="continuous"/>
          <w:pgSz w:w="12240" w:h="15840"/>
          <w:pgMar w:top="1440" w:right="1440" w:bottom="1440" w:left="1440" w:header="720" w:footer="720" w:gutter="0"/>
          <w:pgNumType w:chapStyle="1"/>
          <w:cols w:num="2" w:space="720"/>
          <w:docGrid w:linePitch="360"/>
        </w:sectPr>
      </w:pPr>
    </w:p>
    <w:p w14:paraId="60993D05" w14:textId="77777777" w:rsidR="00CC26E3" w:rsidRDefault="00CC26E3" w:rsidP="00020D20">
      <w:pPr>
        <w:jc w:val="both"/>
      </w:pPr>
    </w:p>
    <w:p w14:paraId="65DC6529" w14:textId="77777777" w:rsidR="00CC26E3" w:rsidRDefault="00CC26E3" w:rsidP="00020D20">
      <w:pPr>
        <w:jc w:val="both"/>
      </w:pPr>
    </w:p>
    <w:p w14:paraId="06316821" w14:textId="4251B2BC" w:rsidR="00200213" w:rsidRDefault="00200213" w:rsidP="00020D20">
      <w:pPr>
        <w:pStyle w:val="Heading4"/>
        <w:jc w:val="both"/>
      </w:pPr>
      <w:r w:rsidRPr="00200213">
        <w:t>Table 15-</w:t>
      </w:r>
      <w:r w:rsidR="005F23EF">
        <w:t>3</w:t>
      </w:r>
      <w:r w:rsidRPr="00200213">
        <w:t xml:space="preserve"> | Summary of Port of Entry Features</w:t>
      </w:r>
    </w:p>
    <w:tbl>
      <w:tblPr>
        <w:tblW w:w="9365" w:type="dxa"/>
        <w:tblInd w:w="-10" w:type="dxa"/>
        <w:tblLayout w:type="fixed"/>
        <w:tblCellMar>
          <w:left w:w="0" w:type="dxa"/>
          <w:right w:w="0" w:type="dxa"/>
        </w:tblCellMar>
        <w:tblLook w:val="0000" w:firstRow="0" w:lastRow="0" w:firstColumn="0" w:lastColumn="0" w:noHBand="0" w:noVBand="0"/>
      </w:tblPr>
      <w:tblGrid>
        <w:gridCol w:w="2340"/>
        <w:gridCol w:w="2520"/>
        <w:gridCol w:w="1501"/>
        <w:gridCol w:w="1502"/>
        <w:gridCol w:w="1502"/>
      </w:tblGrid>
      <w:tr w:rsidR="00651B20" w:rsidRPr="00651B20" w14:paraId="622CD5D2" w14:textId="77777777" w:rsidTr="00020D20">
        <w:trPr>
          <w:trHeight w:hRule="exact" w:val="864"/>
        </w:trPr>
        <w:tc>
          <w:tcPr>
            <w:tcW w:w="2340" w:type="dxa"/>
            <w:tcBorders>
              <w:top w:val="single" w:sz="4" w:space="0" w:color="auto"/>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17EDB22A" w14:textId="77777777" w:rsidR="00200213" w:rsidRPr="00020D20" w:rsidRDefault="00200213" w:rsidP="00020D20">
            <w:pPr>
              <w:spacing w:before="0" w:after="0" w:line="240" w:lineRule="auto"/>
              <w:jc w:val="center"/>
              <w:rPr>
                <w:color w:val="FFFFFF" w:themeColor="background1"/>
                <w:sz w:val="22"/>
              </w:rPr>
            </w:pPr>
            <w:r w:rsidRPr="00020D20">
              <w:rPr>
                <w:color w:val="FFFFFF" w:themeColor="background1"/>
                <w:w w:val="86"/>
                <w:sz w:val="22"/>
              </w:rPr>
              <w:t>Border Crossing</w:t>
            </w:r>
          </w:p>
        </w:tc>
        <w:tc>
          <w:tcPr>
            <w:tcW w:w="252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14D8BE64" w14:textId="77777777" w:rsidR="00200213" w:rsidRPr="00020D20" w:rsidRDefault="00200213" w:rsidP="00020D20">
            <w:pPr>
              <w:spacing w:before="0" w:after="0" w:line="240" w:lineRule="auto"/>
              <w:jc w:val="center"/>
              <w:rPr>
                <w:color w:val="FFFFFF" w:themeColor="background1"/>
                <w:sz w:val="22"/>
              </w:rPr>
            </w:pPr>
            <w:r w:rsidRPr="00020D20">
              <w:rPr>
                <w:color w:val="FFFFFF" w:themeColor="background1"/>
                <w:w w:val="86"/>
                <w:sz w:val="22"/>
              </w:rPr>
              <w:t>Mode(s)</w:t>
            </w:r>
          </w:p>
        </w:tc>
        <w:tc>
          <w:tcPr>
            <w:tcW w:w="150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5A0CC098" w14:textId="77777777" w:rsidR="00200213" w:rsidRPr="00020D20" w:rsidRDefault="00200213" w:rsidP="00020D20">
            <w:pPr>
              <w:spacing w:before="0" w:after="0" w:line="240" w:lineRule="auto"/>
              <w:jc w:val="center"/>
              <w:rPr>
                <w:color w:val="FFFFFF" w:themeColor="background1"/>
                <w:sz w:val="22"/>
              </w:rPr>
            </w:pPr>
            <w:r w:rsidRPr="00020D20">
              <w:rPr>
                <w:color w:val="FFFFFF" w:themeColor="background1"/>
                <w:w w:val="86"/>
                <w:sz w:val="22"/>
              </w:rPr>
              <w:t>Port Infrastructure</w:t>
            </w:r>
          </w:p>
        </w:tc>
        <w:tc>
          <w:tcPr>
            <w:tcW w:w="1502"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36455EE3" w14:textId="77777777" w:rsidR="00200213" w:rsidRPr="00020D20" w:rsidRDefault="00200213" w:rsidP="00020D20">
            <w:pPr>
              <w:spacing w:before="0" w:after="0" w:line="240" w:lineRule="auto"/>
              <w:jc w:val="center"/>
              <w:rPr>
                <w:color w:val="FFFFFF" w:themeColor="background1"/>
                <w:sz w:val="22"/>
              </w:rPr>
            </w:pPr>
            <w:r w:rsidRPr="00020D20">
              <w:rPr>
                <w:color w:val="FFFFFF" w:themeColor="background1"/>
                <w:w w:val="86"/>
                <w:sz w:val="22"/>
              </w:rPr>
              <w:t>Nearest Interstate Highway</w:t>
            </w:r>
          </w:p>
        </w:tc>
        <w:tc>
          <w:tcPr>
            <w:tcW w:w="1502"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1E55F1E0" w14:textId="77777777" w:rsidR="00200213" w:rsidRPr="00020D20" w:rsidRDefault="00200213" w:rsidP="00020D20">
            <w:pPr>
              <w:spacing w:before="0" w:after="0" w:line="240" w:lineRule="auto"/>
              <w:jc w:val="center"/>
              <w:rPr>
                <w:color w:val="FFFFFF" w:themeColor="background1"/>
                <w:sz w:val="22"/>
              </w:rPr>
            </w:pPr>
            <w:r w:rsidRPr="00020D20">
              <w:rPr>
                <w:color w:val="FFFFFF" w:themeColor="background1"/>
                <w:w w:val="86"/>
                <w:sz w:val="22"/>
              </w:rPr>
              <w:t>Annual Commercial Truck Traffic*</w:t>
            </w:r>
          </w:p>
        </w:tc>
      </w:tr>
      <w:tr w:rsidR="00200213" w:rsidRPr="00200213" w14:paraId="6CDB0F20" w14:textId="77777777" w:rsidTr="00020D20">
        <w:trPr>
          <w:trHeight w:val="20"/>
        </w:trPr>
        <w:tc>
          <w:tcPr>
            <w:tcW w:w="2340"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vAlign w:val="center"/>
          </w:tcPr>
          <w:p w14:paraId="6D13C303" w14:textId="70E7515F" w:rsidR="00200213" w:rsidRPr="00E47D49" w:rsidRDefault="00202C92">
            <w:pPr>
              <w:pStyle w:val="Title"/>
            </w:pPr>
            <w:hyperlink r:id="rId918" w:history="1">
              <w:r w:rsidR="00200213" w:rsidRPr="00E47D49">
                <w:t>San Luis I</w:t>
              </w:r>
            </w:hyperlink>
          </w:p>
        </w:tc>
        <w:tc>
          <w:tcPr>
            <w:tcW w:w="2520"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vAlign w:val="center"/>
          </w:tcPr>
          <w:p w14:paraId="2A2D2F3F" w14:textId="77777777" w:rsidR="00200213" w:rsidRPr="00020D20" w:rsidRDefault="00200213" w:rsidP="00020D20">
            <w:pPr>
              <w:pStyle w:val="Heading5"/>
              <w:spacing w:before="0" w:after="0" w:line="240" w:lineRule="auto"/>
              <w:rPr>
                <w:i w:val="0"/>
                <w:color w:val="auto"/>
              </w:rPr>
            </w:pPr>
            <w:r w:rsidRPr="00020D20">
              <w:rPr>
                <w:i w:val="0"/>
                <w:color w:val="auto"/>
              </w:rPr>
              <w:t>Motor Vehicle; Pedestrian</w:t>
            </w:r>
          </w:p>
        </w:tc>
        <w:tc>
          <w:tcPr>
            <w:tcW w:w="1501"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vAlign w:val="center"/>
          </w:tcPr>
          <w:p w14:paraId="227A3FC2" w14:textId="77777777" w:rsidR="00200213" w:rsidRPr="00020D20" w:rsidRDefault="00200213" w:rsidP="00020D20">
            <w:pPr>
              <w:pStyle w:val="Heading5"/>
              <w:spacing w:before="0" w:after="0" w:line="240" w:lineRule="auto"/>
              <w:rPr>
                <w:i w:val="0"/>
                <w:color w:val="auto"/>
              </w:rPr>
            </w:pPr>
            <w:r w:rsidRPr="00020D20">
              <w:rPr>
                <w:i w:val="0"/>
                <w:color w:val="auto"/>
              </w:rPr>
              <w:t>US 95, SR 195</w:t>
            </w:r>
          </w:p>
        </w:tc>
        <w:tc>
          <w:tcPr>
            <w:tcW w:w="1502"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vAlign w:val="center"/>
          </w:tcPr>
          <w:p w14:paraId="46ECADF9" w14:textId="77777777" w:rsidR="00200213" w:rsidRPr="00020D20" w:rsidRDefault="00200213" w:rsidP="00020D20">
            <w:pPr>
              <w:pStyle w:val="Heading5"/>
              <w:spacing w:before="0" w:after="0" w:line="240" w:lineRule="auto"/>
              <w:rPr>
                <w:i w:val="0"/>
                <w:color w:val="auto"/>
              </w:rPr>
            </w:pPr>
            <w:r w:rsidRPr="00020D20">
              <w:rPr>
                <w:i w:val="0"/>
                <w:color w:val="auto"/>
              </w:rPr>
              <w:t>I-8</w:t>
            </w:r>
          </w:p>
        </w:tc>
        <w:tc>
          <w:tcPr>
            <w:tcW w:w="1502"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vAlign w:val="center"/>
          </w:tcPr>
          <w:p w14:paraId="00DB01A7" w14:textId="77777777" w:rsidR="00200213" w:rsidRPr="00020D20" w:rsidRDefault="00200213" w:rsidP="00020D20">
            <w:pPr>
              <w:pStyle w:val="Heading5"/>
              <w:spacing w:before="0" w:after="0" w:line="240" w:lineRule="auto"/>
              <w:rPr>
                <w:i w:val="0"/>
                <w:color w:val="auto"/>
              </w:rPr>
            </w:pPr>
            <w:r w:rsidRPr="00020D20">
              <w:rPr>
                <w:i w:val="0"/>
                <w:color w:val="auto"/>
              </w:rPr>
              <w:t>43,967</w:t>
            </w:r>
          </w:p>
        </w:tc>
      </w:tr>
      <w:tr w:rsidR="00200213" w:rsidRPr="00200213" w14:paraId="63F57086"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AE025F4" w14:textId="11A16A1B" w:rsidR="00200213" w:rsidRPr="00E47D49" w:rsidRDefault="00202C92">
            <w:pPr>
              <w:pStyle w:val="Title"/>
            </w:pPr>
            <w:hyperlink r:id="rId919" w:history="1">
              <w:r w:rsidR="00200213" w:rsidRPr="00E47D49">
                <w:t>San Luis II</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41CD33C" w14:textId="77777777" w:rsidR="00200213" w:rsidRPr="00020D20" w:rsidRDefault="00200213" w:rsidP="00020D20">
            <w:pPr>
              <w:pStyle w:val="Heading5"/>
              <w:spacing w:before="0" w:after="0" w:line="240" w:lineRule="auto"/>
              <w:rPr>
                <w:i w:val="0"/>
                <w:color w:val="auto"/>
              </w:rPr>
            </w:pPr>
            <w:r w:rsidRPr="00020D20">
              <w:rPr>
                <w:i w:val="0"/>
                <w:color w:val="auto"/>
              </w:rPr>
              <w:t>Motor Vehicle</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0E09D96" w14:textId="77777777" w:rsidR="00200213" w:rsidRPr="00020D20" w:rsidRDefault="00200213" w:rsidP="00020D20">
            <w:pPr>
              <w:pStyle w:val="Heading5"/>
              <w:spacing w:before="0" w:after="0" w:line="240" w:lineRule="auto"/>
              <w:rPr>
                <w:i w:val="0"/>
                <w:color w:val="auto"/>
              </w:rPr>
            </w:pPr>
            <w:r w:rsidRPr="00020D20">
              <w:rPr>
                <w:i w:val="0"/>
                <w:color w:val="auto"/>
              </w:rPr>
              <w:t>US 95, SR 195</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40A2F7A" w14:textId="77777777" w:rsidR="00200213" w:rsidRPr="00020D20" w:rsidRDefault="00200213" w:rsidP="00020D20">
            <w:pPr>
              <w:pStyle w:val="Heading5"/>
              <w:spacing w:before="0" w:after="0" w:line="240" w:lineRule="auto"/>
              <w:rPr>
                <w:i w:val="0"/>
                <w:color w:val="auto"/>
              </w:rPr>
            </w:pPr>
            <w:r w:rsidRPr="00020D20">
              <w:rPr>
                <w:i w:val="0"/>
                <w:color w:val="auto"/>
              </w:rPr>
              <w:t>I-8</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5CC26B2" w14:textId="77777777" w:rsidR="00200213" w:rsidRPr="00020D20" w:rsidRDefault="00200213" w:rsidP="00020D20">
            <w:pPr>
              <w:pStyle w:val="Heading5"/>
              <w:spacing w:before="0" w:after="0" w:line="240" w:lineRule="auto"/>
              <w:rPr>
                <w:i w:val="0"/>
                <w:color w:val="auto"/>
              </w:rPr>
            </w:pPr>
          </w:p>
        </w:tc>
      </w:tr>
      <w:tr w:rsidR="00200213" w:rsidRPr="00200213" w14:paraId="46C9B27B"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9EABA2A" w14:textId="097A6ABD" w:rsidR="00200213" w:rsidRPr="00E47D49" w:rsidRDefault="00202C92">
            <w:pPr>
              <w:pStyle w:val="Title"/>
            </w:pPr>
            <w:hyperlink r:id="rId920" w:history="1">
              <w:r w:rsidR="00200213" w:rsidRPr="00E47D49">
                <w:t>Lukeville</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CF4D645" w14:textId="77777777" w:rsidR="00200213" w:rsidRPr="00020D20" w:rsidRDefault="00200213" w:rsidP="00020D20">
            <w:pPr>
              <w:pStyle w:val="Heading5"/>
              <w:spacing w:before="0" w:after="0" w:line="240" w:lineRule="auto"/>
              <w:rPr>
                <w:i w:val="0"/>
                <w:color w:val="auto"/>
              </w:rPr>
            </w:pPr>
            <w:r w:rsidRPr="00020D20">
              <w:rPr>
                <w:i w:val="0"/>
                <w:color w:val="auto"/>
              </w:rPr>
              <w:t>Motor Vehicle; 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7CCD5F4" w14:textId="77777777" w:rsidR="00200213" w:rsidRPr="00020D20" w:rsidRDefault="00200213" w:rsidP="00020D20">
            <w:pPr>
              <w:pStyle w:val="Heading5"/>
              <w:spacing w:before="0" w:after="0" w:line="240" w:lineRule="auto"/>
              <w:rPr>
                <w:i w:val="0"/>
                <w:color w:val="auto"/>
              </w:rPr>
            </w:pPr>
            <w:r w:rsidRPr="00020D20">
              <w:rPr>
                <w:i w:val="0"/>
                <w:color w:val="auto"/>
              </w:rPr>
              <w:t>SR 85</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0838D706" w14:textId="77777777" w:rsidR="00200213" w:rsidRPr="00020D20" w:rsidRDefault="00200213" w:rsidP="00020D20">
            <w:pPr>
              <w:pStyle w:val="Heading5"/>
              <w:spacing w:before="0" w:after="0" w:line="240" w:lineRule="auto"/>
              <w:rPr>
                <w:i w:val="0"/>
                <w:color w:val="auto"/>
              </w:rPr>
            </w:pPr>
            <w:r w:rsidRPr="00020D20">
              <w:rPr>
                <w:i w:val="0"/>
                <w:color w:val="auto"/>
              </w:rPr>
              <w:t>I-8</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079DAB85" w14:textId="77777777" w:rsidR="00200213" w:rsidRPr="00020D20" w:rsidRDefault="00200213" w:rsidP="00020D20">
            <w:pPr>
              <w:pStyle w:val="Heading5"/>
              <w:spacing w:before="0" w:after="0" w:line="240" w:lineRule="auto"/>
              <w:rPr>
                <w:i w:val="0"/>
                <w:color w:val="auto"/>
              </w:rPr>
            </w:pPr>
            <w:r w:rsidRPr="00020D20">
              <w:rPr>
                <w:i w:val="0"/>
                <w:color w:val="auto"/>
              </w:rPr>
              <w:t>1,960</w:t>
            </w:r>
          </w:p>
        </w:tc>
      </w:tr>
      <w:tr w:rsidR="00200213" w:rsidRPr="00200213" w14:paraId="1B276E92"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2D0F61F" w14:textId="45E7E57F" w:rsidR="00200213" w:rsidRPr="00E47D49" w:rsidRDefault="00202C92">
            <w:pPr>
              <w:pStyle w:val="Title"/>
            </w:pPr>
            <w:hyperlink r:id="rId921" w:history="1">
              <w:r w:rsidR="00200213" w:rsidRPr="00E47D49">
                <w:t>Sasabe</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57ECA24" w14:textId="77777777" w:rsidR="00200213" w:rsidRPr="00020D20" w:rsidRDefault="00200213" w:rsidP="00020D20">
            <w:pPr>
              <w:pStyle w:val="Heading5"/>
              <w:spacing w:before="0" w:after="0" w:line="240" w:lineRule="auto"/>
              <w:rPr>
                <w:i w:val="0"/>
                <w:color w:val="auto"/>
              </w:rPr>
            </w:pPr>
            <w:r w:rsidRPr="00020D20">
              <w:rPr>
                <w:i w:val="0"/>
                <w:color w:val="auto"/>
              </w:rPr>
              <w:t>Motor Vehicle; 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C1DC0D6" w14:textId="77777777" w:rsidR="00200213" w:rsidRPr="00020D20" w:rsidRDefault="00200213" w:rsidP="00020D20">
            <w:pPr>
              <w:pStyle w:val="Heading5"/>
              <w:spacing w:before="0" w:after="0" w:line="240" w:lineRule="auto"/>
              <w:rPr>
                <w:i w:val="0"/>
                <w:color w:val="auto"/>
              </w:rPr>
            </w:pPr>
            <w:r w:rsidRPr="00020D20">
              <w:rPr>
                <w:i w:val="0"/>
                <w:color w:val="auto"/>
              </w:rPr>
              <w:t>SR 286</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C7BB1F4" w14:textId="77777777" w:rsidR="00200213" w:rsidRPr="00020D20" w:rsidRDefault="00200213" w:rsidP="00020D20">
            <w:pPr>
              <w:pStyle w:val="Heading5"/>
              <w:spacing w:before="0" w:after="0" w:line="240" w:lineRule="auto"/>
              <w:rPr>
                <w:i w:val="0"/>
                <w:color w:val="auto"/>
              </w:rPr>
            </w:pPr>
            <w:r w:rsidRPr="00020D20">
              <w:rPr>
                <w:i w:val="0"/>
                <w:color w:val="auto"/>
              </w:rPr>
              <w:t>I-10, I-19</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06699CF" w14:textId="77777777" w:rsidR="00200213" w:rsidRPr="00020D20" w:rsidRDefault="00200213" w:rsidP="00020D20">
            <w:pPr>
              <w:pStyle w:val="Heading5"/>
              <w:spacing w:before="0" w:after="0" w:line="240" w:lineRule="auto"/>
              <w:rPr>
                <w:i w:val="0"/>
                <w:color w:val="auto"/>
              </w:rPr>
            </w:pPr>
            <w:r w:rsidRPr="00020D20">
              <w:rPr>
                <w:i w:val="0"/>
                <w:color w:val="auto"/>
              </w:rPr>
              <w:t>369</w:t>
            </w:r>
          </w:p>
        </w:tc>
      </w:tr>
      <w:tr w:rsidR="00200213" w:rsidRPr="00200213" w14:paraId="093CB1F3"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2C99EBF" w14:textId="4C8EF6E2" w:rsidR="00200213" w:rsidRPr="00E47D49" w:rsidRDefault="00202C92">
            <w:pPr>
              <w:pStyle w:val="Title"/>
            </w:pPr>
            <w:hyperlink r:id="rId922" w:history="1">
              <w:r w:rsidR="00200213" w:rsidRPr="00E47D49">
                <w:t>Nogales Mariposa</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BDBD8B6" w14:textId="77777777" w:rsidR="00200213" w:rsidRPr="00020D20" w:rsidRDefault="00200213" w:rsidP="00020D20">
            <w:pPr>
              <w:pStyle w:val="Heading5"/>
              <w:spacing w:before="0" w:after="0" w:line="240" w:lineRule="auto"/>
              <w:rPr>
                <w:i w:val="0"/>
                <w:color w:val="auto"/>
              </w:rPr>
            </w:pPr>
            <w:r w:rsidRPr="00020D20">
              <w:rPr>
                <w:i w:val="0"/>
                <w:color w:val="auto"/>
              </w:rPr>
              <w:t>Motor Vehicle, 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C1570FE" w14:textId="77777777" w:rsidR="00200213" w:rsidRPr="00020D20" w:rsidRDefault="00200213" w:rsidP="00020D20">
            <w:pPr>
              <w:pStyle w:val="Heading5"/>
              <w:spacing w:before="0" w:after="0" w:line="240" w:lineRule="auto"/>
              <w:rPr>
                <w:i w:val="0"/>
                <w:color w:val="auto"/>
              </w:rPr>
            </w:pPr>
            <w:r w:rsidRPr="00020D20">
              <w:rPr>
                <w:i w:val="0"/>
                <w:color w:val="auto"/>
              </w:rPr>
              <w:t>SR 189</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D9CA6ED" w14:textId="77777777" w:rsidR="00200213" w:rsidRPr="00020D20" w:rsidRDefault="00200213" w:rsidP="00020D20">
            <w:pPr>
              <w:pStyle w:val="Heading5"/>
              <w:spacing w:before="0" w:after="0" w:line="240" w:lineRule="auto"/>
              <w:rPr>
                <w:i w:val="0"/>
                <w:color w:val="auto"/>
              </w:rPr>
            </w:pPr>
            <w:r w:rsidRPr="00020D20">
              <w:rPr>
                <w:i w:val="0"/>
                <w:color w:val="auto"/>
              </w:rPr>
              <w:t>I-19</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DBCA618" w14:textId="77777777" w:rsidR="00200213" w:rsidRPr="00020D20" w:rsidRDefault="00200213" w:rsidP="00020D20">
            <w:pPr>
              <w:pStyle w:val="Heading5"/>
              <w:spacing w:before="0" w:after="0" w:line="240" w:lineRule="auto"/>
              <w:rPr>
                <w:i w:val="0"/>
                <w:color w:val="auto"/>
              </w:rPr>
            </w:pPr>
            <w:r w:rsidRPr="00020D20">
              <w:rPr>
                <w:i w:val="0"/>
                <w:color w:val="auto"/>
              </w:rPr>
              <w:t>308,917</w:t>
            </w:r>
          </w:p>
        </w:tc>
      </w:tr>
      <w:tr w:rsidR="00200213" w:rsidRPr="00200213" w14:paraId="334B487F"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88378D6" w14:textId="12EB2CCA" w:rsidR="00200213" w:rsidRPr="00E47D49" w:rsidRDefault="00202C92">
            <w:pPr>
              <w:pStyle w:val="Title"/>
            </w:pPr>
            <w:hyperlink r:id="rId923" w:history="1">
              <w:r w:rsidR="00200213" w:rsidRPr="00E47D49">
                <w:t>Nogales DeConcini</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6BFA778" w14:textId="77777777" w:rsidR="00200213" w:rsidRPr="00020D20" w:rsidRDefault="00200213" w:rsidP="00020D20">
            <w:pPr>
              <w:pStyle w:val="Heading5"/>
              <w:spacing w:before="0" w:after="0" w:line="240" w:lineRule="auto"/>
              <w:rPr>
                <w:i w:val="0"/>
                <w:color w:val="auto"/>
              </w:rPr>
            </w:pPr>
            <w:r w:rsidRPr="00020D20">
              <w:rPr>
                <w:i w:val="0"/>
                <w:color w:val="auto"/>
              </w:rPr>
              <w:t>Motor Vehicle; Rail; 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1889F00" w14:textId="77777777" w:rsidR="00200213" w:rsidRPr="00020D20" w:rsidRDefault="00200213" w:rsidP="00020D20">
            <w:pPr>
              <w:pStyle w:val="Heading5"/>
              <w:spacing w:before="0" w:after="0" w:line="240" w:lineRule="auto"/>
              <w:rPr>
                <w:i w:val="0"/>
                <w:color w:val="auto"/>
              </w:rPr>
            </w:pPr>
            <w:r w:rsidRPr="00020D20">
              <w:rPr>
                <w:i w:val="0"/>
                <w:color w:val="auto"/>
              </w:rPr>
              <w:t>B-19, Union Pacific</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148BF3B" w14:textId="77777777" w:rsidR="00200213" w:rsidRPr="00020D20" w:rsidRDefault="00200213" w:rsidP="00020D20">
            <w:pPr>
              <w:pStyle w:val="Heading5"/>
              <w:spacing w:before="0" w:after="0" w:line="240" w:lineRule="auto"/>
              <w:rPr>
                <w:i w:val="0"/>
                <w:color w:val="auto"/>
              </w:rPr>
            </w:pPr>
            <w:r w:rsidRPr="00020D20">
              <w:rPr>
                <w:i w:val="0"/>
                <w:color w:val="auto"/>
              </w:rPr>
              <w:t>I-19</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EDD1A6A" w14:textId="77777777" w:rsidR="00200213" w:rsidRPr="00020D20" w:rsidRDefault="00200213" w:rsidP="00020D20">
            <w:pPr>
              <w:pStyle w:val="Heading5"/>
              <w:spacing w:before="0" w:after="0" w:line="240" w:lineRule="auto"/>
              <w:rPr>
                <w:i w:val="0"/>
                <w:color w:val="auto"/>
              </w:rPr>
            </w:pPr>
            <w:r w:rsidRPr="00020D20">
              <w:rPr>
                <w:i w:val="0"/>
                <w:color w:val="auto"/>
              </w:rPr>
              <w:t>0</w:t>
            </w:r>
          </w:p>
        </w:tc>
      </w:tr>
      <w:tr w:rsidR="00200213" w:rsidRPr="00200213" w14:paraId="0F59D4D9"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A2910DE" w14:textId="14A886D7" w:rsidR="00200213" w:rsidRPr="00E47D49" w:rsidRDefault="00202C92">
            <w:pPr>
              <w:pStyle w:val="Title"/>
            </w:pPr>
            <w:hyperlink r:id="rId924" w:history="1">
              <w:r w:rsidR="00200213" w:rsidRPr="00E47D49">
                <w:t>Nogales Morley Gate</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4790198" w14:textId="77777777" w:rsidR="00200213" w:rsidRPr="00020D20" w:rsidRDefault="00200213" w:rsidP="00020D20">
            <w:pPr>
              <w:pStyle w:val="Heading5"/>
              <w:spacing w:before="0" w:after="0" w:line="240" w:lineRule="auto"/>
              <w:rPr>
                <w:i w:val="0"/>
                <w:color w:val="auto"/>
              </w:rPr>
            </w:pPr>
            <w:r w:rsidRPr="00020D20">
              <w:rPr>
                <w:i w:val="0"/>
                <w:color w:val="auto"/>
              </w:rPr>
              <w:t>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13F021A" w14:textId="77777777" w:rsidR="00200213" w:rsidRPr="00020D20" w:rsidRDefault="00200213" w:rsidP="00020D20">
            <w:pPr>
              <w:pStyle w:val="Heading5"/>
              <w:spacing w:before="0" w:after="0" w:line="240" w:lineRule="auto"/>
              <w:rPr>
                <w:i w:val="0"/>
                <w:color w:val="auto"/>
              </w:rPr>
            </w:pPr>
            <w:r w:rsidRPr="00020D20">
              <w:rPr>
                <w:i w:val="0"/>
                <w:color w:val="auto"/>
              </w:rPr>
              <w:t>N/A</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9409024" w14:textId="77777777" w:rsidR="00200213" w:rsidRPr="00020D20" w:rsidRDefault="00200213" w:rsidP="00020D20">
            <w:pPr>
              <w:pStyle w:val="Heading5"/>
              <w:spacing w:before="0" w:after="0" w:line="240" w:lineRule="auto"/>
              <w:rPr>
                <w:i w:val="0"/>
                <w:color w:val="auto"/>
              </w:rPr>
            </w:pPr>
            <w:r w:rsidRPr="00020D20">
              <w:rPr>
                <w:i w:val="0"/>
                <w:color w:val="auto"/>
              </w:rPr>
              <w:t>I-19</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CE66FBF" w14:textId="77777777" w:rsidR="00200213" w:rsidRPr="00020D20" w:rsidRDefault="00200213" w:rsidP="00020D20">
            <w:pPr>
              <w:pStyle w:val="Heading5"/>
              <w:spacing w:before="0" w:after="0" w:line="240" w:lineRule="auto"/>
              <w:rPr>
                <w:i w:val="0"/>
                <w:color w:val="auto"/>
              </w:rPr>
            </w:pPr>
            <w:r w:rsidRPr="00020D20">
              <w:rPr>
                <w:i w:val="0"/>
                <w:color w:val="auto"/>
              </w:rPr>
              <w:t>0</w:t>
            </w:r>
          </w:p>
        </w:tc>
      </w:tr>
      <w:tr w:rsidR="00200213" w:rsidRPr="00200213" w14:paraId="3DFB6BAC"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04472FE0" w14:textId="5955E3BD" w:rsidR="00200213" w:rsidRPr="00E47D49" w:rsidRDefault="00202C92">
            <w:pPr>
              <w:pStyle w:val="Title"/>
            </w:pPr>
            <w:hyperlink r:id="rId925" w:history="1">
              <w:r w:rsidR="00200213" w:rsidRPr="00E47D49">
                <w:t>Naco</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A0449D7" w14:textId="77777777" w:rsidR="00200213" w:rsidRPr="00020D20" w:rsidRDefault="00200213" w:rsidP="00020D20">
            <w:pPr>
              <w:pStyle w:val="Heading5"/>
              <w:spacing w:before="0" w:after="0" w:line="240" w:lineRule="auto"/>
              <w:rPr>
                <w:i w:val="0"/>
                <w:color w:val="auto"/>
              </w:rPr>
            </w:pPr>
            <w:r w:rsidRPr="00020D20">
              <w:rPr>
                <w:i w:val="0"/>
                <w:color w:val="auto"/>
              </w:rPr>
              <w:t>Motor Vehicle; 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191900D" w14:textId="77777777" w:rsidR="00200213" w:rsidRPr="00020D20" w:rsidRDefault="00200213" w:rsidP="00020D20">
            <w:pPr>
              <w:pStyle w:val="Heading5"/>
              <w:spacing w:before="0" w:after="0" w:line="240" w:lineRule="auto"/>
              <w:rPr>
                <w:i w:val="0"/>
                <w:color w:val="auto"/>
              </w:rPr>
            </w:pPr>
            <w:r w:rsidRPr="00020D20">
              <w:rPr>
                <w:i w:val="0"/>
                <w:color w:val="auto"/>
              </w:rPr>
              <w:t>SR 92</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8501F7C" w14:textId="77777777" w:rsidR="00200213" w:rsidRPr="00020D20" w:rsidRDefault="00200213" w:rsidP="00020D20">
            <w:pPr>
              <w:pStyle w:val="Heading5"/>
              <w:spacing w:before="0" w:after="0" w:line="240" w:lineRule="auto"/>
              <w:rPr>
                <w:i w:val="0"/>
                <w:color w:val="auto"/>
              </w:rPr>
            </w:pPr>
            <w:r w:rsidRPr="00020D20">
              <w:rPr>
                <w:i w:val="0"/>
                <w:color w:val="auto"/>
              </w:rPr>
              <w:t>I-10</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4D4ACF2" w14:textId="77777777" w:rsidR="00200213" w:rsidRPr="00020D20" w:rsidRDefault="00200213" w:rsidP="00020D20">
            <w:pPr>
              <w:pStyle w:val="Heading5"/>
              <w:spacing w:before="0" w:after="0" w:line="240" w:lineRule="auto"/>
              <w:rPr>
                <w:i w:val="0"/>
                <w:color w:val="auto"/>
              </w:rPr>
            </w:pPr>
            <w:r w:rsidRPr="00020D20">
              <w:rPr>
                <w:i w:val="0"/>
                <w:color w:val="auto"/>
              </w:rPr>
              <w:t>2,825</w:t>
            </w:r>
          </w:p>
        </w:tc>
      </w:tr>
      <w:tr w:rsidR="00200213" w:rsidRPr="00200213" w14:paraId="2B5B9D40" w14:textId="77777777" w:rsidTr="00020D20">
        <w:trPr>
          <w:trHeight w:val="20"/>
        </w:trPr>
        <w:tc>
          <w:tcPr>
            <w:tcW w:w="234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15E8251" w14:textId="5191215E" w:rsidR="00200213" w:rsidRPr="00E47D49" w:rsidRDefault="00202C92">
            <w:pPr>
              <w:pStyle w:val="Title"/>
            </w:pPr>
            <w:hyperlink r:id="rId926" w:history="1">
              <w:r w:rsidR="00200213" w:rsidRPr="00E47D49">
                <w:t>Douglas</w:t>
              </w:r>
            </w:hyperlink>
          </w:p>
        </w:tc>
        <w:tc>
          <w:tcPr>
            <w:tcW w:w="25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51BA5FA7" w14:textId="77777777" w:rsidR="00200213" w:rsidRPr="00020D20" w:rsidRDefault="00200213" w:rsidP="00020D20">
            <w:pPr>
              <w:pStyle w:val="Heading5"/>
              <w:spacing w:before="0" w:after="0" w:line="240" w:lineRule="auto"/>
              <w:rPr>
                <w:i w:val="0"/>
                <w:color w:val="auto"/>
              </w:rPr>
            </w:pPr>
            <w:r w:rsidRPr="00020D20">
              <w:rPr>
                <w:i w:val="0"/>
                <w:color w:val="auto"/>
              </w:rPr>
              <w:t>Motor Vehicle; Pedestrian</w:t>
            </w:r>
          </w:p>
        </w:tc>
        <w:tc>
          <w:tcPr>
            <w:tcW w:w="1501"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5F457D1" w14:textId="77777777" w:rsidR="00200213" w:rsidRPr="00020D20" w:rsidRDefault="00200213" w:rsidP="00020D20">
            <w:pPr>
              <w:pStyle w:val="Heading5"/>
              <w:spacing w:before="0" w:after="0" w:line="240" w:lineRule="auto"/>
              <w:rPr>
                <w:i w:val="0"/>
                <w:color w:val="auto"/>
              </w:rPr>
            </w:pPr>
            <w:r w:rsidRPr="00020D20">
              <w:rPr>
                <w:i w:val="0"/>
                <w:color w:val="auto"/>
              </w:rPr>
              <w:t>SR 80</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9D9D813" w14:textId="77777777" w:rsidR="00200213" w:rsidRPr="00020D20" w:rsidRDefault="00200213" w:rsidP="00020D20">
            <w:pPr>
              <w:pStyle w:val="Heading5"/>
              <w:spacing w:before="0" w:after="0" w:line="240" w:lineRule="auto"/>
              <w:rPr>
                <w:i w:val="0"/>
                <w:color w:val="auto"/>
              </w:rPr>
            </w:pPr>
            <w:r w:rsidRPr="00020D20">
              <w:rPr>
                <w:i w:val="0"/>
                <w:color w:val="auto"/>
              </w:rPr>
              <w:t>I-10</w:t>
            </w:r>
          </w:p>
        </w:tc>
        <w:tc>
          <w:tcPr>
            <w:tcW w:w="1502"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5432126" w14:textId="77777777" w:rsidR="00200213" w:rsidRPr="00020D20" w:rsidRDefault="00200213" w:rsidP="00020D20">
            <w:pPr>
              <w:pStyle w:val="Heading5"/>
              <w:spacing w:before="0" w:after="0" w:line="240" w:lineRule="auto"/>
              <w:rPr>
                <w:i w:val="0"/>
                <w:color w:val="auto"/>
              </w:rPr>
            </w:pPr>
            <w:r w:rsidRPr="00020D20">
              <w:rPr>
                <w:i w:val="0"/>
                <w:color w:val="auto"/>
              </w:rPr>
              <w:t>24,667</w:t>
            </w:r>
          </w:p>
        </w:tc>
      </w:tr>
    </w:tbl>
    <w:p w14:paraId="74CD9625" w14:textId="0B0A0A91" w:rsidR="00342660" w:rsidRPr="00020D20" w:rsidRDefault="00342660" w:rsidP="00020D20">
      <w:pPr>
        <w:pStyle w:val="Source-Graphic"/>
        <w:jc w:val="both"/>
        <w:rPr>
          <w:rStyle w:val="Strong"/>
          <w:rFonts w:eastAsiaTheme="minorHAnsi" w:cstheme="minorBidi"/>
          <w:b w:val="0"/>
          <w:bCs w:val="0"/>
          <w:i/>
          <w:color w:val="767171" w:themeColor="background2" w:themeShade="80"/>
        </w:rPr>
      </w:pPr>
      <w:r w:rsidRPr="00472679">
        <w:rPr>
          <w:rStyle w:val="Strong"/>
          <w:b w:val="0"/>
        </w:rPr>
        <w:t>*Truck traffic data for October 2007 through September 2008 period, prior to the opening of San Luis II.</w:t>
      </w:r>
    </w:p>
    <w:p w14:paraId="76E4C07A" w14:textId="729C24A0" w:rsidR="00850300" w:rsidRPr="00957CC4" w:rsidRDefault="00342660" w:rsidP="00020D20">
      <w:pPr>
        <w:pStyle w:val="Source-Graphic"/>
        <w:jc w:val="both"/>
        <w:rPr>
          <w:rFonts w:cstheme="minorHAnsi"/>
        </w:rPr>
      </w:pPr>
      <w:r w:rsidRPr="00472679">
        <w:rPr>
          <w:rStyle w:val="Strong"/>
          <w:b w:val="0"/>
        </w:rPr>
        <w:t>Source: U.S./Mexico Joint Working Committee on Transportation Planning, Public-Private Partnerships Potential for</w:t>
      </w:r>
      <w:r w:rsidRPr="00495A39">
        <w:rPr>
          <w:rStyle w:val="Strong"/>
          <w:b w:val="0"/>
        </w:rPr>
        <w:t xml:space="preserve"> Arizona-Mexico Border Infrastructure Projects.,</w:t>
      </w:r>
      <w:hyperlink r:id="rId927" w:history="1">
        <w:r w:rsidRPr="00020D20">
          <w:rPr>
            <w:rStyle w:val="TitleChar"/>
            <w:sz w:val="16"/>
            <w:szCs w:val="16"/>
          </w:rPr>
          <w:t xml:space="preserve"> http://www.borderplanning.fhwa.dot.gov/adot_PPPrpt/execSumm.asp</w:t>
        </w:r>
      </w:hyperlink>
    </w:p>
    <w:p w14:paraId="18213570" w14:textId="77777777" w:rsidR="00850300" w:rsidRDefault="00850300" w:rsidP="00020D20">
      <w:pPr>
        <w:jc w:val="both"/>
        <w:rPr>
          <w:rFonts w:cstheme="minorHAnsi"/>
        </w:rPr>
        <w:sectPr w:rsidR="00850300" w:rsidSect="00020D20">
          <w:type w:val="continuous"/>
          <w:pgSz w:w="12240" w:h="15840"/>
          <w:pgMar w:top="1440" w:right="1440" w:bottom="1440" w:left="1440" w:header="720" w:footer="720" w:gutter="0"/>
          <w:pgNumType w:chapStyle="1"/>
          <w:cols w:space="720"/>
          <w:docGrid w:linePitch="360"/>
        </w:sectPr>
      </w:pPr>
    </w:p>
    <w:p w14:paraId="5F73D380" w14:textId="152ABB99" w:rsidR="00200213" w:rsidRPr="00200213" w:rsidRDefault="00200213" w:rsidP="00020D20">
      <w:pPr>
        <w:jc w:val="both"/>
        <w:rPr>
          <w:rFonts w:cstheme="minorHAnsi"/>
        </w:rPr>
      </w:pPr>
      <w:r w:rsidRPr="00200213">
        <w:rPr>
          <w:rFonts w:cstheme="minorHAnsi"/>
        </w:rPr>
        <w:t xml:space="preserve">A similar need exists for improvements on the Sonora side in Nogales. In Arizona, improvements have been made to the Nogales Mariposa facility, which handles all the commercial truck traffic. A comprehensive modernization project was </w:t>
      </w:r>
      <w:r w:rsidR="00D91184">
        <w:rPr>
          <w:rFonts w:cstheme="minorHAnsi"/>
        </w:rPr>
        <w:t>completed at this facility in 2014 to increase over five times the previous freight processing capacity</w:t>
      </w:r>
      <w:r w:rsidRPr="00200213">
        <w:rPr>
          <w:rFonts w:cstheme="minorHAnsi"/>
        </w:rPr>
        <w:t xml:space="preserve">. </w:t>
      </w:r>
    </w:p>
    <w:p w14:paraId="7985D03B" w14:textId="77777777" w:rsidR="00200213" w:rsidRPr="00200213" w:rsidRDefault="00200213" w:rsidP="00020D20">
      <w:pPr>
        <w:jc w:val="both"/>
        <w:rPr>
          <w:rFonts w:cstheme="minorHAnsi"/>
        </w:rPr>
      </w:pPr>
      <w:r w:rsidRPr="00200213">
        <w:rPr>
          <w:rFonts w:cstheme="minorHAnsi"/>
        </w:rPr>
        <w:t>Downtown Nogales is the only location where a rail connection between Arizona and Sonora exists. Previously, there were rail connections at both Douglas/Agua Prieta and Naco, but both were removed in the 1990s.</w:t>
      </w:r>
    </w:p>
    <w:p w14:paraId="1D925581" w14:textId="77777777" w:rsidR="00200213" w:rsidRPr="00200213" w:rsidRDefault="00200213" w:rsidP="00020D20">
      <w:pPr>
        <w:jc w:val="both"/>
        <w:rPr>
          <w:rFonts w:cstheme="minorHAnsi"/>
        </w:rPr>
      </w:pPr>
      <w:r w:rsidRPr="00200213">
        <w:rPr>
          <w:rFonts w:cstheme="minorHAnsi"/>
        </w:rPr>
        <w:t>While additional improvements to the POEs remain in the planning stage, conditions may worsen before they begin to improve. Truck traffic between Arizona and Sonora is increasing. Implementation of immigration reform—which seems increasingly likely—may result in increased noncommercial and pedestrian traffic at the busiest POEs.</w:t>
      </w:r>
    </w:p>
    <w:p w14:paraId="11E70943" w14:textId="77777777" w:rsidR="00200213" w:rsidRPr="00200213" w:rsidRDefault="00200213" w:rsidP="00020D20">
      <w:pPr>
        <w:pStyle w:val="Heading3"/>
        <w:jc w:val="both"/>
      </w:pPr>
      <w:bookmarkStart w:id="553" w:name="_Ref50039908"/>
      <w:r w:rsidRPr="00200213">
        <w:t>15.6.2 | Canamex &amp; I-11</w:t>
      </w:r>
      <w:bookmarkEnd w:id="553"/>
    </w:p>
    <w:p w14:paraId="675B092F" w14:textId="3A8301F2" w:rsidR="00200213" w:rsidRPr="00200213" w:rsidRDefault="00200213" w:rsidP="00020D20">
      <w:pPr>
        <w:jc w:val="both"/>
        <w:rPr>
          <w:rFonts w:cstheme="minorHAnsi"/>
          <w:b/>
        </w:rPr>
      </w:pPr>
      <w:r w:rsidRPr="00200213">
        <w:rPr>
          <w:rFonts w:cstheme="minorHAnsi"/>
        </w:rPr>
        <w:t>The</w:t>
      </w:r>
      <w:r w:rsidR="00970113">
        <w:rPr>
          <w:rFonts w:cstheme="minorHAnsi"/>
        </w:rPr>
        <w:t xml:space="preserve"> Canada to Mexico </w:t>
      </w:r>
      <w:r w:rsidR="00E053C0">
        <w:rPr>
          <w:rFonts w:cstheme="minorHAnsi"/>
        </w:rPr>
        <w:t>C</w:t>
      </w:r>
      <w:r w:rsidR="00970113">
        <w:rPr>
          <w:rFonts w:cstheme="minorHAnsi"/>
        </w:rPr>
        <w:t>orridor</w:t>
      </w:r>
      <w:r w:rsidRPr="00200213">
        <w:rPr>
          <w:rFonts w:cstheme="minorHAnsi"/>
        </w:rPr>
        <w:t xml:space="preserve"> </w:t>
      </w:r>
      <w:r w:rsidR="00970113">
        <w:rPr>
          <w:rFonts w:cstheme="minorHAnsi"/>
        </w:rPr>
        <w:t>(</w:t>
      </w:r>
      <w:r w:rsidRPr="00200213">
        <w:rPr>
          <w:rFonts w:cstheme="minorHAnsi"/>
        </w:rPr>
        <w:t>CANAMEX</w:t>
      </w:r>
      <w:r w:rsidR="00970113">
        <w:rPr>
          <w:rFonts w:cstheme="minorHAnsi"/>
        </w:rPr>
        <w:t>)</w:t>
      </w:r>
      <w:r w:rsidRPr="00200213">
        <w:rPr>
          <w:rFonts w:cstheme="minorHAnsi"/>
        </w:rPr>
        <w:t xml:space="preserve"> is a designated high priority corridor connecting Canada with Mexico by means of Interstate 15, US 93, US 60, I-10, and Interstate19. The corridor is intended to be a four-lane, divided highway throughout its length. </w:t>
      </w:r>
      <w:r w:rsidR="00B343FD" w:rsidRPr="00200213">
        <w:rPr>
          <w:rFonts w:cstheme="minorHAnsi"/>
        </w:rPr>
        <w:t>However,</w:t>
      </w:r>
      <w:r w:rsidRPr="00200213">
        <w:rPr>
          <w:rFonts w:cstheme="minorHAnsi"/>
        </w:rPr>
        <w:t xml:space="preserve"> several segments of the corridor within Arizona do not meet this standard: Portions of US 93 between Kingman and Wickenburg still have only two lanes and US 60 within the metropolitan Phoenix area (Grand Avenue) is not fully access controlled.</w:t>
      </w:r>
    </w:p>
    <w:p w14:paraId="34DA0649" w14:textId="78CDC8B8" w:rsidR="00200213" w:rsidRDefault="00200213" w:rsidP="00020D20">
      <w:pPr>
        <w:jc w:val="both"/>
        <w:rPr>
          <w:rFonts w:cstheme="minorHAnsi"/>
        </w:rPr>
      </w:pPr>
      <w:r w:rsidRPr="00200213">
        <w:rPr>
          <w:rFonts w:cstheme="minorHAnsi"/>
        </w:rPr>
        <w:t>To correct these deficiencies, and to expedite the movement of people and goods between central Arizona, Las Vegas, and the Pacific Northwest, a new I-11 has been proposed. Figure 15-2 depicts the two corridors.</w:t>
      </w:r>
    </w:p>
    <w:p w14:paraId="2C92B790" w14:textId="77777777" w:rsidR="003D40F8" w:rsidRDefault="003D40F8" w:rsidP="00020D20">
      <w:pPr>
        <w:pStyle w:val="Heading4"/>
        <w:jc w:val="both"/>
        <w:sectPr w:rsidR="003D40F8" w:rsidSect="00020D20">
          <w:type w:val="continuous"/>
          <w:pgSz w:w="12240" w:h="15840"/>
          <w:pgMar w:top="1440" w:right="1440" w:bottom="1440" w:left="1440" w:header="720" w:footer="720" w:gutter="0"/>
          <w:pgNumType w:chapStyle="1"/>
          <w:cols w:num="2" w:space="720"/>
          <w:docGrid w:linePitch="360"/>
        </w:sectPr>
      </w:pPr>
    </w:p>
    <w:p w14:paraId="2AA657FC" w14:textId="23124815" w:rsidR="00200213" w:rsidRDefault="00200213" w:rsidP="00020D20">
      <w:pPr>
        <w:pStyle w:val="Heading4"/>
        <w:jc w:val="both"/>
      </w:pPr>
      <w:r w:rsidRPr="00AA574A">
        <w:t>Figure</w:t>
      </w:r>
      <w:r w:rsidR="00855FA4" w:rsidRPr="00AA574A">
        <w:t xml:space="preserve"> 15-2 | Canamex &amp; 1-11 Corridors</w:t>
      </w:r>
    </w:p>
    <w:p w14:paraId="173777DB" w14:textId="0AA0F7CF" w:rsidR="003D40F8" w:rsidRPr="003D40F8" w:rsidRDefault="003D40F8" w:rsidP="00020D20">
      <w:pPr>
        <w:jc w:val="both"/>
      </w:pPr>
      <w:r>
        <w:rPr>
          <w:noProof/>
        </w:rPr>
        <w:drawing>
          <wp:inline distT="0" distB="0" distL="0" distR="0" wp14:anchorId="5C4F7C24" wp14:editId="4B187A68">
            <wp:extent cx="5995358" cy="4774785"/>
            <wp:effectExtent l="0" t="0" r="5715" b="6985"/>
            <wp:docPr id="16" name="Picture 16"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_Figure15-2_ADOT-Map-Graphic.jpg"/>
                    <pic:cNvPicPr/>
                  </pic:nvPicPr>
                  <pic:blipFill>
                    <a:blip r:embed="rId928">
                      <a:extLst>
                        <a:ext uri="{28A0092B-C50C-407E-A947-70E740481C1C}">
                          <a14:useLocalDpi xmlns:a14="http://schemas.microsoft.com/office/drawing/2010/main" val="0"/>
                        </a:ext>
                      </a:extLst>
                    </a:blip>
                    <a:stretch>
                      <a:fillRect/>
                    </a:stretch>
                  </pic:blipFill>
                  <pic:spPr>
                    <a:xfrm>
                      <a:off x="0" y="0"/>
                      <a:ext cx="6001831" cy="4779940"/>
                    </a:xfrm>
                    <a:prstGeom prst="rect">
                      <a:avLst/>
                    </a:prstGeom>
                  </pic:spPr>
                </pic:pic>
              </a:graphicData>
            </a:graphic>
          </wp:inline>
        </w:drawing>
      </w:r>
    </w:p>
    <w:p w14:paraId="40F960F2" w14:textId="3B498DB0" w:rsidR="003D40F8" w:rsidRDefault="003D40F8" w:rsidP="00020D20">
      <w:pPr>
        <w:jc w:val="both"/>
        <w:sectPr w:rsidR="003D40F8" w:rsidSect="00020D20">
          <w:type w:val="continuous"/>
          <w:pgSz w:w="12240" w:h="15840"/>
          <w:pgMar w:top="1440" w:right="1440" w:bottom="1440" w:left="1440" w:header="720" w:footer="720" w:gutter="0"/>
          <w:pgNumType w:chapStyle="1"/>
          <w:cols w:space="720"/>
          <w:docGrid w:linePitch="360"/>
        </w:sectPr>
      </w:pPr>
    </w:p>
    <w:p w14:paraId="77231DC6" w14:textId="13806D9A" w:rsidR="003D40F8" w:rsidRDefault="003D40F8" w:rsidP="00020D20">
      <w:pPr>
        <w:jc w:val="both"/>
      </w:pPr>
    </w:p>
    <w:p w14:paraId="7826F8B8" w14:textId="79BC9330" w:rsidR="003D40F8" w:rsidRDefault="003D40F8" w:rsidP="00020D20">
      <w:pPr>
        <w:jc w:val="both"/>
      </w:pPr>
    </w:p>
    <w:p w14:paraId="1BF6EBB9" w14:textId="77777777" w:rsidR="00FF51A4" w:rsidRDefault="00FF51A4" w:rsidP="00020D20">
      <w:pPr>
        <w:jc w:val="both"/>
        <w:sectPr w:rsidR="00FF51A4" w:rsidSect="00F43B1D">
          <w:type w:val="continuous"/>
          <w:pgSz w:w="12240" w:h="15840"/>
          <w:pgMar w:top="1440" w:right="1440" w:bottom="1440" w:left="1440" w:header="720" w:footer="720" w:gutter="0"/>
          <w:cols w:num="2" w:space="720"/>
          <w:docGrid w:linePitch="360"/>
        </w:sectPr>
      </w:pPr>
    </w:p>
    <w:p w14:paraId="6C19D7A4" w14:textId="12B3EF7B" w:rsidR="00FF51A4" w:rsidRDefault="00FF51A4" w:rsidP="00020D20">
      <w:pPr>
        <w:jc w:val="both"/>
        <w:sectPr w:rsidR="00FF51A4" w:rsidSect="008E695B">
          <w:type w:val="continuous"/>
          <w:pgSz w:w="12240" w:h="15840"/>
          <w:pgMar w:top="1440" w:right="1440" w:bottom="1440" w:left="1440" w:header="720" w:footer="720" w:gutter="0"/>
          <w:cols w:space="720"/>
          <w:docGrid w:linePitch="360"/>
        </w:sectPr>
      </w:pPr>
    </w:p>
    <w:p w14:paraId="345EEA41" w14:textId="384D927C" w:rsidR="00D45347" w:rsidRDefault="00B231BA" w:rsidP="00020D20">
      <w:pPr>
        <w:pStyle w:val="BodyTextTitle"/>
        <w:spacing w:before="0" w:after="0" w:line="240" w:lineRule="auto"/>
        <w:jc w:val="both"/>
      </w:pPr>
      <w:r>
        <w:t>16</w:t>
      </w:r>
      <w:r w:rsidR="00D45347">
        <w:t xml:space="preserve"> </w:t>
      </w:r>
      <w:r>
        <w:t xml:space="preserve">| </w:t>
      </w:r>
      <w:r w:rsidR="00D45347">
        <w:t>AERONAUTICS</w:t>
      </w:r>
    </w:p>
    <w:p w14:paraId="5BE64B05" w14:textId="117E4662" w:rsidR="00B231BA" w:rsidRPr="00020D20" w:rsidRDefault="00B231BA" w:rsidP="00020D20">
      <w:pPr>
        <w:pStyle w:val="BodyTextTitle"/>
        <w:spacing w:before="0" w:line="240" w:lineRule="auto"/>
        <w:jc w:val="both"/>
        <w:rPr>
          <w:sz w:val="36"/>
        </w:rPr>
      </w:pPr>
      <w:r w:rsidRPr="00020D20">
        <w:rPr>
          <w:sz w:val="36"/>
        </w:rPr>
        <w:t>TABLE OF CONTENTS</w:t>
      </w:r>
    </w:p>
    <w:p w14:paraId="6CCD7458" w14:textId="75041D47"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_Ref50040748 \h </w:instrText>
      </w:r>
      <w:r w:rsidR="002D38FC">
        <w:instrText xml:space="preserve"> \* MERGEFORMAT </w:instrText>
      </w:r>
      <w:r>
        <w:fldChar w:fldCharType="separate"/>
      </w:r>
      <w:r w:rsidRPr="00A15677">
        <w:t>16.1 | PURPOSE</w:t>
      </w:r>
      <w:r>
        <w:fldChar w:fldCharType="end"/>
      </w:r>
    </w:p>
    <w:p w14:paraId="4317FBF6" w14:textId="39E412EC"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_Ref50040751 \h </w:instrText>
      </w:r>
      <w:r w:rsidR="002D38FC">
        <w:instrText xml:space="preserve"> \* MERGEFORMAT </w:instrText>
      </w:r>
      <w:r>
        <w:fldChar w:fldCharType="separate"/>
      </w:r>
      <w:r w:rsidRPr="00A15677">
        <w:t>16.2 | AUTHORITY</w:t>
      </w:r>
      <w:r>
        <w:fldChar w:fldCharType="end"/>
      </w:r>
    </w:p>
    <w:p w14:paraId="54C0D42B" w14:textId="7DB6B163"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_Ref50040756 \h </w:instrText>
      </w:r>
      <w:r w:rsidR="002D38FC">
        <w:instrText xml:space="preserve"> \* MERGEFORMAT </w:instrText>
      </w:r>
      <w:r>
        <w:fldChar w:fldCharType="separate"/>
      </w:r>
      <w:r w:rsidRPr="00A15677">
        <w:t>16.3 | SCOPE</w:t>
      </w:r>
      <w:r>
        <w:fldChar w:fldCharType="end"/>
      </w:r>
    </w:p>
    <w:p w14:paraId="08C93DA6" w14:textId="64C01202"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_Ref50040760 \h </w:instrText>
      </w:r>
      <w:r w:rsidR="002D38FC">
        <w:instrText xml:space="preserve"> \* MERGEFORMAT </w:instrText>
      </w:r>
      <w:r>
        <w:fldChar w:fldCharType="separate"/>
      </w:r>
      <w:r w:rsidRPr="00A15677">
        <w:t>16.4 | FAA AIRPORT IMPROVEMENT PROGRAM</w:t>
      </w:r>
      <w:r>
        <w:fldChar w:fldCharType="end"/>
      </w:r>
    </w:p>
    <w:p w14:paraId="50FA7FB8" w14:textId="377FB80F"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_Ref50040763 \h </w:instrText>
      </w:r>
      <w:r w:rsidR="002D38FC">
        <w:instrText xml:space="preserve"> \* MERGEFORMAT </w:instrText>
      </w:r>
      <w:r>
        <w:fldChar w:fldCharType="separate"/>
      </w:r>
      <w:r w:rsidRPr="00A15677">
        <w:rPr>
          <w:rFonts w:cstheme="minorHAnsi"/>
        </w:rPr>
        <w:t>16.4.1 | Federal Funding</w:t>
      </w:r>
      <w:r>
        <w:fldChar w:fldCharType="end"/>
      </w:r>
    </w:p>
    <w:p w14:paraId="73171943" w14:textId="39C4EF6A"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_Ref50040766 \h </w:instrText>
      </w:r>
      <w:r w:rsidR="002D38FC">
        <w:instrText xml:space="preserve"> \* MERGEFORMAT </w:instrText>
      </w:r>
      <w:r>
        <w:fldChar w:fldCharType="separate"/>
      </w:r>
      <w:r w:rsidRPr="00A15677">
        <w:rPr>
          <w:rFonts w:cstheme="minorHAnsi"/>
        </w:rPr>
        <w:t>16.4.2 | FAA Planning Process</w:t>
      </w:r>
      <w:r>
        <w:fldChar w:fldCharType="end"/>
      </w:r>
    </w:p>
    <w:p w14:paraId="6E4873FE" w14:textId="532198C9"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_Ref50040933 \h </w:instrText>
      </w:r>
      <w:r w:rsidR="002D38FC">
        <w:instrText xml:space="preserve"> \* MERGEFORMAT </w:instrText>
      </w:r>
      <w:r>
        <w:fldChar w:fldCharType="separate"/>
      </w:r>
      <w:r w:rsidRPr="00436D25">
        <w:t>National</w:t>
      </w:r>
      <w:r w:rsidRPr="00A15677">
        <w:t xml:space="preserve"> Plan of Integrated Airport System</w:t>
      </w:r>
      <w:r>
        <w:fldChar w:fldCharType="end"/>
      </w:r>
    </w:p>
    <w:p w14:paraId="28954E31" w14:textId="4AEF4AB5"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_Ref50040936 \h </w:instrText>
      </w:r>
      <w:r w:rsidR="002D38FC">
        <w:instrText xml:space="preserve"> \* MERGEFORMAT </w:instrText>
      </w:r>
      <w:r>
        <w:fldChar w:fldCharType="separate"/>
      </w:r>
      <w:r w:rsidRPr="00A15677">
        <w:t>State Airport System Plans</w:t>
      </w:r>
      <w:r>
        <w:fldChar w:fldCharType="end"/>
      </w:r>
    </w:p>
    <w:p w14:paraId="3FC51EF5" w14:textId="5911ECFA"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_Ref50040939 \h </w:instrText>
      </w:r>
      <w:r w:rsidR="002D38FC">
        <w:instrText xml:space="preserve"> \* MERGEFORMAT </w:instrText>
      </w:r>
      <w:r>
        <w:fldChar w:fldCharType="separate"/>
      </w:r>
      <w:r w:rsidRPr="00F74B9B">
        <w:t>Regional</w:t>
      </w:r>
      <w:r w:rsidRPr="00A15677">
        <w:t xml:space="preserve"> Airport System Plans</w:t>
      </w:r>
      <w:r>
        <w:fldChar w:fldCharType="end"/>
      </w:r>
    </w:p>
    <w:p w14:paraId="1AE1F20D" w14:textId="1FBD09E4"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_Ref50040942 \h </w:instrText>
      </w:r>
      <w:r w:rsidR="002D38FC">
        <w:instrText xml:space="preserve"> \* MERGEFORMAT </w:instrText>
      </w:r>
      <w:r>
        <w:fldChar w:fldCharType="separate"/>
      </w:r>
      <w:r w:rsidRPr="00A15677">
        <w:t>Airport Capital Improvement Plans</w:t>
      </w:r>
      <w:r>
        <w:fldChar w:fldCharType="end"/>
      </w:r>
    </w:p>
    <w:p w14:paraId="66340278" w14:textId="323125DA"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_Ref50040945 \h </w:instrText>
      </w:r>
      <w:r w:rsidR="002D38FC">
        <w:instrText xml:space="preserve"> \* MERGEFORMAT </w:instrText>
      </w:r>
      <w:r>
        <w:fldChar w:fldCharType="separate"/>
      </w:r>
      <w:r w:rsidRPr="00A15677">
        <w:t>Other Regional Airport Plans</w:t>
      </w:r>
      <w:r>
        <w:fldChar w:fldCharType="end"/>
      </w:r>
    </w:p>
    <w:p w14:paraId="6D8AC2AD" w14:textId="2285F49D"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_Ref50040949 \h </w:instrText>
      </w:r>
      <w:r w:rsidR="002D38FC">
        <w:instrText xml:space="preserve"> \* MERGEFORMAT </w:instrText>
      </w:r>
      <w:r>
        <w:fldChar w:fldCharType="separate"/>
      </w:r>
      <w:r w:rsidRPr="00A15677">
        <w:t>Airport Layout Plans and Airport Master Plans</w:t>
      </w:r>
      <w:r>
        <w:fldChar w:fldCharType="end"/>
      </w:r>
    </w:p>
    <w:p w14:paraId="0B3BCF66" w14:textId="0805EB67"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_Ref50040779 \h </w:instrText>
      </w:r>
      <w:r w:rsidR="002D38FC">
        <w:instrText xml:space="preserve"> \* MERGEFORMAT </w:instrText>
      </w:r>
      <w:r>
        <w:fldChar w:fldCharType="separate"/>
      </w:r>
      <w:r w:rsidRPr="00A15677">
        <w:t>16.4.3 | Grant Requirements</w:t>
      </w:r>
      <w:r>
        <w:fldChar w:fldCharType="end"/>
      </w:r>
    </w:p>
    <w:p w14:paraId="6B97C254" w14:textId="66248304"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_Ref50040785 \h </w:instrText>
      </w:r>
      <w:r w:rsidR="002D38FC">
        <w:instrText xml:space="preserve"> \* MERGEFORMAT </w:instrText>
      </w:r>
      <w:r>
        <w:fldChar w:fldCharType="separate"/>
      </w:r>
      <w:r w:rsidRPr="00A15677">
        <w:rPr>
          <w:rFonts w:cstheme="minorHAnsi"/>
        </w:rPr>
        <w:t>16.5 | Airport Planning in Arizona</w:t>
      </w:r>
      <w:r>
        <w:fldChar w:fldCharType="end"/>
      </w:r>
    </w:p>
    <w:p w14:paraId="39D7D198" w14:textId="21C31DED"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_Ref50040790 \h </w:instrText>
      </w:r>
      <w:r w:rsidR="002D38FC">
        <w:instrText xml:space="preserve"> \* MERGEFORMAT </w:instrText>
      </w:r>
      <w:r>
        <w:fldChar w:fldCharType="separate"/>
      </w:r>
      <w:r w:rsidRPr="00A15677">
        <w:rPr>
          <w:rFonts w:cstheme="minorHAnsi"/>
        </w:rPr>
        <w:t>16.5.1 | ADOT - MPD - Aeronautics Group</w:t>
      </w:r>
      <w:r>
        <w:fldChar w:fldCharType="end"/>
      </w:r>
    </w:p>
    <w:p w14:paraId="72AFBBBE" w14:textId="555FCF09"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_Ref45101562 \h </w:instrText>
      </w:r>
      <w:r w:rsidR="002D38FC">
        <w:instrText xml:space="preserve"> \* MERGEFORMAT </w:instrText>
      </w:r>
      <w:r>
        <w:fldChar w:fldCharType="separate"/>
      </w:r>
      <w:r w:rsidRPr="00A15677">
        <w:rPr>
          <w:rFonts w:cstheme="minorHAnsi"/>
        </w:rPr>
        <w:t>16.5.2 | State Funding Programs &amp; Levels</w:t>
      </w:r>
      <w:r>
        <w:fldChar w:fldCharType="end"/>
      </w:r>
    </w:p>
    <w:p w14:paraId="697B670A" w14:textId="5796601D"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_Ref50041040 \h </w:instrText>
      </w:r>
      <w:r w:rsidR="002D38FC">
        <w:instrText xml:space="preserve"> \* MERGEFORMAT </w:instrText>
      </w:r>
      <w:r>
        <w:fldChar w:fldCharType="separate"/>
      </w:r>
      <w:r w:rsidRPr="00A15677">
        <w:t>State &amp; Local Grants</w:t>
      </w:r>
      <w:r>
        <w:fldChar w:fldCharType="end"/>
      </w:r>
    </w:p>
    <w:p w14:paraId="47C1DF49" w14:textId="3EF21C31"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_Ref50041044 \h </w:instrText>
      </w:r>
      <w:r w:rsidR="002D38FC">
        <w:instrText xml:space="preserve"> \* MERGEFORMAT </w:instrText>
      </w:r>
      <w:r>
        <w:fldChar w:fldCharType="separate"/>
      </w:r>
      <w:r w:rsidRPr="00A15677">
        <w:t>Airport Pavement Management System (APMS)</w:t>
      </w:r>
      <w:r>
        <w:fldChar w:fldCharType="end"/>
      </w:r>
    </w:p>
    <w:p w14:paraId="564C10DE" w14:textId="69304D9A"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_Ref50041047 \h </w:instrText>
      </w:r>
      <w:r w:rsidR="002D38FC">
        <w:instrText xml:space="preserve"> \* MERGEFORMAT </w:instrText>
      </w:r>
      <w:r>
        <w:fldChar w:fldCharType="separate"/>
      </w:r>
      <w:r w:rsidRPr="000F65F7">
        <w:t>Airport Loan Program</w:t>
      </w:r>
      <w:r>
        <w:fldChar w:fldCharType="end"/>
      </w:r>
    </w:p>
    <w:p w14:paraId="7AA735B8" w14:textId="7D1E09EC"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_Ref50041051 \h </w:instrText>
      </w:r>
      <w:r w:rsidR="002D38FC">
        <w:instrText xml:space="preserve"> \* MERGEFORMAT </w:instrText>
      </w:r>
      <w:r>
        <w:fldChar w:fldCharType="separate"/>
      </w:r>
      <w:r w:rsidRPr="000F65F7">
        <w:t>Statewide Planning and Services Program</w:t>
      </w:r>
      <w:r>
        <w:fldChar w:fldCharType="end"/>
      </w:r>
    </w:p>
    <w:p w14:paraId="50BAC2ED" w14:textId="046FA20B"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_Ref50040799 \h </w:instrText>
      </w:r>
      <w:r w:rsidR="002D38FC">
        <w:instrText xml:space="preserve"> \* MERGEFORMAT </w:instrText>
      </w:r>
      <w:r>
        <w:fldChar w:fldCharType="separate"/>
      </w:r>
      <w:r w:rsidRPr="000F65F7">
        <w:rPr>
          <w:rFonts w:cstheme="minorHAnsi"/>
        </w:rPr>
        <w:t>16.5.3 | Arizona Grant Application Timetable</w:t>
      </w:r>
      <w:r>
        <w:fldChar w:fldCharType="end"/>
      </w:r>
    </w:p>
    <w:p w14:paraId="31C62264" w14:textId="49A8247C"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_Ref50040802 \h </w:instrText>
      </w:r>
      <w:r w:rsidR="002D38FC">
        <w:instrText xml:space="preserve"> \* MERGEFORMAT </w:instrText>
      </w:r>
      <w:r>
        <w:fldChar w:fldCharType="separate"/>
      </w:r>
      <w:r w:rsidRPr="000F65F7">
        <w:rPr>
          <w:rFonts w:cstheme="minorHAnsi"/>
        </w:rPr>
        <w:t>16.5.4 | Arizona’s Airport System</w:t>
      </w:r>
      <w:r>
        <w:fldChar w:fldCharType="end"/>
      </w:r>
    </w:p>
    <w:p w14:paraId="70859798" w14:textId="528C947E"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_Ref50041336 \h </w:instrText>
      </w:r>
      <w:r w:rsidR="002D38FC">
        <w:instrText xml:space="preserve"> \* MERGEFORMAT </w:instrText>
      </w:r>
      <w:r>
        <w:fldChar w:fldCharType="separate"/>
      </w:r>
      <w:r w:rsidRPr="000F65F7">
        <w:t>Commercial Service Airports</w:t>
      </w:r>
      <w:r>
        <w:fldChar w:fldCharType="end"/>
      </w:r>
    </w:p>
    <w:p w14:paraId="25606A0B" w14:textId="762991BE"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_Ref50041341 \h </w:instrText>
      </w:r>
      <w:r w:rsidR="002D38FC">
        <w:instrText xml:space="preserve"> \* MERGEFORMAT </w:instrText>
      </w:r>
      <w:r>
        <w:fldChar w:fldCharType="separate"/>
      </w:r>
      <w:r w:rsidRPr="000F65F7">
        <w:t>Reliever Airports</w:t>
      </w:r>
      <w:r>
        <w:fldChar w:fldCharType="end"/>
      </w:r>
    </w:p>
    <w:p w14:paraId="4951D80D" w14:textId="33C91C69"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_Ref50041344 \h </w:instrText>
      </w:r>
      <w:r w:rsidR="002D38FC">
        <w:instrText xml:space="preserve"> \* MERGEFORMAT </w:instrText>
      </w:r>
      <w:r>
        <w:fldChar w:fldCharType="separate"/>
      </w:r>
      <w:r w:rsidRPr="000F65F7">
        <w:t>General Aviation (GA) Community Airports</w:t>
      </w:r>
      <w:r>
        <w:fldChar w:fldCharType="end"/>
      </w:r>
    </w:p>
    <w:p w14:paraId="3D284243" w14:textId="4553C1AF"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_Ref50041347 \h </w:instrText>
      </w:r>
      <w:r w:rsidR="002D38FC">
        <w:instrText xml:space="preserve"> \* MERGEFORMAT </w:instrText>
      </w:r>
      <w:r>
        <w:fldChar w:fldCharType="separate"/>
      </w:r>
      <w:r w:rsidRPr="000F65F7">
        <w:t>GA Rural Airports</w:t>
      </w:r>
      <w:r>
        <w:fldChar w:fldCharType="end"/>
      </w:r>
    </w:p>
    <w:p w14:paraId="31AF3F84" w14:textId="393A32BD"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_Ref50041352 \h </w:instrText>
      </w:r>
      <w:r w:rsidR="002D38FC">
        <w:instrText xml:space="preserve"> \* MERGEFORMAT </w:instrText>
      </w:r>
      <w:r>
        <w:fldChar w:fldCharType="separate"/>
      </w:r>
      <w:r w:rsidRPr="000F65F7">
        <w:t>GA Basic Airports</w:t>
      </w:r>
      <w:r>
        <w:fldChar w:fldCharType="end"/>
      </w:r>
    </w:p>
    <w:p w14:paraId="5D4684C0" w14:textId="08B9402D"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_Ref50041355 \h </w:instrText>
      </w:r>
      <w:r w:rsidR="002D38FC">
        <w:instrText xml:space="preserve"> \* MERGEFORMAT </w:instrText>
      </w:r>
      <w:r>
        <w:fldChar w:fldCharType="separate"/>
      </w:r>
      <w:r w:rsidRPr="000F65F7">
        <w:t>Military Airports</w:t>
      </w:r>
      <w:r>
        <w:fldChar w:fldCharType="end"/>
      </w:r>
    </w:p>
    <w:p w14:paraId="3404AE28" w14:textId="45DFA4B6" w:rsidR="006166B3" w:rsidRDefault="009C612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_Ref50041359 \h </w:instrText>
      </w:r>
      <w:r w:rsidR="002D38FC">
        <w:instrText xml:space="preserve"> \* MERGEFORMAT </w:instrText>
      </w:r>
      <w:r>
        <w:fldChar w:fldCharType="separate"/>
      </w:r>
      <w:r w:rsidRPr="000F65F7">
        <w:t>Tribal &amp; Private Airports</w:t>
      </w:r>
      <w:r>
        <w:fldChar w:fldCharType="end"/>
      </w:r>
    </w:p>
    <w:p w14:paraId="36372688" w14:textId="2FBEB3F5"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_Ref45022623 \h </w:instrText>
      </w:r>
      <w:r w:rsidR="002D38FC">
        <w:instrText xml:space="preserve"> \* MERGEFORMAT </w:instrText>
      </w:r>
      <w:r>
        <w:fldChar w:fldCharType="separate"/>
      </w:r>
      <w:r w:rsidRPr="000F65F7">
        <w:rPr>
          <w:rFonts w:cstheme="minorHAnsi"/>
        </w:rPr>
        <w:t>16.5.5 | Regional Aviation System Plans</w:t>
      </w:r>
      <w:r>
        <w:fldChar w:fldCharType="end"/>
      </w:r>
    </w:p>
    <w:p w14:paraId="6E59A856" w14:textId="420A8FAD"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_Ref45022741 \h </w:instrText>
      </w:r>
      <w:r w:rsidR="002D38FC">
        <w:instrText xml:space="preserve"> \* MERGEFORMAT </w:instrText>
      </w:r>
      <w:r>
        <w:fldChar w:fldCharType="separate"/>
      </w:r>
      <w:r w:rsidRPr="000F65F7">
        <w:rPr>
          <w:rFonts w:cstheme="minorHAnsi"/>
        </w:rPr>
        <w:t>16.6 | REGIONAL PLANNING ISSUES</w:t>
      </w:r>
      <w:r>
        <w:fldChar w:fldCharType="end"/>
      </w:r>
    </w:p>
    <w:p w14:paraId="13A38439" w14:textId="2A36B93D"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_Ref45022741 \h </w:instrText>
      </w:r>
      <w:r w:rsidR="002D38FC">
        <w:instrText xml:space="preserve"> \* MERGEFORMAT </w:instrText>
      </w:r>
      <w:r>
        <w:fldChar w:fldCharType="separate"/>
      </w:r>
      <w:r w:rsidRPr="000F65F7">
        <w:rPr>
          <w:rFonts w:cstheme="minorHAnsi"/>
        </w:rPr>
        <w:t>16.6 | REGIONAL PLANNING ISSUES</w:t>
      </w:r>
      <w:r>
        <w:fldChar w:fldCharType="end"/>
      </w:r>
    </w:p>
    <w:p w14:paraId="513EEFDB" w14:textId="106D2763"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_Ref50040814 \h </w:instrText>
      </w:r>
      <w:r w:rsidR="002D38FC">
        <w:instrText xml:space="preserve"> \* MERGEFORMAT </w:instrText>
      </w:r>
      <w:r>
        <w:fldChar w:fldCharType="separate"/>
      </w:r>
      <w:r w:rsidRPr="000F65F7">
        <w:rPr>
          <w:rFonts w:cstheme="minorHAnsi"/>
        </w:rPr>
        <w:t>16.6.1 | Intermodal Connectivity</w:t>
      </w:r>
      <w:r>
        <w:fldChar w:fldCharType="end"/>
      </w:r>
    </w:p>
    <w:p w14:paraId="67DFAF00" w14:textId="468CCCB8"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_Ref50040817 \h </w:instrText>
      </w:r>
      <w:r w:rsidR="002D38FC">
        <w:instrText xml:space="preserve"> \* MERGEFORMAT </w:instrText>
      </w:r>
      <w:r>
        <w:fldChar w:fldCharType="separate"/>
      </w:r>
      <w:r w:rsidRPr="000F65F7">
        <w:rPr>
          <w:rFonts w:cstheme="minorHAnsi"/>
        </w:rPr>
        <w:t>16.6.2 | Land Use</w:t>
      </w:r>
      <w:r>
        <w:fldChar w:fldCharType="end"/>
      </w:r>
    </w:p>
    <w:p w14:paraId="418273A7" w14:textId="22967AD3"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_Ref50040821 \h </w:instrText>
      </w:r>
      <w:r w:rsidR="002D38FC">
        <w:instrText xml:space="preserve"> \* MERGEFORMAT </w:instrText>
      </w:r>
      <w:r>
        <w:fldChar w:fldCharType="separate"/>
      </w:r>
      <w:r w:rsidRPr="000F65F7">
        <w:rPr>
          <w:rFonts w:cstheme="minorHAnsi"/>
        </w:rPr>
        <w:t>16.6.3 | Air Quality</w:t>
      </w:r>
      <w:r>
        <w:fldChar w:fldCharType="end"/>
      </w:r>
    </w:p>
    <w:p w14:paraId="4FCADFD1" w14:textId="01F2AB2D" w:rsidR="00B231BA" w:rsidRDefault="00B231B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_Ref50040825 \h </w:instrText>
      </w:r>
      <w:r w:rsidR="002D38FC">
        <w:instrText xml:space="preserve"> \* MERGEFORMAT </w:instrText>
      </w:r>
      <w:r>
        <w:fldChar w:fldCharType="separate"/>
      </w:r>
      <w:r w:rsidRPr="000F65F7">
        <w:rPr>
          <w:rFonts w:cstheme="minorHAnsi"/>
        </w:rPr>
        <w:t>16.6.4 | Homeland Security</w:t>
      </w:r>
      <w:r>
        <w:fldChar w:fldCharType="end"/>
      </w:r>
    </w:p>
    <w:p w14:paraId="0BFB7446" w14:textId="77777777" w:rsidR="00BB09EC" w:rsidRDefault="00B231BA"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BB09EC" w:rsidSect="006F18AB">
          <w:footerReference w:type="default" r:id="rId929"/>
          <w:pgSz w:w="12240" w:h="15840"/>
          <w:pgMar w:top="1440" w:right="1440" w:bottom="1440" w:left="1440" w:header="720" w:footer="720" w:gutter="0"/>
          <w:pgNumType w:start="1" w:chapStyle="1"/>
          <w:cols w:space="720"/>
          <w:docGrid w:linePitch="360"/>
        </w:sectPr>
      </w:pPr>
      <w:r>
        <w:br w:type="page"/>
      </w:r>
    </w:p>
    <w:p w14:paraId="4D720EFC" w14:textId="2D979368" w:rsidR="00A15677" w:rsidRPr="00A15677" w:rsidRDefault="00C95B0B" w:rsidP="00020D20">
      <w:pPr>
        <w:pStyle w:val="Heading1"/>
        <w:tabs>
          <w:tab w:val="left" w:pos="360"/>
        </w:tabs>
        <w:jc w:val="both"/>
      </w:pPr>
      <w:bookmarkStart w:id="554" w:name="_|_Aeronautics"/>
      <w:bookmarkStart w:id="555" w:name="_Toc49862243"/>
      <w:bookmarkStart w:id="556" w:name="_Toc49870637"/>
      <w:bookmarkStart w:id="557" w:name="_Toc50540243"/>
      <w:bookmarkEnd w:id="554"/>
      <w:r>
        <w:t xml:space="preserve">| </w:t>
      </w:r>
      <w:r w:rsidR="00A15677" w:rsidRPr="00A15677">
        <w:t>Aeronautics</w:t>
      </w:r>
      <w:bookmarkEnd w:id="555"/>
      <w:bookmarkEnd w:id="556"/>
      <w:bookmarkEnd w:id="557"/>
    </w:p>
    <w:p w14:paraId="3CB37FDB" w14:textId="77777777" w:rsidR="00FF51A4" w:rsidRDefault="00FF51A4" w:rsidP="00020D20">
      <w:pPr>
        <w:pStyle w:val="SectionHeadersADOTText"/>
        <w:jc w:val="both"/>
        <w:sectPr w:rsidR="00FF51A4" w:rsidSect="00020D20">
          <w:footerReference w:type="default" r:id="rId930"/>
          <w:type w:val="continuous"/>
          <w:pgSz w:w="12240" w:h="15840"/>
          <w:pgMar w:top="1440" w:right="1440" w:bottom="1440" w:left="1440" w:header="720" w:footer="720" w:gutter="0"/>
          <w:pgNumType w:start="1" w:chapStyle="1"/>
          <w:cols w:space="720"/>
          <w:docGrid w:linePitch="360"/>
        </w:sectPr>
      </w:pPr>
    </w:p>
    <w:p w14:paraId="5793695B" w14:textId="25B0BF87" w:rsidR="00A15677" w:rsidRPr="00A15677" w:rsidRDefault="00A15677" w:rsidP="00020D20">
      <w:pPr>
        <w:pStyle w:val="Heading2"/>
        <w:rPr>
          <w:rFonts w:asciiTheme="minorHAnsi" w:hAnsiTheme="minorHAnsi" w:cstheme="minorHAnsi"/>
          <w:color w:val="auto"/>
          <w:sz w:val="20"/>
          <w:szCs w:val="20"/>
        </w:rPr>
      </w:pPr>
      <w:bookmarkStart w:id="558" w:name="_Ref50040748"/>
      <w:r w:rsidRPr="00A15677">
        <w:t>16.1 | PURPOSE</w:t>
      </w:r>
      <w:bookmarkEnd w:id="558"/>
    </w:p>
    <w:p w14:paraId="4D3D9C47" w14:textId="5CB70D35" w:rsidR="00A15677" w:rsidRPr="00614FC7" w:rsidRDefault="00A15677" w:rsidP="00020D20">
      <w:pPr>
        <w:jc w:val="both"/>
      </w:pPr>
      <w:r w:rsidRPr="00A15677">
        <w:t xml:space="preserve">This chapter </w:t>
      </w:r>
      <w:r w:rsidRPr="00614FC7">
        <w:t>describes the planning and project prioritization processes that are used to fund infrastructure maintenance and improvements at public airports in Arizona and the role of MPOs with regard to ensuring that airports contribute to efficient intermodal movement of people and goods in a regional transportation system.</w:t>
      </w:r>
    </w:p>
    <w:p w14:paraId="4FA12FED" w14:textId="19A50D01" w:rsidR="00A15677" w:rsidRPr="00A15677" w:rsidRDefault="00A15677" w:rsidP="00020D20">
      <w:pPr>
        <w:jc w:val="both"/>
        <w:rPr>
          <w:b/>
        </w:rPr>
      </w:pPr>
      <w:r w:rsidRPr="00614FC7">
        <w:t>Unlike the funding of roadway projects, where MPOs and COGs have a major role in project</w:t>
      </w:r>
      <w:r w:rsidRPr="00A15677">
        <w:t xml:space="preserve"> selection, federal funding for aviation improvements is allocated directly to airports based on project evaluations performed by the FAA. State funding for airport projects is allocated through the State Transportation Board processes administered by the ADOT Multimodal Division, Aeronautics Group.</w:t>
      </w:r>
    </w:p>
    <w:p w14:paraId="75B872A8" w14:textId="0CB3881D" w:rsidR="00A15677" w:rsidRPr="00A15677" w:rsidRDefault="00713E95" w:rsidP="00020D20">
      <w:pPr>
        <w:jc w:val="both"/>
        <w:rPr>
          <w:rFonts w:cstheme="minorHAnsi"/>
          <w:b/>
        </w:rPr>
      </w:pPr>
      <w:r>
        <w:rPr>
          <w:rFonts w:cstheme="minorHAnsi"/>
          <w:noProof/>
        </w:rPr>
        <mc:AlternateContent>
          <mc:Choice Requires="wps">
            <w:drawing>
              <wp:anchor distT="0" distB="0" distL="114300" distR="114300" simplePos="0" relativeHeight="251618609" behindDoc="1" locked="0" layoutInCell="1" allowOverlap="1" wp14:anchorId="39DF6590" wp14:editId="051CD422">
                <wp:simplePos x="0" y="0"/>
                <wp:positionH relativeFrom="column">
                  <wp:posOffset>1371600</wp:posOffset>
                </wp:positionH>
                <wp:positionV relativeFrom="paragraph">
                  <wp:posOffset>1052978</wp:posOffset>
                </wp:positionV>
                <wp:extent cx="1374140" cy="1143000"/>
                <wp:effectExtent l="95250" t="76200" r="92710" b="76200"/>
                <wp:wrapTight wrapText="bothSides">
                  <wp:wrapPolygon edited="0">
                    <wp:start x="-898" y="-1440"/>
                    <wp:lineTo x="-1497" y="-1080"/>
                    <wp:lineTo x="-1198" y="22680"/>
                    <wp:lineTo x="22458" y="22680"/>
                    <wp:lineTo x="22758" y="4680"/>
                    <wp:lineTo x="22159" y="-720"/>
                    <wp:lineTo x="22159" y="-1440"/>
                    <wp:lineTo x="-898" y="-1440"/>
                  </wp:wrapPolygon>
                </wp:wrapTight>
                <wp:docPr id="1690911480" name="Text Box 1690911480"/>
                <wp:cNvGraphicFramePr/>
                <a:graphic xmlns:a="http://schemas.openxmlformats.org/drawingml/2006/main">
                  <a:graphicData uri="http://schemas.microsoft.com/office/word/2010/wordprocessingShape">
                    <wps:wsp>
                      <wps:cNvSpPr txBox="1"/>
                      <wps:spPr>
                        <a:xfrm>
                          <a:off x="0" y="0"/>
                          <a:ext cx="137414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D44D178" w14:textId="77777777" w:rsidR="00C6444C" w:rsidRDefault="00C6444C" w:rsidP="00020D20">
                            <w:pPr>
                              <w:jc w:val="center"/>
                            </w:pPr>
                            <w:r>
                              <w:rPr>
                                <w:noProof/>
                              </w:rPr>
                              <w:drawing>
                                <wp:inline distT="0" distB="0" distL="0" distR="0" wp14:anchorId="2B2D1B4A" wp14:editId="7C7CBC0C">
                                  <wp:extent cx="457200" cy="457200"/>
                                  <wp:effectExtent l="0" t="0" r="0" b="0"/>
                                  <wp:docPr id="816286181" name="Picture 81628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24BADD" w14:textId="77777777" w:rsidR="00C6444C" w:rsidRPr="00954116" w:rsidRDefault="00C6444C" w:rsidP="00020D20">
                            <w:pPr>
                              <w:pStyle w:val="Calloutboxes"/>
                            </w:pPr>
                            <w:r w:rsidRPr="00394A74">
                              <w:t>ADOT Aeronautics:</w:t>
                            </w:r>
                          </w:p>
                          <w:p w14:paraId="70219B0E" w14:textId="77777777" w:rsidR="00C6444C" w:rsidRPr="001E3A51" w:rsidRDefault="00202C92" w:rsidP="00713E95">
                            <w:pPr>
                              <w:pStyle w:val="Title"/>
                              <w:rPr>
                                <w:sz w:val="16"/>
                                <w:szCs w:val="16"/>
                              </w:rPr>
                            </w:pPr>
                            <w:hyperlink r:id="rId931" w:history="1">
                              <w:r w:rsidR="00C6444C" w:rsidRPr="00020D20">
                                <w:rPr>
                                  <w:rStyle w:val="Hyperlink"/>
                                  <w:rFonts w:ascii="Calibri" w:hAnsi="Calibri" w:cstheme="majorBidi"/>
                                  <w:i/>
                                  <w:color w:val="CE5B18"/>
                                  <w:szCs w:val="56"/>
                                  <w:u w:val="none"/>
                                </w:rPr>
                                <w:t>https://azdot.gov/planning/airport-development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DF6590" id="Text Box 1690911480" o:spid="_x0000_s1235" type="#_x0000_t202" style="position:absolute;left:0;text-align:left;margin-left:108pt;margin-top:82.9pt;width:108.2pt;height:90pt;z-index:-251697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" fillcolor="#f7f7f7" stroked="f" strokeweight=".5pt">
                <v:shadow on="t" type="perspective" color="black" opacity="26214f" offset="0,0" matrix="66847f,,,66847f"/>
                <v:textbox>
                  <w:txbxContent>
                    <w:p w14:paraId="4D44D178" w14:textId="77777777" w:rsidR="00C6444C" w:rsidRDefault="00C6444C" w:rsidP="00020D20">
                      <w:pPr>
                        <w:jc w:val="center"/>
                      </w:pPr>
                      <w:r>
                        <w:rPr>
                          <w:noProof/>
                        </w:rPr>
                        <w:drawing>
                          <wp:inline distT="0" distB="0" distL="0" distR="0" wp14:anchorId="2B2D1B4A" wp14:editId="7C7CBC0C">
                            <wp:extent cx="457200" cy="457200"/>
                            <wp:effectExtent l="0" t="0" r="0" b="0"/>
                            <wp:docPr id="816286181" name="Picture 81628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24BADD" w14:textId="77777777" w:rsidR="00C6444C" w:rsidRPr="00954116" w:rsidRDefault="00C6444C" w:rsidP="00020D20">
                      <w:pPr>
                        <w:pStyle w:val="Calloutboxes"/>
                      </w:pPr>
                      <w:r w:rsidRPr="00394A74">
                        <w:t>ADOT Aeronautics:</w:t>
                      </w:r>
                    </w:p>
                    <w:p w14:paraId="70219B0E" w14:textId="77777777" w:rsidR="00C6444C" w:rsidRPr="001E3A51" w:rsidRDefault="00C6444C" w:rsidP="00713E95">
                      <w:pPr>
                        <w:pStyle w:val="Title"/>
                        <w:rPr>
                          <w:sz w:val="16"/>
                          <w:szCs w:val="16"/>
                        </w:rPr>
                      </w:pPr>
                      <w:hyperlink r:id="rId932" w:history="1">
                        <w:r w:rsidRPr="00020D20">
                          <w:rPr>
                            <w:rStyle w:val="Hyperlink"/>
                            <w:rFonts w:ascii="Calibri" w:hAnsi="Calibri" w:cstheme="majorBidi"/>
                            <w:i/>
                            <w:color w:val="CE5B18"/>
                            <w:szCs w:val="56"/>
                            <w:u w:val="none"/>
                          </w:rPr>
                          <w:t>https://azdot.gov/planning/airport-development</w:t>
                        </w:r>
                      </w:hyperlink>
                    </w:p>
                  </w:txbxContent>
                </v:textbox>
                <w10:wrap type="tight"/>
              </v:shape>
            </w:pict>
          </mc:Fallback>
        </mc:AlternateContent>
      </w:r>
      <w:r w:rsidR="00A15677" w:rsidRPr="00A15677">
        <w:t xml:space="preserve">Beyond the issue of allocating federal funds, MPOs do have the important responsibility to ensure that airports have adequate connectivity with surface transportation facilities and services, including roads and transit. Additionally, in some circumstances, MPOs may participate in the preparation of Regional Aviation System Plans (RASPs). RASPs are advisory in nature and prepared on an as-needed basis. </w:t>
      </w:r>
    </w:p>
    <w:p w14:paraId="401395E3" w14:textId="77777777" w:rsidR="00A15677" w:rsidRPr="00A15677" w:rsidRDefault="00A15677" w:rsidP="00020D20">
      <w:pPr>
        <w:pStyle w:val="Heading2"/>
        <w:rPr>
          <w:rFonts w:cstheme="minorHAnsi"/>
          <w:bCs/>
        </w:rPr>
      </w:pPr>
      <w:bookmarkStart w:id="559" w:name="_Ref50040751"/>
      <w:r w:rsidRPr="00A15677">
        <w:t>16.2 | AUTHORITY</w:t>
      </w:r>
      <w:bookmarkEnd w:id="559"/>
    </w:p>
    <w:p w14:paraId="4A69ECDF" w14:textId="76E98D08" w:rsidR="00A15677" w:rsidRDefault="00A15677" w:rsidP="00020D20">
      <w:pPr>
        <w:jc w:val="both"/>
        <w:rPr>
          <w:rFonts w:cstheme="minorHAnsi"/>
          <w:b/>
        </w:rPr>
      </w:pPr>
      <w:r w:rsidRPr="00A15677">
        <w:t xml:space="preserve">Aviation system planning efforts largely focus on facilities that are eligible to receive </w:t>
      </w:r>
      <w:hyperlink r:id="rId933" w:history="1">
        <w:r w:rsidRPr="00BC1BBF">
          <w:rPr>
            <w:rStyle w:val="TitleChar"/>
          </w:rPr>
          <w:t>Airport Improvement Program</w:t>
        </w:r>
      </w:hyperlink>
      <w:r w:rsidRPr="00A15677">
        <w:t xml:space="preserve"> (AIP) grants from the FAA. The codified federal laws and regulations for this grant program are described in Table 16-1 below. </w:t>
      </w:r>
    </w:p>
    <w:p w14:paraId="3636E8A8" w14:textId="73E75164" w:rsidR="00A15677" w:rsidRDefault="00B343FD" w:rsidP="00020D20">
      <w:pPr>
        <w:pStyle w:val="Heading4"/>
        <w:jc w:val="both"/>
        <w:rPr>
          <w:rFonts w:cstheme="minorHAnsi"/>
          <w:b/>
          <w:color w:val="auto"/>
        </w:rPr>
      </w:pPr>
      <w:r>
        <w:br w:type="column"/>
      </w:r>
      <w:r w:rsidR="00A15677" w:rsidRPr="00A15677">
        <w:t>Table 16-1 | Authority</w:t>
      </w:r>
    </w:p>
    <w:tbl>
      <w:tblPr>
        <w:tblW w:w="4325" w:type="dxa"/>
        <w:tblInd w:w="-10" w:type="dxa"/>
        <w:tblLayout w:type="fixed"/>
        <w:tblCellMar>
          <w:left w:w="0" w:type="dxa"/>
          <w:right w:w="0" w:type="dxa"/>
        </w:tblCellMar>
        <w:tblLook w:val="0000" w:firstRow="0" w:lastRow="0" w:firstColumn="0" w:lastColumn="0" w:noHBand="0" w:noVBand="0"/>
      </w:tblPr>
      <w:tblGrid>
        <w:gridCol w:w="455"/>
        <w:gridCol w:w="1890"/>
        <w:gridCol w:w="1980"/>
      </w:tblGrid>
      <w:tr w:rsidR="006A7536" w:rsidRPr="006A7536" w14:paraId="439B6E15" w14:textId="77777777" w:rsidTr="00020D20">
        <w:trPr>
          <w:trHeight w:val="60"/>
        </w:trPr>
        <w:tc>
          <w:tcPr>
            <w:tcW w:w="2345" w:type="dxa"/>
            <w:gridSpan w:val="2"/>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04FEE090" w14:textId="77777777" w:rsidR="00A15677" w:rsidRPr="00AA574A" w:rsidRDefault="00A15677" w:rsidP="00020D20">
            <w:pPr>
              <w:spacing w:before="0" w:after="0" w:line="240" w:lineRule="auto"/>
              <w:jc w:val="center"/>
              <w:rPr>
                <w:color w:val="FFFFFF" w:themeColor="background1"/>
                <w:sz w:val="22"/>
              </w:rPr>
            </w:pPr>
            <w:r w:rsidRPr="00AA574A">
              <w:rPr>
                <w:color w:val="FFFFFF" w:themeColor="background1"/>
                <w:sz w:val="22"/>
              </w:rPr>
              <w:t>Code</w:t>
            </w:r>
          </w:p>
        </w:tc>
        <w:tc>
          <w:tcPr>
            <w:tcW w:w="1980"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40F9A0D2" w14:textId="77777777" w:rsidR="00A15677" w:rsidRPr="00AA574A" w:rsidRDefault="00A15677" w:rsidP="00020D20">
            <w:pPr>
              <w:spacing w:before="0" w:after="0" w:line="240" w:lineRule="auto"/>
              <w:jc w:val="center"/>
              <w:rPr>
                <w:color w:val="FFFFFF" w:themeColor="background1"/>
                <w:sz w:val="22"/>
              </w:rPr>
            </w:pPr>
            <w:r w:rsidRPr="00AA574A">
              <w:rPr>
                <w:color w:val="FFFFFF" w:themeColor="background1"/>
                <w:sz w:val="22"/>
              </w:rPr>
              <w:t>Description</w:t>
            </w:r>
          </w:p>
        </w:tc>
      </w:tr>
      <w:tr w:rsidR="00A15677" w:rsidRPr="00A15677" w14:paraId="63DA54B6" w14:textId="77777777" w:rsidTr="00020D20">
        <w:trPr>
          <w:trHeight w:val="20"/>
        </w:trPr>
        <w:tc>
          <w:tcPr>
            <w:tcW w:w="455"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textDirection w:val="btLr"/>
            <w:vAlign w:val="center"/>
          </w:tcPr>
          <w:p w14:paraId="3CDAF4A5" w14:textId="77777777" w:rsidR="00A15677" w:rsidRPr="00020D20" w:rsidRDefault="00A15677" w:rsidP="00020D20">
            <w:pPr>
              <w:spacing w:before="0" w:after="0" w:line="240" w:lineRule="auto"/>
              <w:jc w:val="center"/>
              <w:rPr>
                <w:color w:val="FFFFFF" w:themeColor="background1"/>
                <w:sz w:val="22"/>
              </w:rPr>
            </w:pPr>
            <w:r w:rsidRPr="00020D20">
              <w:rPr>
                <w:color w:val="FFFFFF" w:themeColor="background1"/>
                <w:sz w:val="22"/>
              </w:rPr>
              <w:t>Federal</w:t>
            </w:r>
          </w:p>
        </w:tc>
        <w:tc>
          <w:tcPr>
            <w:tcW w:w="18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6E82FB0" w14:textId="2AC243E6" w:rsidR="00A15677" w:rsidRPr="00020D20" w:rsidRDefault="00202C92">
            <w:pPr>
              <w:pStyle w:val="Title"/>
              <w:rPr>
                <w:sz w:val="18"/>
              </w:rPr>
            </w:pPr>
            <w:hyperlink r:id="rId934" w:history="1">
              <w:r w:rsidR="00A15677" w:rsidRPr="00020D20">
                <w:rPr>
                  <w:sz w:val="18"/>
                </w:rPr>
                <w:t>49 U.S.C. Chapter 481</w:t>
              </w:r>
            </w:hyperlink>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47A534D"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Airport and Airway Trust Fund Authorizations</w:t>
            </w:r>
          </w:p>
        </w:tc>
      </w:tr>
      <w:tr w:rsidR="00A15677" w:rsidRPr="00A15677" w14:paraId="23F9EA19" w14:textId="77777777" w:rsidTr="00020D20">
        <w:trPr>
          <w:trHeight w:val="161"/>
        </w:trPr>
        <w:tc>
          <w:tcPr>
            <w:tcW w:w="455"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49F0BC9B" w14:textId="77777777" w:rsidR="00A15677" w:rsidRPr="00020D20" w:rsidRDefault="00A15677" w:rsidP="00020D20">
            <w:pPr>
              <w:spacing w:before="0" w:after="0" w:line="240" w:lineRule="auto"/>
              <w:jc w:val="center"/>
              <w:rPr>
                <w:color w:val="FFFFFF" w:themeColor="background1"/>
                <w:sz w:val="22"/>
              </w:rPr>
            </w:pPr>
          </w:p>
        </w:tc>
        <w:tc>
          <w:tcPr>
            <w:tcW w:w="189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33807521" w14:textId="1AFA18A4" w:rsidR="00A15677" w:rsidRPr="00020D20" w:rsidRDefault="00202C92">
            <w:pPr>
              <w:pStyle w:val="Title"/>
              <w:rPr>
                <w:sz w:val="18"/>
              </w:rPr>
            </w:pPr>
            <w:hyperlink r:id="rId935" w:history="1">
              <w:r w:rsidR="00A15677" w:rsidRPr="00020D20">
                <w:rPr>
                  <w:rStyle w:val="Hyperlink"/>
                  <w:rFonts w:asciiTheme="minorHAnsi" w:hAnsiTheme="minorHAnsi" w:cstheme="majorBidi"/>
                  <w:i/>
                  <w:iCs w:val="0"/>
                  <w:color w:val="CE5B18"/>
                  <w:sz w:val="18"/>
                  <w:szCs w:val="56"/>
                  <w:u w:val="none"/>
                </w:rPr>
                <w:t xml:space="preserve">14 </w:t>
              </w:r>
              <w:r w:rsidR="009628C0">
                <w:rPr>
                  <w:rStyle w:val="Hyperlink"/>
                  <w:rFonts w:asciiTheme="minorHAnsi" w:hAnsiTheme="minorHAnsi" w:cstheme="majorBidi"/>
                  <w:i/>
                  <w:iCs w:val="0"/>
                  <w:color w:val="CE5B18"/>
                  <w:sz w:val="18"/>
                  <w:szCs w:val="56"/>
                  <w:u w:val="none"/>
                </w:rPr>
                <w:t xml:space="preserve">C.F.R. </w:t>
              </w:r>
              <w:r w:rsidR="00A15677" w:rsidRPr="00020D20">
                <w:rPr>
                  <w:rStyle w:val="Hyperlink"/>
                  <w:rFonts w:asciiTheme="minorHAnsi" w:hAnsiTheme="minorHAnsi" w:cstheme="majorBidi"/>
                  <w:i/>
                  <w:iCs w:val="0"/>
                  <w:color w:val="CE5B18"/>
                  <w:sz w:val="18"/>
                  <w:szCs w:val="56"/>
                  <w:u w:val="none"/>
                </w:rPr>
                <w:t>§ 151</w:t>
              </w:r>
            </w:hyperlink>
          </w:p>
        </w:tc>
        <w:tc>
          <w:tcPr>
            <w:tcW w:w="198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621A3F43"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Federal Aid to Airports</w:t>
            </w:r>
          </w:p>
        </w:tc>
      </w:tr>
      <w:tr w:rsidR="00A15677" w:rsidRPr="00A15677" w14:paraId="5BEB7734" w14:textId="77777777" w:rsidTr="00020D20">
        <w:trPr>
          <w:trHeight w:val="20"/>
        </w:trPr>
        <w:tc>
          <w:tcPr>
            <w:tcW w:w="455"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4596851E" w14:textId="77777777" w:rsidR="00A15677" w:rsidRPr="00020D20" w:rsidRDefault="00A15677" w:rsidP="00020D20">
            <w:pPr>
              <w:spacing w:before="0" w:after="0" w:line="240" w:lineRule="auto"/>
              <w:jc w:val="center"/>
              <w:rPr>
                <w:color w:val="FFFFFF" w:themeColor="background1"/>
                <w:sz w:val="22"/>
              </w:rPr>
            </w:pPr>
          </w:p>
        </w:tc>
        <w:tc>
          <w:tcPr>
            <w:tcW w:w="18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A7DA70A" w14:textId="41C0FDC1" w:rsidR="00A15677" w:rsidRPr="00020D20" w:rsidRDefault="00202C92">
            <w:pPr>
              <w:pStyle w:val="Title"/>
              <w:rPr>
                <w:sz w:val="18"/>
              </w:rPr>
            </w:pPr>
            <w:hyperlink r:id="rId936" w:history="1">
              <w:r w:rsidR="00A15677" w:rsidRPr="00020D20">
                <w:rPr>
                  <w:sz w:val="18"/>
                </w:rPr>
                <w:t>23 U.S.C. § 134</w:t>
              </w:r>
            </w:hyperlink>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17E0DFE"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Metropolitan Transportation Planning</w:t>
            </w:r>
          </w:p>
        </w:tc>
      </w:tr>
      <w:tr w:rsidR="00A15677" w:rsidRPr="00A15677" w14:paraId="605D6F69" w14:textId="77777777" w:rsidTr="00020D20">
        <w:trPr>
          <w:trHeight w:val="152"/>
        </w:trPr>
        <w:tc>
          <w:tcPr>
            <w:tcW w:w="455"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7348ECFE" w14:textId="77777777" w:rsidR="00A15677" w:rsidRPr="00020D20" w:rsidRDefault="00A15677" w:rsidP="00020D20">
            <w:pPr>
              <w:spacing w:before="0" w:after="0" w:line="240" w:lineRule="auto"/>
              <w:jc w:val="center"/>
              <w:rPr>
                <w:color w:val="FFFFFF" w:themeColor="background1"/>
                <w:sz w:val="22"/>
              </w:rPr>
            </w:pPr>
          </w:p>
        </w:tc>
        <w:tc>
          <w:tcPr>
            <w:tcW w:w="189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4FB8AF2E" w14:textId="0790037A" w:rsidR="00A15677" w:rsidRPr="00020D20" w:rsidRDefault="00202C92">
            <w:pPr>
              <w:pStyle w:val="Title"/>
              <w:rPr>
                <w:sz w:val="18"/>
              </w:rPr>
            </w:pPr>
            <w:hyperlink r:id="rId937" w:history="1">
              <w:r w:rsidR="00A15677" w:rsidRPr="00020D20">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A15677" w:rsidRPr="00020D20">
                <w:rPr>
                  <w:rStyle w:val="Hyperlink"/>
                  <w:rFonts w:asciiTheme="minorHAnsi" w:hAnsiTheme="minorHAnsi" w:cstheme="majorBidi"/>
                  <w:i/>
                  <w:iCs w:val="0"/>
                  <w:color w:val="CE5B18"/>
                  <w:sz w:val="18"/>
                  <w:szCs w:val="56"/>
                  <w:u w:val="none"/>
                </w:rPr>
                <w:t>§ 450.316</w:t>
              </w:r>
            </w:hyperlink>
          </w:p>
        </w:tc>
        <w:tc>
          <w:tcPr>
            <w:tcW w:w="198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7B25488E"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Interested parties, participation, and consultation.</w:t>
            </w:r>
          </w:p>
        </w:tc>
      </w:tr>
      <w:tr w:rsidR="00A15677" w:rsidRPr="00A15677" w14:paraId="185103EB" w14:textId="77777777" w:rsidTr="00020D20">
        <w:trPr>
          <w:trHeight w:val="20"/>
        </w:trPr>
        <w:tc>
          <w:tcPr>
            <w:tcW w:w="455"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7B880AD9" w14:textId="77777777" w:rsidR="00A15677" w:rsidRPr="00020D20" w:rsidRDefault="00A15677" w:rsidP="00020D20">
            <w:pPr>
              <w:spacing w:before="0" w:after="0" w:line="240" w:lineRule="auto"/>
              <w:jc w:val="center"/>
              <w:rPr>
                <w:color w:val="FFFFFF" w:themeColor="background1"/>
                <w:sz w:val="22"/>
              </w:rPr>
            </w:pPr>
          </w:p>
        </w:tc>
        <w:tc>
          <w:tcPr>
            <w:tcW w:w="18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D1522C4" w14:textId="3AE22621" w:rsidR="00A15677" w:rsidRPr="00020D20" w:rsidRDefault="00202C92">
            <w:pPr>
              <w:pStyle w:val="Title"/>
              <w:rPr>
                <w:sz w:val="18"/>
              </w:rPr>
            </w:pPr>
            <w:hyperlink r:id="rId938" w:history="1">
              <w:r w:rsidR="00A15677" w:rsidRPr="00020D20">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A15677" w:rsidRPr="00020D20">
                <w:rPr>
                  <w:rStyle w:val="Hyperlink"/>
                  <w:rFonts w:asciiTheme="minorHAnsi" w:hAnsiTheme="minorHAnsi" w:cstheme="majorBidi"/>
                  <w:i/>
                  <w:iCs w:val="0"/>
                  <w:color w:val="CE5B18"/>
                  <w:sz w:val="18"/>
                  <w:szCs w:val="56"/>
                  <w:u w:val="none"/>
                </w:rPr>
                <w:t>§ 450.320</w:t>
              </w:r>
            </w:hyperlink>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EE37D77"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Congestion management process in transportation management areas.</w:t>
            </w:r>
          </w:p>
        </w:tc>
      </w:tr>
      <w:tr w:rsidR="00A15677" w:rsidRPr="00A15677" w14:paraId="5F75E522" w14:textId="77777777" w:rsidTr="00020D20">
        <w:trPr>
          <w:trHeight w:val="20"/>
        </w:trPr>
        <w:tc>
          <w:tcPr>
            <w:tcW w:w="455"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770FFEFF" w14:textId="77777777" w:rsidR="00A15677" w:rsidRPr="00020D20" w:rsidRDefault="00A15677" w:rsidP="00020D20">
            <w:pPr>
              <w:spacing w:before="0" w:after="0" w:line="240" w:lineRule="auto"/>
              <w:jc w:val="center"/>
              <w:rPr>
                <w:color w:val="FFFFFF" w:themeColor="background1"/>
                <w:sz w:val="22"/>
              </w:rPr>
            </w:pPr>
          </w:p>
        </w:tc>
        <w:tc>
          <w:tcPr>
            <w:tcW w:w="189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3BB6786B" w14:textId="10DD8C6B" w:rsidR="00A15677" w:rsidRPr="00020D20" w:rsidRDefault="00202C92">
            <w:pPr>
              <w:pStyle w:val="Title"/>
              <w:rPr>
                <w:sz w:val="18"/>
              </w:rPr>
            </w:pPr>
            <w:hyperlink r:id="rId939" w:history="1">
              <w:r w:rsidR="00A15677" w:rsidRPr="00020D20">
                <w:rPr>
                  <w:rStyle w:val="Hyperlink"/>
                  <w:rFonts w:asciiTheme="minorHAnsi" w:hAnsiTheme="minorHAnsi" w:cstheme="majorBidi"/>
                  <w:i/>
                  <w:iCs w:val="0"/>
                  <w:color w:val="CE5B18"/>
                  <w:sz w:val="18"/>
                  <w:szCs w:val="56"/>
                  <w:u w:val="none"/>
                </w:rPr>
                <w:t xml:space="preserve">23 </w:t>
              </w:r>
              <w:r w:rsidR="009628C0">
                <w:rPr>
                  <w:rStyle w:val="Hyperlink"/>
                  <w:rFonts w:asciiTheme="minorHAnsi" w:hAnsiTheme="minorHAnsi" w:cstheme="majorBidi"/>
                  <w:i/>
                  <w:iCs w:val="0"/>
                  <w:color w:val="CE5B18"/>
                  <w:sz w:val="18"/>
                  <w:szCs w:val="56"/>
                  <w:u w:val="none"/>
                </w:rPr>
                <w:t xml:space="preserve">C.F.R. </w:t>
              </w:r>
              <w:r w:rsidR="00A15677" w:rsidRPr="00020D20">
                <w:rPr>
                  <w:rStyle w:val="Hyperlink"/>
                  <w:rFonts w:asciiTheme="minorHAnsi" w:hAnsiTheme="minorHAnsi" w:cstheme="majorBidi"/>
                  <w:i/>
                  <w:iCs w:val="0"/>
                  <w:color w:val="CE5B18"/>
                  <w:sz w:val="18"/>
                  <w:szCs w:val="56"/>
                  <w:u w:val="none"/>
                </w:rPr>
                <w:t>§ 450.322</w:t>
              </w:r>
            </w:hyperlink>
          </w:p>
        </w:tc>
        <w:tc>
          <w:tcPr>
            <w:tcW w:w="198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62367D68"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Development and content of the metropolitan transportation plan.</w:t>
            </w:r>
          </w:p>
        </w:tc>
      </w:tr>
      <w:tr w:rsidR="00A15677" w:rsidRPr="00A15677" w14:paraId="17FEA035" w14:textId="77777777" w:rsidTr="00020D20">
        <w:trPr>
          <w:trHeight w:val="548"/>
        </w:trPr>
        <w:tc>
          <w:tcPr>
            <w:tcW w:w="455" w:type="dxa"/>
            <w:tcBorders>
              <w:top w:val="single" w:sz="4" w:space="0" w:color="FFFFFF" w:themeColor="background1"/>
              <w:left w:val="single" w:sz="4" w:space="0" w:color="auto"/>
              <w:bottom w:val="single" w:sz="4" w:space="0" w:color="auto"/>
              <w:right w:val="single" w:sz="4" w:space="0" w:color="auto"/>
            </w:tcBorders>
            <w:shd w:val="clear" w:color="auto" w:fill="012768"/>
            <w:tcMar>
              <w:top w:w="80" w:type="dxa"/>
              <w:left w:w="80" w:type="dxa"/>
              <w:bottom w:w="80" w:type="dxa"/>
              <w:right w:w="80" w:type="dxa"/>
            </w:tcMar>
            <w:textDirection w:val="btLr"/>
            <w:vAlign w:val="center"/>
          </w:tcPr>
          <w:p w14:paraId="48E427D6" w14:textId="77777777" w:rsidR="00A15677" w:rsidRPr="00020D20" w:rsidRDefault="00A15677" w:rsidP="00020D20">
            <w:pPr>
              <w:spacing w:before="0" w:after="0" w:line="240" w:lineRule="auto"/>
              <w:jc w:val="center"/>
              <w:rPr>
                <w:color w:val="FFFFFF" w:themeColor="background1"/>
                <w:sz w:val="22"/>
              </w:rPr>
            </w:pPr>
            <w:r w:rsidRPr="00020D20">
              <w:rPr>
                <w:color w:val="FFFFFF" w:themeColor="background1"/>
                <w:sz w:val="22"/>
              </w:rPr>
              <w:t>State</w:t>
            </w:r>
          </w:p>
        </w:tc>
        <w:tc>
          <w:tcPr>
            <w:tcW w:w="18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73D91874" w14:textId="605900A6" w:rsidR="00A15677" w:rsidRPr="00020D20" w:rsidRDefault="00202C92">
            <w:pPr>
              <w:pStyle w:val="Title"/>
              <w:rPr>
                <w:sz w:val="18"/>
              </w:rPr>
            </w:pPr>
            <w:hyperlink r:id="rId940" w:history="1">
              <w:r w:rsidR="00A15677" w:rsidRPr="00020D20">
                <w:rPr>
                  <w:sz w:val="18"/>
                </w:rPr>
                <w:t>28 A.R.S. Chapter 25</w:t>
              </w:r>
            </w:hyperlink>
          </w:p>
        </w:tc>
        <w:tc>
          <w:tcPr>
            <w:tcW w:w="198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A8C0091" w14:textId="77777777" w:rsidR="00A15677" w:rsidRPr="00020D20" w:rsidRDefault="00A15677" w:rsidP="00020D20">
            <w:pPr>
              <w:pStyle w:val="Heading5"/>
              <w:spacing w:before="0" w:after="0" w:line="240" w:lineRule="auto"/>
              <w:jc w:val="both"/>
              <w:rPr>
                <w:i w:val="0"/>
                <w:color w:val="auto"/>
                <w:sz w:val="18"/>
              </w:rPr>
            </w:pPr>
            <w:r w:rsidRPr="00020D20">
              <w:rPr>
                <w:i w:val="0"/>
                <w:color w:val="auto"/>
                <w:sz w:val="18"/>
              </w:rPr>
              <w:t>Aviation</w:t>
            </w:r>
          </w:p>
        </w:tc>
      </w:tr>
    </w:tbl>
    <w:p w14:paraId="5CB104D2" w14:textId="77777777" w:rsidR="00A15677" w:rsidRPr="00A15677" w:rsidRDefault="00A15677">
      <w:pPr>
        <w:pStyle w:val="Heading2"/>
      </w:pPr>
      <w:bookmarkStart w:id="560" w:name="_Ref50040756"/>
      <w:r w:rsidRPr="00A15677">
        <w:t>16.3 | SCOPE</w:t>
      </w:r>
      <w:bookmarkEnd w:id="560"/>
    </w:p>
    <w:p w14:paraId="0E12D604" w14:textId="77777777" w:rsidR="00A15677" w:rsidRPr="00A15677" w:rsidRDefault="00A15677" w:rsidP="00020D20">
      <w:pPr>
        <w:jc w:val="both"/>
      </w:pPr>
      <w:r w:rsidRPr="00A15677">
        <w:t>Grants for improvements at public airports in Arizona are available primarily from the FAA and from the state of Arizona. Required planning processes are in place to identify needed improvements and to prioritize expenditure of federal and state funds. Section 16.4 below describes the overall FAA airport planning process, whereas section 16.5 describes airport planning in Arizona, which is administered by the ADOT -MPD- Aeronautics Group.</w:t>
      </w:r>
    </w:p>
    <w:p w14:paraId="03A9163F" w14:textId="1E60A2D7" w:rsidR="00A15677" w:rsidRPr="00A15677" w:rsidRDefault="00A15677" w:rsidP="00020D20">
      <w:pPr>
        <w:jc w:val="both"/>
      </w:pPr>
      <w:r w:rsidRPr="00A15677">
        <w:t>The role of MPOs in the airport planning process is relatively limited yet important. Regional aviation system planning is defined in section</w:t>
      </w:r>
      <w:r>
        <w:t xml:space="preserve"> </w:t>
      </w:r>
      <w:r w:rsidR="00382DA0" w:rsidRPr="006110AD">
        <w:rPr>
          <w:rStyle w:val="TitleChar"/>
        </w:rPr>
        <w:fldChar w:fldCharType="begin"/>
      </w:r>
      <w:r w:rsidR="00382DA0" w:rsidRPr="007B6E15">
        <w:rPr>
          <w:rStyle w:val="TitleChar"/>
        </w:rPr>
        <w:instrText xml:space="preserve"> REF _Ref45022623 \h  \* MERGEFORMAT </w:instrText>
      </w:r>
      <w:r w:rsidR="00382DA0" w:rsidRPr="006110AD">
        <w:rPr>
          <w:rStyle w:val="TitleChar"/>
        </w:rPr>
      </w:r>
      <w:r w:rsidR="00382DA0" w:rsidRPr="006110AD">
        <w:rPr>
          <w:rStyle w:val="TitleChar"/>
        </w:rPr>
        <w:fldChar w:fldCharType="separate"/>
      </w:r>
      <w:r w:rsidR="00A940D6" w:rsidRPr="007B6E15">
        <w:rPr>
          <w:rStyle w:val="TitleChar"/>
        </w:rPr>
        <w:t>16.5.5</w:t>
      </w:r>
      <w:r w:rsidR="00A940D6" w:rsidRPr="00020D20">
        <w:rPr>
          <w:rStyle w:val="TitleChar"/>
        </w:rPr>
        <w:t xml:space="preserve"> | Regional Aviation System Plans</w:t>
      </w:r>
      <w:r w:rsidR="00382DA0" w:rsidRPr="006110AD">
        <w:rPr>
          <w:rStyle w:val="TitleChar"/>
        </w:rPr>
        <w:fldChar w:fldCharType="end"/>
      </w:r>
      <w:r w:rsidRPr="00A15677">
        <w:t xml:space="preserve"> and regional planning issues related to aviation are discussed in section </w:t>
      </w:r>
      <w:r w:rsidR="00382DA0" w:rsidRPr="00382DA0">
        <w:rPr>
          <w:rStyle w:val="TitleChar"/>
        </w:rPr>
        <w:fldChar w:fldCharType="begin"/>
      </w:r>
      <w:r w:rsidR="00382DA0" w:rsidRPr="006F18AB">
        <w:rPr>
          <w:rStyle w:val="TitleChar"/>
        </w:rPr>
        <w:instrText xml:space="preserve"> REF _Ref45022741 \h  \* MERGEFORMAT </w:instrText>
      </w:r>
      <w:r w:rsidR="00382DA0" w:rsidRPr="00382DA0">
        <w:rPr>
          <w:rStyle w:val="TitleChar"/>
        </w:rPr>
      </w:r>
      <w:r w:rsidR="00382DA0" w:rsidRPr="00382DA0">
        <w:rPr>
          <w:rStyle w:val="TitleChar"/>
        </w:rPr>
        <w:fldChar w:fldCharType="separate"/>
      </w:r>
      <w:r w:rsidR="00BB09EC" w:rsidRPr="00020D20">
        <w:rPr>
          <w:rStyle w:val="TitleChar"/>
        </w:rPr>
        <w:t>16.6 | R</w:t>
      </w:r>
      <w:r w:rsidR="00BB09EC">
        <w:rPr>
          <w:rStyle w:val="TitleChar"/>
        </w:rPr>
        <w:t>egional</w:t>
      </w:r>
      <w:r w:rsidR="00BB09EC" w:rsidRPr="00020D20">
        <w:rPr>
          <w:rStyle w:val="TitleChar"/>
        </w:rPr>
        <w:t xml:space="preserve"> P</w:t>
      </w:r>
      <w:r w:rsidR="00BB09EC">
        <w:rPr>
          <w:rStyle w:val="TitleChar"/>
        </w:rPr>
        <w:t xml:space="preserve">lanning </w:t>
      </w:r>
      <w:r w:rsidR="00BB09EC" w:rsidRPr="00020D20">
        <w:rPr>
          <w:rStyle w:val="TitleChar"/>
        </w:rPr>
        <w:t>I</w:t>
      </w:r>
      <w:r w:rsidR="00BB09EC">
        <w:rPr>
          <w:rStyle w:val="TitleChar"/>
        </w:rPr>
        <w:t>ssues</w:t>
      </w:r>
      <w:r w:rsidR="00382DA0" w:rsidRPr="00382DA0">
        <w:rPr>
          <w:rStyle w:val="TitleChar"/>
        </w:rPr>
        <w:fldChar w:fldCharType="end"/>
      </w:r>
      <w:r w:rsidRPr="00A15677">
        <w:t>.</w:t>
      </w:r>
    </w:p>
    <w:p w14:paraId="08C72A9C" w14:textId="68BBCD04" w:rsidR="00A15677" w:rsidRPr="00A15677" w:rsidRDefault="00A15677" w:rsidP="00020D20">
      <w:pPr>
        <w:pStyle w:val="Heading2"/>
        <w:rPr>
          <w:rFonts w:cstheme="minorHAnsi"/>
          <w:bCs/>
        </w:rPr>
      </w:pPr>
      <w:bookmarkStart w:id="561" w:name="_Ref50040760"/>
      <w:r w:rsidRPr="00A15677">
        <w:t>16.4 | FAA AIRPORT IMPROVEMENT PROGRAM</w:t>
      </w:r>
      <w:bookmarkEnd w:id="561"/>
    </w:p>
    <w:p w14:paraId="1CA39B67" w14:textId="1E54C974" w:rsidR="00A15677" w:rsidRDefault="00A15677" w:rsidP="00020D20">
      <w:pPr>
        <w:jc w:val="both"/>
      </w:pPr>
      <w:r w:rsidRPr="00A15677">
        <w:t>Aviation is a transportation mode that is well suited for long-distance travel, including interstate travel. Not unlike motorists on the interstate highway system, it is important for aviators and their passengers to be able to fly from airport to airport and find infrastructure that meets consistent standards for safety and operations. Accordingly, FAA develops infrastructure design standards and provides federal funds to public airports to build and maintain facilities consistent with these standards. FAA airport improvement efforts are described below. Included are discussions of the recent history of FAA funding for airports, current funding levels, the FAA airport planning process, and FAA grant requirements.</w:t>
      </w:r>
    </w:p>
    <w:p w14:paraId="04AA8063" w14:textId="77777777" w:rsidR="00A15677" w:rsidRPr="00A15677" w:rsidRDefault="00A15677" w:rsidP="00020D20">
      <w:pPr>
        <w:pStyle w:val="Heading3"/>
        <w:jc w:val="both"/>
        <w:rPr>
          <w:rFonts w:cstheme="minorHAnsi"/>
          <w:szCs w:val="20"/>
        </w:rPr>
      </w:pPr>
      <w:bookmarkStart w:id="562" w:name="_Ref50040763"/>
      <w:r w:rsidRPr="00A15677">
        <w:rPr>
          <w:rFonts w:cstheme="minorHAnsi"/>
          <w:szCs w:val="20"/>
        </w:rPr>
        <w:t>16.4.1 | Federal Funding</w:t>
      </w:r>
      <w:bookmarkEnd w:id="562"/>
      <w:r w:rsidRPr="00A15677">
        <w:rPr>
          <w:rFonts w:cstheme="minorHAnsi"/>
          <w:szCs w:val="20"/>
        </w:rPr>
        <w:t xml:space="preserve"> </w:t>
      </w:r>
    </w:p>
    <w:p w14:paraId="1C0BFECE" w14:textId="1A03BA31" w:rsidR="00A15677" w:rsidRPr="00A15677" w:rsidRDefault="00A15677" w:rsidP="00020D20">
      <w:pPr>
        <w:jc w:val="both"/>
        <w:rPr>
          <w:rFonts w:cstheme="minorHAnsi"/>
        </w:rPr>
      </w:pPr>
      <w:r w:rsidRPr="00A15677">
        <w:rPr>
          <w:rFonts w:cstheme="minorHAnsi"/>
        </w:rPr>
        <w:t>Nationwide, AIP grants have totaled about $3 billion per year over the past decade. Local matching funds are required, at percentage rates that vary from state to state and by airport type. In Arizona, an annual average of $193 million in federal funding is anticipated to be available for fiscal years 2013–2017. Matching funds of about $29 million are to be provided by the project sponsors (individual airports) and the state of Arizona. Out of the combined annual total of $222 million, the FAA portion represents approximately 86.9 percent.</w:t>
      </w:r>
    </w:p>
    <w:p w14:paraId="133AD817" w14:textId="7A1525E3" w:rsidR="00A15677" w:rsidRDefault="00A15677" w:rsidP="00020D20">
      <w:pPr>
        <w:jc w:val="both"/>
        <w:rPr>
          <w:rFonts w:cstheme="minorHAnsi"/>
          <w:b/>
        </w:rPr>
      </w:pPr>
      <w:r w:rsidRPr="00A15677">
        <w:rPr>
          <w:rFonts w:cstheme="minorHAnsi"/>
        </w:rPr>
        <w:t>Because one dollar of state and local funding can secure about nine dollars of federal grant money, Arizona strives to help its airports maximize the use of FAA grants. Inclusion of projects in the ACIP is necessary to implement projects but does not guarantee their funding or implementation. The airport that is the project sponsor must comply with various deadlines, information submittals, and matching fund requirements to receive an FAA AIP grant.</w:t>
      </w:r>
    </w:p>
    <w:p w14:paraId="56068618" w14:textId="506E17DE" w:rsidR="00436D25" w:rsidRDefault="00436D25" w:rsidP="00020D20">
      <w:pPr>
        <w:pStyle w:val="Heading3"/>
        <w:jc w:val="both"/>
      </w:pPr>
      <w:bookmarkStart w:id="563" w:name="_Ref50040766"/>
      <w:r w:rsidRPr="00A15677">
        <w:rPr>
          <w:rFonts w:cstheme="minorHAnsi"/>
          <w:szCs w:val="20"/>
        </w:rPr>
        <w:t>16.4.2 | FAA Planning Process</w:t>
      </w:r>
      <w:bookmarkEnd w:id="563"/>
    </w:p>
    <w:p w14:paraId="4D374F54" w14:textId="185B5C32" w:rsidR="00436D25" w:rsidRPr="00382DA0" w:rsidRDefault="00B53F39" w:rsidP="00020D20">
      <w:pPr>
        <w:jc w:val="both"/>
      </w:pPr>
      <w:r>
        <w:rPr>
          <w:rFonts w:cstheme="minorHAnsi"/>
          <w:noProof/>
        </w:rPr>
        <mc:AlternateContent>
          <mc:Choice Requires="wps">
            <w:drawing>
              <wp:anchor distT="0" distB="0" distL="114300" distR="114300" simplePos="0" relativeHeight="251618376" behindDoc="1" locked="0" layoutInCell="1" allowOverlap="1" wp14:anchorId="4AB59E21" wp14:editId="3E02C27E">
                <wp:simplePos x="0" y="0"/>
                <wp:positionH relativeFrom="column">
                  <wp:posOffset>1238250</wp:posOffset>
                </wp:positionH>
                <wp:positionV relativeFrom="paragraph">
                  <wp:posOffset>148590</wp:posOffset>
                </wp:positionV>
                <wp:extent cx="1485900" cy="2543175"/>
                <wp:effectExtent l="95250" t="95250" r="95250" b="104775"/>
                <wp:wrapTight wrapText="bothSides">
                  <wp:wrapPolygon edited="0">
                    <wp:start x="-831" y="-809"/>
                    <wp:lineTo x="-1385" y="-647"/>
                    <wp:lineTo x="-1385" y="21519"/>
                    <wp:lineTo x="-831" y="22328"/>
                    <wp:lineTo x="22154" y="22328"/>
                    <wp:lineTo x="22708" y="20225"/>
                    <wp:lineTo x="22708" y="1942"/>
                    <wp:lineTo x="22154" y="-485"/>
                    <wp:lineTo x="22154" y="-809"/>
                    <wp:lineTo x="-831" y="-809"/>
                  </wp:wrapPolygon>
                </wp:wrapTight>
                <wp:docPr id="816286337" name="Text Box 816286337"/>
                <wp:cNvGraphicFramePr/>
                <a:graphic xmlns:a="http://schemas.openxmlformats.org/drawingml/2006/main">
                  <a:graphicData uri="http://schemas.microsoft.com/office/word/2010/wordprocessingShape">
                    <wps:wsp>
                      <wps:cNvSpPr txBox="1"/>
                      <wps:spPr>
                        <a:xfrm>
                          <a:off x="0" y="0"/>
                          <a:ext cx="1485900" cy="25431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0304204" w14:textId="77777777" w:rsidR="00C6444C" w:rsidRDefault="00C6444C" w:rsidP="00020D20">
                            <w:pPr>
                              <w:jc w:val="center"/>
                            </w:pPr>
                            <w:r>
                              <w:rPr>
                                <w:noProof/>
                              </w:rPr>
                              <w:drawing>
                                <wp:inline distT="0" distB="0" distL="0" distR="0" wp14:anchorId="5203EB95" wp14:editId="5E66DAEB">
                                  <wp:extent cx="457200" cy="457200"/>
                                  <wp:effectExtent l="0" t="0" r="0" b="0"/>
                                  <wp:docPr id="816286183" name="Picture 81628618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6160B4" w14:textId="77777777" w:rsidR="00C6444C" w:rsidRPr="005A6734" w:rsidRDefault="00C6444C" w:rsidP="00020D20">
                            <w:pPr>
                              <w:pStyle w:val="Calloutboxes"/>
                            </w:pPr>
                            <w:r w:rsidRPr="00394A74">
                              <w:t xml:space="preserve">The FAAAIP is the largest source of funding for Arizona airports. In Arizona, an annual average of $193 million in federal funding is anticipated to be available for airport improvements during fiscal years 2013–2017. Required local </w:t>
                            </w:r>
                            <w:r w:rsidRPr="00954116">
                              <w:t>matching funds of $29 million will bring funding for AIP projects to $222 million. In most cases, the state and the airports each pay half of the local match.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59E21" id="Text Box 816286337" o:spid="_x0000_s1236" type="#_x0000_t202" style="position:absolute;left:0;text-align:left;margin-left:97.5pt;margin-top:11.7pt;width:117pt;height:200.25pt;z-index:-251698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" fillcolor="#f7f7f7" stroked="f" strokeweight=".5pt">
                <v:shadow on="t" type="perspective" color="black" opacity="26214f" offset="0,0" matrix="66847f,,,66847f"/>
                <v:textbox>
                  <w:txbxContent>
                    <w:p w14:paraId="50304204" w14:textId="77777777" w:rsidR="00C6444C" w:rsidRDefault="00C6444C" w:rsidP="00020D20">
                      <w:pPr>
                        <w:jc w:val="center"/>
                      </w:pPr>
                      <w:r>
                        <w:rPr>
                          <w:noProof/>
                        </w:rPr>
                        <w:drawing>
                          <wp:inline distT="0" distB="0" distL="0" distR="0" wp14:anchorId="5203EB95" wp14:editId="5E66DAEB">
                            <wp:extent cx="457200" cy="457200"/>
                            <wp:effectExtent l="0" t="0" r="0" b="0"/>
                            <wp:docPr id="816286183" name="Picture 81628618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6160B4" w14:textId="77777777" w:rsidR="00C6444C" w:rsidRPr="005A6734" w:rsidRDefault="00C6444C" w:rsidP="00020D20">
                      <w:pPr>
                        <w:pStyle w:val="Calloutboxes"/>
                      </w:pPr>
                      <w:r w:rsidRPr="00394A74">
                        <w:t xml:space="preserve">The FAAAIP is the largest source of funding for Arizona airports. In Arizona, an annual average of $193 million in federal funding is anticipated to be available for airport improvements during fiscal years 2013–2017. Required local </w:t>
                      </w:r>
                      <w:r w:rsidRPr="00954116">
                        <w:t>matching funds of $29 million will bring funding for AIP projects to $222 million. In most cases, the state and the airports each pay half of the local match.</w:t>
                      </w:r>
                    </w:p>
                  </w:txbxContent>
                </v:textbox>
                <w10:wrap type="tight"/>
              </v:shape>
            </w:pict>
          </mc:Fallback>
        </mc:AlternateContent>
      </w:r>
      <w:r w:rsidR="00436D25" w:rsidRPr="00A15677">
        <w:rPr>
          <w:rFonts w:cstheme="minorHAnsi"/>
        </w:rPr>
        <w:t xml:space="preserve">Comprehensive details regarding airport system </w:t>
      </w:r>
      <w:r w:rsidR="00436D25" w:rsidRPr="0002211A">
        <w:t xml:space="preserve">planning are available in </w:t>
      </w:r>
      <w:hyperlink r:id="rId941" w:history="1">
        <w:r w:rsidR="00436D25" w:rsidRPr="009969BF">
          <w:rPr>
            <w:rStyle w:val="TitleChar"/>
          </w:rPr>
          <w:t>FAA Advisory Circular 150/5070-7</w:t>
        </w:r>
      </w:hyperlink>
      <w:r w:rsidR="00436D25" w:rsidRPr="0002211A">
        <w:t>. Key FAA planning documents</w:t>
      </w:r>
      <w:r w:rsidR="00436D25" w:rsidRPr="00A15677">
        <w:rPr>
          <w:rFonts w:cstheme="minorHAnsi"/>
        </w:rPr>
        <w:t xml:space="preserve"> are listed in Table 16-2. Figure 16-1 illustrates the Airport System Hierarchy including local, regional, state and national planning activities. Figure 16-2 depicts various elements of the FAA airport planning process, and their interrelationships. </w:t>
      </w:r>
    </w:p>
    <w:p w14:paraId="2A5D4538" w14:textId="58CE8CA2" w:rsidR="00A15677" w:rsidRDefault="00A15677" w:rsidP="00020D20">
      <w:pPr>
        <w:pStyle w:val="Heading4"/>
        <w:jc w:val="both"/>
        <w:rPr>
          <w:rFonts w:cstheme="minorHAnsi"/>
        </w:rPr>
      </w:pPr>
      <w:r w:rsidRPr="00A15677">
        <w:rPr>
          <w:rFonts w:cstheme="minorHAnsi"/>
        </w:rPr>
        <w:t>Table 16-2 | Key FAA Planning Documents</w:t>
      </w:r>
    </w:p>
    <w:tbl>
      <w:tblPr>
        <w:tblW w:w="4325" w:type="dxa"/>
        <w:tblInd w:w="-10" w:type="dxa"/>
        <w:tblLayout w:type="fixed"/>
        <w:tblCellMar>
          <w:left w:w="0" w:type="dxa"/>
          <w:right w:w="0" w:type="dxa"/>
        </w:tblCellMar>
        <w:tblLook w:val="0000" w:firstRow="0" w:lastRow="0" w:firstColumn="0" w:lastColumn="0" w:noHBand="0" w:noVBand="0"/>
      </w:tblPr>
      <w:tblGrid>
        <w:gridCol w:w="990"/>
        <w:gridCol w:w="3335"/>
      </w:tblGrid>
      <w:tr w:rsidR="00164843" w:rsidRPr="00164843" w14:paraId="577122E4" w14:textId="77777777" w:rsidTr="00020D20">
        <w:trPr>
          <w:trHeight w:val="180"/>
        </w:trPr>
        <w:tc>
          <w:tcPr>
            <w:tcW w:w="990" w:type="dxa"/>
            <w:tcBorders>
              <w:top w:val="single" w:sz="4" w:space="0" w:color="auto"/>
              <w:left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658B2234" w14:textId="77777777" w:rsidR="00A15677" w:rsidRPr="00020D20" w:rsidRDefault="00A15677" w:rsidP="00020D20">
            <w:pPr>
              <w:spacing w:before="0" w:after="0" w:line="240" w:lineRule="auto"/>
              <w:jc w:val="center"/>
              <w:rPr>
                <w:color w:val="FFFFFF" w:themeColor="background1"/>
                <w:sz w:val="22"/>
              </w:rPr>
            </w:pPr>
            <w:r w:rsidRPr="00020D20">
              <w:rPr>
                <w:color w:val="FFFFFF" w:themeColor="background1"/>
                <w:sz w:val="22"/>
              </w:rPr>
              <w:t>Acronym</w:t>
            </w:r>
          </w:p>
        </w:tc>
        <w:tc>
          <w:tcPr>
            <w:tcW w:w="3335" w:type="dxa"/>
            <w:tcBorders>
              <w:top w:val="single" w:sz="4" w:space="0" w:color="auto"/>
              <w:left w:val="single" w:sz="4" w:space="0" w:color="FFFFFF" w:themeColor="background1"/>
              <w:right w:val="single" w:sz="4" w:space="0" w:color="auto"/>
            </w:tcBorders>
            <w:shd w:val="clear" w:color="auto" w:fill="012768"/>
            <w:tcMar>
              <w:top w:w="90" w:type="dxa"/>
              <w:left w:w="90" w:type="dxa"/>
              <w:bottom w:w="90" w:type="dxa"/>
              <w:right w:w="90" w:type="dxa"/>
            </w:tcMar>
            <w:vAlign w:val="center"/>
          </w:tcPr>
          <w:p w14:paraId="25AC20C0" w14:textId="77777777" w:rsidR="00A15677" w:rsidRPr="00020D20" w:rsidRDefault="00A15677" w:rsidP="00020D20">
            <w:pPr>
              <w:spacing w:before="0" w:after="0" w:line="240" w:lineRule="auto"/>
              <w:jc w:val="center"/>
              <w:rPr>
                <w:color w:val="FFFFFF" w:themeColor="background1"/>
                <w:sz w:val="22"/>
              </w:rPr>
            </w:pPr>
            <w:r w:rsidRPr="00020D20">
              <w:rPr>
                <w:color w:val="FFFFFF" w:themeColor="background1"/>
                <w:sz w:val="22"/>
              </w:rPr>
              <w:t>Title</w:t>
            </w:r>
          </w:p>
        </w:tc>
      </w:tr>
      <w:tr w:rsidR="00A15677" w:rsidRPr="00A15677" w14:paraId="135A73E5" w14:textId="77777777" w:rsidTr="00020D20">
        <w:trPr>
          <w:trHeight w:val="180"/>
        </w:trPr>
        <w:tc>
          <w:tcPr>
            <w:tcW w:w="990" w:type="dxa"/>
            <w:tcBorders>
              <w:left w:val="single" w:sz="4" w:space="0" w:color="auto"/>
              <w:bottom w:val="single" w:sz="4" w:space="0" w:color="auto"/>
              <w:right w:val="single" w:sz="4" w:space="0" w:color="auto"/>
            </w:tcBorders>
            <w:tcMar>
              <w:top w:w="80" w:type="dxa"/>
              <w:left w:w="80" w:type="dxa"/>
              <w:bottom w:w="80" w:type="dxa"/>
              <w:right w:w="80" w:type="dxa"/>
            </w:tcMar>
            <w:vAlign w:val="center"/>
          </w:tcPr>
          <w:p w14:paraId="2A546710" w14:textId="77777777" w:rsidR="00A15677" w:rsidRPr="00020D20" w:rsidRDefault="00A15677" w:rsidP="00020D20">
            <w:pPr>
              <w:spacing w:before="0" w:after="0" w:line="240" w:lineRule="auto"/>
              <w:jc w:val="center"/>
              <w:rPr>
                <w:sz w:val="18"/>
              </w:rPr>
            </w:pPr>
            <w:r w:rsidRPr="00020D20">
              <w:rPr>
                <w:sz w:val="18"/>
              </w:rPr>
              <w:t>NPIAS</w:t>
            </w:r>
          </w:p>
        </w:tc>
        <w:tc>
          <w:tcPr>
            <w:tcW w:w="3335" w:type="dxa"/>
            <w:tcBorders>
              <w:left w:val="single" w:sz="4" w:space="0" w:color="auto"/>
              <w:bottom w:val="single" w:sz="4" w:space="0" w:color="auto"/>
              <w:right w:val="single" w:sz="4" w:space="0" w:color="auto"/>
            </w:tcBorders>
            <w:tcMar>
              <w:top w:w="90" w:type="dxa"/>
              <w:left w:w="180" w:type="dxa"/>
              <w:bottom w:w="90" w:type="dxa"/>
              <w:right w:w="90" w:type="dxa"/>
            </w:tcMar>
            <w:vAlign w:val="center"/>
          </w:tcPr>
          <w:p w14:paraId="03028950" w14:textId="0AB04552" w:rsidR="00A15677" w:rsidRPr="00020D20" w:rsidRDefault="00202C92">
            <w:pPr>
              <w:pStyle w:val="Title"/>
              <w:rPr>
                <w:sz w:val="18"/>
              </w:rPr>
            </w:pPr>
            <w:hyperlink r:id="rId942" w:history="1">
              <w:r w:rsidR="00A15677" w:rsidRPr="00020D20">
                <w:rPr>
                  <w:rStyle w:val="Hyperlink"/>
                  <w:rFonts w:asciiTheme="minorHAnsi" w:hAnsiTheme="minorHAnsi" w:cstheme="majorBidi"/>
                  <w:i/>
                  <w:iCs w:val="0"/>
                  <w:color w:val="CE5B18"/>
                  <w:sz w:val="18"/>
                  <w:szCs w:val="56"/>
                  <w:u w:val="none"/>
                </w:rPr>
                <w:t xml:space="preserve">National Plan of </w:t>
              </w:r>
              <w:r w:rsidR="006B39FE" w:rsidRPr="00020D20">
                <w:rPr>
                  <w:rStyle w:val="Hyperlink"/>
                  <w:rFonts w:asciiTheme="minorHAnsi" w:hAnsiTheme="minorHAnsi" w:cstheme="majorBidi"/>
                  <w:i/>
                  <w:iCs w:val="0"/>
                  <w:color w:val="CE5B18"/>
                  <w:sz w:val="18"/>
                  <w:szCs w:val="56"/>
                  <w:u w:val="none"/>
                </w:rPr>
                <w:t>Integrated</w:t>
              </w:r>
              <w:r w:rsidR="00A15677" w:rsidRPr="00020D20">
                <w:rPr>
                  <w:rStyle w:val="Hyperlink"/>
                  <w:rFonts w:asciiTheme="minorHAnsi" w:hAnsiTheme="minorHAnsi" w:cstheme="majorBidi"/>
                  <w:i/>
                  <w:iCs w:val="0"/>
                  <w:color w:val="CE5B18"/>
                  <w:sz w:val="18"/>
                  <w:szCs w:val="56"/>
                  <w:u w:val="none"/>
                </w:rPr>
                <w:t xml:space="preserve"> Airport Systems</w:t>
              </w:r>
            </w:hyperlink>
          </w:p>
        </w:tc>
      </w:tr>
      <w:tr w:rsidR="00A15677" w:rsidRPr="00A15677" w14:paraId="7666EB21" w14:textId="77777777" w:rsidTr="00020D20">
        <w:trPr>
          <w:trHeight w:val="180"/>
        </w:trPr>
        <w:tc>
          <w:tcPr>
            <w:tcW w:w="99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101CC3A8" w14:textId="77777777" w:rsidR="00A15677" w:rsidRPr="00394A74" w:rsidRDefault="00A15677" w:rsidP="00020D20">
            <w:pPr>
              <w:spacing w:before="0" w:after="0" w:line="240" w:lineRule="auto"/>
              <w:jc w:val="center"/>
            </w:pPr>
            <w:r w:rsidRPr="00020D20">
              <w:rPr>
                <w:sz w:val="18"/>
              </w:rPr>
              <w:t>SASP</w:t>
            </w:r>
          </w:p>
        </w:tc>
        <w:tc>
          <w:tcPr>
            <w:tcW w:w="3335" w:type="dxa"/>
            <w:tcBorders>
              <w:top w:val="single" w:sz="4" w:space="0" w:color="auto"/>
              <w:left w:val="single" w:sz="4" w:space="0" w:color="auto"/>
              <w:bottom w:val="single" w:sz="4" w:space="0" w:color="auto"/>
              <w:right w:val="single" w:sz="4" w:space="0" w:color="auto"/>
            </w:tcBorders>
            <w:shd w:val="clear" w:color="auto" w:fill="E7E6E6" w:themeFill="background2"/>
            <w:tcMar>
              <w:top w:w="90" w:type="dxa"/>
              <w:left w:w="180" w:type="dxa"/>
              <w:bottom w:w="90" w:type="dxa"/>
              <w:right w:w="90" w:type="dxa"/>
            </w:tcMar>
            <w:vAlign w:val="center"/>
          </w:tcPr>
          <w:p w14:paraId="3A8AB5A2" w14:textId="0AF1F0DF" w:rsidR="00A15677" w:rsidRPr="00020D20" w:rsidRDefault="00202C92">
            <w:pPr>
              <w:pStyle w:val="Title"/>
              <w:rPr>
                <w:sz w:val="18"/>
              </w:rPr>
            </w:pPr>
            <w:hyperlink r:id="rId943" w:history="1">
              <w:r w:rsidR="00A15677" w:rsidRPr="00020D20">
                <w:rPr>
                  <w:rStyle w:val="Hyperlink"/>
                  <w:rFonts w:asciiTheme="minorHAnsi" w:hAnsiTheme="minorHAnsi" w:cstheme="majorBidi"/>
                  <w:i/>
                  <w:iCs w:val="0"/>
                  <w:color w:val="CE5B18"/>
                  <w:sz w:val="18"/>
                  <w:szCs w:val="56"/>
                  <w:u w:val="none"/>
                </w:rPr>
                <w:t>State Airport System Plan</w:t>
              </w:r>
            </w:hyperlink>
          </w:p>
        </w:tc>
      </w:tr>
      <w:tr w:rsidR="00A15677" w:rsidRPr="00A15677" w14:paraId="76F4659A" w14:textId="77777777" w:rsidTr="00020D20">
        <w:trPr>
          <w:trHeight w:val="180"/>
        </w:trPr>
        <w:tc>
          <w:tcPr>
            <w:tcW w:w="9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55744AD" w14:textId="77777777" w:rsidR="00A15677" w:rsidRPr="00394A74" w:rsidRDefault="00A15677" w:rsidP="00020D20">
            <w:pPr>
              <w:spacing w:before="0" w:after="0" w:line="240" w:lineRule="auto"/>
              <w:jc w:val="center"/>
            </w:pPr>
            <w:r w:rsidRPr="00020D20">
              <w:rPr>
                <w:sz w:val="18"/>
              </w:rPr>
              <w:t>RASP</w:t>
            </w:r>
          </w:p>
        </w:tc>
        <w:tc>
          <w:tcPr>
            <w:tcW w:w="3335"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5FF28C12" w14:textId="77777777" w:rsidR="00A15677" w:rsidRPr="00020D20" w:rsidRDefault="00A15677">
            <w:pPr>
              <w:pStyle w:val="Title"/>
              <w:rPr>
                <w:sz w:val="18"/>
              </w:rPr>
            </w:pPr>
            <w:r w:rsidRPr="00020D20">
              <w:rPr>
                <w:sz w:val="18"/>
              </w:rPr>
              <w:t>Regional Airport System Plans</w:t>
            </w:r>
          </w:p>
        </w:tc>
      </w:tr>
      <w:tr w:rsidR="00A15677" w:rsidRPr="00A15677" w14:paraId="346D55DD" w14:textId="77777777" w:rsidTr="00020D20">
        <w:trPr>
          <w:trHeight w:val="27"/>
        </w:trPr>
        <w:tc>
          <w:tcPr>
            <w:tcW w:w="99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18EAC7B3" w14:textId="77777777" w:rsidR="00A15677" w:rsidRPr="00394A74" w:rsidRDefault="00A15677" w:rsidP="00020D20">
            <w:pPr>
              <w:spacing w:before="0" w:after="0" w:line="240" w:lineRule="auto"/>
              <w:jc w:val="center"/>
            </w:pPr>
            <w:r w:rsidRPr="00020D20">
              <w:rPr>
                <w:sz w:val="18"/>
              </w:rPr>
              <w:t>ACIP</w:t>
            </w:r>
          </w:p>
        </w:tc>
        <w:tc>
          <w:tcPr>
            <w:tcW w:w="3335" w:type="dxa"/>
            <w:tcBorders>
              <w:top w:val="single" w:sz="4" w:space="0" w:color="auto"/>
              <w:left w:val="single" w:sz="4" w:space="0" w:color="auto"/>
              <w:bottom w:val="single" w:sz="4" w:space="0" w:color="auto"/>
              <w:right w:val="single" w:sz="4" w:space="0" w:color="auto"/>
            </w:tcBorders>
            <w:shd w:val="clear" w:color="auto" w:fill="E7E6E6" w:themeFill="background2"/>
            <w:tcMar>
              <w:top w:w="90" w:type="dxa"/>
              <w:left w:w="180" w:type="dxa"/>
              <w:bottom w:w="90" w:type="dxa"/>
              <w:right w:w="90" w:type="dxa"/>
            </w:tcMar>
            <w:vAlign w:val="center"/>
          </w:tcPr>
          <w:p w14:paraId="01FBD029" w14:textId="1BF92733" w:rsidR="00A15677" w:rsidRPr="00020D20" w:rsidRDefault="00202C92">
            <w:pPr>
              <w:pStyle w:val="Title"/>
              <w:rPr>
                <w:sz w:val="18"/>
              </w:rPr>
            </w:pPr>
            <w:hyperlink r:id="rId944" w:history="1">
              <w:r w:rsidR="00A15677" w:rsidRPr="00020D20">
                <w:rPr>
                  <w:rStyle w:val="Hyperlink"/>
                  <w:rFonts w:asciiTheme="minorHAnsi" w:hAnsiTheme="minorHAnsi" w:cstheme="majorBidi"/>
                  <w:i/>
                  <w:iCs w:val="0"/>
                  <w:color w:val="CE5B18"/>
                  <w:sz w:val="18"/>
                  <w:szCs w:val="56"/>
                  <w:u w:val="none"/>
                </w:rPr>
                <w:t>Airport Capital Improvement Plans</w:t>
              </w:r>
            </w:hyperlink>
          </w:p>
        </w:tc>
      </w:tr>
      <w:tr w:rsidR="00A15677" w:rsidRPr="00A15677" w14:paraId="24F893AC" w14:textId="77777777" w:rsidTr="00020D20">
        <w:trPr>
          <w:trHeight w:val="180"/>
        </w:trPr>
        <w:tc>
          <w:tcPr>
            <w:tcW w:w="9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183D621" w14:textId="77777777" w:rsidR="00A15677" w:rsidRPr="00020D20" w:rsidRDefault="00A15677" w:rsidP="00020D20">
            <w:pPr>
              <w:spacing w:before="0" w:after="0" w:line="240" w:lineRule="auto"/>
              <w:jc w:val="center"/>
              <w:rPr>
                <w:rFonts w:cstheme="minorHAnsi"/>
                <w:sz w:val="18"/>
              </w:rPr>
            </w:pPr>
          </w:p>
        </w:tc>
        <w:tc>
          <w:tcPr>
            <w:tcW w:w="3335"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19BA8E7A" w14:textId="77777777" w:rsidR="00A15677" w:rsidRPr="00020D20" w:rsidRDefault="00A15677">
            <w:pPr>
              <w:pStyle w:val="Title"/>
              <w:rPr>
                <w:sz w:val="18"/>
              </w:rPr>
            </w:pPr>
            <w:r w:rsidRPr="00020D20">
              <w:rPr>
                <w:sz w:val="18"/>
              </w:rPr>
              <w:t>Other Regional Airport Plans</w:t>
            </w:r>
          </w:p>
        </w:tc>
      </w:tr>
      <w:tr w:rsidR="00A15677" w:rsidRPr="00A15677" w14:paraId="4E8749CE" w14:textId="77777777" w:rsidTr="00020D20">
        <w:trPr>
          <w:trHeight w:val="27"/>
        </w:trPr>
        <w:tc>
          <w:tcPr>
            <w:tcW w:w="990" w:type="dxa"/>
            <w:tcBorders>
              <w:top w:val="single" w:sz="4" w:space="0" w:color="auto"/>
              <w:left w:val="single" w:sz="4" w:space="0" w:color="auto"/>
              <w:bottom w:val="single" w:sz="4" w:space="0" w:color="auto"/>
              <w:right w:val="single" w:sz="4" w:space="0" w:color="auto"/>
            </w:tcBorders>
            <w:shd w:val="clear" w:color="auto" w:fill="E7E6E6" w:themeFill="background2"/>
            <w:tcMar>
              <w:top w:w="80" w:type="dxa"/>
              <w:left w:w="80" w:type="dxa"/>
              <w:bottom w:w="80" w:type="dxa"/>
              <w:right w:w="80" w:type="dxa"/>
            </w:tcMar>
            <w:vAlign w:val="center"/>
          </w:tcPr>
          <w:p w14:paraId="6F45ED8C" w14:textId="44D36DA3" w:rsidR="00A15677" w:rsidRPr="00394A74" w:rsidRDefault="00A15677" w:rsidP="00020D20">
            <w:pPr>
              <w:spacing w:before="0" w:after="0" w:line="240" w:lineRule="auto"/>
              <w:jc w:val="center"/>
            </w:pPr>
            <w:r w:rsidRPr="00020D20">
              <w:rPr>
                <w:sz w:val="18"/>
              </w:rPr>
              <w:t>ALP</w:t>
            </w:r>
          </w:p>
        </w:tc>
        <w:tc>
          <w:tcPr>
            <w:tcW w:w="3335" w:type="dxa"/>
            <w:tcBorders>
              <w:top w:val="single" w:sz="4" w:space="0" w:color="auto"/>
              <w:left w:val="single" w:sz="4" w:space="0" w:color="auto"/>
              <w:bottom w:val="single" w:sz="4" w:space="0" w:color="auto"/>
              <w:right w:val="single" w:sz="4" w:space="0" w:color="auto"/>
            </w:tcBorders>
            <w:shd w:val="clear" w:color="auto" w:fill="E7E6E6" w:themeFill="background2"/>
            <w:tcMar>
              <w:top w:w="90" w:type="dxa"/>
              <w:left w:w="180" w:type="dxa"/>
              <w:bottom w:w="90" w:type="dxa"/>
              <w:right w:w="90" w:type="dxa"/>
            </w:tcMar>
            <w:vAlign w:val="center"/>
          </w:tcPr>
          <w:p w14:paraId="68B6F94F" w14:textId="7435CF69" w:rsidR="00A15677" w:rsidRPr="00020D20" w:rsidRDefault="00A15677">
            <w:pPr>
              <w:pStyle w:val="Title"/>
              <w:rPr>
                <w:sz w:val="18"/>
              </w:rPr>
            </w:pPr>
            <w:r w:rsidRPr="00020D20">
              <w:rPr>
                <w:sz w:val="18"/>
              </w:rPr>
              <w:t>Airport Layout Plans</w:t>
            </w:r>
          </w:p>
        </w:tc>
      </w:tr>
      <w:tr w:rsidR="00A15677" w:rsidRPr="00A15677" w14:paraId="192A6970" w14:textId="77777777" w:rsidTr="00020D20">
        <w:trPr>
          <w:trHeight w:val="180"/>
        </w:trPr>
        <w:tc>
          <w:tcPr>
            <w:tcW w:w="99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7273236" w14:textId="77777777" w:rsidR="00A15677" w:rsidRPr="00394A74" w:rsidRDefault="00A15677" w:rsidP="00020D20">
            <w:pPr>
              <w:spacing w:before="0" w:after="0" w:line="240" w:lineRule="auto"/>
              <w:jc w:val="center"/>
            </w:pPr>
            <w:r w:rsidRPr="00020D20">
              <w:rPr>
                <w:sz w:val="18"/>
              </w:rPr>
              <w:t>AMP</w:t>
            </w:r>
          </w:p>
        </w:tc>
        <w:tc>
          <w:tcPr>
            <w:tcW w:w="3335" w:type="dxa"/>
            <w:tcBorders>
              <w:top w:val="single" w:sz="4" w:space="0" w:color="auto"/>
              <w:left w:val="single" w:sz="4" w:space="0" w:color="auto"/>
              <w:bottom w:val="single" w:sz="4" w:space="0" w:color="auto"/>
              <w:right w:val="single" w:sz="4" w:space="0" w:color="auto"/>
            </w:tcBorders>
            <w:tcMar>
              <w:top w:w="90" w:type="dxa"/>
              <w:left w:w="180" w:type="dxa"/>
              <w:bottom w:w="90" w:type="dxa"/>
              <w:right w:w="90" w:type="dxa"/>
            </w:tcMar>
            <w:vAlign w:val="center"/>
          </w:tcPr>
          <w:p w14:paraId="75BE1B4E" w14:textId="77777777" w:rsidR="00A15677" w:rsidRPr="00020D20" w:rsidRDefault="00A15677">
            <w:pPr>
              <w:pStyle w:val="Title"/>
              <w:rPr>
                <w:sz w:val="18"/>
              </w:rPr>
            </w:pPr>
            <w:r w:rsidRPr="00020D20">
              <w:rPr>
                <w:sz w:val="18"/>
              </w:rPr>
              <w:t>Airport Master Plans</w:t>
            </w:r>
          </w:p>
        </w:tc>
      </w:tr>
    </w:tbl>
    <w:p w14:paraId="06F60BC1" w14:textId="77777777" w:rsidR="00A15677" w:rsidRPr="00A15677" w:rsidRDefault="00A15677" w:rsidP="00020D20">
      <w:pPr>
        <w:jc w:val="both"/>
        <w:rPr>
          <w:rFonts w:cstheme="minorHAnsi"/>
        </w:rPr>
      </w:pPr>
    </w:p>
    <w:p w14:paraId="3EE9DA82" w14:textId="5553D169" w:rsidR="00A15677" w:rsidRDefault="00A15677" w:rsidP="00020D20">
      <w:pPr>
        <w:pStyle w:val="Heading4"/>
        <w:jc w:val="both"/>
      </w:pPr>
      <w:r w:rsidRPr="00AA574A">
        <w:t>Figure 16-1 | Airport System Hierarchy</w:t>
      </w:r>
    </w:p>
    <w:p w14:paraId="17EF97D0" w14:textId="66411A84" w:rsidR="00164843" w:rsidRPr="00164843" w:rsidRDefault="00164843" w:rsidP="00020D20">
      <w:pPr>
        <w:jc w:val="both"/>
      </w:pPr>
      <w:r>
        <w:rPr>
          <w:noProof/>
        </w:rPr>
        <w:drawing>
          <wp:inline distT="0" distB="0" distL="0" distR="0" wp14:anchorId="6AA32FF7" wp14:editId="0AEC20B6">
            <wp:extent cx="2743200" cy="1871345"/>
            <wp:effectExtent l="0" t="0" r="0" b="0"/>
            <wp:docPr id="18" name="Picture 1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set 1.png"/>
                    <pic:cNvPicPr/>
                  </pic:nvPicPr>
                  <pic:blipFill>
                    <a:blip r:embed="rId945">
                      <a:extLst>
                        <a:ext uri="{28A0092B-C50C-407E-A947-70E740481C1C}">
                          <a14:useLocalDpi xmlns:a14="http://schemas.microsoft.com/office/drawing/2010/main" val="0"/>
                        </a:ext>
                      </a:extLst>
                    </a:blip>
                    <a:stretch>
                      <a:fillRect/>
                    </a:stretch>
                  </pic:blipFill>
                  <pic:spPr>
                    <a:xfrm>
                      <a:off x="0" y="0"/>
                      <a:ext cx="2743200" cy="1871345"/>
                    </a:xfrm>
                    <a:prstGeom prst="rect">
                      <a:avLst/>
                    </a:prstGeom>
                  </pic:spPr>
                </pic:pic>
              </a:graphicData>
            </a:graphic>
          </wp:inline>
        </w:drawing>
      </w:r>
    </w:p>
    <w:p w14:paraId="5F483B6B" w14:textId="6CD55EC7" w:rsidR="00436D25" w:rsidRDefault="00436D25" w:rsidP="00020D20">
      <w:pPr>
        <w:pStyle w:val="SubHeading3"/>
        <w:jc w:val="both"/>
      </w:pPr>
      <w:bookmarkStart w:id="564" w:name="_Ref50040933"/>
      <w:r w:rsidRPr="00436D25">
        <w:t>National</w:t>
      </w:r>
      <w:r w:rsidRPr="00A15677">
        <w:t xml:space="preserve"> Plan of Integrated Airport System</w:t>
      </w:r>
      <w:bookmarkEnd w:id="564"/>
    </w:p>
    <w:p w14:paraId="1E8491E8" w14:textId="7D6D2598" w:rsidR="00A15677" w:rsidRPr="00A15677" w:rsidRDefault="00A15677" w:rsidP="00020D20">
      <w:pPr>
        <w:jc w:val="both"/>
      </w:pPr>
      <w:r w:rsidRPr="00A15677">
        <w:t xml:space="preserve">The NPIAS identifies, for Congress and the public, the composition of a national system of airports together with the airport development and costs necessary over the ensuing 10 years to expand and improve the system to meet the present and future needs of civil aviation, national defense, and the U.S. Postal Service (USPS). </w:t>
      </w:r>
    </w:p>
    <w:p w14:paraId="35C12375" w14:textId="0B957E6B" w:rsidR="00A15677" w:rsidRDefault="00A15677" w:rsidP="00020D20">
      <w:pPr>
        <w:jc w:val="both"/>
      </w:pPr>
      <w:r w:rsidRPr="00A15677">
        <w:t>As of December 2012, the NPIAS identifies nearly 3,400 existing and proposed airports that are significant to national air transportation and thus eligible to receive federal grants under the AIP. It also includes estimates of the amount of AIP money needed to fund infrastructure development projects that will bring these airports up to current design standards and add capacity to congested airports. The FAA is required to provide Congress with a five-year estimate of AIP eligible development every two years.</w:t>
      </w:r>
    </w:p>
    <w:p w14:paraId="215C9E82" w14:textId="77777777" w:rsidR="00F74B9B" w:rsidRDefault="00F74B9B" w:rsidP="00020D20">
      <w:pPr>
        <w:jc w:val="both"/>
        <w:sectPr w:rsidR="00F74B9B" w:rsidSect="00020D20">
          <w:type w:val="continuous"/>
          <w:pgSz w:w="12240" w:h="15840"/>
          <w:pgMar w:top="1440" w:right="1440" w:bottom="1440" w:left="1440" w:header="720" w:footer="720" w:gutter="0"/>
          <w:pgNumType w:chapStyle="1"/>
          <w:cols w:num="2" w:space="720"/>
          <w:docGrid w:linePitch="360"/>
        </w:sectPr>
      </w:pPr>
    </w:p>
    <w:p w14:paraId="011F771D" w14:textId="502FF174" w:rsidR="00A15677" w:rsidRDefault="00A15677" w:rsidP="00020D20">
      <w:pPr>
        <w:pStyle w:val="TableNotes"/>
        <w:jc w:val="both"/>
      </w:pPr>
      <w:r w:rsidRPr="00AA574A">
        <w:t>Figure 16-2 | Planning Process for Airport Improvements</w:t>
      </w:r>
    </w:p>
    <w:p w14:paraId="5A4ECFB9" w14:textId="579321F2" w:rsidR="00F74B9B" w:rsidRDefault="00F74B9B" w:rsidP="00020D20">
      <w:pPr>
        <w:jc w:val="both"/>
      </w:pPr>
      <w:r>
        <w:rPr>
          <w:noProof/>
        </w:rPr>
        <w:drawing>
          <wp:inline distT="0" distB="0" distL="0" distR="0" wp14:anchorId="428A2A0A" wp14:editId="1FAF9DCB">
            <wp:extent cx="5943600" cy="2103120"/>
            <wp:effectExtent l="0" t="0" r="0" b="0"/>
            <wp:docPr id="19" name="Picture 19" descr="A screenshot of a social media pos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_Figure16-2_PlanningProcess.jpg"/>
                    <pic:cNvPicPr/>
                  </pic:nvPicPr>
                  <pic:blipFill>
                    <a:blip r:embed="rId946" cstate="print">
                      <a:extLst>
                        <a:ext uri="{28A0092B-C50C-407E-A947-70E740481C1C}">
                          <a14:useLocalDpi xmlns:a14="http://schemas.microsoft.com/office/drawing/2010/main" val="0"/>
                        </a:ext>
                      </a:extLst>
                    </a:blip>
                    <a:stretch>
                      <a:fillRect/>
                    </a:stretch>
                  </pic:blipFill>
                  <pic:spPr>
                    <a:xfrm>
                      <a:off x="0" y="0"/>
                      <a:ext cx="5943600" cy="2103120"/>
                    </a:xfrm>
                    <a:prstGeom prst="rect">
                      <a:avLst/>
                    </a:prstGeom>
                  </pic:spPr>
                </pic:pic>
              </a:graphicData>
            </a:graphic>
          </wp:inline>
        </w:drawing>
      </w:r>
    </w:p>
    <w:p w14:paraId="00FE33A7" w14:textId="3C1B2A6F" w:rsidR="00F74B9B" w:rsidRDefault="00F74B9B" w:rsidP="00020D20">
      <w:pPr>
        <w:jc w:val="both"/>
      </w:pPr>
    </w:p>
    <w:p w14:paraId="7937AE46" w14:textId="77777777" w:rsidR="00F74B9B" w:rsidRDefault="00F74B9B" w:rsidP="00020D20">
      <w:pPr>
        <w:jc w:val="both"/>
        <w:sectPr w:rsidR="00F74B9B" w:rsidSect="00AA574A">
          <w:type w:val="continuous"/>
          <w:pgSz w:w="12240" w:h="15840"/>
          <w:pgMar w:top="1440" w:right="1440" w:bottom="1440" w:left="1440" w:header="720" w:footer="720" w:gutter="0"/>
          <w:cols w:space="720"/>
          <w:docGrid w:linePitch="360"/>
        </w:sectPr>
      </w:pPr>
    </w:p>
    <w:p w14:paraId="2DB97FB1" w14:textId="77777777" w:rsidR="00A15677" w:rsidRPr="00A15677" w:rsidRDefault="00A15677" w:rsidP="00020D20">
      <w:pPr>
        <w:pStyle w:val="SubHeading3"/>
        <w:jc w:val="both"/>
      </w:pPr>
      <w:bookmarkStart w:id="565" w:name="_Ref50040936"/>
      <w:r w:rsidRPr="00A15677">
        <w:t>State Airport System Plans</w:t>
      </w:r>
      <w:bookmarkEnd w:id="565"/>
    </w:p>
    <w:p w14:paraId="40646625" w14:textId="1907E139" w:rsidR="00A15677" w:rsidRPr="00A15677" w:rsidRDefault="00A15677" w:rsidP="00020D20">
      <w:pPr>
        <w:jc w:val="both"/>
      </w:pPr>
      <w:r w:rsidRPr="00A15677">
        <w:t xml:space="preserve">Much of the information in the NPIAS results from compiling the findings from SASPs. The most current (2009) </w:t>
      </w:r>
      <w:hyperlink r:id="rId947" w:history="1">
        <w:r w:rsidRPr="006666FA">
          <w:rPr>
            <w:rStyle w:val="TitleChar"/>
          </w:rPr>
          <w:t>Arizona SASP</w:t>
        </w:r>
      </w:hyperlink>
      <w:r w:rsidRPr="00A15677">
        <w:t xml:space="preserve"> accomplished nine planning objectives:</w:t>
      </w:r>
    </w:p>
    <w:p w14:paraId="66AF5FCC" w14:textId="77777777" w:rsidR="00A15677" w:rsidRPr="006110AD" w:rsidRDefault="00A15677" w:rsidP="00020D20">
      <w:pPr>
        <w:pStyle w:val="NumberedList"/>
        <w:numPr>
          <w:ilvl w:val="0"/>
          <w:numId w:val="284"/>
        </w:numPr>
        <w:spacing w:before="0" w:after="0" w:line="240" w:lineRule="auto"/>
        <w:ind w:left="806"/>
        <w:jc w:val="both"/>
        <w:rPr>
          <w:szCs w:val="17"/>
        </w:rPr>
      </w:pPr>
      <w:r w:rsidRPr="00121C12">
        <w:rPr>
          <w:szCs w:val="17"/>
        </w:rPr>
        <w:t>Established system vision, goals, and performance measures</w:t>
      </w:r>
    </w:p>
    <w:p w14:paraId="70FB0473" w14:textId="77777777" w:rsidR="00A15677" w:rsidRPr="00957CC4" w:rsidRDefault="00A15677" w:rsidP="00020D20">
      <w:pPr>
        <w:pStyle w:val="NumberedList"/>
        <w:spacing w:before="0" w:after="0" w:line="240" w:lineRule="auto"/>
        <w:ind w:left="806"/>
        <w:jc w:val="both"/>
        <w:rPr>
          <w:szCs w:val="17"/>
        </w:rPr>
      </w:pPr>
      <w:r w:rsidRPr="00957CC4">
        <w:rPr>
          <w:szCs w:val="17"/>
        </w:rPr>
        <w:t>Inventoried current state policies for airport development</w:t>
      </w:r>
    </w:p>
    <w:p w14:paraId="68E6ACD5" w14:textId="77777777" w:rsidR="00A15677" w:rsidRPr="00020D20" w:rsidRDefault="00A15677" w:rsidP="00020D20">
      <w:pPr>
        <w:pStyle w:val="NumberedList"/>
        <w:spacing w:before="0" w:after="0" w:line="240" w:lineRule="auto"/>
        <w:ind w:left="806"/>
        <w:jc w:val="both"/>
        <w:rPr>
          <w:szCs w:val="17"/>
        </w:rPr>
      </w:pPr>
      <w:r w:rsidRPr="00BD48AE">
        <w:rPr>
          <w:szCs w:val="17"/>
        </w:rPr>
        <w:t>Inventoried existing airport/aviation assets</w:t>
      </w:r>
    </w:p>
    <w:p w14:paraId="7481475C" w14:textId="77777777" w:rsidR="00A15677" w:rsidRPr="00020D20" w:rsidRDefault="00A15677" w:rsidP="00020D20">
      <w:pPr>
        <w:pStyle w:val="NumberedList"/>
        <w:spacing w:before="0" w:after="0" w:line="240" w:lineRule="auto"/>
        <w:ind w:left="806"/>
        <w:jc w:val="both"/>
        <w:rPr>
          <w:szCs w:val="17"/>
        </w:rPr>
      </w:pPr>
      <w:r w:rsidRPr="00020D20">
        <w:rPr>
          <w:szCs w:val="17"/>
        </w:rPr>
        <w:t>Developed airport-specific growth projections through 2030</w:t>
      </w:r>
    </w:p>
    <w:p w14:paraId="1E9B886A" w14:textId="77777777" w:rsidR="00A15677" w:rsidRPr="00020D20" w:rsidRDefault="00A15677" w:rsidP="00020D20">
      <w:pPr>
        <w:pStyle w:val="NumberedList"/>
        <w:spacing w:before="0" w:after="0" w:line="240" w:lineRule="auto"/>
        <w:ind w:left="806"/>
        <w:jc w:val="both"/>
        <w:rPr>
          <w:szCs w:val="17"/>
        </w:rPr>
      </w:pPr>
      <w:r w:rsidRPr="00020D20">
        <w:rPr>
          <w:szCs w:val="17"/>
        </w:rPr>
        <w:t>Identified appropriate functional roles for all airports in the SASP system</w:t>
      </w:r>
    </w:p>
    <w:p w14:paraId="4FCD04E0" w14:textId="77777777" w:rsidR="00A15677" w:rsidRPr="00020D20" w:rsidRDefault="00A15677" w:rsidP="00020D20">
      <w:pPr>
        <w:pStyle w:val="NumberedList"/>
        <w:spacing w:before="0" w:after="0" w:line="240" w:lineRule="auto"/>
        <w:ind w:left="806"/>
        <w:jc w:val="both"/>
        <w:rPr>
          <w:szCs w:val="17"/>
        </w:rPr>
      </w:pPr>
      <w:r w:rsidRPr="00020D20">
        <w:rPr>
          <w:szCs w:val="17"/>
        </w:rPr>
        <w:t>Identified adequacies and deficiencies in the existing system, based on performance measures</w:t>
      </w:r>
    </w:p>
    <w:p w14:paraId="0740F253" w14:textId="77777777" w:rsidR="00A15677" w:rsidRPr="00020D20" w:rsidRDefault="00A15677" w:rsidP="00020D20">
      <w:pPr>
        <w:pStyle w:val="NumberedList"/>
        <w:spacing w:before="0" w:after="0" w:line="240" w:lineRule="auto"/>
        <w:ind w:left="806"/>
        <w:jc w:val="both"/>
        <w:rPr>
          <w:szCs w:val="17"/>
        </w:rPr>
      </w:pPr>
      <w:r w:rsidRPr="00020D20">
        <w:rPr>
          <w:szCs w:val="17"/>
        </w:rPr>
        <w:t>Established targets for future system performance</w:t>
      </w:r>
    </w:p>
    <w:p w14:paraId="619D11AC" w14:textId="77777777" w:rsidR="00A15677" w:rsidRPr="00020D20" w:rsidRDefault="00A15677" w:rsidP="00020D20">
      <w:pPr>
        <w:pStyle w:val="NumberedList"/>
        <w:spacing w:before="0" w:after="0" w:line="240" w:lineRule="auto"/>
        <w:ind w:left="806"/>
        <w:jc w:val="both"/>
        <w:rPr>
          <w:szCs w:val="17"/>
        </w:rPr>
      </w:pPr>
      <w:r w:rsidRPr="00020D20">
        <w:rPr>
          <w:szCs w:val="17"/>
        </w:rPr>
        <w:t>Estimated system development costs needed to meet the established future performance targets</w:t>
      </w:r>
    </w:p>
    <w:p w14:paraId="61BBE42D" w14:textId="53C0D499" w:rsidR="007B6E15" w:rsidRDefault="00A15677" w:rsidP="00020D20">
      <w:pPr>
        <w:pStyle w:val="NumberedList"/>
        <w:spacing w:before="0" w:after="0" w:line="240" w:lineRule="auto"/>
        <w:ind w:left="806"/>
        <w:jc w:val="both"/>
      </w:pPr>
      <w:r w:rsidRPr="00020D20">
        <w:rPr>
          <w:szCs w:val="17"/>
        </w:rPr>
        <w:t>Identified actions needed to implement the SASP study recommendations</w:t>
      </w:r>
      <w:r w:rsidR="007B6E15">
        <w:br w:type="page"/>
      </w:r>
    </w:p>
    <w:p w14:paraId="002D7362" w14:textId="47725792" w:rsidR="00A15677" w:rsidRPr="00A15677" w:rsidRDefault="00A15677" w:rsidP="00020D20">
      <w:pPr>
        <w:pStyle w:val="SubHeading3"/>
        <w:jc w:val="both"/>
      </w:pPr>
      <w:bookmarkStart w:id="566" w:name="_Ref50040939"/>
      <w:r w:rsidRPr="00F74B9B">
        <w:t>Regional</w:t>
      </w:r>
      <w:r w:rsidRPr="00A15677">
        <w:t xml:space="preserve"> Airport System Plans</w:t>
      </w:r>
      <w:bookmarkEnd w:id="566"/>
    </w:p>
    <w:p w14:paraId="6AB032B1" w14:textId="730BA673" w:rsidR="00A15677" w:rsidRPr="00A15677" w:rsidRDefault="00C46ABF" w:rsidP="00020D20">
      <w:pPr>
        <w:jc w:val="both"/>
      </w:pPr>
      <w:r>
        <w:rPr>
          <w:rFonts w:cstheme="minorHAnsi"/>
          <w:noProof/>
        </w:rPr>
        <mc:AlternateContent>
          <mc:Choice Requires="wps">
            <w:drawing>
              <wp:anchor distT="0" distB="0" distL="114300" distR="114300" simplePos="0" relativeHeight="251618377" behindDoc="1" locked="0" layoutInCell="1" allowOverlap="1" wp14:anchorId="2EFBC1C6" wp14:editId="2F4526A6">
                <wp:simplePos x="0" y="0"/>
                <wp:positionH relativeFrom="column">
                  <wp:posOffset>4486275</wp:posOffset>
                </wp:positionH>
                <wp:positionV relativeFrom="paragraph">
                  <wp:posOffset>492125</wp:posOffset>
                </wp:positionV>
                <wp:extent cx="1485900" cy="1647825"/>
                <wp:effectExtent l="76200" t="95250" r="76200" b="104775"/>
                <wp:wrapTight wrapText="bothSides">
                  <wp:wrapPolygon edited="0">
                    <wp:start x="-1108" y="-1249"/>
                    <wp:lineTo x="-1108" y="22724"/>
                    <wp:lineTo x="22431" y="22724"/>
                    <wp:lineTo x="22431" y="-1249"/>
                    <wp:lineTo x="-1108" y="-1249"/>
                  </wp:wrapPolygon>
                </wp:wrapTight>
                <wp:docPr id="816286166" name="Text Box 816286166"/>
                <wp:cNvGraphicFramePr/>
                <a:graphic xmlns:a="http://schemas.openxmlformats.org/drawingml/2006/main">
                  <a:graphicData uri="http://schemas.microsoft.com/office/word/2010/wordprocessingShape">
                    <wps:wsp>
                      <wps:cNvSpPr txBox="1"/>
                      <wps:spPr>
                        <a:xfrm>
                          <a:off x="0" y="0"/>
                          <a:ext cx="1485900" cy="1647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7E663F4" w14:textId="77777777" w:rsidR="00C6444C" w:rsidRDefault="00C6444C" w:rsidP="00020D20">
                            <w:pPr>
                              <w:jc w:val="center"/>
                            </w:pPr>
                            <w:r>
                              <w:rPr>
                                <w:noProof/>
                              </w:rPr>
                              <w:drawing>
                                <wp:inline distT="0" distB="0" distL="0" distR="0" wp14:anchorId="578F91A3" wp14:editId="66855D3B">
                                  <wp:extent cx="457200" cy="457200"/>
                                  <wp:effectExtent l="0" t="0" r="0" b="0"/>
                                  <wp:docPr id="816286185" name="Picture 81628618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956993" w14:textId="79572342" w:rsidR="00C6444C" w:rsidRPr="00884944" w:rsidRDefault="00C6444C">
                            <w:pPr>
                              <w:pStyle w:val="Calloutboxes"/>
                            </w:pPr>
                            <w:r>
                              <w:t xml:space="preserve">The ADOT Aeronautics Group prepares an </w:t>
                            </w:r>
                            <w:hyperlink r:id="rId948" w:history="1">
                              <w:r w:rsidRPr="00020D20">
                                <w:rPr>
                                  <w:rStyle w:val="TitleChar"/>
                                  <w:sz w:val="16"/>
                                  <w:szCs w:val="16"/>
                                </w:rPr>
                                <w:t>Arizona ACIP</w:t>
                              </w:r>
                            </w:hyperlink>
                            <w:r>
                              <w:t xml:space="preserve"> as part of the state’s Five-Year Transportation Facilities Construction Program, which is approved by the Arizona State Transportation Board (ASTB).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FBC1C6" id="Text Box 816286166" o:spid="_x0000_s1237" type="#_x0000_t202" style="position:absolute;left:0;text-align:left;margin-left:353.25pt;margin-top:38.75pt;width:117pt;height:129.75pt;z-index:-251698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" fillcolor="#f7f7f7" stroked="f" strokeweight=".5pt">
                <v:shadow on="t" type="perspective" color="black" opacity="26214f" offset="0,0" matrix="66847f,,,66847f"/>
                <v:textbox>
                  <w:txbxContent>
                    <w:p w14:paraId="57E663F4" w14:textId="77777777" w:rsidR="00C6444C" w:rsidRDefault="00C6444C" w:rsidP="00020D20">
                      <w:pPr>
                        <w:jc w:val="center"/>
                      </w:pPr>
                      <w:r>
                        <w:rPr>
                          <w:noProof/>
                        </w:rPr>
                        <w:drawing>
                          <wp:inline distT="0" distB="0" distL="0" distR="0" wp14:anchorId="578F91A3" wp14:editId="66855D3B">
                            <wp:extent cx="457200" cy="457200"/>
                            <wp:effectExtent l="0" t="0" r="0" b="0"/>
                            <wp:docPr id="816286185" name="Picture 81628618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C956993" w14:textId="79572342" w:rsidR="00C6444C" w:rsidRPr="00884944" w:rsidRDefault="00C6444C">
                      <w:pPr>
                        <w:pStyle w:val="Calloutboxes"/>
                      </w:pPr>
                      <w:r>
                        <w:t xml:space="preserve">The ADOT Aeronautics Group prepares an </w:t>
                      </w:r>
                      <w:hyperlink r:id="rId949" w:history="1">
                        <w:r w:rsidRPr="00020D20">
                          <w:rPr>
                            <w:rStyle w:val="TitleChar"/>
                            <w:sz w:val="16"/>
                            <w:szCs w:val="16"/>
                          </w:rPr>
                          <w:t>Arizona ACIP</w:t>
                        </w:r>
                      </w:hyperlink>
                      <w:r>
                        <w:t xml:space="preserve"> as part of the state’s Five-Year Transportation Facilities Construction Program, which is approved by the Arizona State Transportation Board (ASTB).</w:t>
                      </w:r>
                    </w:p>
                  </w:txbxContent>
                </v:textbox>
                <w10:wrap type="tight"/>
              </v:shape>
            </w:pict>
          </mc:Fallback>
        </mc:AlternateContent>
      </w:r>
      <w:r w:rsidR="00A15677" w:rsidRPr="00A15677">
        <w:t xml:space="preserve">From time to time, on an as-needed basis, RASPs are prepared to complement the ongoing SASP process. RASPs are not a required element of the federal planning process but can be funded by the FAA in cases where local circumstances justify the need for such a study. In 2009, the </w:t>
      </w:r>
      <w:hyperlink r:id="rId950" w:history="1">
        <w:r w:rsidR="00A15677" w:rsidRPr="006666FA">
          <w:rPr>
            <w:rStyle w:val="TitleChar"/>
          </w:rPr>
          <w:t>U.S. Government Accountability Office</w:t>
        </w:r>
      </w:hyperlink>
      <w:r w:rsidR="00A15677" w:rsidRPr="00A15677">
        <w:t xml:space="preserve"> (GAO) reported that the FAA spent $34.4 million between 1999 and 2008 to fund 27 RASPs. These expenditures included $450,000 for the Phoenix area and $150,000 for the Tucson area. The findings from Arizona’s two RASPs have been taken into account in the subsequent development of Arizona’s SASP.</w:t>
      </w:r>
    </w:p>
    <w:p w14:paraId="0495A412" w14:textId="62C16F28" w:rsidR="00A15677" w:rsidRPr="00A15677" w:rsidRDefault="00A15677" w:rsidP="00020D20">
      <w:pPr>
        <w:jc w:val="both"/>
      </w:pPr>
      <w:r w:rsidRPr="00A15677">
        <w:t>FAA’s Advisory Circular 150/15070-7, Section 206 (“Role of the Metropolitan or Regional Planning Agency”) indicates that a RASP can be conducted by an MPO “when that agency has the interest in and the capability to conduct such planning.” The circular indicates that this is allowed in areas that include a large or medium hub airport. Phoenix has a large hub airport and Tucson has a medium hub airport. No other facility in Arizona currently meets the FAA enplanement criteria for these classifications.</w:t>
      </w:r>
    </w:p>
    <w:p w14:paraId="25199ABA" w14:textId="77777777" w:rsidR="00A15677" w:rsidRPr="00A15677" w:rsidRDefault="00A15677" w:rsidP="00020D20">
      <w:pPr>
        <w:jc w:val="both"/>
      </w:pPr>
      <w:r w:rsidRPr="00A15677">
        <w:t>Arizona’s limited preparation of RASPs is consistent with national practice. A GAO survey</w:t>
      </w:r>
      <w:r>
        <w:t xml:space="preserve"> </w:t>
      </w:r>
      <w:r w:rsidRPr="00A15677">
        <w:t>of 324 MPOs found that fewer than 20 percent of MPOs have an active role in aviation planning and that nearly all of these are in metropolitan areas with a population of one million or more residents. It takes a region with a large population to make a medium or large hub airport necessary and financially viable.</w:t>
      </w:r>
    </w:p>
    <w:p w14:paraId="625188A4" w14:textId="77777777" w:rsidR="00A15677" w:rsidRPr="00A15677" w:rsidRDefault="00A15677" w:rsidP="00020D20">
      <w:pPr>
        <w:pStyle w:val="SubHeading3"/>
        <w:jc w:val="both"/>
      </w:pPr>
      <w:bookmarkStart w:id="567" w:name="_Ref50040942"/>
      <w:r w:rsidRPr="00A15677">
        <w:t>Airport Capital Improvement Plans</w:t>
      </w:r>
      <w:bookmarkEnd w:id="567"/>
    </w:p>
    <w:p w14:paraId="6CF3E8D2" w14:textId="28A478D1" w:rsidR="00A15677" w:rsidRPr="00A15677" w:rsidRDefault="00A15677" w:rsidP="00020D20">
      <w:pPr>
        <w:jc w:val="both"/>
      </w:pPr>
      <w:r w:rsidRPr="00A15677">
        <w:t>To implement the NPIAS over time, the FAA prepares a national ACIP that identifies the specific improvements to be undertaken within the next three to five years and that are considered likely to be funded by the AIP. The FAA maintains the NPIAS and the ACIP as internal documents in a common database (NPIAS-ACIP. The national ACIP is prepared by compiling input from the regional ACIPs prepared by the FAA’s nine regional offices. Each ACIP is prepared in accordance with FAA Order 5100.39A, “Airport Capital Improvements Plan.” The regional ACIP addressing the needs of Arizona is prepared by the Los Angeles Airport Districts Office (ADO), which is part of the FAA’s Western-Pacific Region. Recently, the FAA opened a Phoenix Airports Field Office. This office will assume the duties of the development of the ACIP.</w:t>
      </w:r>
    </w:p>
    <w:p w14:paraId="6437BA0C" w14:textId="24BE52DA" w:rsidR="00A15677" w:rsidRPr="00A15677" w:rsidRDefault="00A15677" w:rsidP="00020D20">
      <w:pPr>
        <w:pStyle w:val="SubHeading3"/>
        <w:jc w:val="both"/>
      </w:pPr>
      <w:bookmarkStart w:id="568" w:name="_Ref50040945"/>
      <w:r w:rsidRPr="00A15677">
        <w:t>Other Regional Airport Plans</w:t>
      </w:r>
      <w:bookmarkEnd w:id="568"/>
    </w:p>
    <w:p w14:paraId="48E93EA4" w14:textId="206AFD28" w:rsidR="00A15677" w:rsidRPr="00A15677" w:rsidRDefault="00A15677" w:rsidP="00020D20">
      <w:pPr>
        <w:jc w:val="both"/>
      </w:pPr>
      <w:r w:rsidRPr="00A15677">
        <w:t xml:space="preserve">A wide range of other special studies that are eligible for AIP funding are discussed in FAA Advisory Circular 150/15070-7, Chapter 7, “Special Studies.” A list of special studies is also included in ADOT’s October 2011 Airport Development Guidelines (see section </w:t>
      </w:r>
      <w:r w:rsidR="006666FA" w:rsidRPr="00020D20">
        <w:rPr>
          <w:rStyle w:val="TitleChar"/>
        </w:rPr>
        <w:fldChar w:fldCharType="begin"/>
      </w:r>
      <w:r w:rsidR="006666FA" w:rsidRPr="00020D20">
        <w:rPr>
          <w:rStyle w:val="TitleChar"/>
        </w:rPr>
        <w:instrText xml:space="preserve"> REF _Ref45101562 \h  \* MERGEFORMAT </w:instrText>
      </w:r>
      <w:r w:rsidR="006666FA" w:rsidRPr="00020D20">
        <w:rPr>
          <w:rStyle w:val="TitleChar"/>
        </w:rPr>
      </w:r>
      <w:r w:rsidR="006666FA" w:rsidRPr="00020D20">
        <w:rPr>
          <w:rStyle w:val="TitleChar"/>
        </w:rPr>
        <w:fldChar w:fldCharType="separate"/>
      </w:r>
      <w:r w:rsidR="00A940D6" w:rsidRPr="00A940D6">
        <w:rPr>
          <w:rStyle w:val="TitleChar"/>
        </w:rPr>
        <w:t>16.5.2</w:t>
      </w:r>
      <w:r w:rsidR="00A940D6" w:rsidRPr="00020D20">
        <w:rPr>
          <w:rStyle w:val="TitleChar"/>
        </w:rPr>
        <w:t xml:space="preserve"> | State Funding Programs &amp; Levels</w:t>
      </w:r>
      <w:r w:rsidR="006666FA" w:rsidRPr="00020D20">
        <w:rPr>
          <w:rStyle w:val="TitleChar"/>
        </w:rPr>
        <w:fldChar w:fldCharType="end"/>
      </w:r>
      <w:r w:rsidR="00442EBB">
        <w:t xml:space="preserve"> </w:t>
      </w:r>
      <w:r w:rsidRPr="00A15677">
        <w:t>below). Specific examples cited in the FAA circular include statewide air cargo studies, pavement management studies, and the following aviation-related topics:</w:t>
      </w:r>
    </w:p>
    <w:p w14:paraId="37150314" w14:textId="3D77D3E9" w:rsidR="00A15677" w:rsidRPr="00A15677" w:rsidRDefault="00A15677" w:rsidP="00020D20">
      <w:pPr>
        <w:pStyle w:val="NumberedList"/>
        <w:numPr>
          <w:ilvl w:val="0"/>
          <w:numId w:val="285"/>
        </w:numPr>
        <w:jc w:val="both"/>
      </w:pPr>
      <w:r w:rsidRPr="00A15677">
        <w:t>Identification of airports (and priorities) that should be improved to accommodate business jets on a regional basis</w:t>
      </w:r>
    </w:p>
    <w:p w14:paraId="3C23E684" w14:textId="626634D8" w:rsidR="00A15677" w:rsidRPr="00A15677" w:rsidRDefault="00A15677" w:rsidP="00020D20">
      <w:pPr>
        <w:pStyle w:val="NumberedList"/>
        <w:jc w:val="both"/>
      </w:pPr>
      <w:r w:rsidRPr="00A15677">
        <w:t>Identification of airports that need improved instrument approaches and the facility improvements required to support those approaches</w:t>
      </w:r>
    </w:p>
    <w:p w14:paraId="484F1E09" w14:textId="77777777" w:rsidR="00A15677" w:rsidRPr="00A15677" w:rsidRDefault="00A15677" w:rsidP="00020D20">
      <w:pPr>
        <w:pStyle w:val="NumberedList"/>
        <w:jc w:val="both"/>
      </w:pPr>
      <w:r w:rsidRPr="00A15677">
        <w:t>Identification of airport improvements needed at smaller commercial service airports to accommodate regional jets, statewide navigational aids, or automated weather observing system (AWOS) studies</w:t>
      </w:r>
    </w:p>
    <w:p w14:paraId="1E400F12" w14:textId="77777777" w:rsidR="00A15677" w:rsidRPr="00A15677" w:rsidRDefault="00A15677" w:rsidP="00020D20">
      <w:pPr>
        <w:pStyle w:val="NumberedList"/>
        <w:jc w:val="both"/>
      </w:pPr>
      <w:r w:rsidRPr="00A15677">
        <w:t>Studies to develop statewide guidance or standards on noise, zoning, or land use compatibility</w:t>
      </w:r>
    </w:p>
    <w:p w14:paraId="1A8EEA2D" w14:textId="77777777" w:rsidR="00A15677" w:rsidRPr="00A15677" w:rsidRDefault="00A15677" w:rsidP="00020D20">
      <w:pPr>
        <w:pStyle w:val="NumberedList"/>
        <w:jc w:val="both"/>
      </w:pPr>
      <w:r w:rsidRPr="00A15677">
        <w:t>Statewide economic impact studies</w:t>
      </w:r>
    </w:p>
    <w:p w14:paraId="77BA8282" w14:textId="77777777" w:rsidR="00A15677" w:rsidRPr="00A15677" w:rsidRDefault="00A15677" w:rsidP="00020D20">
      <w:pPr>
        <w:pStyle w:val="NumberedList"/>
        <w:jc w:val="both"/>
      </w:pPr>
      <w:r w:rsidRPr="00A15677">
        <w:t>Emergency services and security planning</w:t>
      </w:r>
    </w:p>
    <w:p w14:paraId="492D9DFA" w14:textId="77777777" w:rsidR="00A15677" w:rsidRPr="00A15677" w:rsidRDefault="00A15677" w:rsidP="00020D20">
      <w:pPr>
        <w:pStyle w:val="NumberedList"/>
        <w:jc w:val="both"/>
      </w:pPr>
      <w:r w:rsidRPr="00A15677">
        <w:t>Evaluation of market routes</w:t>
      </w:r>
    </w:p>
    <w:p w14:paraId="76125742" w14:textId="77777777" w:rsidR="00A15677" w:rsidRPr="00A15677" w:rsidRDefault="00A15677" w:rsidP="00020D20">
      <w:pPr>
        <w:pStyle w:val="NumberedList"/>
        <w:jc w:val="both"/>
      </w:pPr>
      <w:r w:rsidRPr="00A15677">
        <w:t>General aviation airport security</w:t>
      </w:r>
    </w:p>
    <w:p w14:paraId="7FB87B36" w14:textId="4F9BE05D" w:rsidR="00A15677" w:rsidRPr="00A15677" w:rsidRDefault="00A15677" w:rsidP="00020D20">
      <w:pPr>
        <w:pStyle w:val="NumberedList"/>
        <w:jc w:val="both"/>
      </w:pPr>
      <w:r w:rsidRPr="00A15677">
        <w:t>Strategic planning</w:t>
      </w:r>
    </w:p>
    <w:p w14:paraId="635BBD27" w14:textId="46892881" w:rsidR="00A15677" w:rsidRPr="00A15677" w:rsidRDefault="00A15677" w:rsidP="00020D20">
      <w:pPr>
        <w:pStyle w:val="SubHeading3"/>
        <w:jc w:val="both"/>
      </w:pPr>
      <w:bookmarkStart w:id="569" w:name="_Ref50040949"/>
      <w:r w:rsidRPr="00A15677">
        <w:t>Airport Layout Plans and Airport Master Plans</w:t>
      </w:r>
      <w:bookmarkEnd w:id="569"/>
    </w:p>
    <w:p w14:paraId="517468CB" w14:textId="77777777" w:rsidR="00A15677" w:rsidRPr="00A15677" w:rsidRDefault="00A15677" w:rsidP="00020D20">
      <w:pPr>
        <w:jc w:val="both"/>
      </w:pPr>
      <w:r w:rsidRPr="00A15677">
        <w:t xml:space="preserve">The basic building blocks for regional, state, and national airport system plans are the specific plans developed by each individual airport, identifying what facilities it has and needs to meet its intended role in serving the community. These plans are context-sensitive, because every airport has different geographical and social constraints based on its setting and surrounding development. Each airport plan must be compatible with FAA standards to provide consistent levels of safe infrastructure for users, including interstate air travelers. </w:t>
      </w:r>
    </w:p>
    <w:p w14:paraId="79E51599" w14:textId="77777777" w:rsidR="00A15677" w:rsidRPr="00A15677" w:rsidRDefault="00A15677" w:rsidP="00020D20">
      <w:pPr>
        <w:pStyle w:val="Heading3"/>
        <w:jc w:val="both"/>
      </w:pPr>
      <w:bookmarkStart w:id="570" w:name="_Ref50040779"/>
      <w:r w:rsidRPr="00A15677">
        <w:t>16.4.3 | Grant Requirements</w:t>
      </w:r>
      <w:bookmarkEnd w:id="570"/>
    </w:p>
    <w:p w14:paraId="110AFEC8" w14:textId="257E1985" w:rsidR="00A15677" w:rsidRDefault="00A15677" w:rsidP="00020D20">
      <w:pPr>
        <w:jc w:val="both"/>
      </w:pPr>
      <w:r w:rsidRPr="00A15677">
        <w:t>For airports that are included in the NPIAS and are eligible to receive AIP grants, it is important that the airport operator understand the grant application process and the grant application requirements.</w:t>
      </w:r>
      <w:r>
        <w:t xml:space="preserve"> </w:t>
      </w:r>
    </w:p>
    <w:p w14:paraId="286DB357" w14:textId="390959A7" w:rsidR="00A15677" w:rsidRPr="00A15677" w:rsidRDefault="005B639E" w:rsidP="00020D20">
      <w:pPr>
        <w:jc w:val="both"/>
      </w:pPr>
      <w:r>
        <w:rPr>
          <w:rFonts w:cstheme="minorHAnsi"/>
          <w:noProof/>
        </w:rPr>
        <mc:AlternateContent>
          <mc:Choice Requires="wps">
            <w:drawing>
              <wp:anchor distT="0" distB="0" distL="114300" distR="114300" simplePos="0" relativeHeight="251618379" behindDoc="1" locked="0" layoutInCell="1" allowOverlap="1" wp14:anchorId="61008D91" wp14:editId="0AE88719">
                <wp:simplePos x="0" y="0"/>
                <wp:positionH relativeFrom="column">
                  <wp:posOffset>1370965</wp:posOffset>
                </wp:positionH>
                <wp:positionV relativeFrom="paragraph">
                  <wp:posOffset>198755</wp:posOffset>
                </wp:positionV>
                <wp:extent cx="1358265" cy="1250950"/>
                <wp:effectExtent l="95250" t="76200" r="89535" b="82550"/>
                <wp:wrapTight wrapText="bothSides">
                  <wp:wrapPolygon edited="0">
                    <wp:start x="-909" y="-1316"/>
                    <wp:lineTo x="-1515" y="-987"/>
                    <wp:lineTo x="-1212" y="22696"/>
                    <wp:lineTo x="22418" y="22696"/>
                    <wp:lineTo x="22721" y="4276"/>
                    <wp:lineTo x="22115" y="-658"/>
                    <wp:lineTo x="22115" y="-1316"/>
                    <wp:lineTo x="-909" y="-1316"/>
                  </wp:wrapPolygon>
                </wp:wrapTight>
                <wp:docPr id="816286170" name="Text Box 816286170"/>
                <wp:cNvGraphicFramePr/>
                <a:graphic xmlns:a="http://schemas.openxmlformats.org/drawingml/2006/main">
                  <a:graphicData uri="http://schemas.microsoft.com/office/word/2010/wordprocessingShape">
                    <wps:wsp>
                      <wps:cNvSpPr txBox="1"/>
                      <wps:spPr>
                        <a:xfrm>
                          <a:off x="0" y="0"/>
                          <a:ext cx="1358265" cy="12509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812EF4A" w14:textId="77777777" w:rsidR="00C6444C" w:rsidRDefault="00C6444C" w:rsidP="00020D20">
                            <w:pPr>
                              <w:jc w:val="center"/>
                            </w:pPr>
                            <w:r>
                              <w:rPr>
                                <w:noProof/>
                              </w:rPr>
                              <w:drawing>
                                <wp:inline distT="0" distB="0" distL="0" distR="0" wp14:anchorId="2AE858BF" wp14:editId="3EBF8517">
                                  <wp:extent cx="457200" cy="457200"/>
                                  <wp:effectExtent l="0" t="0" r="0" b="0"/>
                                  <wp:docPr id="816286187" name="Picture 81628618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9729771" w14:textId="628D428B" w:rsidR="00C6444C" w:rsidRPr="00954116" w:rsidRDefault="00C6444C" w:rsidP="00020D20">
                            <w:pPr>
                              <w:pStyle w:val="Calloutboxes"/>
                            </w:pPr>
                            <w:r w:rsidRPr="00394A74">
                              <w:t>AIP Handbook is available online at:</w:t>
                            </w:r>
                          </w:p>
                          <w:p w14:paraId="603EB7EB" w14:textId="1208FBF5" w:rsidR="00C6444C" w:rsidRPr="00020D20" w:rsidRDefault="00202C92">
                            <w:pPr>
                              <w:pStyle w:val="Title"/>
                              <w:rPr>
                                <w:sz w:val="16"/>
                              </w:rPr>
                            </w:pPr>
                            <w:hyperlink r:id="rId951" w:history="1">
                              <w:r w:rsidR="00C6444C" w:rsidRPr="00020D20">
                                <w:rPr>
                                  <w:rStyle w:val="Hyperlink"/>
                                  <w:rFonts w:ascii="Calibri" w:hAnsi="Calibri" w:cstheme="majorBidi"/>
                                  <w:i/>
                                  <w:color w:val="CE5B18"/>
                                  <w:szCs w:val="56"/>
                                  <w:u w:val="none"/>
                                </w:rPr>
                                <w:t>https://www.faa.gov/airports/aip/aip_handbook/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008D91" id="Text Box 816286170" o:spid="_x0000_s1238" type="#_x0000_t202" style="position:absolute;left:0;text-align:left;margin-left:107.95pt;margin-top:15.65pt;width:106.95pt;height:98.5pt;z-index:-251698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" fillcolor="#f7f7f7" stroked="f" strokeweight=".5pt">
                <v:shadow on="t" type="perspective" color="black" opacity="26214f" offset="0,0" matrix="66847f,,,66847f"/>
                <v:textbox>
                  <w:txbxContent>
                    <w:p w14:paraId="1812EF4A" w14:textId="77777777" w:rsidR="00C6444C" w:rsidRDefault="00C6444C" w:rsidP="00020D20">
                      <w:pPr>
                        <w:jc w:val="center"/>
                      </w:pPr>
                      <w:r>
                        <w:rPr>
                          <w:noProof/>
                        </w:rPr>
                        <w:drawing>
                          <wp:inline distT="0" distB="0" distL="0" distR="0" wp14:anchorId="2AE858BF" wp14:editId="3EBF8517">
                            <wp:extent cx="457200" cy="457200"/>
                            <wp:effectExtent l="0" t="0" r="0" b="0"/>
                            <wp:docPr id="816286187" name="Picture 81628618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9729771" w14:textId="628D428B" w:rsidR="00C6444C" w:rsidRPr="00954116" w:rsidRDefault="00C6444C" w:rsidP="00020D20">
                      <w:pPr>
                        <w:pStyle w:val="Calloutboxes"/>
                      </w:pPr>
                      <w:r w:rsidRPr="00394A74">
                        <w:t>AIP Handbook is available online at:</w:t>
                      </w:r>
                    </w:p>
                    <w:p w14:paraId="603EB7EB" w14:textId="1208FBF5" w:rsidR="00C6444C" w:rsidRPr="00020D20" w:rsidRDefault="00C6444C">
                      <w:pPr>
                        <w:pStyle w:val="Title"/>
                        <w:rPr>
                          <w:sz w:val="16"/>
                        </w:rPr>
                      </w:pPr>
                      <w:hyperlink r:id="rId952" w:history="1">
                        <w:r w:rsidRPr="00020D20">
                          <w:rPr>
                            <w:rStyle w:val="Hyperlink"/>
                            <w:rFonts w:ascii="Calibri" w:hAnsi="Calibri" w:cstheme="majorBidi"/>
                            <w:i/>
                            <w:color w:val="CE5B18"/>
                            <w:szCs w:val="56"/>
                            <w:u w:val="none"/>
                          </w:rPr>
                          <w:t>https://www.faa.gov/airports/aip/aip_handbook/</w:t>
                        </w:r>
                      </w:hyperlink>
                    </w:p>
                  </w:txbxContent>
                </v:textbox>
                <w10:wrap type="tight"/>
              </v:shape>
            </w:pict>
          </mc:Fallback>
        </mc:AlternateContent>
      </w:r>
      <w:r w:rsidR="00A15677" w:rsidRPr="00A15677">
        <w:t xml:space="preserve">Extensive details are not provided in this manual but are available online from the FAA. The 318-page AIP Handbook was issued in 2005 as FAA Order 5100.38C. </w:t>
      </w:r>
    </w:p>
    <w:p w14:paraId="1385D146" w14:textId="62F68E8B" w:rsidR="00A15677" w:rsidRPr="00A15677" w:rsidRDefault="005B639E" w:rsidP="00020D20">
      <w:pPr>
        <w:jc w:val="both"/>
      </w:pPr>
      <w:r>
        <w:rPr>
          <w:rFonts w:cstheme="minorHAnsi"/>
          <w:noProof/>
        </w:rPr>
        <mc:AlternateContent>
          <mc:Choice Requires="wps">
            <w:drawing>
              <wp:anchor distT="0" distB="0" distL="114300" distR="114300" simplePos="0" relativeHeight="251618378" behindDoc="1" locked="0" layoutInCell="1" allowOverlap="1" wp14:anchorId="43D21C5D" wp14:editId="159386ED">
                <wp:simplePos x="0" y="0"/>
                <wp:positionH relativeFrom="column">
                  <wp:posOffset>1363345</wp:posOffset>
                </wp:positionH>
                <wp:positionV relativeFrom="paragraph">
                  <wp:posOffset>83185</wp:posOffset>
                </wp:positionV>
                <wp:extent cx="1366520" cy="1252855"/>
                <wp:effectExtent l="95250" t="76200" r="100330" b="80645"/>
                <wp:wrapTight wrapText="bothSides">
                  <wp:wrapPolygon edited="0">
                    <wp:start x="-903" y="-1314"/>
                    <wp:lineTo x="-1506" y="-985"/>
                    <wp:lineTo x="-1204" y="22662"/>
                    <wp:lineTo x="22584" y="22662"/>
                    <wp:lineTo x="22885" y="4270"/>
                    <wp:lineTo x="22283" y="-657"/>
                    <wp:lineTo x="22283" y="-1314"/>
                    <wp:lineTo x="-903" y="-1314"/>
                  </wp:wrapPolygon>
                </wp:wrapTight>
                <wp:docPr id="816286168" name="Text Box 816286168"/>
                <wp:cNvGraphicFramePr/>
                <a:graphic xmlns:a="http://schemas.openxmlformats.org/drawingml/2006/main">
                  <a:graphicData uri="http://schemas.microsoft.com/office/word/2010/wordprocessingShape">
                    <wps:wsp>
                      <wps:cNvSpPr txBox="1"/>
                      <wps:spPr>
                        <a:xfrm>
                          <a:off x="0" y="0"/>
                          <a:ext cx="1366520" cy="125285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E8E26F1" w14:textId="77777777" w:rsidR="00C6444C" w:rsidRDefault="00C6444C" w:rsidP="00020D20">
                            <w:pPr>
                              <w:jc w:val="center"/>
                            </w:pPr>
                            <w:r>
                              <w:rPr>
                                <w:noProof/>
                              </w:rPr>
                              <w:drawing>
                                <wp:inline distT="0" distB="0" distL="0" distR="0" wp14:anchorId="61B6FFB4" wp14:editId="1E002189">
                                  <wp:extent cx="457200" cy="457200"/>
                                  <wp:effectExtent l="0" t="0" r="0" b="0"/>
                                  <wp:docPr id="816286189" name="Picture 81628618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78D37A" w14:textId="5AB2A22A" w:rsidR="00C6444C" w:rsidRPr="00954116" w:rsidRDefault="00C6444C" w:rsidP="00020D20">
                            <w:pPr>
                              <w:pStyle w:val="Calloutboxes"/>
                            </w:pPr>
                            <w:r w:rsidRPr="00394A74">
                              <w:t>The PGLs are available online at:</w:t>
                            </w:r>
                          </w:p>
                          <w:p w14:paraId="12040FCF" w14:textId="7122BCDB" w:rsidR="00C6444C" w:rsidRPr="00020D20" w:rsidRDefault="00202C92">
                            <w:pPr>
                              <w:pStyle w:val="Title"/>
                              <w:rPr>
                                <w:sz w:val="16"/>
                              </w:rPr>
                            </w:pPr>
                            <w:hyperlink r:id="rId953" w:history="1">
                              <w:r w:rsidR="00C6444C" w:rsidRPr="00020D20">
                                <w:rPr>
                                  <w:rStyle w:val="Hyperlink"/>
                                  <w:rFonts w:ascii="Calibri" w:hAnsi="Calibri" w:cstheme="majorBidi"/>
                                  <w:i/>
                                  <w:color w:val="CE5B18"/>
                                  <w:szCs w:val="56"/>
                                  <w:u w:val="none"/>
                                </w:rPr>
                                <w:t>https://www.faa.gov/airports/aip/guidance_letters/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D21C5D" id="Text Box 816286168" o:spid="_x0000_s1239" type="#_x0000_t202" style="position:absolute;left:0;text-align:left;margin-left:107.35pt;margin-top:6.55pt;width:107.6pt;height:98.65pt;z-index:-251698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" fillcolor="#f7f7f7" stroked="f" strokeweight=".5pt">
                <v:shadow on="t" type="perspective" color="black" opacity="26214f" offset="0,0" matrix="66847f,,,66847f"/>
                <v:textbox>
                  <w:txbxContent>
                    <w:p w14:paraId="6E8E26F1" w14:textId="77777777" w:rsidR="00C6444C" w:rsidRDefault="00C6444C" w:rsidP="00020D20">
                      <w:pPr>
                        <w:jc w:val="center"/>
                      </w:pPr>
                      <w:r>
                        <w:rPr>
                          <w:noProof/>
                        </w:rPr>
                        <w:drawing>
                          <wp:inline distT="0" distB="0" distL="0" distR="0" wp14:anchorId="61B6FFB4" wp14:editId="1E002189">
                            <wp:extent cx="457200" cy="457200"/>
                            <wp:effectExtent l="0" t="0" r="0" b="0"/>
                            <wp:docPr id="816286189" name="Picture 81628618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78D37A" w14:textId="5AB2A22A" w:rsidR="00C6444C" w:rsidRPr="00954116" w:rsidRDefault="00C6444C" w:rsidP="00020D20">
                      <w:pPr>
                        <w:pStyle w:val="Calloutboxes"/>
                      </w:pPr>
                      <w:r w:rsidRPr="00394A74">
                        <w:t>The PGLs are available online at:</w:t>
                      </w:r>
                    </w:p>
                    <w:p w14:paraId="12040FCF" w14:textId="7122BCDB" w:rsidR="00C6444C" w:rsidRPr="00020D20" w:rsidRDefault="00C6444C">
                      <w:pPr>
                        <w:pStyle w:val="Title"/>
                        <w:rPr>
                          <w:sz w:val="16"/>
                        </w:rPr>
                      </w:pPr>
                      <w:hyperlink r:id="rId954" w:history="1">
                        <w:r w:rsidRPr="00020D20">
                          <w:rPr>
                            <w:rStyle w:val="Hyperlink"/>
                            <w:rFonts w:ascii="Calibri" w:hAnsi="Calibri" w:cstheme="majorBidi"/>
                            <w:i/>
                            <w:color w:val="CE5B18"/>
                            <w:szCs w:val="56"/>
                            <w:u w:val="none"/>
                          </w:rPr>
                          <w:t>https://www.faa.gov/airports/aip/guidance_letters/</w:t>
                        </w:r>
                      </w:hyperlink>
                    </w:p>
                  </w:txbxContent>
                </v:textbox>
                <w10:wrap type="tight"/>
              </v:shape>
            </w:pict>
          </mc:Fallback>
        </mc:AlternateContent>
      </w:r>
      <w:r w:rsidR="00A15677" w:rsidRPr="00A15677">
        <w:t>Please note that as of January 2013, the AIP Handbook is undergoing revision. The FAA advises that until the revised version is issued, the 2005 version remains current but must be used in conjunction with any applicable FAA Program Guidance Letters (PGLs).</w:t>
      </w:r>
    </w:p>
    <w:p w14:paraId="0FBA148B" w14:textId="27C74875" w:rsidR="00A15677" w:rsidRPr="00A15677" w:rsidRDefault="00A15677" w:rsidP="00020D20">
      <w:pPr>
        <w:pStyle w:val="Heading2"/>
      </w:pPr>
      <w:bookmarkStart w:id="571" w:name="_Ref50040785"/>
      <w:r w:rsidRPr="00A15677">
        <w:t xml:space="preserve">16.5 | Airport Planning </w:t>
      </w:r>
      <w:r w:rsidR="00D91081" w:rsidRPr="00A15677">
        <w:t>in</w:t>
      </w:r>
      <w:r w:rsidRPr="00A15677">
        <w:t xml:space="preserve"> Arizona</w:t>
      </w:r>
      <w:bookmarkEnd w:id="571"/>
    </w:p>
    <w:p w14:paraId="70B2CF1E" w14:textId="5647F78E" w:rsidR="00A15677" w:rsidRPr="00A15677" w:rsidRDefault="00A15677" w:rsidP="00020D20">
      <w:pPr>
        <w:jc w:val="both"/>
      </w:pPr>
      <w:r w:rsidRPr="00A15677">
        <w:t xml:space="preserve">Statewide airport planning in Arizona is performed by the ADOT – MPD- Aeronautics Group. The Aeronautics Group prepares </w:t>
      </w:r>
      <w:hyperlink r:id="rId955" w:history="1">
        <w:r w:rsidR="006666FA" w:rsidRPr="006666FA">
          <w:rPr>
            <w:rStyle w:val="TitleChar"/>
          </w:rPr>
          <w:t>Arizona</w:t>
        </w:r>
        <w:r w:rsidR="006666FA">
          <w:rPr>
            <w:rStyle w:val="TitleChar"/>
          </w:rPr>
          <w:t>’s</w:t>
        </w:r>
        <w:r w:rsidR="006666FA" w:rsidRPr="006666FA">
          <w:rPr>
            <w:rStyle w:val="TitleChar"/>
          </w:rPr>
          <w:t xml:space="preserve"> SASP</w:t>
        </w:r>
      </w:hyperlink>
      <w:r w:rsidR="006666FA" w:rsidRPr="007B6EEE">
        <w:rPr>
          <w:rStyle w:val="TitleChar"/>
        </w:rPr>
        <w:t xml:space="preserve"> </w:t>
      </w:r>
      <w:r w:rsidRPr="00A15677">
        <w:t>and its ACIP, which is part of the state’s Five-Year Transportation Facilities Construction Program.</w:t>
      </w:r>
    </w:p>
    <w:p w14:paraId="16C09BB3" w14:textId="77777777" w:rsidR="00A15677" w:rsidRPr="00A15677" w:rsidRDefault="00A15677" w:rsidP="00020D20">
      <w:pPr>
        <w:jc w:val="both"/>
      </w:pPr>
      <w:r w:rsidRPr="00A15677">
        <w:t>The statewide SASP and the ACIP prepared by ADOT for airports are analogous to the RTP and the TIP prepared by an MPO for surface transportation modes. The SASP is a long-range assessment of needs, whereas the ACIP identifies the high-priority projects that are expected to be funded over the immediate one three to five years.</w:t>
      </w:r>
    </w:p>
    <w:p w14:paraId="7621E7C8" w14:textId="3F0055B1" w:rsidR="00A15677" w:rsidRPr="00A15677" w:rsidRDefault="00A15677" w:rsidP="00020D20">
      <w:pPr>
        <w:jc w:val="both"/>
        <w:rPr>
          <w:b/>
        </w:rPr>
      </w:pPr>
      <w:r w:rsidRPr="00A15677">
        <w:t>Specific improvements needed at individual airports are identified by the operators of those airports, consistent with their approved ALPs and AMPs. The individual airports prioritize their own needs, submit grant requests, and provide the required local matching funds. All FAA grant monies awarded go directly from the FAA to the individual airports; they do not pass through an MPO or ADOT.</w:t>
      </w:r>
      <w:r>
        <w:t xml:space="preserve"> </w:t>
      </w:r>
    </w:p>
    <w:p w14:paraId="0DC5E7FC" w14:textId="77777777" w:rsidR="00A15677" w:rsidRPr="00A15677" w:rsidRDefault="00A15677" w:rsidP="00020D20">
      <w:pPr>
        <w:pStyle w:val="Heading3"/>
        <w:jc w:val="both"/>
        <w:rPr>
          <w:rFonts w:cstheme="minorHAnsi"/>
          <w:szCs w:val="20"/>
        </w:rPr>
      </w:pPr>
      <w:bookmarkStart w:id="572" w:name="_Ref50040790"/>
      <w:r w:rsidRPr="00A15677">
        <w:rPr>
          <w:rFonts w:cstheme="minorHAnsi"/>
          <w:szCs w:val="20"/>
        </w:rPr>
        <w:t>16.5.1 | ADOT - MPD - Aeronautics Group</w:t>
      </w:r>
      <w:bookmarkEnd w:id="572"/>
    </w:p>
    <w:p w14:paraId="7C6159A1" w14:textId="5ABBFC6E" w:rsidR="00A15677" w:rsidRPr="00A15677" w:rsidRDefault="006F18AB" w:rsidP="00020D20">
      <w:pPr>
        <w:jc w:val="both"/>
      </w:pPr>
      <w:r>
        <w:rPr>
          <w:rFonts w:cstheme="minorHAnsi"/>
          <w:noProof/>
        </w:rPr>
        <mc:AlternateContent>
          <mc:Choice Requires="wps">
            <w:drawing>
              <wp:anchor distT="0" distB="0" distL="114300" distR="114300" simplePos="0" relativeHeight="251618380" behindDoc="1" locked="0" layoutInCell="1" allowOverlap="1" wp14:anchorId="4B36B922" wp14:editId="57ABF874">
                <wp:simplePos x="0" y="0"/>
                <wp:positionH relativeFrom="column">
                  <wp:posOffset>1247775</wp:posOffset>
                </wp:positionH>
                <wp:positionV relativeFrom="paragraph">
                  <wp:posOffset>556895</wp:posOffset>
                </wp:positionV>
                <wp:extent cx="1366520" cy="1600200"/>
                <wp:effectExtent l="76200" t="95250" r="81280" b="95250"/>
                <wp:wrapTight wrapText="bothSides">
                  <wp:wrapPolygon edited="0">
                    <wp:start x="-1204" y="-1286"/>
                    <wp:lineTo x="-1204" y="22629"/>
                    <wp:lineTo x="22584" y="22629"/>
                    <wp:lineTo x="22584" y="-1286"/>
                    <wp:lineTo x="-1204" y="-1286"/>
                  </wp:wrapPolygon>
                </wp:wrapTight>
                <wp:docPr id="816286172" name="Text Box 816286172"/>
                <wp:cNvGraphicFramePr/>
                <a:graphic xmlns:a="http://schemas.openxmlformats.org/drawingml/2006/main">
                  <a:graphicData uri="http://schemas.microsoft.com/office/word/2010/wordprocessingShape">
                    <wps:wsp>
                      <wps:cNvSpPr txBox="1"/>
                      <wps:spPr>
                        <a:xfrm>
                          <a:off x="0" y="0"/>
                          <a:ext cx="1366520" cy="16002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9904E6B" w14:textId="77777777" w:rsidR="00C6444C" w:rsidRDefault="00C6444C" w:rsidP="00020D20">
                            <w:pPr>
                              <w:jc w:val="center"/>
                            </w:pPr>
                            <w:r>
                              <w:rPr>
                                <w:noProof/>
                              </w:rPr>
                              <w:drawing>
                                <wp:inline distT="0" distB="0" distL="0" distR="0" wp14:anchorId="129DD688" wp14:editId="5EAF31D3">
                                  <wp:extent cx="457200" cy="457200"/>
                                  <wp:effectExtent l="0" t="0" r="0" b="0"/>
                                  <wp:docPr id="816286190" name="Picture 81628619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B29BA65" w14:textId="79782251" w:rsidR="00C6444C" w:rsidRPr="00954116" w:rsidRDefault="00C6444C" w:rsidP="00020D20">
                            <w:pPr>
                              <w:pStyle w:val="Calloutboxes"/>
                            </w:pPr>
                            <w:r w:rsidRPr="00394A74">
                              <w:t>The ADOT Aeronautics Group provides several tools to assist in master plan development including:</w:t>
                            </w:r>
                          </w:p>
                          <w:p w14:paraId="10C973AA" w14:textId="640F8C09" w:rsidR="00C6444C" w:rsidRPr="00020D20" w:rsidRDefault="00202C92">
                            <w:pPr>
                              <w:pStyle w:val="Title"/>
                              <w:rPr>
                                <w:sz w:val="16"/>
                              </w:rPr>
                            </w:pPr>
                            <w:hyperlink r:id="rId956" w:history="1">
                              <w:r w:rsidR="00C6444C" w:rsidRPr="00020D20">
                                <w:rPr>
                                  <w:rStyle w:val="Hyperlink"/>
                                  <w:rFonts w:ascii="Calibri" w:hAnsi="Calibri" w:cstheme="majorBidi"/>
                                  <w:i/>
                                  <w:color w:val="CE5B18"/>
                                  <w:szCs w:val="56"/>
                                  <w:u w:val="none"/>
                                </w:rPr>
                                <w:t>Master Plan Checklist</w:t>
                              </w:r>
                            </w:hyperlink>
                          </w:p>
                          <w:p w14:paraId="3D72B3C8" w14:textId="0758CF5A" w:rsidR="00C6444C" w:rsidRPr="00020D20" w:rsidRDefault="00202C92">
                            <w:pPr>
                              <w:pStyle w:val="Title"/>
                              <w:rPr>
                                <w:sz w:val="16"/>
                              </w:rPr>
                            </w:pPr>
                            <w:hyperlink r:id="rId957" w:history="1">
                              <w:r w:rsidR="00C6444C" w:rsidRPr="00020D20">
                                <w:rPr>
                                  <w:rStyle w:val="Hyperlink"/>
                                  <w:rFonts w:ascii="Calibri" w:hAnsi="Calibri" w:cstheme="majorBidi"/>
                                  <w:i/>
                                  <w:color w:val="CE5B18"/>
                                  <w:szCs w:val="56"/>
                                  <w:u w:val="none"/>
                                </w:rPr>
                                <w:t>Environmental Checklist</w:t>
                              </w:r>
                            </w:hyperlink>
                          </w:p>
                          <w:p w14:paraId="1D3B0825" w14:textId="509EFE36" w:rsidR="00C6444C" w:rsidRPr="00020D20" w:rsidRDefault="00202C92">
                            <w:pPr>
                              <w:pStyle w:val="Title"/>
                              <w:rPr>
                                <w:sz w:val="16"/>
                              </w:rPr>
                            </w:pPr>
                            <w:hyperlink r:id="rId958" w:history="1">
                              <w:r w:rsidR="00C6444C" w:rsidRPr="00020D20">
                                <w:rPr>
                                  <w:rStyle w:val="Hyperlink"/>
                                  <w:rFonts w:ascii="Calibri" w:hAnsi="Calibri" w:cstheme="majorBidi"/>
                                  <w:i/>
                                  <w:color w:val="CE5B18"/>
                                  <w:szCs w:val="56"/>
                                  <w:u w:val="none"/>
                                </w:rPr>
                                <w:t>Land Acquisition Checklist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36B922" id="Text Box 816286172" o:spid="_x0000_s1240" type="#_x0000_t202" style="position:absolute;left:0;text-align:left;margin-left:98.25pt;margin-top:43.85pt;width:107.6pt;height:126pt;z-index:-251698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" fillcolor="#f7f7f7" stroked="f" strokeweight=".5pt">
                <v:shadow on="t" type="perspective" color="black" opacity="26214f" offset="0,0" matrix="66847f,,,66847f"/>
                <v:textbox>
                  <w:txbxContent>
                    <w:p w14:paraId="39904E6B" w14:textId="77777777" w:rsidR="00C6444C" w:rsidRDefault="00C6444C" w:rsidP="00020D20">
                      <w:pPr>
                        <w:jc w:val="center"/>
                      </w:pPr>
                      <w:r>
                        <w:rPr>
                          <w:noProof/>
                        </w:rPr>
                        <w:drawing>
                          <wp:inline distT="0" distB="0" distL="0" distR="0" wp14:anchorId="129DD688" wp14:editId="5EAF31D3">
                            <wp:extent cx="457200" cy="457200"/>
                            <wp:effectExtent l="0" t="0" r="0" b="0"/>
                            <wp:docPr id="816286190" name="Picture 81628619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29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B29BA65" w14:textId="79782251" w:rsidR="00C6444C" w:rsidRPr="00954116" w:rsidRDefault="00C6444C" w:rsidP="00020D20">
                      <w:pPr>
                        <w:pStyle w:val="Calloutboxes"/>
                      </w:pPr>
                      <w:r w:rsidRPr="00394A74">
                        <w:t>The ADOT Aeronautics Group provides several tools to assist in master plan development including:</w:t>
                      </w:r>
                    </w:p>
                    <w:p w14:paraId="10C973AA" w14:textId="640F8C09" w:rsidR="00C6444C" w:rsidRPr="00020D20" w:rsidRDefault="00C6444C">
                      <w:pPr>
                        <w:pStyle w:val="Title"/>
                        <w:rPr>
                          <w:sz w:val="16"/>
                        </w:rPr>
                      </w:pPr>
                      <w:hyperlink r:id="rId959" w:history="1">
                        <w:r w:rsidRPr="00020D20">
                          <w:rPr>
                            <w:rStyle w:val="Hyperlink"/>
                            <w:rFonts w:ascii="Calibri" w:hAnsi="Calibri" w:cstheme="majorBidi"/>
                            <w:i/>
                            <w:color w:val="CE5B18"/>
                            <w:szCs w:val="56"/>
                            <w:u w:val="none"/>
                          </w:rPr>
                          <w:t>Master Plan Checklist</w:t>
                        </w:r>
                      </w:hyperlink>
                    </w:p>
                    <w:p w14:paraId="3D72B3C8" w14:textId="0758CF5A" w:rsidR="00C6444C" w:rsidRPr="00020D20" w:rsidRDefault="00C6444C">
                      <w:pPr>
                        <w:pStyle w:val="Title"/>
                        <w:rPr>
                          <w:sz w:val="16"/>
                        </w:rPr>
                      </w:pPr>
                      <w:hyperlink r:id="rId960" w:history="1">
                        <w:r w:rsidRPr="00020D20">
                          <w:rPr>
                            <w:rStyle w:val="Hyperlink"/>
                            <w:rFonts w:ascii="Calibri" w:hAnsi="Calibri" w:cstheme="majorBidi"/>
                            <w:i/>
                            <w:color w:val="CE5B18"/>
                            <w:szCs w:val="56"/>
                            <w:u w:val="none"/>
                          </w:rPr>
                          <w:t>Environmental Checklist</w:t>
                        </w:r>
                      </w:hyperlink>
                    </w:p>
                    <w:p w14:paraId="1D3B0825" w14:textId="509EFE36" w:rsidR="00C6444C" w:rsidRPr="00020D20" w:rsidRDefault="00C6444C">
                      <w:pPr>
                        <w:pStyle w:val="Title"/>
                        <w:rPr>
                          <w:sz w:val="16"/>
                        </w:rPr>
                      </w:pPr>
                      <w:hyperlink r:id="rId961" w:history="1">
                        <w:r w:rsidRPr="00020D20">
                          <w:rPr>
                            <w:rStyle w:val="Hyperlink"/>
                            <w:rFonts w:ascii="Calibri" w:hAnsi="Calibri" w:cstheme="majorBidi"/>
                            <w:i/>
                            <w:color w:val="CE5B18"/>
                            <w:szCs w:val="56"/>
                            <w:u w:val="none"/>
                          </w:rPr>
                          <w:t>Land Acquisition Checklist</w:t>
                        </w:r>
                      </w:hyperlink>
                    </w:p>
                  </w:txbxContent>
                </v:textbox>
                <w10:wrap type="tight"/>
              </v:shape>
            </w:pict>
          </mc:Fallback>
        </mc:AlternateContent>
      </w:r>
      <w:r w:rsidR="00A15677" w:rsidRPr="00A15677">
        <w:t>The ADOT -MPD - Aeronautics Group administers the airport planning process in Arizona, in partnership with the FAA Airports Office. In addition to its partnership role with the federal AIP process, ADOT administers Arizona airport funding programs that are described below</w:t>
      </w:r>
      <w:r w:rsidR="005F28F8">
        <w:rPr>
          <w:b/>
        </w:rPr>
        <w:t>.</w:t>
      </w:r>
    </w:p>
    <w:p w14:paraId="3DB86056" w14:textId="5AC54C3A" w:rsidR="00A15677" w:rsidRPr="00A15677" w:rsidRDefault="00A15677" w:rsidP="00020D20">
      <w:pPr>
        <w:pStyle w:val="Heading3"/>
        <w:jc w:val="both"/>
        <w:rPr>
          <w:rFonts w:cstheme="minorHAnsi"/>
          <w:szCs w:val="20"/>
        </w:rPr>
      </w:pPr>
      <w:bookmarkStart w:id="573" w:name="_Ref45101562"/>
      <w:r w:rsidRPr="00A15677">
        <w:rPr>
          <w:rFonts w:cstheme="minorHAnsi"/>
          <w:szCs w:val="20"/>
        </w:rPr>
        <w:t>16.5.2 | State Funding Programs &amp; Levels</w:t>
      </w:r>
      <w:bookmarkEnd w:id="573"/>
    </w:p>
    <w:p w14:paraId="65549DFA" w14:textId="5D71C079" w:rsidR="00A15677" w:rsidRPr="00A15677" w:rsidRDefault="00184307" w:rsidP="00020D20">
      <w:pPr>
        <w:jc w:val="both"/>
      </w:pPr>
      <w:r>
        <w:rPr>
          <w:rFonts w:cstheme="minorHAnsi"/>
          <w:noProof/>
        </w:rPr>
        <mc:AlternateContent>
          <mc:Choice Requires="wps">
            <w:drawing>
              <wp:anchor distT="0" distB="0" distL="114300" distR="114300" simplePos="0" relativeHeight="251618381" behindDoc="1" locked="0" layoutInCell="1" allowOverlap="1" wp14:anchorId="3FAA5FC1" wp14:editId="7B67697B">
                <wp:simplePos x="0" y="0"/>
                <wp:positionH relativeFrom="column">
                  <wp:posOffset>1252220</wp:posOffset>
                </wp:positionH>
                <wp:positionV relativeFrom="paragraph">
                  <wp:posOffset>403225</wp:posOffset>
                </wp:positionV>
                <wp:extent cx="1366520" cy="1600835"/>
                <wp:effectExtent l="76200" t="95250" r="81280" b="94615"/>
                <wp:wrapTight wrapText="bothSides">
                  <wp:wrapPolygon edited="0">
                    <wp:start x="-1204" y="-1285"/>
                    <wp:lineTo x="-1204" y="22620"/>
                    <wp:lineTo x="22584" y="22620"/>
                    <wp:lineTo x="22584" y="-1285"/>
                    <wp:lineTo x="-1204" y="-1285"/>
                  </wp:wrapPolygon>
                </wp:wrapTight>
                <wp:docPr id="816286174" name="Text Box 816286174"/>
                <wp:cNvGraphicFramePr/>
                <a:graphic xmlns:a="http://schemas.openxmlformats.org/drawingml/2006/main">
                  <a:graphicData uri="http://schemas.microsoft.com/office/word/2010/wordprocessingShape">
                    <wps:wsp>
                      <wps:cNvSpPr txBox="1"/>
                      <wps:spPr>
                        <a:xfrm>
                          <a:off x="0" y="0"/>
                          <a:ext cx="1366520" cy="160083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260E9D5" w14:textId="77777777" w:rsidR="00C6444C" w:rsidRDefault="00C6444C" w:rsidP="00020D20">
                            <w:pPr>
                              <w:jc w:val="center"/>
                            </w:pPr>
                            <w:r>
                              <w:rPr>
                                <w:noProof/>
                              </w:rPr>
                              <w:drawing>
                                <wp:inline distT="0" distB="0" distL="0" distR="0" wp14:anchorId="60F83E56" wp14:editId="4AE4A2D1">
                                  <wp:extent cx="457200" cy="457200"/>
                                  <wp:effectExtent l="0" t="0" r="0" b="0"/>
                                  <wp:docPr id="816286203" name="Picture 81628620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48F8B9A" w14:textId="1CE65DED" w:rsidR="00C6444C" w:rsidRPr="00954116" w:rsidRDefault="00C6444C" w:rsidP="00020D20">
                            <w:pPr>
                              <w:pStyle w:val="Calloutboxes"/>
                            </w:pPr>
                            <w:r w:rsidRPr="00394A74">
                              <w:t xml:space="preserve">Any use of AIP funds for special studies in Arizona must be approved by the ASTB and determined in close consultation with the ADOT Aeronautics </w:t>
                            </w:r>
                            <w:r>
                              <w:t>Group</w:t>
                            </w:r>
                            <w:r w:rsidRPr="00394A74">
                              <w:t xml:space="preserve"> and FAA officials.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AA5FC1" id="Text Box 816286174" o:spid="_x0000_s1241" type="#_x0000_t202" style="position:absolute;left:0;text-align:left;margin-left:98.6pt;margin-top:31.75pt;width:107.6pt;height:126.05pt;z-index:-251698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" fillcolor="#f7f7f7" stroked="f" strokeweight=".5pt">
                <v:shadow on="t" type="perspective" color="black" opacity="26214f" offset="0,0" matrix="66847f,,,66847f"/>
                <v:textbox>
                  <w:txbxContent>
                    <w:p w14:paraId="7260E9D5" w14:textId="77777777" w:rsidR="00C6444C" w:rsidRDefault="00C6444C" w:rsidP="00020D20">
                      <w:pPr>
                        <w:jc w:val="center"/>
                      </w:pPr>
                      <w:r>
                        <w:rPr>
                          <w:noProof/>
                        </w:rPr>
                        <w:drawing>
                          <wp:inline distT="0" distB="0" distL="0" distR="0" wp14:anchorId="60F83E56" wp14:editId="4AE4A2D1">
                            <wp:extent cx="457200" cy="457200"/>
                            <wp:effectExtent l="0" t="0" r="0" b="0"/>
                            <wp:docPr id="816286203" name="Picture 81628620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48F8B9A" w14:textId="1CE65DED" w:rsidR="00C6444C" w:rsidRPr="00954116" w:rsidRDefault="00C6444C" w:rsidP="00020D20">
                      <w:pPr>
                        <w:pStyle w:val="Calloutboxes"/>
                      </w:pPr>
                      <w:r w:rsidRPr="00394A74">
                        <w:t xml:space="preserve">Any use of AIP funds for special studies in Arizona must be approved by the ASTB and determined in close consultation with the ADOT Aeronautics </w:t>
                      </w:r>
                      <w:r>
                        <w:t>Group</w:t>
                      </w:r>
                      <w:r w:rsidRPr="00394A74">
                        <w:t xml:space="preserve"> and FAA officials.</w:t>
                      </w:r>
                    </w:p>
                  </w:txbxContent>
                </v:textbox>
                <w10:wrap type="tight"/>
              </v:shape>
            </w:pict>
          </mc:Fallback>
        </mc:AlternateContent>
      </w:r>
      <w:r w:rsidR="00A15677" w:rsidRPr="00A15677">
        <w:t>In addition to providing matching state funds to the federal AIP grants discussed above (averaging $229 million per year), ADOT administers four other state programs that total about $20 million annually:</w:t>
      </w:r>
    </w:p>
    <w:p w14:paraId="7A3D7EBF" w14:textId="77777777" w:rsidR="00A15677" w:rsidRPr="00A15677" w:rsidRDefault="00A15677" w:rsidP="00020D20">
      <w:pPr>
        <w:pStyle w:val="SubHeading3"/>
        <w:jc w:val="both"/>
      </w:pPr>
      <w:bookmarkStart w:id="574" w:name="_Ref50041040"/>
      <w:r w:rsidRPr="00A15677">
        <w:t>State &amp; Local Grants</w:t>
      </w:r>
      <w:bookmarkEnd w:id="574"/>
    </w:p>
    <w:p w14:paraId="24345A0D" w14:textId="77777777" w:rsidR="00A15677" w:rsidRPr="00A15677" w:rsidRDefault="00A15677" w:rsidP="00020D20">
      <w:pPr>
        <w:jc w:val="both"/>
      </w:pPr>
      <w:r w:rsidRPr="00A15677">
        <w:t>Projects utilizing state and local funds include: design, construction, safety, security, capacity enhancement, environmental, planning, and land acquisition. The state provides either 90 percent or 95 percent funding for prioritized approved grants directly to the airports. For FY 2013–2017, this program is expected to average $10.3 million annually.</w:t>
      </w:r>
    </w:p>
    <w:p w14:paraId="076F7786" w14:textId="77777777" w:rsidR="00A15677" w:rsidRPr="00A15677" w:rsidRDefault="00A15677" w:rsidP="00020D20">
      <w:pPr>
        <w:pStyle w:val="SubHeading3"/>
        <w:jc w:val="both"/>
      </w:pPr>
      <w:bookmarkStart w:id="575" w:name="_Ref50041044"/>
      <w:r w:rsidRPr="00A15677">
        <w:t>Airport Pavement Management System (APMS)</w:t>
      </w:r>
      <w:bookmarkEnd w:id="575"/>
    </w:p>
    <w:p w14:paraId="71A5CFD1" w14:textId="7E773A96" w:rsidR="00A15677" w:rsidRDefault="00A15677" w:rsidP="00020D20">
      <w:pPr>
        <w:jc w:val="both"/>
      </w:pPr>
      <w:r w:rsidRPr="00A15677">
        <w:t>Prioritized projects maintaining and protecting eligible aviation pavement surfaces are performed by the state. The state provides 100 percent of the design and construction administration for the project and 90 percent of the construction costs. For FY 2013–2017, this program is expected to average $8.2 million annually.</w:t>
      </w:r>
    </w:p>
    <w:p w14:paraId="4AC5B744" w14:textId="77777777" w:rsidR="000F65F7" w:rsidRPr="000F65F7" w:rsidRDefault="000F65F7" w:rsidP="00020D20">
      <w:pPr>
        <w:pStyle w:val="SubHeading3"/>
        <w:jc w:val="both"/>
      </w:pPr>
      <w:bookmarkStart w:id="576" w:name="_Ref50041047"/>
      <w:r w:rsidRPr="000F65F7">
        <w:t>Airport Loan Program</w:t>
      </w:r>
      <w:bookmarkEnd w:id="576"/>
      <w:r w:rsidRPr="000F65F7">
        <w:t xml:space="preserve"> </w:t>
      </w:r>
    </w:p>
    <w:p w14:paraId="1E148C5D" w14:textId="77777777" w:rsidR="000F65F7" w:rsidRPr="000F65F7" w:rsidRDefault="000F65F7" w:rsidP="00020D20">
      <w:pPr>
        <w:jc w:val="both"/>
      </w:pPr>
      <w:r w:rsidRPr="000F65F7">
        <w:t>The state considers and awards loans to airports. These loans have typically included revenue-generating projects such as construction of new fuel farms, aircraft “T-hangars” and large aviation business hangars. Individual loans are reviewed and evaluated by an Airport Loan Committee. This Committee will make recommendation the State Transportation Board and requires their approval.</w:t>
      </w:r>
    </w:p>
    <w:p w14:paraId="15598B67" w14:textId="77777777" w:rsidR="000F65F7" w:rsidRPr="000F65F7" w:rsidRDefault="000F65F7" w:rsidP="00020D20">
      <w:pPr>
        <w:pStyle w:val="SubHeading3"/>
        <w:jc w:val="both"/>
      </w:pPr>
      <w:bookmarkStart w:id="577" w:name="_Ref50041051"/>
      <w:r w:rsidRPr="000F65F7">
        <w:t>Statewide Planning and Services Program</w:t>
      </w:r>
      <w:bookmarkEnd w:id="577"/>
    </w:p>
    <w:p w14:paraId="2745AA10" w14:textId="31F6F948" w:rsidR="000F65F7" w:rsidRPr="000F65F7" w:rsidRDefault="006F18AB" w:rsidP="00020D20">
      <w:pPr>
        <w:jc w:val="both"/>
      </w:pPr>
      <w:r>
        <w:rPr>
          <w:rFonts w:cstheme="minorHAnsi"/>
          <w:noProof/>
        </w:rPr>
        <mc:AlternateContent>
          <mc:Choice Requires="wps">
            <w:drawing>
              <wp:anchor distT="0" distB="0" distL="114300" distR="114300" simplePos="0" relativeHeight="251618383" behindDoc="1" locked="0" layoutInCell="1" allowOverlap="1" wp14:anchorId="07AEE698" wp14:editId="494690BD">
                <wp:simplePos x="0" y="0"/>
                <wp:positionH relativeFrom="column">
                  <wp:posOffset>1338580</wp:posOffset>
                </wp:positionH>
                <wp:positionV relativeFrom="paragraph">
                  <wp:posOffset>1102360</wp:posOffset>
                </wp:positionV>
                <wp:extent cx="1366520" cy="1343660"/>
                <wp:effectExtent l="95250" t="95250" r="100330" b="104140"/>
                <wp:wrapTight wrapText="bothSides">
                  <wp:wrapPolygon edited="0">
                    <wp:start x="-903" y="-1531"/>
                    <wp:lineTo x="-1506" y="-919"/>
                    <wp:lineTo x="-1204" y="22968"/>
                    <wp:lineTo x="22584" y="22968"/>
                    <wp:lineTo x="22885" y="3981"/>
                    <wp:lineTo x="22283" y="-612"/>
                    <wp:lineTo x="22283" y="-1531"/>
                    <wp:lineTo x="-903" y="-1531"/>
                  </wp:wrapPolygon>
                </wp:wrapTight>
                <wp:docPr id="207" name="Text Box 207"/>
                <wp:cNvGraphicFramePr/>
                <a:graphic xmlns:a="http://schemas.openxmlformats.org/drawingml/2006/main">
                  <a:graphicData uri="http://schemas.microsoft.com/office/word/2010/wordprocessingShape">
                    <wps:wsp>
                      <wps:cNvSpPr txBox="1"/>
                      <wps:spPr>
                        <a:xfrm>
                          <a:off x="0" y="0"/>
                          <a:ext cx="1366520" cy="134366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6763E55" w14:textId="77777777" w:rsidR="00C6444C" w:rsidRDefault="00C6444C" w:rsidP="00020D20">
                            <w:pPr>
                              <w:jc w:val="center"/>
                            </w:pPr>
                            <w:r>
                              <w:rPr>
                                <w:noProof/>
                              </w:rPr>
                              <w:drawing>
                                <wp:inline distT="0" distB="0" distL="0" distR="0" wp14:anchorId="09C60F4F" wp14:editId="4239AB78">
                                  <wp:extent cx="457200" cy="457200"/>
                                  <wp:effectExtent l="0" t="0" r="0" b="0"/>
                                  <wp:docPr id="816286205" name="Picture 81628620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C1EA103" w14:textId="6928F197" w:rsidR="00C6444C" w:rsidRPr="00954116" w:rsidRDefault="00C6444C" w:rsidP="00020D20">
                            <w:pPr>
                              <w:pStyle w:val="Calloutboxes"/>
                            </w:pPr>
                            <w:r w:rsidRPr="00394A74">
                              <w:t>Detailed information on all Arizona airports can be found at:</w:t>
                            </w:r>
                          </w:p>
                          <w:p w14:paraId="62C91E79" w14:textId="0F957B3E" w:rsidR="00C6444C" w:rsidRPr="00020D20" w:rsidRDefault="00202C92">
                            <w:pPr>
                              <w:pStyle w:val="Title"/>
                              <w:rPr>
                                <w:sz w:val="16"/>
                              </w:rPr>
                            </w:pPr>
                            <w:hyperlink r:id="rId962" w:history="1">
                              <w:r w:rsidR="00C6444C" w:rsidRPr="00020D20">
                                <w:rPr>
                                  <w:rStyle w:val="Hyperlink"/>
                                  <w:rFonts w:ascii="Calibri" w:hAnsi="Calibri" w:cstheme="majorBidi"/>
                                  <w:i/>
                                  <w:color w:val="CE5B18"/>
                                  <w:szCs w:val="56"/>
                                  <w:u w:val="none"/>
                                </w:rPr>
                                <w:t>https://azdot.gov/planning/airport-development/airports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AEE698" id="Text Box 207" o:spid="_x0000_s1242" type="#_x0000_t202" style="position:absolute;left:0;text-align:left;margin-left:105.4pt;margin-top:86.8pt;width:107.6pt;height:105.8pt;z-index:-2516980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" fillcolor="#f7f7f7" stroked="f" strokeweight=".5pt">
                <v:shadow on="t" type="perspective" color="black" opacity="26214f" offset="0,0" matrix="66847f,,,66847f"/>
                <v:textbox>
                  <w:txbxContent>
                    <w:p w14:paraId="16763E55" w14:textId="77777777" w:rsidR="00C6444C" w:rsidRDefault="00C6444C" w:rsidP="00020D20">
                      <w:pPr>
                        <w:jc w:val="center"/>
                      </w:pPr>
                      <w:r>
                        <w:rPr>
                          <w:noProof/>
                        </w:rPr>
                        <w:drawing>
                          <wp:inline distT="0" distB="0" distL="0" distR="0" wp14:anchorId="09C60F4F" wp14:editId="4239AB78">
                            <wp:extent cx="457200" cy="457200"/>
                            <wp:effectExtent l="0" t="0" r="0" b="0"/>
                            <wp:docPr id="816286205" name="Picture 81628620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C1EA103" w14:textId="6928F197" w:rsidR="00C6444C" w:rsidRPr="00954116" w:rsidRDefault="00C6444C" w:rsidP="00020D20">
                      <w:pPr>
                        <w:pStyle w:val="Calloutboxes"/>
                      </w:pPr>
                      <w:r w:rsidRPr="00394A74">
                        <w:t>Detailed information on all Arizona airports can be found at:</w:t>
                      </w:r>
                    </w:p>
                    <w:p w14:paraId="62C91E79" w14:textId="0F957B3E" w:rsidR="00C6444C" w:rsidRPr="00020D20" w:rsidRDefault="00C6444C">
                      <w:pPr>
                        <w:pStyle w:val="Title"/>
                        <w:rPr>
                          <w:sz w:val="16"/>
                        </w:rPr>
                      </w:pPr>
                      <w:hyperlink r:id="rId963" w:history="1">
                        <w:r w:rsidRPr="00020D20">
                          <w:rPr>
                            <w:rStyle w:val="Hyperlink"/>
                            <w:rFonts w:ascii="Calibri" w:hAnsi="Calibri" w:cstheme="majorBidi"/>
                            <w:i/>
                            <w:color w:val="CE5B18"/>
                            <w:szCs w:val="56"/>
                            <w:u w:val="none"/>
                          </w:rPr>
                          <w:t>https://azdot.gov/planning/airport-development/airports</w:t>
                        </w:r>
                      </w:hyperlink>
                    </w:p>
                  </w:txbxContent>
                </v:textbox>
                <w10:wrap type="tight"/>
              </v:shape>
            </w:pict>
          </mc:Fallback>
        </mc:AlternateContent>
      </w:r>
      <w:r w:rsidR="000F65F7" w:rsidRPr="000F65F7">
        <w:t xml:space="preserve">Separate from the above programs that fund airport improvements, ADOT performs statewide system studies and projects. For FY 2013–2017, an average of $1.9 million annually in state funds will be programmed and obligated to pay for these efforts. According to ADOT’s October 2011 </w:t>
      </w:r>
      <w:hyperlink r:id="rId964" w:history="1">
        <w:r w:rsidR="000F65F7" w:rsidRPr="00C1374C">
          <w:rPr>
            <w:rStyle w:val="TitleChar"/>
          </w:rPr>
          <w:t>Airport Development Guidelines</w:t>
        </w:r>
      </w:hyperlink>
      <w:r w:rsidR="000F65F7" w:rsidRPr="000F65F7">
        <w:t>, examples of the types of work and studies that can be undertaken with these funds include:</w:t>
      </w:r>
    </w:p>
    <w:p w14:paraId="3699F1C5" w14:textId="77777777" w:rsidR="000F65F7" w:rsidRPr="000F65F7" w:rsidRDefault="000F65F7" w:rsidP="00020D20">
      <w:pPr>
        <w:pStyle w:val="NumberedList"/>
        <w:numPr>
          <w:ilvl w:val="0"/>
          <w:numId w:val="287"/>
        </w:numPr>
        <w:jc w:val="both"/>
      </w:pPr>
      <w:r w:rsidRPr="000F65F7">
        <w:t>State Airport System Planning</w:t>
      </w:r>
    </w:p>
    <w:p w14:paraId="4ADCD0C2" w14:textId="77777777" w:rsidR="000F65F7" w:rsidRPr="000F65F7" w:rsidRDefault="000F65F7" w:rsidP="00020D20">
      <w:pPr>
        <w:pStyle w:val="NumberedList"/>
        <w:jc w:val="both"/>
      </w:pPr>
      <w:r w:rsidRPr="000F65F7">
        <w:t>Metropolitan regional planning</w:t>
      </w:r>
    </w:p>
    <w:p w14:paraId="1441732D" w14:textId="77777777" w:rsidR="000F65F7" w:rsidRPr="000F65F7" w:rsidRDefault="000F65F7" w:rsidP="00020D20">
      <w:pPr>
        <w:pStyle w:val="NumberedList"/>
        <w:jc w:val="both"/>
      </w:pPr>
      <w:r w:rsidRPr="000F65F7">
        <w:t>Aviation economic impact studies</w:t>
      </w:r>
    </w:p>
    <w:p w14:paraId="2DEC50E0" w14:textId="77777777" w:rsidR="000F65F7" w:rsidRPr="000F65F7" w:rsidRDefault="000F65F7" w:rsidP="00020D20">
      <w:pPr>
        <w:pStyle w:val="NumberedList"/>
        <w:jc w:val="both"/>
      </w:pPr>
      <w:r w:rsidRPr="000F65F7">
        <w:t>Statewide aeronautical charts</w:t>
      </w:r>
    </w:p>
    <w:p w14:paraId="5DE77ECF" w14:textId="77777777" w:rsidR="000F65F7" w:rsidRPr="000F65F7" w:rsidRDefault="000F65F7" w:rsidP="00020D20">
      <w:pPr>
        <w:pStyle w:val="NumberedList"/>
        <w:jc w:val="both"/>
      </w:pPr>
      <w:r w:rsidRPr="000F65F7">
        <w:t>System-wide navigation aids</w:t>
      </w:r>
    </w:p>
    <w:p w14:paraId="14F8B873" w14:textId="77777777" w:rsidR="000F65F7" w:rsidRPr="000F65F7" w:rsidRDefault="000F65F7" w:rsidP="00020D20">
      <w:pPr>
        <w:pStyle w:val="NumberedList"/>
        <w:jc w:val="both"/>
      </w:pPr>
      <w:r w:rsidRPr="000F65F7">
        <w:t>Recreational airport development</w:t>
      </w:r>
    </w:p>
    <w:p w14:paraId="24C8C0D0" w14:textId="77777777" w:rsidR="000F65F7" w:rsidRPr="000F65F7" w:rsidRDefault="000F65F7" w:rsidP="00020D20">
      <w:pPr>
        <w:pStyle w:val="NumberedList"/>
        <w:jc w:val="both"/>
      </w:pPr>
      <w:r w:rsidRPr="000F65F7">
        <w:t>Weather reporting studies</w:t>
      </w:r>
    </w:p>
    <w:p w14:paraId="4499A568" w14:textId="47EC0820" w:rsidR="000F65F7" w:rsidRPr="000F65F7" w:rsidRDefault="000F65F7" w:rsidP="00020D20">
      <w:pPr>
        <w:pStyle w:val="NumberedList"/>
        <w:jc w:val="both"/>
      </w:pPr>
      <w:r w:rsidRPr="000F65F7">
        <w:t>Pavement preservation</w:t>
      </w:r>
    </w:p>
    <w:p w14:paraId="556B6950" w14:textId="11B528BF" w:rsidR="000F65F7" w:rsidRPr="000F65F7" w:rsidRDefault="000F65F7" w:rsidP="00020D20">
      <w:pPr>
        <w:pStyle w:val="NumberedList"/>
        <w:jc w:val="both"/>
      </w:pPr>
      <w:r w:rsidRPr="000F65F7">
        <w:t>LPV surveys (for approaches using Localizer Performance with Vertical guidance)</w:t>
      </w:r>
    </w:p>
    <w:p w14:paraId="14B3F66F" w14:textId="4979797F" w:rsidR="000F65F7" w:rsidRPr="000F65F7" w:rsidRDefault="000F65F7" w:rsidP="00020D20">
      <w:pPr>
        <w:pStyle w:val="NumberedList"/>
        <w:jc w:val="both"/>
      </w:pPr>
      <w:r w:rsidRPr="000F65F7">
        <w:t xml:space="preserve">5010 inspections (Airport Master Records) </w:t>
      </w:r>
    </w:p>
    <w:p w14:paraId="5701C808" w14:textId="62D2552E" w:rsidR="000F65F7" w:rsidRPr="000F65F7" w:rsidRDefault="000F65F7" w:rsidP="00020D20">
      <w:pPr>
        <w:jc w:val="both"/>
        <w:rPr>
          <w:rFonts w:cstheme="minorHAnsi"/>
        </w:rPr>
      </w:pPr>
      <w:r w:rsidRPr="000F65F7">
        <w:rPr>
          <w:rFonts w:cstheme="minorHAnsi"/>
        </w:rPr>
        <w:t>Metropolitan regional planning is discussed below in section 16.5.5, “Regional Aviation Systems Plans.”</w:t>
      </w:r>
    </w:p>
    <w:p w14:paraId="7A63AE39" w14:textId="3A1D723F" w:rsidR="000F65F7" w:rsidRPr="000F65F7" w:rsidRDefault="000F65F7" w:rsidP="00020D20">
      <w:pPr>
        <w:pStyle w:val="Heading3"/>
        <w:jc w:val="both"/>
        <w:rPr>
          <w:rFonts w:cstheme="minorHAnsi"/>
          <w:szCs w:val="20"/>
        </w:rPr>
      </w:pPr>
      <w:bookmarkStart w:id="578" w:name="_Ref50040799"/>
      <w:r w:rsidRPr="000F65F7">
        <w:rPr>
          <w:rFonts w:cstheme="minorHAnsi"/>
          <w:szCs w:val="20"/>
        </w:rPr>
        <w:t>16.5.3 | Arizona Grant Application Timetable</w:t>
      </w:r>
      <w:bookmarkEnd w:id="578"/>
    </w:p>
    <w:p w14:paraId="5D1FC04F" w14:textId="6FF1DD36" w:rsidR="000F65F7" w:rsidRPr="000F65F7" w:rsidRDefault="003C68B0" w:rsidP="00020D20">
      <w:pPr>
        <w:jc w:val="both"/>
        <w:rPr>
          <w:b/>
        </w:rPr>
      </w:pPr>
      <w:r>
        <w:rPr>
          <w:rFonts w:cstheme="minorHAnsi"/>
          <w:noProof/>
        </w:rPr>
        <mc:AlternateContent>
          <mc:Choice Requires="wps">
            <w:drawing>
              <wp:anchor distT="0" distB="0" distL="114300" distR="114300" simplePos="0" relativeHeight="251618382" behindDoc="1" locked="0" layoutInCell="1" allowOverlap="1" wp14:anchorId="4554A605" wp14:editId="332B82A5">
                <wp:simplePos x="0" y="0"/>
                <wp:positionH relativeFrom="column">
                  <wp:posOffset>-114300</wp:posOffset>
                </wp:positionH>
                <wp:positionV relativeFrom="paragraph">
                  <wp:posOffset>133350</wp:posOffset>
                </wp:positionV>
                <wp:extent cx="1366520" cy="1790700"/>
                <wp:effectExtent l="76200" t="95250" r="81280" b="95250"/>
                <wp:wrapTight wrapText="bothSides">
                  <wp:wrapPolygon edited="0">
                    <wp:start x="-1204" y="-1149"/>
                    <wp:lineTo x="-1204" y="22519"/>
                    <wp:lineTo x="22584" y="22519"/>
                    <wp:lineTo x="22584" y="-1149"/>
                    <wp:lineTo x="-1204" y="-1149"/>
                  </wp:wrapPolygon>
                </wp:wrapTight>
                <wp:docPr id="205" name="Text Box 205"/>
                <wp:cNvGraphicFramePr/>
                <a:graphic xmlns:a="http://schemas.openxmlformats.org/drawingml/2006/main">
                  <a:graphicData uri="http://schemas.microsoft.com/office/word/2010/wordprocessingShape">
                    <wps:wsp>
                      <wps:cNvSpPr txBox="1"/>
                      <wps:spPr>
                        <a:xfrm>
                          <a:off x="0" y="0"/>
                          <a:ext cx="1366520" cy="17907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F2D1CA7" w14:textId="77777777" w:rsidR="00C6444C" w:rsidRDefault="00C6444C" w:rsidP="00020D20">
                            <w:pPr>
                              <w:jc w:val="center"/>
                            </w:pPr>
                            <w:r>
                              <w:rPr>
                                <w:noProof/>
                              </w:rPr>
                              <w:drawing>
                                <wp:inline distT="0" distB="0" distL="0" distR="0" wp14:anchorId="75E40B10" wp14:editId="1BEEBCE2">
                                  <wp:extent cx="457200" cy="457200"/>
                                  <wp:effectExtent l="0" t="0" r="0" b="0"/>
                                  <wp:docPr id="816286207" name="Picture 81628620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0B109BB" w14:textId="7D6B6054" w:rsidR="00C6444C" w:rsidRPr="00954116" w:rsidRDefault="00C6444C" w:rsidP="00020D20">
                            <w:pPr>
                              <w:pStyle w:val="Calloutboxes"/>
                            </w:pPr>
                            <w:r w:rsidRPr="00394A74">
                              <w:t xml:space="preserve">For further information on the Five-Year </w:t>
                            </w:r>
                            <w:r w:rsidRPr="00954116">
                              <w:t>Airport Development Program and Grant Management follow:</w:t>
                            </w:r>
                          </w:p>
                          <w:p w14:paraId="1B5B6F27" w14:textId="64119C24" w:rsidR="00C6444C" w:rsidRPr="00020D20" w:rsidRDefault="00202C92">
                            <w:pPr>
                              <w:pStyle w:val="Title"/>
                              <w:rPr>
                                <w:sz w:val="16"/>
                              </w:rPr>
                            </w:pPr>
                            <w:hyperlink r:id="rId965" w:history="1">
                              <w:r w:rsidR="00C6444C" w:rsidRPr="00020D20">
                                <w:rPr>
                                  <w:rStyle w:val="Hyperlink"/>
                                  <w:rFonts w:ascii="Calibri" w:hAnsi="Calibri" w:cstheme="majorBidi"/>
                                  <w:i/>
                                  <w:color w:val="CE5B18"/>
                                  <w:szCs w:val="56"/>
                                  <w:u w:val="none"/>
                                </w:rPr>
                                <w:t>https://azdot.gov/planning/airport-development/development-and-planning/five-year-airport-capital-improvement-program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54A605" id="Text Box 205" o:spid="_x0000_s1243" type="#_x0000_t202" style="position:absolute;left:0;text-align:left;margin-left:-9pt;margin-top:10.5pt;width:107.6pt;height:141pt;z-index:-251698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" fillcolor="#f7f7f7" stroked="f" strokeweight=".5pt">
                <v:shadow on="t" type="perspective" color="black" opacity="26214f" offset="0,0" matrix="66847f,,,66847f"/>
                <v:textbox>
                  <w:txbxContent>
                    <w:p w14:paraId="2F2D1CA7" w14:textId="77777777" w:rsidR="00C6444C" w:rsidRDefault="00C6444C" w:rsidP="00020D20">
                      <w:pPr>
                        <w:jc w:val="center"/>
                      </w:pPr>
                      <w:r>
                        <w:rPr>
                          <w:noProof/>
                        </w:rPr>
                        <w:drawing>
                          <wp:inline distT="0" distB="0" distL="0" distR="0" wp14:anchorId="75E40B10" wp14:editId="1BEEBCE2">
                            <wp:extent cx="457200" cy="457200"/>
                            <wp:effectExtent l="0" t="0" r="0" b="0"/>
                            <wp:docPr id="816286207" name="Picture 81628620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0B109BB" w14:textId="7D6B6054" w:rsidR="00C6444C" w:rsidRPr="00954116" w:rsidRDefault="00C6444C" w:rsidP="00020D20">
                      <w:pPr>
                        <w:pStyle w:val="Calloutboxes"/>
                      </w:pPr>
                      <w:r w:rsidRPr="00394A74">
                        <w:t xml:space="preserve">For further information on the Five-Year </w:t>
                      </w:r>
                      <w:r w:rsidRPr="00954116">
                        <w:t>Airport Development Program and Grant Management follow:</w:t>
                      </w:r>
                    </w:p>
                    <w:p w14:paraId="1B5B6F27" w14:textId="64119C24" w:rsidR="00C6444C" w:rsidRPr="00020D20" w:rsidRDefault="00C6444C">
                      <w:pPr>
                        <w:pStyle w:val="Title"/>
                        <w:rPr>
                          <w:sz w:val="16"/>
                        </w:rPr>
                      </w:pPr>
                      <w:hyperlink r:id="rId966" w:history="1">
                        <w:r w:rsidRPr="00020D20">
                          <w:rPr>
                            <w:rStyle w:val="Hyperlink"/>
                            <w:rFonts w:ascii="Calibri" w:hAnsi="Calibri" w:cstheme="majorBidi"/>
                            <w:i/>
                            <w:color w:val="CE5B18"/>
                            <w:szCs w:val="56"/>
                            <w:u w:val="none"/>
                          </w:rPr>
                          <w:t>https://azdot.gov/planning/airport-development/development-and-planning/five-year-airport-capital-improvement-program</w:t>
                        </w:r>
                      </w:hyperlink>
                    </w:p>
                  </w:txbxContent>
                </v:textbox>
                <w10:wrap type="tight"/>
              </v:shape>
            </w:pict>
          </mc:Fallback>
        </mc:AlternateContent>
      </w:r>
      <w:r w:rsidR="000F65F7" w:rsidRPr="000F65F7">
        <w:t>Airport operators are advised that the administrative steps required to select and approve airport improvement projects for funding entail a yearlong process. ADOT prepares the ACIP concurrently with FAA’s ACIP development process.</w:t>
      </w:r>
      <w:r w:rsidR="000F65F7">
        <w:t xml:space="preserve"> </w:t>
      </w:r>
    </w:p>
    <w:p w14:paraId="26217D6E" w14:textId="2CC0591A" w:rsidR="000F65F7" w:rsidRPr="000F65F7" w:rsidRDefault="000F65F7" w:rsidP="00020D20">
      <w:pPr>
        <w:jc w:val="both"/>
      </w:pPr>
      <w:r w:rsidRPr="000F65F7">
        <w:t>A flow chart depicting this process is provided in Figure 16-</w:t>
      </w:r>
      <w:r w:rsidR="00DF0026">
        <w:t>2</w:t>
      </w:r>
      <w:r w:rsidRPr="000F65F7">
        <w:t xml:space="preserve">. This figure is adapted from ADOT’s October 2011 Airport Development Guidelines: Five-Year Airport Development Program and Grant Management. </w:t>
      </w:r>
    </w:p>
    <w:p w14:paraId="6DD5998F" w14:textId="3A54C27A" w:rsidR="000F65F7" w:rsidRPr="000F65F7" w:rsidRDefault="000F65F7" w:rsidP="00020D20">
      <w:pPr>
        <w:pStyle w:val="Heading3"/>
        <w:jc w:val="both"/>
        <w:rPr>
          <w:rFonts w:cstheme="minorHAnsi"/>
          <w:szCs w:val="20"/>
        </w:rPr>
      </w:pPr>
      <w:bookmarkStart w:id="579" w:name="_Ref50040802"/>
      <w:r w:rsidRPr="000F65F7">
        <w:rPr>
          <w:rFonts w:cstheme="minorHAnsi"/>
          <w:szCs w:val="20"/>
        </w:rPr>
        <w:t>16.5.4 | Arizona’s Airport System</w:t>
      </w:r>
      <w:bookmarkEnd w:id="579"/>
    </w:p>
    <w:p w14:paraId="4782766B" w14:textId="6A271747" w:rsidR="000F65F7" w:rsidRDefault="00DF0026" w:rsidP="00020D20">
      <w:pPr>
        <w:jc w:val="both"/>
      </w:pPr>
      <w:r>
        <w:rPr>
          <w:rFonts w:cstheme="minorHAnsi"/>
          <w:noProof/>
        </w:rPr>
        <mc:AlternateContent>
          <mc:Choice Requires="wps">
            <w:drawing>
              <wp:anchor distT="0" distB="0" distL="114300" distR="114300" simplePos="0" relativeHeight="251618384" behindDoc="1" locked="0" layoutInCell="1" allowOverlap="1" wp14:anchorId="36A0B191" wp14:editId="273FC192">
                <wp:simplePos x="0" y="0"/>
                <wp:positionH relativeFrom="column">
                  <wp:posOffset>1405255</wp:posOffset>
                </wp:positionH>
                <wp:positionV relativeFrom="paragraph">
                  <wp:posOffset>173990</wp:posOffset>
                </wp:positionV>
                <wp:extent cx="1366520" cy="1254760"/>
                <wp:effectExtent l="95250" t="76200" r="100330" b="78740"/>
                <wp:wrapTight wrapText="bothSides">
                  <wp:wrapPolygon edited="0">
                    <wp:start x="-903" y="-1312"/>
                    <wp:lineTo x="-1506" y="-984"/>
                    <wp:lineTo x="-1204" y="22628"/>
                    <wp:lineTo x="22584" y="22628"/>
                    <wp:lineTo x="22885" y="4263"/>
                    <wp:lineTo x="22283" y="-656"/>
                    <wp:lineTo x="22283" y="-1312"/>
                    <wp:lineTo x="-903" y="-1312"/>
                  </wp:wrapPolygon>
                </wp:wrapTight>
                <wp:docPr id="212" name="Text Box 212"/>
                <wp:cNvGraphicFramePr/>
                <a:graphic xmlns:a="http://schemas.openxmlformats.org/drawingml/2006/main">
                  <a:graphicData uri="http://schemas.microsoft.com/office/word/2010/wordprocessingShape">
                    <wps:wsp>
                      <wps:cNvSpPr txBox="1"/>
                      <wps:spPr>
                        <a:xfrm>
                          <a:off x="0" y="0"/>
                          <a:ext cx="1366520" cy="125476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4813D80" w14:textId="77777777" w:rsidR="00C6444C" w:rsidRDefault="00C6444C" w:rsidP="00020D20">
                            <w:pPr>
                              <w:jc w:val="center"/>
                            </w:pPr>
                            <w:r>
                              <w:rPr>
                                <w:noProof/>
                              </w:rPr>
                              <w:drawing>
                                <wp:inline distT="0" distB="0" distL="0" distR="0" wp14:anchorId="4F46FA77" wp14:editId="710382CA">
                                  <wp:extent cx="457200" cy="457200"/>
                                  <wp:effectExtent l="0" t="0" r="0" b="0"/>
                                  <wp:docPr id="816286241" name="Picture 81628624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BAB5C95" w14:textId="49333E14" w:rsidR="00C6444C" w:rsidRPr="00954116" w:rsidRDefault="00C6444C" w:rsidP="00020D20">
                            <w:pPr>
                              <w:pStyle w:val="Calloutboxes"/>
                            </w:pPr>
                            <w:r w:rsidRPr="00394A74">
                              <w:t>The Airport Boundary Maps are available online at:</w:t>
                            </w:r>
                          </w:p>
                          <w:p w14:paraId="4DE1744F" w14:textId="36409460" w:rsidR="00C6444C" w:rsidRPr="00020D20" w:rsidRDefault="00202C92">
                            <w:pPr>
                              <w:pStyle w:val="Title"/>
                              <w:rPr>
                                <w:sz w:val="16"/>
                              </w:rPr>
                            </w:pPr>
                            <w:hyperlink r:id="rId967" w:history="1">
                              <w:r w:rsidR="00C6444C" w:rsidRPr="00020D20">
                                <w:rPr>
                                  <w:rStyle w:val="Hyperlink"/>
                                  <w:rFonts w:ascii="Calibri" w:hAnsi="Calibri" w:cstheme="majorBidi"/>
                                  <w:i/>
                                  <w:color w:val="CE5B18"/>
                                  <w:szCs w:val="56"/>
                                  <w:u w:val="none"/>
                                </w:rPr>
                                <w:t>https://azre.gov/airport-boundary-maps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A0B191" id="Text Box 212" o:spid="_x0000_s1244" type="#_x0000_t202" style="position:absolute;left:0;text-align:left;margin-left:110.65pt;margin-top:13.7pt;width:107.6pt;height:98.8pt;z-index:-25169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" fillcolor="#f7f7f7" stroked="f" strokeweight=".5pt">
                <v:shadow on="t" type="perspective" color="black" opacity="26214f" offset="0,0" matrix="66847f,,,66847f"/>
                <v:textbox>
                  <w:txbxContent>
                    <w:p w14:paraId="34813D80" w14:textId="77777777" w:rsidR="00C6444C" w:rsidRDefault="00C6444C" w:rsidP="00020D20">
                      <w:pPr>
                        <w:jc w:val="center"/>
                      </w:pPr>
                      <w:r>
                        <w:rPr>
                          <w:noProof/>
                        </w:rPr>
                        <w:drawing>
                          <wp:inline distT="0" distB="0" distL="0" distR="0" wp14:anchorId="4F46FA77" wp14:editId="710382CA">
                            <wp:extent cx="457200" cy="457200"/>
                            <wp:effectExtent l="0" t="0" r="0" b="0"/>
                            <wp:docPr id="816286241" name="Picture 81628624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BAB5C95" w14:textId="49333E14" w:rsidR="00C6444C" w:rsidRPr="00954116" w:rsidRDefault="00C6444C" w:rsidP="00020D20">
                      <w:pPr>
                        <w:pStyle w:val="Calloutboxes"/>
                      </w:pPr>
                      <w:r w:rsidRPr="00394A74">
                        <w:t>The Airport Boundary Maps are available online at:</w:t>
                      </w:r>
                    </w:p>
                    <w:p w14:paraId="4DE1744F" w14:textId="36409460" w:rsidR="00C6444C" w:rsidRPr="00020D20" w:rsidRDefault="00C6444C">
                      <w:pPr>
                        <w:pStyle w:val="Title"/>
                        <w:rPr>
                          <w:sz w:val="16"/>
                        </w:rPr>
                      </w:pPr>
                      <w:hyperlink r:id="rId968" w:history="1">
                        <w:r w:rsidRPr="00020D20">
                          <w:rPr>
                            <w:rStyle w:val="Hyperlink"/>
                            <w:rFonts w:ascii="Calibri" w:hAnsi="Calibri" w:cstheme="majorBidi"/>
                            <w:i/>
                            <w:color w:val="CE5B18"/>
                            <w:szCs w:val="56"/>
                            <w:u w:val="none"/>
                          </w:rPr>
                          <w:t>https://azre.gov/airport-boundary-maps</w:t>
                        </w:r>
                      </w:hyperlink>
                    </w:p>
                  </w:txbxContent>
                </v:textbox>
                <w10:wrap type="tight"/>
              </v:shape>
            </w:pict>
          </mc:Fallback>
        </mc:AlternateContent>
      </w:r>
      <w:r w:rsidR="000F65F7" w:rsidRPr="000F65F7">
        <w:t>The current Arizona SASP indicates that there are over 200 airports in Arizona; however, the analysis in the SASP focused primarily on public-use airports. For purposes of the SASP, 83 airports, including 11 privately owned airfields and 14 Native American owned airports, were identified in previous system plans as the “system of airports.” These 83 airports vary in size and serve different functions in meeting Arizona’s aviation and economic needs. Because all airports do not serve the same needs, a method of determining roles among the airports is necessary for evaluating the system. The airports were assigned to one of the five SASP roles following an in-depth analysis of 21 factors. The number of Arizona airports reported</w:t>
      </w:r>
      <w:r w:rsidR="000F65F7">
        <w:t xml:space="preserve"> </w:t>
      </w:r>
      <w:r w:rsidR="000F65F7" w:rsidRPr="000F65F7">
        <w:t>by category as of July 2009 is included in the table 16-3</w:t>
      </w:r>
      <w:r w:rsidR="00D32802">
        <w:t>.</w:t>
      </w:r>
    </w:p>
    <w:p w14:paraId="7FCB2465" w14:textId="77777777" w:rsidR="00995207" w:rsidRDefault="00995207" w:rsidP="00020D20">
      <w:pPr>
        <w:jc w:val="both"/>
        <w:sectPr w:rsidR="00995207" w:rsidSect="00020D20">
          <w:type w:val="continuous"/>
          <w:pgSz w:w="12240" w:h="15840"/>
          <w:pgMar w:top="1440" w:right="1440" w:bottom="1440" w:left="1440" w:header="720" w:footer="720" w:gutter="0"/>
          <w:pgNumType w:chapStyle="1"/>
          <w:cols w:num="2" w:space="720"/>
          <w:docGrid w:linePitch="360"/>
        </w:sectPr>
      </w:pPr>
    </w:p>
    <w:p w14:paraId="7FB460D5" w14:textId="360BBF7C" w:rsidR="00995207" w:rsidRDefault="00995207" w:rsidP="00020D20">
      <w:pPr>
        <w:jc w:val="both"/>
      </w:pPr>
    </w:p>
    <w:p w14:paraId="6EF27370" w14:textId="77777777" w:rsidR="009B3A1D" w:rsidRDefault="009B3A1D" w:rsidP="00020D20">
      <w:pPr>
        <w:pStyle w:val="Heading4"/>
        <w:jc w:val="both"/>
        <w:sectPr w:rsidR="009B3A1D" w:rsidSect="00995207">
          <w:type w:val="continuous"/>
          <w:pgSz w:w="12240" w:h="15840"/>
          <w:pgMar w:top="1440" w:right="1440" w:bottom="1440" w:left="1440" w:header="720" w:footer="720" w:gutter="0"/>
          <w:cols w:space="720"/>
          <w:docGrid w:linePitch="360"/>
        </w:sectPr>
      </w:pPr>
    </w:p>
    <w:p w14:paraId="78C3769F" w14:textId="78B50104" w:rsidR="000F65F7" w:rsidRDefault="000F65F7" w:rsidP="00020D20">
      <w:pPr>
        <w:pStyle w:val="Heading4"/>
        <w:jc w:val="both"/>
      </w:pPr>
      <w:r w:rsidRPr="00AA574A">
        <w:t>Figure 16-</w:t>
      </w:r>
      <w:r w:rsidR="00442EBB">
        <w:t>2</w:t>
      </w:r>
      <w:r w:rsidRPr="00AA574A">
        <w:t xml:space="preserve"> | Grant Application Timetable</w:t>
      </w:r>
    </w:p>
    <w:p w14:paraId="65DE9FB0" w14:textId="02877388" w:rsidR="009B3A1D" w:rsidRPr="009B3A1D" w:rsidRDefault="00622059" w:rsidP="00020D20">
      <w:pPr>
        <w:jc w:val="both"/>
      </w:pPr>
      <w:r>
        <w:rPr>
          <w:noProof/>
        </w:rPr>
        <w:drawing>
          <wp:inline distT="0" distB="0" distL="0" distR="0" wp14:anchorId="2397AC7B" wp14:editId="53F1B868">
            <wp:extent cx="6372225" cy="3880522"/>
            <wp:effectExtent l="0" t="0" r="0" b="5715"/>
            <wp:docPr id="21" name="Picture 2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6_Figure16-3_GrantApplicationTimeline.jpg"/>
                    <pic:cNvPicPr/>
                  </pic:nvPicPr>
                  <pic:blipFill>
                    <a:blip r:embed="rId969" cstate="print">
                      <a:extLst>
                        <a:ext uri="{28A0092B-C50C-407E-A947-70E740481C1C}">
                          <a14:useLocalDpi xmlns:a14="http://schemas.microsoft.com/office/drawing/2010/main" val="0"/>
                        </a:ext>
                      </a:extLst>
                    </a:blip>
                    <a:stretch>
                      <a:fillRect/>
                    </a:stretch>
                  </pic:blipFill>
                  <pic:spPr>
                    <a:xfrm>
                      <a:off x="0" y="0"/>
                      <a:ext cx="6378452" cy="3884314"/>
                    </a:xfrm>
                    <a:prstGeom prst="rect">
                      <a:avLst/>
                    </a:prstGeom>
                  </pic:spPr>
                </pic:pic>
              </a:graphicData>
            </a:graphic>
          </wp:inline>
        </w:drawing>
      </w:r>
    </w:p>
    <w:p w14:paraId="101A8F16" w14:textId="77777777" w:rsidR="005254D7" w:rsidRDefault="005254D7">
      <w:pPr>
        <w:pStyle w:val="Heading4"/>
      </w:pPr>
      <w:r>
        <w:br w:type="page"/>
      </w:r>
    </w:p>
    <w:p w14:paraId="1B7908D3" w14:textId="4607C330" w:rsidR="000F65F7" w:rsidRDefault="000F65F7">
      <w:pPr>
        <w:pStyle w:val="Heading4"/>
      </w:pPr>
      <w:r w:rsidRPr="000F65F7">
        <w:t>Table 16-3 | Categorization of Arizona Airports</w:t>
      </w:r>
    </w:p>
    <w:tbl>
      <w:tblPr>
        <w:tblW w:w="9365" w:type="dxa"/>
        <w:tblInd w:w="-10" w:type="dxa"/>
        <w:tblLayout w:type="fixed"/>
        <w:tblCellMar>
          <w:left w:w="0" w:type="dxa"/>
          <w:right w:w="0" w:type="dxa"/>
        </w:tblCellMar>
        <w:tblLook w:val="0000" w:firstRow="0" w:lastRow="0" w:firstColumn="0" w:lastColumn="0" w:noHBand="0" w:noVBand="0"/>
      </w:tblPr>
      <w:tblGrid>
        <w:gridCol w:w="2880"/>
        <w:gridCol w:w="1440"/>
        <w:gridCol w:w="2705"/>
        <w:gridCol w:w="2340"/>
      </w:tblGrid>
      <w:tr w:rsidR="00622059" w:rsidRPr="00622059" w14:paraId="75758252" w14:textId="77777777" w:rsidTr="00020D20">
        <w:trPr>
          <w:trHeight w:val="288"/>
        </w:trPr>
        <w:tc>
          <w:tcPr>
            <w:tcW w:w="2880" w:type="dxa"/>
            <w:tcBorders>
              <w:top w:val="single" w:sz="4" w:space="0" w:color="auto"/>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2A6B06E4" w14:textId="18E13137" w:rsidR="000F65F7" w:rsidRPr="00020D20" w:rsidRDefault="00597705" w:rsidP="00020D20">
            <w:pPr>
              <w:spacing w:before="0" w:after="0" w:line="240" w:lineRule="auto"/>
              <w:jc w:val="center"/>
              <w:rPr>
                <w:color w:val="FFFFFF" w:themeColor="background1"/>
                <w:sz w:val="22"/>
              </w:rPr>
            </w:pPr>
            <w:r>
              <w:rPr>
                <w:color w:val="FFFFFF" w:themeColor="background1"/>
                <w:sz w:val="22"/>
              </w:rPr>
              <w:t>Category</w:t>
            </w:r>
          </w:p>
        </w:tc>
        <w:tc>
          <w:tcPr>
            <w:tcW w:w="144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66F4275A" w14:textId="77777777" w:rsidR="000F65F7" w:rsidRPr="00020D20" w:rsidRDefault="000F65F7" w:rsidP="00020D20">
            <w:pPr>
              <w:spacing w:before="0" w:after="0" w:line="240" w:lineRule="auto"/>
              <w:jc w:val="center"/>
              <w:rPr>
                <w:color w:val="FFFFFF" w:themeColor="background1"/>
                <w:sz w:val="22"/>
              </w:rPr>
            </w:pPr>
            <w:r w:rsidRPr="00020D20">
              <w:rPr>
                <w:color w:val="FFFFFF" w:themeColor="background1"/>
                <w:sz w:val="22"/>
              </w:rPr>
              <w:t># of Airports</w:t>
            </w:r>
          </w:p>
        </w:tc>
        <w:tc>
          <w:tcPr>
            <w:tcW w:w="270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3F968F52" w14:textId="77777777" w:rsidR="000F65F7" w:rsidRPr="00020D20" w:rsidRDefault="000F65F7" w:rsidP="00020D20">
            <w:pPr>
              <w:spacing w:before="0" w:after="0" w:line="240" w:lineRule="auto"/>
              <w:jc w:val="center"/>
              <w:rPr>
                <w:color w:val="FFFFFF" w:themeColor="background1"/>
                <w:sz w:val="22"/>
              </w:rPr>
            </w:pPr>
            <w:r w:rsidRPr="00020D20">
              <w:rPr>
                <w:color w:val="FFFFFF" w:themeColor="background1"/>
                <w:sz w:val="22"/>
              </w:rPr>
              <w:t>Use</w:t>
            </w:r>
          </w:p>
        </w:tc>
        <w:tc>
          <w:tcPr>
            <w:tcW w:w="2340" w:type="dxa"/>
            <w:tcBorders>
              <w:top w:val="single" w:sz="4" w:space="0" w:color="auto"/>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0E051EA6" w14:textId="77777777" w:rsidR="000F65F7" w:rsidRPr="00020D20" w:rsidRDefault="000F65F7" w:rsidP="00020D20">
            <w:pPr>
              <w:spacing w:before="0" w:after="0" w:line="240" w:lineRule="auto"/>
              <w:jc w:val="center"/>
              <w:rPr>
                <w:color w:val="FFFFFF" w:themeColor="background1"/>
                <w:sz w:val="22"/>
              </w:rPr>
            </w:pPr>
            <w:r w:rsidRPr="00020D20">
              <w:rPr>
                <w:color w:val="FFFFFF" w:themeColor="background1"/>
                <w:sz w:val="22"/>
              </w:rPr>
              <w:t>Example Airport</w:t>
            </w:r>
          </w:p>
        </w:tc>
      </w:tr>
      <w:tr w:rsidR="000F65F7" w:rsidRPr="000F65F7" w14:paraId="2C065E7F" w14:textId="77777777" w:rsidTr="00020D20">
        <w:trPr>
          <w:trHeight w:val="20"/>
        </w:trPr>
        <w:tc>
          <w:tcPr>
            <w:tcW w:w="2880" w:type="dxa"/>
            <w:tcBorders>
              <w:top w:val="single" w:sz="4" w:space="0" w:color="auto"/>
              <w:left w:val="single" w:sz="8" w:space="0" w:color="58585B"/>
              <w:bottom w:val="single" w:sz="8" w:space="0" w:color="58585B"/>
              <w:right w:val="single" w:sz="8" w:space="0" w:color="58585B"/>
            </w:tcBorders>
            <w:tcMar>
              <w:top w:w="90" w:type="dxa"/>
              <w:left w:w="90" w:type="dxa"/>
              <w:bottom w:w="90" w:type="dxa"/>
              <w:right w:w="90" w:type="dxa"/>
            </w:tcMar>
            <w:vAlign w:val="center"/>
          </w:tcPr>
          <w:p w14:paraId="38157096" w14:textId="77777777" w:rsidR="000F65F7" w:rsidRPr="00020D20" w:rsidRDefault="000F65F7" w:rsidP="00020D20">
            <w:pPr>
              <w:spacing w:before="0" w:after="0" w:line="240" w:lineRule="auto"/>
              <w:jc w:val="center"/>
              <w:rPr>
                <w:sz w:val="18"/>
              </w:rPr>
            </w:pPr>
            <w:r w:rsidRPr="00020D20">
              <w:rPr>
                <w:sz w:val="18"/>
              </w:rPr>
              <w:t>Commercial Service Airports</w:t>
            </w:r>
          </w:p>
        </w:tc>
        <w:tc>
          <w:tcPr>
            <w:tcW w:w="1440" w:type="dxa"/>
            <w:tcBorders>
              <w:top w:val="single" w:sz="4" w:space="0" w:color="auto"/>
              <w:left w:val="single" w:sz="8" w:space="0" w:color="58585B"/>
              <w:bottom w:val="single" w:sz="8" w:space="0" w:color="58585B"/>
              <w:right w:val="single" w:sz="8" w:space="0" w:color="58585B"/>
            </w:tcBorders>
            <w:tcMar>
              <w:top w:w="90" w:type="dxa"/>
              <w:left w:w="90" w:type="dxa"/>
              <w:bottom w:w="90" w:type="dxa"/>
              <w:right w:w="90" w:type="dxa"/>
            </w:tcMar>
            <w:vAlign w:val="center"/>
          </w:tcPr>
          <w:p w14:paraId="298CFA71" w14:textId="77777777" w:rsidR="000F65F7" w:rsidRPr="00020D20" w:rsidRDefault="000F65F7" w:rsidP="00020D20">
            <w:pPr>
              <w:spacing w:before="0" w:after="0" w:line="240" w:lineRule="auto"/>
              <w:jc w:val="center"/>
              <w:rPr>
                <w:sz w:val="18"/>
                <w:u w:color="ED1C24"/>
              </w:rPr>
            </w:pPr>
            <w:r w:rsidRPr="00020D20">
              <w:rPr>
                <w:sz w:val="18"/>
                <w:u w:color="ED1C24"/>
              </w:rPr>
              <w:t>9</w:t>
            </w:r>
          </w:p>
        </w:tc>
        <w:tc>
          <w:tcPr>
            <w:tcW w:w="2705" w:type="dxa"/>
            <w:tcBorders>
              <w:top w:val="single" w:sz="4" w:space="0" w:color="auto"/>
              <w:left w:val="single" w:sz="8" w:space="0" w:color="58585B"/>
              <w:bottom w:val="single" w:sz="8" w:space="0" w:color="58585B"/>
              <w:right w:val="single" w:sz="8" w:space="0" w:color="58585B"/>
            </w:tcBorders>
            <w:tcMar>
              <w:top w:w="90" w:type="dxa"/>
              <w:left w:w="90" w:type="dxa"/>
              <w:bottom w:w="90" w:type="dxa"/>
              <w:right w:w="90" w:type="dxa"/>
            </w:tcMar>
            <w:vAlign w:val="center"/>
          </w:tcPr>
          <w:p w14:paraId="207093A0" w14:textId="77777777" w:rsidR="000F65F7" w:rsidRPr="00020D20" w:rsidRDefault="000F65F7" w:rsidP="00020D20">
            <w:pPr>
              <w:spacing w:before="0" w:after="0" w:line="240" w:lineRule="auto"/>
              <w:jc w:val="center"/>
              <w:rPr>
                <w:sz w:val="18"/>
              </w:rPr>
            </w:pPr>
            <w:r w:rsidRPr="00020D20">
              <w:rPr>
                <w:sz w:val="18"/>
              </w:rPr>
              <w:t>Primary</w:t>
            </w:r>
          </w:p>
        </w:tc>
        <w:tc>
          <w:tcPr>
            <w:tcW w:w="2340" w:type="dxa"/>
            <w:tcBorders>
              <w:top w:val="single" w:sz="4" w:space="0" w:color="auto"/>
              <w:left w:val="single" w:sz="8" w:space="0" w:color="58585B"/>
              <w:bottom w:val="single" w:sz="8" w:space="0" w:color="58585B"/>
              <w:right w:val="single" w:sz="8" w:space="0" w:color="58585B"/>
            </w:tcBorders>
            <w:tcMar>
              <w:top w:w="90" w:type="dxa"/>
              <w:left w:w="90" w:type="dxa"/>
              <w:bottom w:w="90" w:type="dxa"/>
              <w:right w:w="90" w:type="dxa"/>
            </w:tcMar>
            <w:vAlign w:val="center"/>
          </w:tcPr>
          <w:p w14:paraId="19DC1B0C" w14:textId="77777777" w:rsidR="000F65F7" w:rsidRPr="00020D20" w:rsidRDefault="000F65F7" w:rsidP="00020D20">
            <w:pPr>
              <w:spacing w:before="0" w:after="0" w:line="240" w:lineRule="auto"/>
              <w:jc w:val="center"/>
              <w:rPr>
                <w:sz w:val="18"/>
              </w:rPr>
            </w:pPr>
            <w:r w:rsidRPr="00020D20">
              <w:rPr>
                <w:sz w:val="18"/>
              </w:rPr>
              <w:t>Phoenix Sky Harbor</w:t>
            </w:r>
          </w:p>
        </w:tc>
      </w:tr>
      <w:tr w:rsidR="000F65F7" w:rsidRPr="000F65F7" w14:paraId="4808B891" w14:textId="77777777" w:rsidTr="00020D20">
        <w:trPr>
          <w:trHeight w:val="27"/>
        </w:trPr>
        <w:tc>
          <w:tcPr>
            <w:tcW w:w="288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0B63FE63" w14:textId="77777777" w:rsidR="000F65F7" w:rsidRPr="00020D20" w:rsidRDefault="000F65F7" w:rsidP="00020D20">
            <w:pPr>
              <w:spacing w:before="0" w:after="0" w:line="240" w:lineRule="auto"/>
              <w:jc w:val="center"/>
              <w:rPr>
                <w:sz w:val="18"/>
              </w:rPr>
            </w:pPr>
            <w:r w:rsidRPr="00020D20">
              <w:rPr>
                <w:sz w:val="18"/>
              </w:rPr>
              <w:t>Reliever Airports</w:t>
            </w:r>
          </w:p>
        </w:tc>
        <w:tc>
          <w:tcPr>
            <w:tcW w:w="14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1622E40C" w14:textId="77777777" w:rsidR="000F65F7" w:rsidRPr="00020D20" w:rsidRDefault="000F65F7" w:rsidP="00020D20">
            <w:pPr>
              <w:spacing w:before="0" w:after="0" w:line="240" w:lineRule="auto"/>
              <w:jc w:val="center"/>
              <w:rPr>
                <w:sz w:val="18"/>
                <w:u w:color="ED1C24"/>
              </w:rPr>
            </w:pPr>
            <w:r w:rsidRPr="00020D20">
              <w:rPr>
                <w:sz w:val="18"/>
                <w:u w:color="ED1C24"/>
              </w:rPr>
              <w:t>8</w:t>
            </w:r>
          </w:p>
        </w:tc>
        <w:tc>
          <w:tcPr>
            <w:tcW w:w="270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53937028" w14:textId="77777777" w:rsidR="000F65F7" w:rsidRPr="00020D20" w:rsidRDefault="000F65F7" w:rsidP="00020D20">
            <w:pPr>
              <w:spacing w:before="0" w:after="0" w:line="240" w:lineRule="auto"/>
              <w:jc w:val="center"/>
              <w:rPr>
                <w:sz w:val="18"/>
              </w:rPr>
            </w:pPr>
            <w:r w:rsidRPr="00020D20">
              <w:rPr>
                <w:sz w:val="18"/>
              </w:rPr>
              <w:t>Congestion Relief</w:t>
            </w:r>
          </w:p>
        </w:tc>
        <w:tc>
          <w:tcPr>
            <w:tcW w:w="23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5A429987" w14:textId="77777777" w:rsidR="000F65F7" w:rsidRPr="00020D20" w:rsidRDefault="000F65F7" w:rsidP="00020D20">
            <w:pPr>
              <w:spacing w:before="0" w:after="0" w:line="240" w:lineRule="auto"/>
              <w:jc w:val="center"/>
              <w:rPr>
                <w:sz w:val="18"/>
              </w:rPr>
            </w:pPr>
            <w:r w:rsidRPr="00020D20">
              <w:rPr>
                <w:sz w:val="18"/>
              </w:rPr>
              <w:t>Ryan Field</w:t>
            </w:r>
          </w:p>
        </w:tc>
      </w:tr>
      <w:tr w:rsidR="000F65F7" w:rsidRPr="000F65F7" w14:paraId="320A6CE5" w14:textId="77777777" w:rsidTr="00020D20">
        <w:trPr>
          <w:trHeight w:val="27"/>
        </w:trPr>
        <w:tc>
          <w:tcPr>
            <w:tcW w:w="288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119D7B6E" w14:textId="77777777" w:rsidR="000F65F7" w:rsidRPr="00020D20" w:rsidRDefault="000F65F7" w:rsidP="00020D20">
            <w:pPr>
              <w:spacing w:before="0" w:after="0" w:line="240" w:lineRule="auto"/>
              <w:jc w:val="center"/>
              <w:rPr>
                <w:sz w:val="18"/>
              </w:rPr>
            </w:pPr>
            <w:r w:rsidRPr="00020D20">
              <w:rPr>
                <w:sz w:val="18"/>
              </w:rPr>
              <w:t>GA Community Airports</w:t>
            </w:r>
          </w:p>
        </w:tc>
        <w:tc>
          <w:tcPr>
            <w:tcW w:w="144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6194DBE3" w14:textId="77777777" w:rsidR="000F65F7" w:rsidRPr="00020D20" w:rsidRDefault="000F65F7" w:rsidP="00020D20">
            <w:pPr>
              <w:spacing w:before="0" w:after="0" w:line="240" w:lineRule="auto"/>
              <w:jc w:val="center"/>
              <w:rPr>
                <w:sz w:val="18"/>
                <w:u w:color="ED1C24"/>
              </w:rPr>
            </w:pPr>
            <w:r w:rsidRPr="00020D20">
              <w:rPr>
                <w:sz w:val="18"/>
                <w:u w:color="ED1C24"/>
              </w:rPr>
              <w:t>32</w:t>
            </w:r>
          </w:p>
        </w:tc>
        <w:tc>
          <w:tcPr>
            <w:tcW w:w="2705"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26C484C2" w14:textId="77777777" w:rsidR="000F65F7" w:rsidRPr="00020D20" w:rsidRDefault="000F65F7" w:rsidP="00020D20">
            <w:pPr>
              <w:spacing w:before="0" w:after="0" w:line="240" w:lineRule="auto"/>
              <w:jc w:val="center"/>
              <w:rPr>
                <w:sz w:val="18"/>
              </w:rPr>
            </w:pPr>
            <w:r w:rsidRPr="00020D20">
              <w:rPr>
                <w:sz w:val="18"/>
              </w:rPr>
              <w:t>Regional Connector</w:t>
            </w:r>
          </w:p>
        </w:tc>
        <w:tc>
          <w:tcPr>
            <w:tcW w:w="234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5C25D287" w14:textId="77777777" w:rsidR="000F65F7" w:rsidRPr="00020D20" w:rsidRDefault="000F65F7" w:rsidP="00020D20">
            <w:pPr>
              <w:spacing w:before="0" w:after="0" w:line="240" w:lineRule="auto"/>
              <w:jc w:val="center"/>
              <w:rPr>
                <w:sz w:val="18"/>
              </w:rPr>
            </w:pPr>
            <w:r w:rsidRPr="00020D20">
              <w:rPr>
                <w:sz w:val="18"/>
              </w:rPr>
              <w:t>Holbrook Municipal Airport</w:t>
            </w:r>
          </w:p>
        </w:tc>
      </w:tr>
      <w:tr w:rsidR="000F65F7" w:rsidRPr="000F65F7" w14:paraId="10F2A3BD" w14:textId="77777777" w:rsidTr="00020D20">
        <w:trPr>
          <w:trHeight w:val="23"/>
        </w:trPr>
        <w:tc>
          <w:tcPr>
            <w:tcW w:w="288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55005D97" w14:textId="77777777" w:rsidR="000F65F7" w:rsidRPr="00020D20" w:rsidRDefault="000F65F7" w:rsidP="00020D20">
            <w:pPr>
              <w:spacing w:before="0" w:after="0" w:line="240" w:lineRule="auto"/>
              <w:jc w:val="center"/>
              <w:rPr>
                <w:sz w:val="18"/>
              </w:rPr>
            </w:pPr>
            <w:r w:rsidRPr="00020D20">
              <w:rPr>
                <w:sz w:val="18"/>
              </w:rPr>
              <w:t>GA Rural Airports</w:t>
            </w:r>
          </w:p>
        </w:tc>
        <w:tc>
          <w:tcPr>
            <w:tcW w:w="14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0A133FE0" w14:textId="77777777" w:rsidR="000F65F7" w:rsidRPr="00020D20" w:rsidRDefault="000F65F7" w:rsidP="00020D20">
            <w:pPr>
              <w:spacing w:before="0" w:after="0" w:line="240" w:lineRule="auto"/>
              <w:jc w:val="center"/>
              <w:rPr>
                <w:sz w:val="18"/>
                <w:u w:color="ED1C24"/>
              </w:rPr>
            </w:pPr>
            <w:r w:rsidRPr="00020D20">
              <w:rPr>
                <w:sz w:val="18"/>
                <w:u w:color="ED1C24"/>
              </w:rPr>
              <w:t>23</w:t>
            </w:r>
          </w:p>
        </w:tc>
        <w:tc>
          <w:tcPr>
            <w:tcW w:w="270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1F863BEF" w14:textId="77777777" w:rsidR="000F65F7" w:rsidRPr="00020D20" w:rsidRDefault="000F65F7" w:rsidP="00020D20">
            <w:pPr>
              <w:spacing w:before="0" w:after="0" w:line="240" w:lineRule="auto"/>
              <w:jc w:val="center"/>
              <w:rPr>
                <w:sz w:val="18"/>
              </w:rPr>
            </w:pPr>
            <w:r w:rsidRPr="00020D20">
              <w:rPr>
                <w:sz w:val="18"/>
              </w:rPr>
              <w:t>Small business-recreational-personal</w:t>
            </w:r>
          </w:p>
        </w:tc>
        <w:tc>
          <w:tcPr>
            <w:tcW w:w="23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vAlign w:val="center"/>
          </w:tcPr>
          <w:p w14:paraId="7BB60534" w14:textId="77777777" w:rsidR="000F65F7" w:rsidRPr="00020D20" w:rsidRDefault="000F65F7" w:rsidP="00020D20">
            <w:pPr>
              <w:spacing w:before="0" w:after="0" w:line="240" w:lineRule="auto"/>
              <w:jc w:val="center"/>
              <w:rPr>
                <w:sz w:val="18"/>
              </w:rPr>
            </w:pPr>
            <w:r w:rsidRPr="00020D20">
              <w:rPr>
                <w:sz w:val="18"/>
              </w:rPr>
              <w:t>Sun Valley San Manuel Airport</w:t>
            </w:r>
          </w:p>
        </w:tc>
      </w:tr>
      <w:tr w:rsidR="000F65F7" w:rsidRPr="000F65F7" w14:paraId="4847970D" w14:textId="77777777" w:rsidTr="00020D20">
        <w:trPr>
          <w:trHeight w:val="23"/>
        </w:trPr>
        <w:tc>
          <w:tcPr>
            <w:tcW w:w="288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47804946" w14:textId="77777777" w:rsidR="000F65F7" w:rsidRPr="00020D20" w:rsidRDefault="000F65F7" w:rsidP="00020D20">
            <w:pPr>
              <w:spacing w:before="0" w:after="0" w:line="240" w:lineRule="auto"/>
              <w:jc w:val="center"/>
              <w:rPr>
                <w:sz w:val="18"/>
              </w:rPr>
            </w:pPr>
            <w:r w:rsidRPr="00020D20">
              <w:rPr>
                <w:sz w:val="18"/>
              </w:rPr>
              <w:t>GA Basic Airports</w:t>
            </w:r>
          </w:p>
        </w:tc>
        <w:tc>
          <w:tcPr>
            <w:tcW w:w="144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1F87E470" w14:textId="77777777" w:rsidR="000F65F7" w:rsidRPr="00020D20" w:rsidRDefault="000F65F7" w:rsidP="00020D20">
            <w:pPr>
              <w:spacing w:before="0" w:after="0" w:line="240" w:lineRule="auto"/>
              <w:jc w:val="center"/>
              <w:rPr>
                <w:sz w:val="18"/>
                <w:u w:color="ED1C24"/>
              </w:rPr>
            </w:pPr>
            <w:r w:rsidRPr="00020D20">
              <w:rPr>
                <w:sz w:val="18"/>
                <w:u w:color="ED1C24"/>
              </w:rPr>
              <w:t>11</w:t>
            </w:r>
          </w:p>
        </w:tc>
        <w:tc>
          <w:tcPr>
            <w:tcW w:w="2705"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3B5366A4" w14:textId="77777777" w:rsidR="000F65F7" w:rsidRPr="00020D20" w:rsidRDefault="000F65F7" w:rsidP="00020D20">
            <w:pPr>
              <w:spacing w:before="0" w:after="0" w:line="240" w:lineRule="auto"/>
              <w:jc w:val="center"/>
              <w:rPr>
                <w:sz w:val="18"/>
              </w:rPr>
            </w:pPr>
            <w:r w:rsidRPr="00020D20">
              <w:rPr>
                <w:sz w:val="18"/>
              </w:rPr>
              <w:t>Recreational-personal</w:t>
            </w:r>
          </w:p>
        </w:tc>
        <w:tc>
          <w:tcPr>
            <w:tcW w:w="234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09958623" w14:textId="77777777" w:rsidR="000F65F7" w:rsidRPr="00020D20" w:rsidRDefault="000F65F7" w:rsidP="00020D20">
            <w:pPr>
              <w:spacing w:before="0" w:after="0" w:line="240" w:lineRule="auto"/>
              <w:jc w:val="center"/>
              <w:rPr>
                <w:sz w:val="18"/>
              </w:rPr>
            </w:pPr>
            <w:r w:rsidRPr="00020D20">
              <w:rPr>
                <w:sz w:val="18"/>
              </w:rPr>
              <w:t>Tombstone Municipal Airport</w:t>
            </w:r>
          </w:p>
        </w:tc>
      </w:tr>
    </w:tbl>
    <w:p w14:paraId="3FFDD80E" w14:textId="4F9DC24F" w:rsidR="00995207" w:rsidRDefault="00995207" w:rsidP="00020D20">
      <w:pPr>
        <w:jc w:val="both"/>
        <w:rPr>
          <w:rFonts w:cstheme="minorHAnsi"/>
        </w:rPr>
        <w:sectPr w:rsidR="00995207" w:rsidSect="00020D20">
          <w:type w:val="continuous"/>
          <w:pgSz w:w="12240" w:h="15840"/>
          <w:pgMar w:top="1440" w:right="1440" w:bottom="1440" w:left="1440" w:header="720" w:footer="720" w:gutter="0"/>
          <w:pgNumType w:chapStyle="1"/>
          <w:cols w:space="720"/>
          <w:docGrid w:linePitch="360"/>
        </w:sectPr>
      </w:pPr>
    </w:p>
    <w:p w14:paraId="5B67BFCE" w14:textId="2E8C8930" w:rsidR="000F65F7" w:rsidRPr="000F65F7" w:rsidRDefault="000F65F7" w:rsidP="00020D20">
      <w:pPr>
        <w:pStyle w:val="SubHeading3"/>
        <w:jc w:val="both"/>
      </w:pPr>
      <w:bookmarkStart w:id="580" w:name="_Ref50041336"/>
      <w:r w:rsidRPr="000F65F7">
        <w:t>Commercial Service Airports</w:t>
      </w:r>
      <w:bookmarkEnd w:id="580"/>
    </w:p>
    <w:p w14:paraId="3636269E" w14:textId="77777777" w:rsidR="000F65F7" w:rsidRPr="000F65F7" w:rsidRDefault="000F65F7" w:rsidP="00020D20">
      <w:pPr>
        <w:jc w:val="both"/>
      </w:pPr>
      <w:r w:rsidRPr="000F65F7">
        <w:t xml:space="preserve">These are publicly owned airports that enplane 2,500 or more passengers annually and receive scheduled passenger air service. In the 2009 SASP, Arizona had 12 commercial service airports. The current FAA NPIAS show Arizona with only nine. </w:t>
      </w:r>
    </w:p>
    <w:p w14:paraId="56743AA3" w14:textId="3710A2B8" w:rsidR="000F65F7" w:rsidRPr="000F65F7" w:rsidRDefault="000F65F7" w:rsidP="00020D20">
      <w:pPr>
        <w:jc w:val="both"/>
      </w:pPr>
      <w:r w:rsidRPr="000F65F7">
        <w:t>FAA categorizes all commercial service airports by their number of annual enplanements. The nation’s busiest airports are considered large hubs. Arizona has one large hub, which is Phoenix Sky Harbor International Airport. The second tier of commercial service airports consists of medium hubs, which is Tucson International Airport. The third tier of commercial service airports consists of small hubs, which is Phoenix-Mesa Gateway Airport. Arizona’s other 6 commercial service airports are classified as non</w:t>
      </w:r>
      <w:r w:rsidR="00AF6C09">
        <w:t>-</w:t>
      </w:r>
      <w:r w:rsidRPr="000F65F7">
        <w:t>hubs.</w:t>
      </w:r>
    </w:p>
    <w:p w14:paraId="43FA64BE" w14:textId="77777777" w:rsidR="000F65F7" w:rsidRPr="000F65F7" w:rsidRDefault="000F65F7" w:rsidP="00020D20">
      <w:pPr>
        <w:pStyle w:val="SubHeading3"/>
        <w:jc w:val="both"/>
      </w:pPr>
      <w:bookmarkStart w:id="581" w:name="_Ref50041341"/>
      <w:r w:rsidRPr="000F65F7">
        <w:t>Reliever Airports</w:t>
      </w:r>
      <w:bookmarkEnd w:id="581"/>
    </w:p>
    <w:p w14:paraId="40303C06" w14:textId="27077170" w:rsidR="000F65F7" w:rsidRPr="000F65F7" w:rsidRDefault="00442EBB" w:rsidP="00020D20">
      <w:pPr>
        <w:jc w:val="both"/>
      </w:pPr>
      <w:r>
        <w:rPr>
          <w:rFonts w:cstheme="minorHAnsi"/>
          <w:noProof/>
        </w:rPr>
        <mc:AlternateContent>
          <mc:Choice Requires="wps">
            <w:drawing>
              <wp:anchor distT="0" distB="0" distL="114300" distR="114300" simplePos="0" relativeHeight="251618385" behindDoc="1" locked="0" layoutInCell="1" allowOverlap="1" wp14:anchorId="7E0B9D40" wp14:editId="7B3C5AB9">
                <wp:simplePos x="0" y="0"/>
                <wp:positionH relativeFrom="column">
                  <wp:posOffset>3209925</wp:posOffset>
                </wp:positionH>
                <wp:positionV relativeFrom="paragraph">
                  <wp:posOffset>662305</wp:posOffset>
                </wp:positionV>
                <wp:extent cx="1428750" cy="1162050"/>
                <wp:effectExtent l="95250" t="76200" r="95250" b="76200"/>
                <wp:wrapTight wrapText="bothSides">
                  <wp:wrapPolygon edited="0">
                    <wp:start x="-864" y="-1416"/>
                    <wp:lineTo x="-1440" y="-1062"/>
                    <wp:lineTo x="-1152" y="22662"/>
                    <wp:lineTo x="22464" y="22662"/>
                    <wp:lineTo x="22752" y="4603"/>
                    <wp:lineTo x="22176" y="-708"/>
                    <wp:lineTo x="22176" y="-1416"/>
                    <wp:lineTo x="-864" y="-1416"/>
                  </wp:wrapPolygon>
                </wp:wrapTight>
                <wp:docPr id="1690911475" name="Text Box 1690911475"/>
                <wp:cNvGraphicFramePr/>
                <a:graphic xmlns:a="http://schemas.openxmlformats.org/drawingml/2006/main">
                  <a:graphicData uri="http://schemas.microsoft.com/office/word/2010/wordprocessingShape">
                    <wps:wsp>
                      <wps:cNvSpPr txBox="1"/>
                      <wps:spPr>
                        <a:xfrm>
                          <a:off x="0" y="0"/>
                          <a:ext cx="1428750" cy="11620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2204C0C" w14:textId="77777777" w:rsidR="00C6444C" w:rsidRDefault="00C6444C" w:rsidP="00020D20">
                            <w:pPr>
                              <w:jc w:val="center"/>
                            </w:pPr>
                            <w:r>
                              <w:rPr>
                                <w:noProof/>
                              </w:rPr>
                              <w:drawing>
                                <wp:inline distT="0" distB="0" distL="0" distR="0" wp14:anchorId="211EBB06" wp14:editId="32F9934C">
                                  <wp:extent cx="457200" cy="457200"/>
                                  <wp:effectExtent l="0" t="0" r="0" b="0"/>
                                  <wp:docPr id="816286242" name="Picture 81628624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6DB09A9" w14:textId="214885A9" w:rsidR="00C6444C" w:rsidRPr="00954116" w:rsidRDefault="00C6444C" w:rsidP="00020D20">
                            <w:pPr>
                              <w:pStyle w:val="Calloutboxes"/>
                            </w:pPr>
                            <w:r w:rsidRPr="00394A74">
                              <w:t>Military Airport Boundary Maps are available online at:</w:t>
                            </w:r>
                          </w:p>
                          <w:p w14:paraId="763C5D7D" w14:textId="712F5875" w:rsidR="00C6444C" w:rsidRPr="00020D20" w:rsidRDefault="00202C92">
                            <w:pPr>
                              <w:pStyle w:val="Title"/>
                              <w:rPr>
                                <w:sz w:val="16"/>
                              </w:rPr>
                            </w:pPr>
                            <w:hyperlink r:id="rId970" w:history="1">
                              <w:r w:rsidR="00C6444C" w:rsidRPr="00020D20">
                                <w:rPr>
                                  <w:rStyle w:val="Hyperlink"/>
                                  <w:rFonts w:ascii="Calibri" w:hAnsi="Calibri" w:cstheme="majorBidi"/>
                                  <w:i/>
                                  <w:iCs w:val="0"/>
                                  <w:color w:val="CE5B18"/>
                                  <w:szCs w:val="56"/>
                                  <w:u w:val="none"/>
                                </w:rPr>
                                <w:t>https://azre.gov/military-airports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0B9D40" id="Text Box 1690911475" o:spid="_x0000_s1245" type="#_x0000_t202" style="position:absolute;left:0;text-align:left;margin-left:252.75pt;margin-top:52.15pt;width:112.5pt;height:91.5pt;z-index:-251698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" fillcolor="#f7f7f7" stroked="f" strokeweight=".5pt">
                <v:shadow on="t" type="perspective" color="black" opacity="26214f" offset="0,0" matrix="66847f,,,66847f"/>
                <v:textbox>
                  <w:txbxContent>
                    <w:p w14:paraId="62204C0C" w14:textId="77777777" w:rsidR="00C6444C" w:rsidRDefault="00C6444C" w:rsidP="00020D20">
                      <w:pPr>
                        <w:jc w:val="center"/>
                      </w:pPr>
                      <w:r>
                        <w:rPr>
                          <w:noProof/>
                        </w:rPr>
                        <w:drawing>
                          <wp:inline distT="0" distB="0" distL="0" distR="0" wp14:anchorId="211EBB06" wp14:editId="32F9934C">
                            <wp:extent cx="457200" cy="457200"/>
                            <wp:effectExtent l="0" t="0" r="0" b="0"/>
                            <wp:docPr id="816286242" name="Picture 81628624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6DB09A9" w14:textId="214885A9" w:rsidR="00C6444C" w:rsidRPr="00954116" w:rsidRDefault="00C6444C" w:rsidP="00020D20">
                      <w:pPr>
                        <w:pStyle w:val="Calloutboxes"/>
                      </w:pPr>
                      <w:r w:rsidRPr="00394A74">
                        <w:t>Military Airport Boundary Maps are available online at:</w:t>
                      </w:r>
                    </w:p>
                    <w:p w14:paraId="763C5D7D" w14:textId="712F5875" w:rsidR="00C6444C" w:rsidRPr="00020D20" w:rsidRDefault="00C6444C">
                      <w:pPr>
                        <w:pStyle w:val="Title"/>
                        <w:rPr>
                          <w:sz w:val="16"/>
                        </w:rPr>
                      </w:pPr>
                      <w:hyperlink r:id="rId971" w:history="1">
                        <w:r w:rsidRPr="00020D20">
                          <w:rPr>
                            <w:rStyle w:val="Hyperlink"/>
                            <w:rFonts w:ascii="Calibri" w:hAnsi="Calibri" w:cstheme="majorBidi"/>
                            <w:i/>
                            <w:iCs w:val="0"/>
                            <w:color w:val="CE5B18"/>
                            <w:szCs w:val="56"/>
                            <w:u w:val="none"/>
                          </w:rPr>
                          <w:t>https://azre.gov/military-airports</w:t>
                        </w:r>
                      </w:hyperlink>
                    </w:p>
                  </w:txbxContent>
                </v:textbox>
                <w10:wrap type="tight"/>
              </v:shape>
            </w:pict>
          </mc:Fallback>
        </mc:AlternateContent>
      </w:r>
      <w:r w:rsidR="000F65F7" w:rsidRPr="000F65F7">
        <w:t>These are FAA-designated airports that relieve congestion at a commercial service airport.</w:t>
      </w:r>
      <w:r w:rsidR="000F65F7">
        <w:t xml:space="preserve"> </w:t>
      </w:r>
      <w:r w:rsidR="000F65F7" w:rsidRPr="000F65F7">
        <w:t>Arizona currently has eight reliever airports (e.g., Ryan Field in Tucson or Glendale Municipal).</w:t>
      </w:r>
    </w:p>
    <w:p w14:paraId="157B819C" w14:textId="77777777" w:rsidR="000F65F7" w:rsidRPr="000F65F7" w:rsidRDefault="000F65F7" w:rsidP="00020D20">
      <w:pPr>
        <w:pStyle w:val="SubHeading3"/>
        <w:jc w:val="both"/>
      </w:pPr>
      <w:bookmarkStart w:id="582" w:name="_Ref50041344"/>
      <w:r w:rsidRPr="000F65F7">
        <w:t>General Aviation (GA) Community Airports</w:t>
      </w:r>
      <w:bookmarkEnd w:id="582"/>
    </w:p>
    <w:p w14:paraId="3E27ED54" w14:textId="77777777" w:rsidR="000F65F7" w:rsidRPr="000F65F7" w:rsidRDefault="000F65F7" w:rsidP="00020D20">
      <w:pPr>
        <w:jc w:val="both"/>
      </w:pPr>
      <w:r w:rsidRPr="000F65F7">
        <w:t>These Airports serve regional economies, connecting to state and national economies, and serve all types of general aviation aircraft. Arizona currently has 32 GA community airports (e.g., Holbrook Municipal Airport or Sierra Vista).</w:t>
      </w:r>
    </w:p>
    <w:p w14:paraId="1CC87713" w14:textId="77777777" w:rsidR="000F65F7" w:rsidRPr="000F65F7" w:rsidRDefault="000F65F7" w:rsidP="00020D20">
      <w:pPr>
        <w:pStyle w:val="SubHeading3"/>
        <w:jc w:val="both"/>
      </w:pPr>
      <w:bookmarkStart w:id="583" w:name="_Ref50041347"/>
      <w:r w:rsidRPr="000F65F7">
        <w:t>GA Rural Airports</w:t>
      </w:r>
      <w:bookmarkEnd w:id="583"/>
    </w:p>
    <w:p w14:paraId="518CD949" w14:textId="69FE2020" w:rsidR="000F65F7" w:rsidRPr="000F65F7" w:rsidRDefault="000F65F7" w:rsidP="00020D20">
      <w:pPr>
        <w:jc w:val="both"/>
      </w:pPr>
      <w:r w:rsidRPr="000F65F7">
        <w:t>These are Airports that serve a supplemental role in local economies, primarily serving small business, recreational, and personal flying. Arizona currently has 23 GA rural airports (e.g., San Ma</w:t>
      </w:r>
      <w:r w:rsidR="00D91081">
        <w:t>n</w:t>
      </w:r>
      <w:r w:rsidRPr="000F65F7">
        <w:t>uel Airport).</w:t>
      </w:r>
    </w:p>
    <w:p w14:paraId="2378A701" w14:textId="77777777" w:rsidR="000F65F7" w:rsidRPr="000F65F7" w:rsidRDefault="000F65F7" w:rsidP="00020D20">
      <w:pPr>
        <w:pStyle w:val="SubHeading3"/>
        <w:jc w:val="both"/>
      </w:pPr>
      <w:bookmarkStart w:id="584" w:name="_Ref50041352"/>
      <w:r w:rsidRPr="000F65F7">
        <w:t>GA Basic Airports</w:t>
      </w:r>
      <w:bookmarkEnd w:id="584"/>
    </w:p>
    <w:p w14:paraId="66AB90E7" w14:textId="77777777" w:rsidR="000F65F7" w:rsidRPr="000F65F7" w:rsidRDefault="000F65F7" w:rsidP="00020D20">
      <w:pPr>
        <w:jc w:val="both"/>
      </w:pPr>
      <w:r w:rsidRPr="000F65F7">
        <w:t>These Airports serve a limited role in the local economy, primarily serving recreational, personal flying or serving emergency flight support. Arizona currently has 11 GA basic airports (e.g., Tombstone Municipal Airport or Superior Municipal).</w:t>
      </w:r>
    </w:p>
    <w:p w14:paraId="5EE2C8F4" w14:textId="77777777" w:rsidR="000F65F7" w:rsidRPr="000F65F7" w:rsidRDefault="000F65F7" w:rsidP="00020D20">
      <w:pPr>
        <w:pStyle w:val="SubHeading3"/>
        <w:jc w:val="both"/>
      </w:pPr>
      <w:bookmarkStart w:id="585" w:name="_Ref50041355"/>
      <w:r w:rsidRPr="000F65F7">
        <w:t>Military Airports</w:t>
      </w:r>
      <w:bookmarkEnd w:id="585"/>
    </w:p>
    <w:p w14:paraId="3D442D14" w14:textId="23E4D0B4" w:rsidR="000F65F7" w:rsidRPr="000F65F7" w:rsidRDefault="000F65F7" w:rsidP="00020D20">
      <w:pPr>
        <w:jc w:val="both"/>
      </w:pPr>
      <w:r w:rsidRPr="000F65F7">
        <w:t xml:space="preserve">There are five Military aviation facilities in Arizona: Luke </w:t>
      </w:r>
      <w:r w:rsidR="00B31FB3">
        <w:t>Air Force Base (</w:t>
      </w:r>
      <w:r w:rsidRPr="000F65F7">
        <w:t>AFB</w:t>
      </w:r>
      <w:r w:rsidR="00B31FB3">
        <w:t>)</w:t>
      </w:r>
      <w:r w:rsidRPr="000F65F7">
        <w:t xml:space="preserve">; Davis-Monthan AFB; Ft. Huachuca/Libby Army Airfield; Yuma Marine Corp Air Station; and, Yuma Proving Grounds/Laguna Army Airfield. All are major employment centers that infuse a substantial amount of federal payroll money into the surrounding local economy. For example, as of 2012, Davis-Monthan AFB near Tucson had approximately 6,000 military and reserve personnel and 1,700 civilian employees, whereas the corresponding numbers for Luke AFB (in Litchfield Park, west of Phoenix) were 7,000 and 1,500. Also, MCAS Yuma and Libby Army Airfield play a vital role in each community’s civilian airport services. Each is a joint use facility where civilian aviation activity occurs with the military activity. These major employment centers are well integrated into the land use and transportation models maintained by PAG and MAG. Similarly, military aviation facilities elsewhere in Arizona have population and employment impacts that are appropriately addressed through regional land use and transportation plans. </w:t>
      </w:r>
    </w:p>
    <w:p w14:paraId="7B823C71" w14:textId="2D0E2C01" w:rsidR="000F65F7" w:rsidRPr="000F65F7" w:rsidRDefault="000F65F7" w:rsidP="00020D20">
      <w:pPr>
        <w:jc w:val="both"/>
        <w:rPr>
          <w:b/>
        </w:rPr>
      </w:pPr>
      <w:r w:rsidRPr="000F65F7">
        <w:t xml:space="preserve">Pursuant to state law, the Arizona Department of Real Estate makes maps of areas affected by military aviation activities available online. The Arizona disclosure requirements apply to property that is within “territory in the vicinity of a military airport” or “territory in the vicinity of an ancillary military facility” as defined in </w:t>
      </w:r>
      <w:hyperlink r:id="rId972" w:history="1">
        <w:r w:rsidRPr="00D11B1E">
          <w:rPr>
            <w:rStyle w:val="TitleChar"/>
          </w:rPr>
          <w:t>A.R.S. § 28-8461</w:t>
        </w:r>
      </w:hyperlink>
      <w:r w:rsidRPr="000F65F7">
        <w:t>, or under a “military training route” as delineated in the military training route map prepared pursuant to Section 37-102.</w:t>
      </w:r>
      <w:r w:rsidR="00D14B31" w:rsidRPr="00D14B31">
        <w:rPr>
          <w:rFonts w:cstheme="minorHAnsi"/>
        </w:rPr>
        <w:t xml:space="preserve"> </w:t>
      </w:r>
    </w:p>
    <w:p w14:paraId="4E55B5A2" w14:textId="54E83846" w:rsidR="000F65F7" w:rsidRPr="000F65F7" w:rsidRDefault="000F65F7" w:rsidP="00020D20">
      <w:pPr>
        <w:pStyle w:val="Body-Bullets"/>
        <w:jc w:val="both"/>
      </w:pPr>
      <w:r w:rsidRPr="000F65F7">
        <w:t>Military airport maps (Luke AFB; Davis-Monthan AFB; Fort Huachuca—Libby Airfield; Yuma Marine Corps Air Station; Yuma Proving Grounds—Laguna</w:t>
      </w:r>
      <w:r w:rsidR="00D91081">
        <w:t xml:space="preserve"> </w:t>
      </w:r>
      <w:r w:rsidRPr="000F65F7">
        <w:t>Army Airfield)</w:t>
      </w:r>
    </w:p>
    <w:p w14:paraId="4925E7FC" w14:textId="77777777" w:rsidR="000F65F7" w:rsidRPr="000F65F7" w:rsidRDefault="000F65F7" w:rsidP="00020D20">
      <w:pPr>
        <w:pStyle w:val="Body-Bullets"/>
        <w:jc w:val="both"/>
      </w:pPr>
      <w:r w:rsidRPr="000F65F7">
        <w:t>Military electronic range maps</w:t>
      </w:r>
    </w:p>
    <w:p w14:paraId="4E418A1C" w14:textId="77777777" w:rsidR="000F65F7" w:rsidRPr="000F65F7" w:rsidRDefault="000F65F7" w:rsidP="00020D20">
      <w:pPr>
        <w:pStyle w:val="Body-Bullets"/>
        <w:jc w:val="both"/>
      </w:pPr>
      <w:r w:rsidRPr="000F65F7">
        <w:t>Auxiliary airfield maps</w:t>
      </w:r>
    </w:p>
    <w:p w14:paraId="435C2CAA" w14:textId="77777777" w:rsidR="000F65F7" w:rsidRPr="000F65F7" w:rsidRDefault="000F65F7" w:rsidP="00020D20">
      <w:pPr>
        <w:pStyle w:val="Body-Bullets"/>
        <w:jc w:val="both"/>
      </w:pPr>
      <w:r w:rsidRPr="000F65F7">
        <w:t>Restricted airspace maps</w:t>
      </w:r>
    </w:p>
    <w:p w14:paraId="422A3D17" w14:textId="77777777" w:rsidR="000F65F7" w:rsidRPr="000F65F7" w:rsidRDefault="000F65F7" w:rsidP="00020D20">
      <w:pPr>
        <w:pStyle w:val="Body-Bullets"/>
        <w:jc w:val="both"/>
      </w:pPr>
      <w:r w:rsidRPr="000F65F7">
        <w:t>Military training route maps</w:t>
      </w:r>
    </w:p>
    <w:p w14:paraId="69767232" w14:textId="2D619C59" w:rsidR="000F65F7" w:rsidRPr="000F65F7" w:rsidRDefault="000F65F7" w:rsidP="00020D20">
      <w:pPr>
        <w:jc w:val="both"/>
      </w:pPr>
      <w:r w:rsidRPr="000F65F7">
        <w:t>The airspace impacts of military aviation facilities are already taken into account in the flight patterns used by surrounding civilian airports in affected areas. The FAA is the agency responsible for the planning and management of airspace.</w:t>
      </w:r>
    </w:p>
    <w:p w14:paraId="3D4CADD8" w14:textId="7F3B7B4C" w:rsidR="000F65F7" w:rsidRPr="000F65F7" w:rsidRDefault="000F65F7" w:rsidP="00020D20">
      <w:pPr>
        <w:jc w:val="both"/>
      </w:pPr>
      <w:r w:rsidRPr="000F65F7">
        <w:t>Given the trend of defense budget cutting in 2012, there is little likelihood that any new Air Force bases will be added in the United States in the foreseeable future. Instead, states across the nation are working hard to keep their bases from being downsized or closed. One key to sustainability for Air Force bases is ensuring that</w:t>
      </w:r>
      <w:r>
        <w:t xml:space="preserve"> </w:t>
      </w:r>
      <w:r w:rsidRPr="000F65F7">
        <w:t>local development does not interfere with the ability of the base to continue and/or expand its operations.</w:t>
      </w:r>
    </w:p>
    <w:p w14:paraId="41B61B46" w14:textId="55EE07B1" w:rsidR="000F65F7" w:rsidRPr="000F65F7" w:rsidRDefault="000F65F7" w:rsidP="00020D20">
      <w:pPr>
        <w:jc w:val="both"/>
      </w:pPr>
      <w:r w:rsidRPr="000F65F7">
        <w:t xml:space="preserve">When an Air Force base does close, historic land use and airspace use may offer opportunities for redevelopment of that facility as a civilian airport. The </w:t>
      </w:r>
      <w:hyperlink r:id="rId973" w:history="1">
        <w:r w:rsidRPr="00D11B1E">
          <w:rPr>
            <w:rStyle w:val="TitleChar"/>
          </w:rPr>
          <w:t>FAA’s Military Airport Program</w:t>
        </w:r>
      </w:hyperlink>
      <w:r w:rsidRPr="000F65F7">
        <w:t xml:space="preserve"> (MAP) provides federal funds to convert former military airports to civilian use and supports joint-use airports. The 2012 Reauthorization Act increased the number of general airports that could participate in the program from one to three.</w:t>
      </w:r>
    </w:p>
    <w:p w14:paraId="0241242D" w14:textId="0678D7B6" w:rsidR="000F65F7" w:rsidRPr="000F65F7" w:rsidRDefault="000F65F7" w:rsidP="00020D20">
      <w:pPr>
        <w:pStyle w:val="SubHeading3"/>
        <w:jc w:val="both"/>
      </w:pPr>
      <w:bookmarkStart w:id="586" w:name="_Ref50041359"/>
      <w:r w:rsidRPr="000F65F7">
        <w:t>Tribal &amp; Private Airports</w:t>
      </w:r>
      <w:bookmarkEnd w:id="586"/>
    </w:p>
    <w:p w14:paraId="18157A5D" w14:textId="13948848" w:rsidR="000F65F7" w:rsidRPr="000F65F7" w:rsidRDefault="000F65F7" w:rsidP="00020D20">
      <w:pPr>
        <w:jc w:val="both"/>
      </w:pPr>
      <w:r w:rsidRPr="000F65F7">
        <w:t xml:space="preserve">As part of the 2008 SASP, a detailed review of airports located on Native American tribal lands was conducted. Arizona is home to 22 federally recognized Native American tribes (ADOT 2012). Tribal property and reservations occupy over 25 percent of Arizona’s land. A review of FAA data by the ADOT – MPD - Aeronautics Group Division found that there are 24 airfields on tribal land. Through further research, it was determined that only 14 of those airports were open and available for public use. They are part of the overall system and they are reflected in the SASP. Tribal airports not included in the SASP include those that are not open for public use. Some of these are used primarily for transport of physicians and patients for medical purposes in remote rural areas. </w:t>
      </w:r>
    </w:p>
    <w:p w14:paraId="0B03F51E" w14:textId="4CB22690" w:rsidR="000F65F7" w:rsidRPr="000F65F7" w:rsidRDefault="000F65F7" w:rsidP="00020D20">
      <w:pPr>
        <w:jc w:val="both"/>
        <w:rPr>
          <w:b/>
        </w:rPr>
      </w:pPr>
      <w:r w:rsidRPr="000F65F7">
        <w:t>Arizona law (</w:t>
      </w:r>
      <w:hyperlink r:id="rId974" w:history="1">
        <w:r w:rsidRPr="00020D20">
          <w:rPr>
            <w:rStyle w:val="TitleChar"/>
          </w:rPr>
          <w:t>A.R.S. §</w:t>
        </w:r>
        <w:r w:rsidR="008216A0" w:rsidRPr="00020D20">
          <w:rPr>
            <w:rStyle w:val="TitleChar"/>
          </w:rPr>
          <w:t xml:space="preserve"> </w:t>
        </w:r>
        <w:r w:rsidRPr="00020D20">
          <w:rPr>
            <w:rStyle w:val="TitleChar"/>
          </w:rPr>
          <w:t>28-8202</w:t>
        </w:r>
      </w:hyperlink>
      <w:r w:rsidRPr="000F65F7">
        <w:t xml:space="preserve">) specifies that monies from the State Aviation fund may be distributed to publicly owned and operated airport facilities “in which one or more agencies, departments or instrumentalities of this state or a city, town or county of this state holds an interest in the land on which the airport is located.” This law was recently revised to include tribal airports in the definition of “publicly owned and operated.” This revision will become effective on September 13, 2013. ADOT is now developing training and guidance for theses tribal airports. Tribal airports that are included in the SASP and the NPIAS may receive FAA and/or State project funding, and these projects are included in the ADOT Airport Capital Improvement Program. </w:t>
      </w:r>
    </w:p>
    <w:p w14:paraId="31DF3446" w14:textId="77777777" w:rsidR="000F65F7" w:rsidRPr="000F65F7" w:rsidRDefault="000F65F7" w:rsidP="00020D20">
      <w:pPr>
        <w:pStyle w:val="Heading3"/>
        <w:jc w:val="both"/>
        <w:rPr>
          <w:rFonts w:cstheme="minorHAnsi"/>
          <w:szCs w:val="20"/>
        </w:rPr>
      </w:pPr>
      <w:bookmarkStart w:id="587" w:name="_Ref45022623"/>
      <w:r w:rsidRPr="000F65F7">
        <w:rPr>
          <w:rFonts w:cstheme="minorHAnsi"/>
          <w:szCs w:val="20"/>
        </w:rPr>
        <w:t>16.5.5 | Regional Aviation System Plans</w:t>
      </w:r>
      <w:bookmarkEnd w:id="587"/>
    </w:p>
    <w:p w14:paraId="5AE539FE" w14:textId="06AC711A" w:rsidR="000F65F7" w:rsidRPr="000F65F7" w:rsidRDefault="00D32802" w:rsidP="00020D20">
      <w:pPr>
        <w:jc w:val="both"/>
      </w:pPr>
      <w:r>
        <w:rPr>
          <w:noProof/>
        </w:rPr>
        <mc:AlternateContent>
          <mc:Choice Requires="wpg">
            <w:drawing>
              <wp:anchor distT="0" distB="0" distL="114300" distR="114300" simplePos="0" relativeHeight="251618627" behindDoc="0" locked="0" layoutInCell="1" allowOverlap="1" wp14:anchorId="27BC3B1F" wp14:editId="55716F74">
                <wp:simplePos x="0" y="0"/>
                <wp:positionH relativeFrom="column">
                  <wp:posOffset>-636</wp:posOffset>
                </wp:positionH>
                <wp:positionV relativeFrom="paragraph">
                  <wp:posOffset>3242871</wp:posOffset>
                </wp:positionV>
                <wp:extent cx="2771140" cy="1410970"/>
                <wp:effectExtent l="95250" t="19050" r="86360" b="93980"/>
                <wp:wrapSquare wrapText="bothSides"/>
                <wp:docPr id="816286270" name="Group 816286270"/>
                <wp:cNvGraphicFramePr/>
                <a:graphic xmlns:a="http://schemas.openxmlformats.org/drawingml/2006/main">
                  <a:graphicData uri="http://schemas.microsoft.com/office/word/2010/wordprocessingGroup">
                    <wpg:wgp>
                      <wpg:cNvGrpSpPr/>
                      <wpg:grpSpPr>
                        <a:xfrm>
                          <a:off x="0" y="0"/>
                          <a:ext cx="2771140" cy="1410970"/>
                          <a:chOff x="0" y="-53163"/>
                          <a:chExt cx="2771141" cy="1411455"/>
                        </a:xfrm>
                      </wpg:grpSpPr>
                      <wps:wsp>
                        <wps:cNvPr id="816286010" name="Text Box 816286010"/>
                        <wps:cNvSpPr txBox="1"/>
                        <wps:spPr>
                          <a:xfrm>
                            <a:off x="0" y="15902"/>
                            <a:ext cx="2770505" cy="134239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720"/>
                                <w:gridCol w:w="3780"/>
                              </w:tblGrid>
                              <w:tr w:rsidR="00C6444C" w14:paraId="23FEBB25" w14:textId="77777777" w:rsidTr="00020D20">
                                <w:trPr>
                                  <w:trHeight w:val="536"/>
                                </w:trPr>
                                <w:tc>
                                  <w:tcPr>
                                    <w:tcW w:w="720" w:type="dxa"/>
                                    <w:shd w:val="clear" w:color="auto" w:fill="auto"/>
                                  </w:tcPr>
                                  <w:p w14:paraId="1235ED27" w14:textId="77777777" w:rsidR="00C6444C" w:rsidRPr="00020D20" w:rsidRDefault="00C6444C">
                                    <w:pPr>
                                      <w:pStyle w:val="Calloutboxes"/>
                                      <w:rPr>
                                        <w:color w:val="012768"/>
                                      </w:rPr>
                                    </w:pPr>
                                  </w:p>
                                </w:tc>
                                <w:tc>
                                  <w:tcPr>
                                    <w:tcW w:w="3780" w:type="dxa"/>
                                    <w:shd w:val="clear" w:color="auto" w:fill="auto"/>
                                  </w:tcPr>
                                  <w:p w14:paraId="39D7B9C6" w14:textId="77777777" w:rsidR="00C6444C" w:rsidRPr="00020D20" w:rsidRDefault="00C6444C" w:rsidP="00D30138">
                                    <w:pPr>
                                      <w:pStyle w:val="Calloutboxes"/>
                                      <w:jc w:val="left"/>
                                      <w:rPr>
                                        <w:color w:val="FFFFFF" w:themeColor="background1"/>
                                        <w:sz w:val="24"/>
                                        <w:szCs w:val="24"/>
                                      </w:rPr>
                                    </w:pPr>
                                  </w:p>
                                </w:tc>
                              </w:tr>
                              <w:tr w:rsidR="00C6444C" w14:paraId="48ED5A9C" w14:textId="77777777" w:rsidTr="00020D20">
                                <w:trPr>
                                  <w:trHeight w:val="365"/>
                                </w:trPr>
                                <w:tc>
                                  <w:tcPr>
                                    <w:tcW w:w="720" w:type="dxa"/>
                                    <w:tcBorders>
                                      <w:bottom w:val="single" w:sz="4" w:space="0" w:color="auto"/>
                                      <w:right w:val="single" w:sz="4" w:space="0" w:color="auto"/>
                                    </w:tcBorders>
                                    <w:vAlign w:val="center"/>
                                  </w:tcPr>
                                  <w:p w14:paraId="7E5E4897" w14:textId="77777777" w:rsidR="00C6444C" w:rsidRDefault="00C6444C">
                                    <w:pPr>
                                      <w:pStyle w:val="Calloutboxes"/>
                                    </w:pPr>
                                    <w:r w:rsidRPr="00484631">
                                      <w:rPr>
                                        <w:noProof/>
                                      </w:rPr>
                                      <w:drawing>
                                        <wp:inline distT="0" distB="0" distL="0" distR="0" wp14:anchorId="18BAEEFD" wp14:editId="566F19FB">
                                          <wp:extent cx="91440" cy="91440"/>
                                          <wp:effectExtent l="0" t="0" r="3810" b="3810"/>
                                          <wp:docPr id="816286245" name="Picture 81628624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left w:val="single" w:sz="4" w:space="0" w:color="auto"/>
                                      <w:bottom w:val="single" w:sz="4" w:space="0" w:color="auto"/>
                                    </w:tcBorders>
                                    <w:vAlign w:val="center"/>
                                  </w:tcPr>
                                  <w:p w14:paraId="0213B402" w14:textId="19C9B2CC" w:rsidR="00C6444C" w:rsidRPr="00347D6E" w:rsidRDefault="00C6444C">
                                    <w:pPr>
                                      <w:pStyle w:val="Calloutboxes"/>
                                      <w:jc w:val="left"/>
                                    </w:pPr>
                                    <w:r>
                                      <w:t>Intermodal Connectivity</w:t>
                                    </w:r>
                                  </w:p>
                                </w:tc>
                              </w:tr>
                              <w:tr w:rsidR="00C6444C" w14:paraId="1D3F2EF6" w14:textId="77777777" w:rsidTr="00020D20">
                                <w:trPr>
                                  <w:trHeight w:val="346"/>
                                </w:trPr>
                                <w:tc>
                                  <w:tcPr>
                                    <w:tcW w:w="720" w:type="dxa"/>
                                    <w:tcBorders>
                                      <w:top w:val="single" w:sz="4" w:space="0" w:color="auto"/>
                                      <w:bottom w:val="single" w:sz="4" w:space="0" w:color="auto"/>
                                      <w:right w:val="single" w:sz="4" w:space="0" w:color="auto"/>
                                    </w:tcBorders>
                                    <w:vAlign w:val="center"/>
                                  </w:tcPr>
                                  <w:p w14:paraId="54BA011E" w14:textId="77777777" w:rsidR="00C6444C" w:rsidRDefault="00C6444C">
                                    <w:pPr>
                                      <w:pStyle w:val="Calloutboxes"/>
                                    </w:pPr>
                                    <w:r w:rsidRPr="00484631">
                                      <w:rPr>
                                        <w:noProof/>
                                      </w:rPr>
                                      <w:drawing>
                                        <wp:inline distT="0" distB="0" distL="0" distR="0" wp14:anchorId="7F448341" wp14:editId="026C42FD">
                                          <wp:extent cx="88900" cy="88900"/>
                                          <wp:effectExtent l="0" t="0" r="6350" b="6350"/>
                                          <wp:docPr id="816286247" name="Picture 81628624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c>
                                <w:tc>
                                  <w:tcPr>
                                    <w:tcW w:w="3780" w:type="dxa"/>
                                    <w:tcBorders>
                                      <w:top w:val="single" w:sz="4" w:space="0" w:color="auto"/>
                                      <w:left w:val="single" w:sz="4" w:space="0" w:color="auto"/>
                                      <w:bottom w:val="single" w:sz="4" w:space="0" w:color="auto"/>
                                    </w:tcBorders>
                                    <w:vAlign w:val="center"/>
                                  </w:tcPr>
                                  <w:p w14:paraId="7EC9C2B2" w14:textId="32E21F93" w:rsidR="00C6444C" w:rsidRPr="00347D6E" w:rsidRDefault="00C6444C">
                                    <w:pPr>
                                      <w:pStyle w:val="Calloutboxes"/>
                                      <w:jc w:val="left"/>
                                    </w:pPr>
                                    <w:r>
                                      <w:t>Land Use (including consideration of noise impacts)</w:t>
                                    </w:r>
                                  </w:p>
                                </w:tc>
                              </w:tr>
                              <w:tr w:rsidR="00C6444C" w14:paraId="0238ADBB" w14:textId="77777777" w:rsidTr="00020D20">
                                <w:trPr>
                                  <w:trHeight w:val="355"/>
                                </w:trPr>
                                <w:tc>
                                  <w:tcPr>
                                    <w:tcW w:w="720" w:type="dxa"/>
                                    <w:tcBorders>
                                      <w:top w:val="single" w:sz="4" w:space="0" w:color="auto"/>
                                      <w:bottom w:val="single" w:sz="4" w:space="0" w:color="auto"/>
                                      <w:right w:val="single" w:sz="4" w:space="0" w:color="auto"/>
                                    </w:tcBorders>
                                    <w:vAlign w:val="center"/>
                                  </w:tcPr>
                                  <w:p w14:paraId="1BF9566E" w14:textId="77777777" w:rsidR="00C6444C" w:rsidRDefault="00C6444C">
                                    <w:pPr>
                                      <w:pStyle w:val="Calloutboxes"/>
                                    </w:pPr>
                                    <w:r w:rsidRPr="00484631">
                                      <w:rPr>
                                        <w:noProof/>
                                      </w:rPr>
                                      <w:drawing>
                                        <wp:inline distT="0" distB="0" distL="0" distR="0" wp14:anchorId="0E528675" wp14:editId="0EFCDFDF">
                                          <wp:extent cx="91440" cy="91440"/>
                                          <wp:effectExtent l="0" t="0" r="3810" b="3810"/>
                                          <wp:docPr id="816286250" name="Picture 81628625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left w:val="single" w:sz="4" w:space="0" w:color="auto"/>
                                      <w:bottom w:val="single" w:sz="4" w:space="0" w:color="auto"/>
                                    </w:tcBorders>
                                    <w:vAlign w:val="center"/>
                                  </w:tcPr>
                                  <w:p w14:paraId="4775833E" w14:textId="3229BEA4" w:rsidR="00C6444C" w:rsidRPr="00347D6E" w:rsidRDefault="00C6444C">
                                    <w:pPr>
                                      <w:pStyle w:val="Calloutboxes"/>
                                      <w:jc w:val="left"/>
                                    </w:pPr>
                                    <w:r>
                                      <w:t>Air Quality</w:t>
                                    </w:r>
                                  </w:p>
                                </w:tc>
                              </w:tr>
                              <w:tr w:rsidR="00C6444C" w14:paraId="250F9E85" w14:textId="77777777" w:rsidTr="00020D20">
                                <w:trPr>
                                  <w:trHeight w:val="346"/>
                                </w:trPr>
                                <w:tc>
                                  <w:tcPr>
                                    <w:tcW w:w="720" w:type="dxa"/>
                                    <w:tcBorders>
                                      <w:top w:val="single" w:sz="4" w:space="0" w:color="auto"/>
                                      <w:bottom w:val="single" w:sz="4" w:space="0" w:color="auto"/>
                                      <w:right w:val="single" w:sz="4" w:space="0" w:color="auto"/>
                                    </w:tcBorders>
                                    <w:vAlign w:val="center"/>
                                  </w:tcPr>
                                  <w:p w14:paraId="536D87FE" w14:textId="77777777" w:rsidR="00C6444C" w:rsidRDefault="00C6444C">
                                    <w:pPr>
                                      <w:pStyle w:val="Calloutboxes"/>
                                    </w:pPr>
                                    <w:r w:rsidRPr="00484631">
                                      <w:rPr>
                                        <w:noProof/>
                                      </w:rPr>
                                      <w:drawing>
                                        <wp:inline distT="0" distB="0" distL="0" distR="0" wp14:anchorId="16251C52" wp14:editId="28BC3302">
                                          <wp:extent cx="91440" cy="91440"/>
                                          <wp:effectExtent l="0" t="0" r="3810" b="3810"/>
                                          <wp:docPr id="816286252" name="Picture 81628625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left w:val="single" w:sz="4" w:space="0" w:color="auto"/>
                                      <w:bottom w:val="single" w:sz="4" w:space="0" w:color="auto"/>
                                    </w:tcBorders>
                                    <w:vAlign w:val="center"/>
                                  </w:tcPr>
                                  <w:p w14:paraId="2C0709CC" w14:textId="29D93892" w:rsidR="00C6444C" w:rsidRPr="00347D6E" w:rsidRDefault="00C6444C">
                                    <w:pPr>
                                      <w:pStyle w:val="Calloutboxes"/>
                                      <w:jc w:val="left"/>
                                    </w:pPr>
                                    <w:r>
                                      <w:t>Homeland Security</w:t>
                                    </w:r>
                                  </w:p>
                                </w:tc>
                              </w:tr>
                            </w:tbl>
                            <w:p w14:paraId="33A69550"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011" name="Group 816286059"/>
                        <wpg:cNvGrpSpPr/>
                        <wpg:grpSpPr>
                          <a:xfrm>
                            <a:off x="1" y="-53163"/>
                            <a:ext cx="2771140" cy="373901"/>
                            <a:chOff x="11875" y="-78529"/>
                            <a:chExt cx="2772411" cy="510953"/>
                          </a:xfrm>
                        </wpg:grpSpPr>
                        <wps:wsp>
                          <wps:cNvPr id="816286176" name="Rectangle 816286176"/>
                          <wps:cNvSpPr/>
                          <wps:spPr>
                            <a:xfrm>
                              <a:off x="11875" y="29688"/>
                              <a:ext cx="2772410" cy="40273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178" name="Text Box 816286178"/>
                          <wps:cNvSpPr txBox="1"/>
                          <wps:spPr>
                            <a:xfrm>
                              <a:off x="11875" y="-78529"/>
                              <a:ext cx="2772411" cy="510953"/>
                            </a:xfrm>
                            <a:prstGeom prst="rect">
                              <a:avLst/>
                            </a:prstGeom>
                            <a:noFill/>
                            <a:ln w="6350">
                              <a:noFill/>
                            </a:ln>
                            <a:effectLst/>
                          </wps:spPr>
                          <wps:txbx>
                            <w:txbxContent>
                              <w:p w14:paraId="2897FAF8" w14:textId="0D5BF19D" w:rsidR="00C6444C" w:rsidRPr="00020D20" w:rsidRDefault="00C6444C" w:rsidP="00020D20">
                                <w:pPr>
                                  <w:jc w:val="center"/>
                                  <w:rPr>
                                    <w:color w:val="FFFFFF" w:themeColor="background1"/>
                                    <w:sz w:val="22"/>
                                  </w:rPr>
                                </w:pPr>
                                <w:r w:rsidRPr="00020D20">
                                  <w:rPr>
                                    <w:color w:val="FFFFFF" w:themeColor="background1"/>
                                    <w:sz w:val="22"/>
                                  </w:rPr>
                                  <w:t>KEY DOCUMENTS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7BC3B1F" id="Group 816286270" o:spid="_x0000_s1246" style="position:absolute;left:0;text-align:left;margin-left:-.05pt;margin-top:255.35pt;width:218.2pt;height:111.1pt;z-index:251618627;mso-width-relative:margin;mso-height-relative:margin" coordorigin=",-531" coordsize="27711,1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">
                <v:shape id="Text Box 816286010" o:spid="_x0000_s1247" type="#_x0000_t202" style="position:absolute;top:159;width:27705;height:1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720"/>
                          <w:gridCol w:w="3780"/>
                        </w:tblGrid>
                        <w:tr w:rsidR="00C6444C" w14:paraId="23FEBB25" w14:textId="77777777" w:rsidTr="00020D20">
                          <w:trPr>
                            <w:trHeight w:val="536"/>
                          </w:trPr>
                          <w:tc>
                            <w:tcPr>
                              <w:tcW w:w="720" w:type="dxa"/>
                              <w:shd w:val="clear" w:color="auto" w:fill="auto"/>
                            </w:tcPr>
                            <w:p w14:paraId="1235ED27" w14:textId="77777777" w:rsidR="00C6444C" w:rsidRPr="00020D20" w:rsidRDefault="00C6444C">
                              <w:pPr>
                                <w:pStyle w:val="Calloutboxes"/>
                                <w:rPr>
                                  <w:color w:val="012768"/>
                                </w:rPr>
                              </w:pPr>
                            </w:p>
                          </w:tc>
                          <w:tc>
                            <w:tcPr>
                              <w:tcW w:w="3780" w:type="dxa"/>
                              <w:shd w:val="clear" w:color="auto" w:fill="auto"/>
                            </w:tcPr>
                            <w:p w14:paraId="39D7B9C6" w14:textId="77777777" w:rsidR="00C6444C" w:rsidRPr="00020D20" w:rsidRDefault="00C6444C" w:rsidP="00D30138">
                              <w:pPr>
                                <w:pStyle w:val="Calloutboxes"/>
                                <w:jc w:val="left"/>
                                <w:rPr>
                                  <w:color w:val="FFFFFF" w:themeColor="background1"/>
                                  <w:sz w:val="24"/>
                                  <w:szCs w:val="24"/>
                                </w:rPr>
                              </w:pPr>
                            </w:p>
                          </w:tc>
                        </w:tr>
                        <w:tr w:rsidR="00C6444C" w14:paraId="48ED5A9C" w14:textId="77777777" w:rsidTr="00020D20">
                          <w:trPr>
                            <w:trHeight w:val="365"/>
                          </w:trPr>
                          <w:tc>
                            <w:tcPr>
                              <w:tcW w:w="720" w:type="dxa"/>
                              <w:tcBorders>
                                <w:bottom w:val="single" w:sz="4" w:space="0" w:color="auto"/>
                                <w:right w:val="single" w:sz="4" w:space="0" w:color="auto"/>
                              </w:tcBorders>
                              <w:vAlign w:val="center"/>
                            </w:tcPr>
                            <w:p w14:paraId="7E5E4897" w14:textId="77777777" w:rsidR="00C6444C" w:rsidRDefault="00C6444C">
                              <w:pPr>
                                <w:pStyle w:val="Calloutboxes"/>
                              </w:pPr>
                              <w:r w:rsidRPr="00484631">
                                <w:rPr>
                                  <w:noProof/>
                                </w:rPr>
                                <w:drawing>
                                  <wp:inline distT="0" distB="0" distL="0" distR="0" wp14:anchorId="18BAEEFD" wp14:editId="566F19FB">
                                    <wp:extent cx="91440" cy="91440"/>
                                    <wp:effectExtent l="0" t="0" r="3810" b="3810"/>
                                    <wp:docPr id="816286245" name="Picture 81628624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left w:val="single" w:sz="4" w:space="0" w:color="auto"/>
                                <w:bottom w:val="single" w:sz="4" w:space="0" w:color="auto"/>
                              </w:tcBorders>
                              <w:vAlign w:val="center"/>
                            </w:tcPr>
                            <w:p w14:paraId="0213B402" w14:textId="19C9B2CC" w:rsidR="00C6444C" w:rsidRPr="00347D6E" w:rsidRDefault="00C6444C">
                              <w:pPr>
                                <w:pStyle w:val="Calloutboxes"/>
                                <w:jc w:val="left"/>
                              </w:pPr>
                              <w:r>
                                <w:t>Intermodal Connectivity</w:t>
                              </w:r>
                            </w:p>
                          </w:tc>
                        </w:tr>
                        <w:tr w:rsidR="00C6444C" w14:paraId="1D3F2EF6" w14:textId="77777777" w:rsidTr="00020D20">
                          <w:trPr>
                            <w:trHeight w:val="346"/>
                          </w:trPr>
                          <w:tc>
                            <w:tcPr>
                              <w:tcW w:w="720" w:type="dxa"/>
                              <w:tcBorders>
                                <w:top w:val="single" w:sz="4" w:space="0" w:color="auto"/>
                                <w:bottom w:val="single" w:sz="4" w:space="0" w:color="auto"/>
                                <w:right w:val="single" w:sz="4" w:space="0" w:color="auto"/>
                              </w:tcBorders>
                              <w:vAlign w:val="center"/>
                            </w:tcPr>
                            <w:p w14:paraId="54BA011E" w14:textId="77777777" w:rsidR="00C6444C" w:rsidRDefault="00C6444C">
                              <w:pPr>
                                <w:pStyle w:val="Calloutboxes"/>
                              </w:pPr>
                              <w:r w:rsidRPr="00484631">
                                <w:rPr>
                                  <w:noProof/>
                                </w:rPr>
                                <w:drawing>
                                  <wp:inline distT="0" distB="0" distL="0" distR="0" wp14:anchorId="7F448341" wp14:editId="026C42FD">
                                    <wp:extent cx="88900" cy="88900"/>
                                    <wp:effectExtent l="0" t="0" r="6350" b="6350"/>
                                    <wp:docPr id="816286247" name="Picture 81628624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c>
                          <w:tc>
                            <w:tcPr>
                              <w:tcW w:w="3780" w:type="dxa"/>
                              <w:tcBorders>
                                <w:top w:val="single" w:sz="4" w:space="0" w:color="auto"/>
                                <w:left w:val="single" w:sz="4" w:space="0" w:color="auto"/>
                                <w:bottom w:val="single" w:sz="4" w:space="0" w:color="auto"/>
                              </w:tcBorders>
                              <w:vAlign w:val="center"/>
                            </w:tcPr>
                            <w:p w14:paraId="7EC9C2B2" w14:textId="32E21F93" w:rsidR="00C6444C" w:rsidRPr="00347D6E" w:rsidRDefault="00C6444C">
                              <w:pPr>
                                <w:pStyle w:val="Calloutboxes"/>
                                <w:jc w:val="left"/>
                              </w:pPr>
                              <w:r>
                                <w:t>Land Use (including consideration of noise impacts)</w:t>
                              </w:r>
                            </w:p>
                          </w:tc>
                        </w:tr>
                        <w:tr w:rsidR="00C6444C" w14:paraId="0238ADBB" w14:textId="77777777" w:rsidTr="00020D20">
                          <w:trPr>
                            <w:trHeight w:val="355"/>
                          </w:trPr>
                          <w:tc>
                            <w:tcPr>
                              <w:tcW w:w="720" w:type="dxa"/>
                              <w:tcBorders>
                                <w:top w:val="single" w:sz="4" w:space="0" w:color="auto"/>
                                <w:bottom w:val="single" w:sz="4" w:space="0" w:color="auto"/>
                                <w:right w:val="single" w:sz="4" w:space="0" w:color="auto"/>
                              </w:tcBorders>
                              <w:vAlign w:val="center"/>
                            </w:tcPr>
                            <w:p w14:paraId="1BF9566E" w14:textId="77777777" w:rsidR="00C6444C" w:rsidRDefault="00C6444C">
                              <w:pPr>
                                <w:pStyle w:val="Calloutboxes"/>
                              </w:pPr>
                              <w:r w:rsidRPr="00484631">
                                <w:rPr>
                                  <w:noProof/>
                                </w:rPr>
                                <w:drawing>
                                  <wp:inline distT="0" distB="0" distL="0" distR="0" wp14:anchorId="0E528675" wp14:editId="0EFCDFDF">
                                    <wp:extent cx="91440" cy="91440"/>
                                    <wp:effectExtent l="0" t="0" r="3810" b="3810"/>
                                    <wp:docPr id="816286250" name="Picture 81628625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left w:val="single" w:sz="4" w:space="0" w:color="auto"/>
                                <w:bottom w:val="single" w:sz="4" w:space="0" w:color="auto"/>
                              </w:tcBorders>
                              <w:vAlign w:val="center"/>
                            </w:tcPr>
                            <w:p w14:paraId="4775833E" w14:textId="3229BEA4" w:rsidR="00C6444C" w:rsidRPr="00347D6E" w:rsidRDefault="00C6444C">
                              <w:pPr>
                                <w:pStyle w:val="Calloutboxes"/>
                                <w:jc w:val="left"/>
                              </w:pPr>
                              <w:r>
                                <w:t>Air Quality</w:t>
                              </w:r>
                            </w:p>
                          </w:tc>
                        </w:tr>
                        <w:tr w:rsidR="00C6444C" w14:paraId="250F9E85" w14:textId="77777777" w:rsidTr="00020D20">
                          <w:trPr>
                            <w:trHeight w:val="346"/>
                          </w:trPr>
                          <w:tc>
                            <w:tcPr>
                              <w:tcW w:w="720" w:type="dxa"/>
                              <w:tcBorders>
                                <w:top w:val="single" w:sz="4" w:space="0" w:color="auto"/>
                                <w:bottom w:val="single" w:sz="4" w:space="0" w:color="auto"/>
                                <w:right w:val="single" w:sz="4" w:space="0" w:color="auto"/>
                              </w:tcBorders>
                              <w:vAlign w:val="center"/>
                            </w:tcPr>
                            <w:p w14:paraId="536D87FE" w14:textId="77777777" w:rsidR="00C6444C" w:rsidRDefault="00C6444C">
                              <w:pPr>
                                <w:pStyle w:val="Calloutboxes"/>
                              </w:pPr>
                              <w:r w:rsidRPr="00484631">
                                <w:rPr>
                                  <w:noProof/>
                                </w:rPr>
                                <w:drawing>
                                  <wp:inline distT="0" distB="0" distL="0" distR="0" wp14:anchorId="16251C52" wp14:editId="28BC3302">
                                    <wp:extent cx="91440" cy="91440"/>
                                    <wp:effectExtent l="0" t="0" r="3810" b="3810"/>
                                    <wp:docPr id="816286252" name="Picture 81628625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286008" descr="A close up of a logo&#10;&#10;Description generated with very high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p>
                          </w:tc>
                          <w:tc>
                            <w:tcPr>
                              <w:tcW w:w="3780" w:type="dxa"/>
                              <w:tcBorders>
                                <w:top w:val="single" w:sz="4" w:space="0" w:color="auto"/>
                                <w:left w:val="single" w:sz="4" w:space="0" w:color="auto"/>
                                <w:bottom w:val="single" w:sz="4" w:space="0" w:color="auto"/>
                              </w:tcBorders>
                              <w:vAlign w:val="center"/>
                            </w:tcPr>
                            <w:p w14:paraId="2C0709CC" w14:textId="29D93892" w:rsidR="00C6444C" w:rsidRPr="00347D6E" w:rsidRDefault="00C6444C">
                              <w:pPr>
                                <w:pStyle w:val="Calloutboxes"/>
                                <w:jc w:val="left"/>
                              </w:pPr>
                              <w:r>
                                <w:t>Homeland Security</w:t>
                              </w:r>
                            </w:p>
                          </w:tc>
                        </w:tr>
                      </w:tbl>
                      <w:p w14:paraId="33A69550" w14:textId="77777777" w:rsidR="00C6444C" w:rsidRPr="00347D6E" w:rsidRDefault="00C6444C" w:rsidP="00020D20"/>
                    </w:txbxContent>
                  </v:textbox>
                </v:shape>
                <v:group id="Group 816286059" o:spid="_x0000_s1248" style="position:absolute;top:-531;width:27711;height:3738" coordorigin="118,-785" coordsize="27724,5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">
                  <v:rect id="Rectangle 816286176" o:spid="_x0000_s1249" style="position:absolute;left:118;top:296;width:27724;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" fillcolor="#012768" strokecolor="#1f4d78 [1604]" strokeweight="1pt"/>
                  <v:shape id="Text Box 816286178" o:spid="_x0000_s1250" type="#_x0000_t202" style="position:absolute;left:118;top:-785;width:27724;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" filled="f" stroked="f" strokeweight=".5pt">
                    <v:textbox>
                      <w:txbxContent>
                        <w:p w14:paraId="2897FAF8" w14:textId="0D5BF19D" w:rsidR="00C6444C" w:rsidRPr="00020D20" w:rsidRDefault="00C6444C" w:rsidP="00020D20">
                          <w:pPr>
                            <w:jc w:val="center"/>
                            <w:rPr>
                              <w:color w:val="FFFFFF" w:themeColor="background1"/>
                              <w:sz w:val="22"/>
                            </w:rPr>
                          </w:pPr>
                          <w:r w:rsidRPr="00020D20">
                            <w:rPr>
                              <w:color w:val="FFFFFF" w:themeColor="background1"/>
                              <w:sz w:val="22"/>
                            </w:rPr>
                            <w:t>KEY DOCUMENTS</w:t>
                          </w:r>
                        </w:p>
                      </w:txbxContent>
                    </v:textbox>
                  </v:shape>
                </v:group>
                <w10:wrap type="square"/>
              </v:group>
            </w:pict>
          </mc:Fallback>
        </mc:AlternateContent>
      </w:r>
      <w:r w:rsidR="00FC7E02">
        <w:rPr>
          <w:rFonts w:cstheme="minorHAnsi"/>
          <w:noProof/>
        </w:rPr>
        <mc:AlternateContent>
          <mc:Choice Requires="wps">
            <w:drawing>
              <wp:anchor distT="0" distB="0" distL="114300" distR="114300" simplePos="0" relativeHeight="251618386" behindDoc="1" locked="0" layoutInCell="1" allowOverlap="1" wp14:anchorId="4031CF0B" wp14:editId="7BCDA5E8">
                <wp:simplePos x="0" y="0"/>
                <wp:positionH relativeFrom="column">
                  <wp:posOffset>7620</wp:posOffset>
                </wp:positionH>
                <wp:positionV relativeFrom="paragraph">
                  <wp:posOffset>170770</wp:posOffset>
                </wp:positionV>
                <wp:extent cx="1366520" cy="1366520"/>
                <wp:effectExtent l="95250" t="95250" r="100330" b="100330"/>
                <wp:wrapTight wrapText="bothSides">
                  <wp:wrapPolygon edited="0">
                    <wp:start x="-903" y="-1506"/>
                    <wp:lineTo x="-1506" y="-903"/>
                    <wp:lineTo x="-1204" y="22885"/>
                    <wp:lineTo x="22584" y="22885"/>
                    <wp:lineTo x="22885" y="3914"/>
                    <wp:lineTo x="22283" y="-602"/>
                    <wp:lineTo x="22283" y="-1506"/>
                    <wp:lineTo x="-903" y="-1506"/>
                  </wp:wrapPolygon>
                </wp:wrapTight>
                <wp:docPr id="219" name="Text Box 219"/>
                <wp:cNvGraphicFramePr/>
                <a:graphic xmlns:a="http://schemas.openxmlformats.org/drawingml/2006/main">
                  <a:graphicData uri="http://schemas.microsoft.com/office/word/2010/wordprocessingShape">
                    <wps:wsp>
                      <wps:cNvSpPr txBox="1"/>
                      <wps:spPr>
                        <a:xfrm>
                          <a:off x="0" y="0"/>
                          <a:ext cx="1366520" cy="136652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37404CD" w14:textId="77777777" w:rsidR="00C6444C" w:rsidRDefault="00C6444C" w:rsidP="00020D20">
                            <w:pPr>
                              <w:jc w:val="center"/>
                            </w:pPr>
                            <w:r>
                              <w:rPr>
                                <w:noProof/>
                              </w:rPr>
                              <w:drawing>
                                <wp:inline distT="0" distB="0" distL="0" distR="0" wp14:anchorId="642E2CF3" wp14:editId="68E7EC69">
                                  <wp:extent cx="457200" cy="457200"/>
                                  <wp:effectExtent l="0" t="0" r="0" b="0"/>
                                  <wp:docPr id="816286254" name="Picture 81628625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29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8F7B001" w14:textId="34E572CA" w:rsidR="00C6444C" w:rsidRPr="00954116" w:rsidRDefault="00C6444C" w:rsidP="00020D20">
                            <w:pPr>
                              <w:pStyle w:val="Calloutboxes"/>
                            </w:pPr>
                            <w:r w:rsidRPr="00394A74">
                              <w:t>The checklist below shows the four primary aviation elements MPOs and COGs need to take into account for planning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31CF0B" id="Text Box 219" o:spid="_x0000_s1251" type="#_x0000_t202" style="position:absolute;left:0;text-align:left;margin-left:.6pt;margin-top:13.45pt;width:107.6pt;height:107.6pt;z-index:-251698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" fillcolor="#f7f7f7" stroked="f" strokeweight=".5pt">
                <v:shadow on="t" type="perspective" color="black" opacity="26214f" offset="0,0" matrix="66847f,,,66847f"/>
                <v:textbox>
                  <w:txbxContent>
                    <w:p w14:paraId="137404CD" w14:textId="77777777" w:rsidR="00C6444C" w:rsidRDefault="00C6444C" w:rsidP="00020D20">
                      <w:pPr>
                        <w:jc w:val="center"/>
                      </w:pPr>
                      <w:r>
                        <w:rPr>
                          <w:noProof/>
                        </w:rPr>
                        <w:drawing>
                          <wp:inline distT="0" distB="0" distL="0" distR="0" wp14:anchorId="642E2CF3" wp14:editId="68E7EC69">
                            <wp:extent cx="457200" cy="457200"/>
                            <wp:effectExtent l="0" t="0" r="0" b="0"/>
                            <wp:docPr id="816286254" name="Picture 81628625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29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8F7B001" w14:textId="34E572CA" w:rsidR="00C6444C" w:rsidRPr="00954116" w:rsidRDefault="00C6444C" w:rsidP="00020D20">
                      <w:pPr>
                        <w:pStyle w:val="Calloutboxes"/>
                      </w:pPr>
                      <w:r w:rsidRPr="00394A74">
                        <w:t>The checklist below shows the four primary aviation elements MPOs and COGs need to take into account for planning activities.</w:t>
                      </w:r>
                    </w:p>
                  </w:txbxContent>
                </v:textbox>
                <w10:wrap type="tight"/>
              </v:shape>
            </w:pict>
          </mc:Fallback>
        </mc:AlternateContent>
      </w:r>
      <w:r w:rsidR="000F65F7" w:rsidRPr="000F65F7">
        <w:t>Section 16.4.3 above, “FAA Planning Process,” includes a discussion about Regional Aviation System Plans (RASPs) and other special planning studies. As noted, RASPs have been prepared in Arizona for the Phoenix metropolitan area and the Tucson metropolitan area, with extensive involvement by these areas’ respective MPOs, the MAG and PAG RASPs are prepared occasionally, on an as-needed basis, as advisory input to complement the ongoing SASP process. RASPs are not prepared or updated on a fixed, periodic basis.</w:t>
      </w:r>
      <w:r w:rsidR="00D31795" w:rsidRPr="00D31795">
        <w:rPr>
          <w:rFonts w:cstheme="minorHAnsi"/>
        </w:rPr>
        <w:t xml:space="preserve"> </w:t>
      </w:r>
    </w:p>
    <w:p w14:paraId="26EEB9F0" w14:textId="77777777" w:rsidR="000F65F7" w:rsidRPr="000F65F7" w:rsidRDefault="000F65F7" w:rsidP="00020D20">
      <w:pPr>
        <w:pStyle w:val="Heading2"/>
      </w:pPr>
      <w:bookmarkStart w:id="588" w:name="_Ref45022741"/>
      <w:r w:rsidRPr="000F65F7">
        <w:t>16.6 | REGIONAL PLANNING ISSUES</w:t>
      </w:r>
      <w:bookmarkEnd w:id="588"/>
    </w:p>
    <w:p w14:paraId="2F5FFEE9" w14:textId="43475B5B" w:rsidR="000F65F7" w:rsidRPr="000F65F7" w:rsidRDefault="000F65F7" w:rsidP="00020D20">
      <w:pPr>
        <w:jc w:val="both"/>
      </w:pPr>
      <w:r w:rsidRPr="000F65F7">
        <w:t>This section discusses the aviation activities MPOs and COGs need to take into account in their planning processes.</w:t>
      </w:r>
    </w:p>
    <w:p w14:paraId="10C2F881" w14:textId="076F7741" w:rsidR="000F65F7" w:rsidRPr="000F65F7" w:rsidRDefault="000F65F7" w:rsidP="00020D20">
      <w:pPr>
        <w:pStyle w:val="Heading3"/>
        <w:jc w:val="both"/>
        <w:rPr>
          <w:rFonts w:cstheme="minorHAnsi"/>
          <w:szCs w:val="20"/>
        </w:rPr>
      </w:pPr>
      <w:bookmarkStart w:id="589" w:name="_Ref50040814"/>
      <w:r w:rsidRPr="000F65F7">
        <w:rPr>
          <w:rFonts w:cstheme="minorHAnsi"/>
          <w:szCs w:val="20"/>
        </w:rPr>
        <w:t>16.6.1 | Intermodal Connectivity</w:t>
      </w:r>
      <w:bookmarkEnd w:id="589"/>
    </w:p>
    <w:p w14:paraId="7DA6290A" w14:textId="2E8EFAF0" w:rsidR="000F65F7" w:rsidRPr="000F65F7" w:rsidRDefault="000F65F7" w:rsidP="00020D20">
      <w:pPr>
        <w:jc w:val="both"/>
      </w:pPr>
      <w:r w:rsidRPr="000F65F7">
        <w:t xml:space="preserve">Federal laws and regulation pertaining to metropolitan transportation planning stress the need for surface transportation facilities (roads and transit services) to accommodate movement of people and goods by other transportation modes, which includes air transportation. For example, </w:t>
      </w:r>
      <w:hyperlink r:id="rId975" w:history="1">
        <w:r w:rsidRPr="00020D20">
          <w:rPr>
            <w:rStyle w:val="TitleChar"/>
          </w:rPr>
          <w:t xml:space="preserve">23 </w:t>
        </w:r>
        <w:r w:rsidR="009628C0">
          <w:rPr>
            <w:rStyle w:val="TitleChar"/>
          </w:rPr>
          <w:t xml:space="preserve">C.F.R. </w:t>
        </w:r>
        <w:r w:rsidRPr="00020D20">
          <w:rPr>
            <w:rStyle w:val="TitleChar"/>
          </w:rPr>
          <w:t>§</w:t>
        </w:r>
        <w:r w:rsidR="008216A0">
          <w:rPr>
            <w:rStyle w:val="TitleChar"/>
          </w:rPr>
          <w:t xml:space="preserve"> </w:t>
        </w:r>
        <w:r w:rsidRPr="00020D20">
          <w:rPr>
            <w:rStyle w:val="TitleChar"/>
          </w:rPr>
          <w:t>450.306(a)</w:t>
        </w:r>
      </w:hyperlink>
      <w:r w:rsidRPr="000F65F7">
        <w:t>, which describes the scope</w:t>
      </w:r>
      <w:r>
        <w:t xml:space="preserve"> </w:t>
      </w:r>
      <w:r w:rsidRPr="000F65F7">
        <w:t xml:space="preserve">of the metropolitan planning process, states, “The metropolitan transportation planning process shall be continuous, cooperative, and comprehensive, and provide for consideration and implementation of projects, strategies, and services that will address the following factors: … (6) Enhance the integration and connectivity of the transportation system, across and between modes, for people and freight.” Therefore, it is important for regional transportation plans to provide adequate capacity and access to serve airport facilities. </w:t>
      </w:r>
    </w:p>
    <w:p w14:paraId="6A815639" w14:textId="77777777" w:rsidR="000F65F7" w:rsidRPr="000F65F7" w:rsidRDefault="000F65F7" w:rsidP="00020D20">
      <w:pPr>
        <w:pStyle w:val="Heading3"/>
        <w:jc w:val="both"/>
        <w:rPr>
          <w:rFonts w:cstheme="minorHAnsi"/>
          <w:szCs w:val="20"/>
        </w:rPr>
      </w:pPr>
      <w:bookmarkStart w:id="590" w:name="_Ref50040817"/>
      <w:r w:rsidRPr="000F65F7">
        <w:rPr>
          <w:rFonts w:cstheme="minorHAnsi"/>
          <w:szCs w:val="20"/>
        </w:rPr>
        <w:t>16.6.2 | Land Use</w:t>
      </w:r>
      <w:bookmarkEnd w:id="590"/>
    </w:p>
    <w:p w14:paraId="7ED5B0A1" w14:textId="77777777" w:rsidR="000F65F7" w:rsidRPr="000F65F7" w:rsidRDefault="000F65F7" w:rsidP="00020D20">
      <w:pPr>
        <w:jc w:val="both"/>
      </w:pPr>
      <w:r w:rsidRPr="000F65F7">
        <w:t>MPOs do not mandate land use types or zoning, which is the responsibility of cities, towns, or counties (in unincorporated areas). Land uses and zoning influence the amount of population and employment that exists or is planned in a given area, which in turn affects transportation needs. Airport operations result in noise impacts that may be incompatible with certain land use types. Another aviation consideration that affects land use outside of airport property boundaries is the need to have airspace that is clear of obstructions where aircraft take off and land. Maps depicting areas with aircraft-related noise and crash potential are available as discussed below.</w:t>
      </w:r>
    </w:p>
    <w:p w14:paraId="66E60E37" w14:textId="77777777" w:rsidR="000F65F7" w:rsidRPr="000F65F7" w:rsidRDefault="000F65F7" w:rsidP="00020D20">
      <w:pPr>
        <w:jc w:val="both"/>
      </w:pPr>
      <w:r w:rsidRPr="000F65F7">
        <w:t>For the benefit of those who would consider purchasing property in the vicinity of an airport, Arizona law directs the Arizona Department of Real Estate to make available maps of the areas that are considered to be affected by aviation-related noise. As of January 2013, the department’s website offers maps of 54 public airports. Similar requirements apply to land affected by military aviation activities. These are discussed below in Section 16.7, “Military Airports.”</w:t>
      </w:r>
    </w:p>
    <w:p w14:paraId="22BC4C64" w14:textId="4A4EEF4D" w:rsidR="000F65F7" w:rsidRPr="000F65F7" w:rsidRDefault="00202C92" w:rsidP="00020D20">
      <w:pPr>
        <w:jc w:val="both"/>
      </w:pPr>
      <w:hyperlink r:id="rId976" w:history="1">
        <w:r w:rsidR="000F65F7" w:rsidRPr="00933185">
          <w:rPr>
            <w:rStyle w:val="TitleChar"/>
          </w:rPr>
          <w:t>A.R.S. § 28-8486</w:t>
        </w:r>
      </w:hyperlink>
      <w:r w:rsidR="000F65F7" w:rsidRPr="000F65F7">
        <w:t xml:space="preserve"> states that “territory in the vicinity of a public airport” means property that is within the traffic pattern airspace as defined by the FAA and includes property that experiences a day-night average sound level as follows:</w:t>
      </w:r>
    </w:p>
    <w:p w14:paraId="2CCB6E33" w14:textId="207BA8EC" w:rsidR="000F65F7" w:rsidRPr="000F65F7" w:rsidRDefault="000F65F7" w:rsidP="00020D20">
      <w:pPr>
        <w:pStyle w:val="Body-Bullets"/>
        <w:jc w:val="both"/>
      </w:pPr>
      <w:r w:rsidRPr="000F65F7">
        <w:t xml:space="preserve">In counties with a population of more than five hundred thousand persons, sixty decibels or higher at airports where such an average sound level has been identified in either the airport master plan for the </w:t>
      </w:r>
      <w:r w:rsidR="000B6707" w:rsidRPr="000F65F7">
        <w:t>twenty-year</w:t>
      </w:r>
      <w:r w:rsidRPr="000F65F7">
        <w:t xml:space="preserve"> planning period or in a noise study prepared in accordance with airport noise compatibility planning, 14 Code of Federal Regulations part 150.</w:t>
      </w:r>
    </w:p>
    <w:p w14:paraId="134F5426" w14:textId="430C1B3C" w:rsidR="000F65F7" w:rsidRPr="000F65F7" w:rsidRDefault="000F65F7" w:rsidP="00020D20">
      <w:pPr>
        <w:pStyle w:val="Body-Bullets"/>
        <w:jc w:val="both"/>
      </w:pPr>
      <w:r w:rsidRPr="000F65F7">
        <w:t xml:space="preserve">In counties with a population of five hundred thousand persons or less, sixty-five decibels or higher at airports where such an average sound level has been identified in the airport master plan for the </w:t>
      </w:r>
      <w:r w:rsidR="000B6707" w:rsidRPr="000F65F7">
        <w:t>twenty-year</w:t>
      </w:r>
      <w:r w:rsidRPr="000F65F7">
        <w:t xml:space="preserve"> planning period.</w:t>
      </w:r>
    </w:p>
    <w:p w14:paraId="655C036E" w14:textId="77777777" w:rsidR="000F65F7" w:rsidRPr="000F65F7" w:rsidRDefault="000F65F7" w:rsidP="00020D20">
      <w:pPr>
        <w:pStyle w:val="Heading3"/>
        <w:jc w:val="both"/>
        <w:rPr>
          <w:rFonts w:cstheme="minorHAnsi"/>
          <w:szCs w:val="20"/>
        </w:rPr>
      </w:pPr>
      <w:bookmarkStart w:id="591" w:name="_Ref50040821"/>
      <w:r w:rsidRPr="000F65F7">
        <w:rPr>
          <w:rFonts w:cstheme="minorHAnsi"/>
          <w:szCs w:val="20"/>
        </w:rPr>
        <w:t>16.6.3 | Air Quality</w:t>
      </w:r>
      <w:bookmarkEnd w:id="591"/>
    </w:p>
    <w:p w14:paraId="2EDE0290" w14:textId="77777777" w:rsidR="000F65F7" w:rsidRPr="000F65F7" w:rsidRDefault="000F65F7" w:rsidP="00020D20">
      <w:pPr>
        <w:jc w:val="both"/>
      </w:pPr>
      <w:r w:rsidRPr="000F65F7">
        <w:t>Airports generate amounts of air pollution that can affect regional air quality. Air pollutants generated by aviation are taken into account in emission inventories that are used in preparation of regional air quality plans. For example, the Maricopa County 2005 Periodic Ozone Emission Inventory estimated that more than 1,600 tons of ozone-causing volatile organic compounds (VOC) are emitted annually by the use of aircraft, airport ground support equipment, and aircraft-related solvents. Slightly more than 12,500 tons of carbon monoxide (CO) was emitted from aircraft and airport ground equipment. Dividing by 365 days per year yields average daily emissions of about four tons of VOC and over 34 tons of CO per day in this region. About half of these airport-related emissions were generated at the two largest sources, Phoenix Sky Harbor International and Luke Air Force Base, with the remaining half coming from 12 other airports in the county. Although these emissions contributed only 1 percent or less of the respective total emissions from all sources</w:t>
      </w:r>
      <w:r>
        <w:t xml:space="preserve"> </w:t>
      </w:r>
      <w:r w:rsidRPr="000F65F7">
        <w:t>in the region, nevertheless they must be taken into account in air quality plans. Other areas in Arizona have less population, less aviation activity, and less air pollution.</w:t>
      </w:r>
    </w:p>
    <w:p w14:paraId="16151FB0" w14:textId="77777777" w:rsidR="000F65F7" w:rsidRPr="000F65F7" w:rsidRDefault="000F65F7" w:rsidP="00020D20">
      <w:pPr>
        <w:pStyle w:val="Heading3"/>
        <w:jc w:val="both"/>
        <w:rPr>
          <w:rFonts w:cstheme="minorHAnsi"/>
          <w:szCs w:val="20"/>
        </w:rPr>
      </w:pPr>
      <w:bookmarkStart w:id="592" w:name="_Ref50040825"/>
      <w:r w:rsidRPr="000F65F7">
        <w:rPr>
          <w:rFonts w:cstheme="minorHAnsi"/>
          <w:szCs w:val="20"/>
        </w:rPr>
        <w:t>16.6.4 | Homeland Security</w:t>
      </w:r>
      <w:bookmarkEnd w:id="592"/>
    </w:p>
    <w:p w14:paraId="436D6074" w14:textId="77777777" w:rsidR="000F65F7" w:rsidRPr="000F65F7" w:rsidRDefault="000F65F7" w:rsidP="00020D20">
      <w:pPr>
        <w:jc w:val="both"/>
      </w:pPr>
      <w:r w:rsidRPr="000F65F7">
        <w:t>Because major airports contribute to our nation’s economic vitality, they are one of many types of public and private infrastructure that could potentially be targeted for disruption or destruction by terrorists. “Transportation Systems,” encompassing all transportation modes including airports, is 1 of the 18 Critical Infrastructure and Key Resources (CIKR) sectors that are addressed in America’s National Infrastructure Protection Plan (NIPP), maintained by the U.S. Department of Homeland Security (DHS). DHS partners directly with USDOT to identify transportation-related infrastructure protection needs.</w:t>
      </w:r>
    </w:p>
    <w:p w14:paraId="26CA6B10" w14:textId="59D94433" w:rsidR="000D156C" w:rsidRDefault="000F65F7" w:rsidP="00020D20">
      <w:pPr>
        <w:jc w:val="both"/>
      </w:pPr>
      <w:r w:rsidRPr="000F65F7">
        <w:t>Security is a performance measure relevant to identification of airport improvement needs in the SASP. Most infrastructure protection projects occur within airport boundaries and can be addressed within the framework of AMPs or related processes. Accordingly, MPOs and COGs ordinarily have little or no involvement in planning infrastructure protection improvements for airports. However, they may be invited to participate with federal agencies in various homeland security planning efforts from time to time, as needed.</w:t>
      </w:r>
    </w:p>
    <w:p w14:paraId="32BDFA18" w14:textId="77777777" w:rsidR="00FF51A4" w:rsidRDefault="00FF51A4" w:rsidP="00020D20">
      <w:pPr>
        <w:jc w:val="both"/>
        <w:rPr>
          <w:rFonts w:cstheme="minorHAnsi"/>
        </w:rPr>
        <w:sectPr w:rsidR="00FF51A4" w:rsidSect="00020D20">
          <w:type w:val="continuous"/>
          <w:pgSz w:w="12240" w:h="15840"/>
          <w:pgMar w:top="1440" w:right="1440" w:bottom="1440" w:left="1440" w:header="720" w:footer="720" w:gutter="0"/>
          <w:pgNumType w:chapStyle="1"/>
          <w:cols w:num="2" w:space="720"/>
          <w:docGrid w:linePitch="360"/>
        </w:sectPr>
      </w:pPr>
    </w:p>
    <w:p w14:paraId="5998BDCB" w14:textId="4D3CDB82" w:rsidR="00FF51A4" w:rsidRDefault="00FF51A4" w:rsidP="00020D20">
      <w:pPr>
        <w:jc w:val="both"/>
        <w:rPr>
          <w:rFonts w:cstheme="minorHAnsi"/>
        </w:rPr>
        <w:sectPr w:rsidR="00FF51A4" w:rsidSect="008E695B">
          <w:type w:val="continuous"/>
          <w:pgSz w:w="12240" w:h="15840"/>
          <w:pgMar w:top="1440" w:right="1440" w:bottom="1440" w:left="1440" w:header="720" w:footer="720" w:gutter="0"/>
          <w:cols w:space="720"/>
          <w:docGrid w:linePitch="360"/>
        </w:sectPr>
      </w:pPr>
    </w:p>
    <w:p w14:paraId="1C455522" w14:textId="2ADFB55F" w:rsidR="00D45347" w:rsidRDefault="00380040" w:rsidP="00020D20">
      <w:pPr>
        <w:pStyle w:val="BodyTextTitle"/>
        <w:spacing w:before="0" w:after="0" w:line="240" w:lineRule="auto"/>
        <w:jc w:val="both"/>
      </w:pPr>
      <w:r>
        <w:t>17</w:t>
      </w:r>
      <w:r w:rsidR="00D45347">
        <w:t xml:space="preserve"> </w:t>
      </w:r>
      <w:r>
        <w:t xml:space="preserve">| </w:t>
      </w:r>
      <w:r w:rsidR="00D45347">
        <w:t>SUPPORTING PROGRAMS</w:t>
      </w:r>
    </w:p>
    <w:p w14:paraId="1056B8E8" w14:textId="3DC3D168" w:rsidR="00380040" w:rsidRPr="00020D20" w:rsidRDefault="00380040" w:rsidP="00020D20">
      <w:pPr>
        <w:pStyle w:val="BodyTextTitle"/>
        <w:spacing w:before="0" w:line="240" w:lineRule="auto"/>
        <w:jc w:val="both"/>
        <w:rPr>
          <w:sz w:val="36"/>
        </w:rPr>
      </w:pPr>
      <w:r w:rsidRPr="00020D20">
        <w:rPr>
          <w:sz w:val="36"/>
        </w:rPr>
        <w:t>TABLE OF CONTENTS</w:t>
      </w:r>
    </w:p>
    <w:p w14:paraId="7C2BC748" w14:textId="559D8B81" w:rsidR="00E52490" w:rsidRDefault="00E52490"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_Ref50041963 \h </w:instrText>
      </w:r>
      <w:r w:rsidR="002D38FC">
        <w:instrText xml:space="preserve"> \* MERGEFORMAT </w:instrText>
      </w:r>
      <w:r>
        <w:fldChar w:fldCharType="separate"/>
      </w:r>
      <w:r>
        <w:t>17.1| AIR QUALITY (TABLE OF CONTENTS)</w:t>
      </w:r>
      <w:r>
        <w:fldChar w:fldCharType="end"/>
      </w:r>
    </w:p>
    <w:p w14:paraId="3D40AE9B" w14:textId="17FDA983" w:rsidR="00E52490" w:rsidRDefault="0042637D"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_Ref50042765 \h </w:instrText>
      </w:r>
      <w:r w:rsidR="002D38FC">
        <w:instrText xml:space="preserve"> \* MERGEFORMAT </w:instrText>
      </w:r>
      <w:r>
        <w:fldChar w:fldCharType="separate"/>
      </w:r>
      <w:r>
        <w:t>17.2| CONGESTION MANAGEMENT PROCESS (TABLE OF CONTENTS)</w:t>
      </w:r>
      <w:r>
        <w:fldChar w:fldCharType="end"/>
      </w:r>
    </w:p>
    <w:p w14:paraId="464FD676" w14:textId="795CC24E" w:rsidR="0042637D" w:rsidRDefault="00426BFA"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_Ref50047282 \h </w:instrText>
      </w:r>
      <w:r w:rsidR="002D38FC">
        <w:instrText xml:space="preserve"> \* MERGEFORMAT </w:instrText>
      </w:r>
      <w:r>
        <w:fldChar w:fldCharType="separate"/>
      </w:r>
      <w:r>
        <w:t>17.3| TRANSPORTATION DATA &amp; FUNCTIONAL CLASS (TABLE OF CONTENTS)</w:t>
      </w:r>
      <w:r>
        <w:fldChar w:fldCharType="end"/>
      </w:r>
    </w:p>
    <w:p w14:paraId="76ACE370" w14:textId="7697219E" w:rsidR="00426BFA" w:rsidRDefault="00D31A0C"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_Ref50048542 \h </w:instrText>
      </w:r>
      <w:r w:rsidR="002D38FC">
        <w:instrText xml:space="preserve"> \* MERGEFORMAT </w:instrText>
      </w:r>
      <w:r>
        <w:fldChar w:fldCharType="separate"/>
      </w:r>
      <w:r>
        <w:t>17.4| TECHNOLOGY APPLICATIONS FOR PLANNING: MODELING AND GIS (TABLE OF CONTENTS)</w:t>
      </w:r>
      <w:r>
        <w:fldChar w:fldCharType="end"/>
      </w:r>
    </w:p>
    <w:p w14:paraId="4CC55C55" w14:textId="1EF1B132"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_Ref50048548 \h </w:instrText>
      </w:r>
      <w:r w:rsidR="002D38FC">
        <w:instrText xml:space="preserve"> \* MERGEFORMAT </w:instrText>
      </w:r>
      <w:r>
        <w:fldChar w:fldCharType="separate"/>
      </w:r>
      <w:r>
        <w:t>17.5| SAFETY (TABLE OF CONTENTS)</w:t>
      </w:r>
      <w:r>
        <w:fldChar w:fldCharType="end"/>
      </w:r>
    </w:p>
    <w:p w14:paraId="6C16696C" w14:textId="39279C50" w:rsidR="00D72607" w:rsidRDefault="00757A7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_Ref50049756 \h </w:instrText>
      </w:r>
      <w:r w:rsidR="002D38FC">
        <w:instrText xml:space="preserve"> \* MERGEFORMAT </w:instrText>
      </w:r>
      <w:r>
        <w:fldChar w:fldCharType="separate"/>
      </w:r>
      <w:r>
        <w:t>17.6| TRIBAL PLANNING (TABLE OF CONTENTS)</w:t>
      </w:r>
      <w:r>
        <w:fldChar w:fldCharType="end"/>
      </w:r>
    </w:p>
    <w:p w14:paraId="3E448EF9" w14:textId="3FA4780A" w:rsidR="00D31A0C" w:rsidRDefault="00D726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_Ref50049599 \h </w:instrText>
      </w:r>
      <w:r w:rsidR="002D38FC">
        <w:instrText xml:space="preserve"> \* MERGEFORMAT </w:instrText>
      </w:r>
      <w:r>
        <w:fldChar w:fldCharType="separate"/>
      </w:r>
      <w:r>
        <w:t>17.7| BORDER PLANNING (TABLE OF CONTENTS)</w:t>
      </w:r>
      <w:r>
        <w:fldChar w:fldCharType="end"/>
      </w:r>
    </w:p>
    <w:p w14:paraId="18CE1B8A" w14:textId="239DDC58" w:rsidR="00D72607" w:rsidRDefault="00757A76"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_Ref50049812 \h </w:instrText>
      </w:r>
      <w:r w:rsidR="002D38FC">
        <w:instrText xml:space="preserve"> \* MERGEFORMAT </w:instrText>
      </w:r>
      <w:r>
        <w:fldChar w:fldCharType="separate"/>
      </w:r>
      <w:r>
        <w:t>17.8| PUBLIC PRIVATE PARTNERSHIPS (TABLE OF CONTENTS)</w:t>
      </w:r>
      <w:r>
        <w:fldChar w:fldCharType="end"/>
      </w:r>
    </w:p>
    <w:p w14:paraId="70794057" w14:textId="74D3D4B5" w:rsidR="00D72607" w:rsidRDefault="00D726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_Ref50049612 \h </w:instrText>
      </w:r>
      <w:r w:rsidR="002D38FC">
        <w:instrText xml:space="preserve"> \* MERGEFORMAT </w:instrText>
      </w:r>
      <w:r>
        <w:fldChar w:fldCharType="separate"/>
      </w:r>
      <w:r>
        <w:t>17.9| PLANNING &amp; ENVIRONMENTAL LINKAGES (TABLE OF CONTENTS)</w:t>
      </w:r>
      <w:r>
        <w:fldChar w:fldCharType="end"/>
      </w:r>
      <w:r>
        <w:fldChar w:fldCharType="begin"/>
      </w:r>
      <w:r>
        <w:instrText xml:space="preserve"> REF _Ref50049612 \h </w:instrText>
      </w:r>
      <w:r w:rsidR="002D38FC">
        <w:instrText xml:space="preserve"> \* MERGEFORMAT </w:instrText>
      </w:r>
      <w:r>
        <w:fldChar w:fldCharType="end"/>
      </w:r>
    </w:p>
    <w:p w14:paraId="1BC5483D" w14:textId="7D9421DB" w:rsidR="00D72607" w:rsidRDefault="00D726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_Ref50049625 \h </w:instrText>
      </w:r>
      <w:r w:rsidR="002D38FC">
        <w:instrText xml:space="preserve"> \* MERGEFORMAT </w:instrText>
      </w:r>
      <w:r>
        <w:fldChar w:fldCharType="separate"/>
      </w:r>
      <w:r>
        <w:t>17.10| STATE LAND DEPARTMENT PLANNING (TABLE OF CONTENTS)</w:t>
      </w:r>
      <w:r>
        <w:fldChar w:fldCharType="end"/>
      </w:r>
    </w:p>
    <w:p w14:paraId="1CF5D4FB" w14:textId="36E3C35F" w:rsidR="00D72607" w:rsidRDefault="00D726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_Ref50049630 \h </w:instrText>
      </w:r>
      <w:r w:rsidR="002D38FC">
        <w:instrText xml:space="preserve"> \* MERGEFORMAT </w:instrText>
      </w:r>
      <w:r>
        <w:fldChar w:fldCharType="separate"/>
      </w:r>
      <w:r>
        <w:t>17.11| SUSTAINABILITY (TABLE OF CONTENTS)</w:t>
      </w:r>
      <w:r>
        <w:fldChar w:fldCharType="end"/>
      </w:r>
    </w:p>
    <w:p w14:paraId="20E3CD11" w14:textId="5ACAF43E" w:rsidR="00D72607" w:rsidRDefault="00D72607" w:rsidP="00020D20">
      <w:pPr>
        <w:tabs>
          <w:tab w:val="clear" w:pos="180"/>
          <w:tab w:val="clear" w:pos="360"/>
          <w:tab w:val="clear" w:pos="540"/>
          <w:tab w:val="clear" w:pos="720"/>
        </w:tabs>
        <w:suppressAutoHyphens w:val="0"/>
        <w:autoSpaceDE/>
        <w:autoSpaceDN/>
        <w:adjustRightInd/>
        <w:spacing w:before="0" w:after="40" w:line="240" w:lineRule="auto"/>
        <w:jc w:val="both"/>
        <w:textAlignment w:val="auto"/>
      </w:pPr>
      <w:r>
        <w:fldChar w:fldCharType="begin"/>
      </w:r>
      <w:r>
        <w:instrText xml:space="preserve"> REF _Ref50049659 \h </w:instrText>
      </w:r>
      <w:r w:rsidR="002D38FC">
        <w:instrText xml:space="preserve"> \* MERGEFORMAT </w:instrText>
      </w:r>
      <w:r>
        <w:fldChar w:fldCharType="separate"/>
      </w:r>
      <w:r>
        <w:t>17.12| BICYCLE &amp; PEDESTRIAN PLANNING (TABLE OF CONTENTS)</w:t>
      </w:r>
      <w:r>
        <w:fldChar w:fldCharType="end"/>
      </w:r>
    </w:p>
    <w:p w14:paraId="016F4FA9" w14:textId="77777777" w:rsidR="00BB09EC" w:rsidRDefault="0038004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BB09EC" w:rsidSect="00C22B37">
          <w:footerReference w:type="default" r:id="rId977"/>
          <w:pgSz w:w="12240" w:h="15840"/>
          <w:pgMar w:top="1440" w:right="1440" w:bottom="1440" w:left="1440" w:header="720" w:footer="720" w:gutter="0"/>
          <w:pgNumType w:start="1" w:chapStyle="1"/>
          <w:cols w:space="720"/>
          <w:docGrid w:linePitch="360"/>
        </w:sectPr>
      </w:pPr>
      <w:r>
        <w:br w:type="page"/>
      </w:r>
    </w:p>
    <w:p w14:paraId="7CFC1C4D" w14:textId="67A86151" w:rsidR="000D156C" w:rsidRPr="004D5079" w:rsidRDefault="00C95B0B" w:rsidP="00020D20">
      <w:pPr>
        <w:pStyle w:val="Heading1"/>
        <w:tabs>
          <w:tab w:val="left" w:pos="360"/>
        </w:tabs>
        <w:jc w:val="both"/>
      </w:pPr>
      <w:bookmarkStart w:id="593" w:name="_|_Supporting_Programs"/>
      <w:bookmarkStart w:id="594" w:name="_Toc49862244"/>
      <w:bookmarkStart w:id="595" w:name="_Toc49870638"/>
      <w:bookmarkStart w:id="596" w:name="_Toc50540244"/>
      <w:bookmarkEnd w:id="593"/>
      <w:r w:rsidRPr="004D5079">
        <w:t xml:space="preserve">| </w:t>
      </w:r>
      <w:r w:rsidR="000D156C" w:rsidRPr="004D5079">
        <w:t>Supporting Programs</w:t>
      </w:r>
      <w:bookmarkEnd w:id="594"/>
      <w:bookmarkEnd w:id="595"/>
      <w:bookmarkEnd w:id="596"/>
    </w:p>
    <w:p w14:paraId="47A703D6" w14:textId="77777777" w:rsidR="00FF51A4" w:rsidRDefault="00FF51A4" w:rsidP="00020D20">
      <w:pPr>
        <w:jc w:val="both"/>
        <w:rPr>
          <w:rFonts w:cstheme="minorHAnsi"/>
        </w:rPr>
        <w:sectPr w:rsidR="00FF51A4" w:rsidSect="00020D20">
          <w:footerReference w:type="default" r:id="rId978"/>
          <w:type w:val="continuous"/>
          <w:pgSz w:w="12240" w:h="15840"/>
          <w:pgMar w:top="1440" w:right="1440" w:bottom="1440" w:left="1440" w:header="720" w:footer="720" w:gutter="0"/>
          <w:pgNumType w:start="1" w:chapStyle="1"/>
          <w:cols w:space="720"/>
          <w:docGrid w:linePitch="360"/>
        </w:sectPr>
      </w:pPr>
    </w:p>
    <w:p w14:paraId="3EC9B714" w14:textId="630EBE4A" w:rsidR="000D156C" w:rsidRPr="000D156C" w:rsidRDefault="000D156C" w:rsidP="00020D20">
      <w:pPr>
        <w:pStyle w:val="Heading2"/>
      </w:pPr>
      <w:r w:rsidRPr="000D156C">
        <w:t>17 | PURPOSE</w:t>
      </w:r>
    </w:p>
    <w:p w14:paraId="6561FA48" w14:textId="0EDF4B0F" w:rsidR="0092064C" w:rsidRDefault="000D156C" w:rsidP="0092064C">
      <w:pPr>
        <w:jc w:val="both"/>
        <w:rPr>
          <w:rFonts w:cstheme="minorHAnsi"/>
        </w:rPr>
      </w:pPr>
      <w:r w:rsidRPr="000D156C">
        <w:rPr>
          <w:rFonts w:cstheme="minorHAnsi"/>
        </w:rPr>
        <w:t>Chapter 17 is a compilation of supporting programs that are introduced in other chapters of this document.</w:t>
      </w:r>
      <w:bookmarkStart w:id="597" w:name="_Ref50041865"/>
      <w:bookmarkStart w:id="598" w:name="_Ref50041963"/>
      <w:bookmarkStart w:id="599" w:name="_Toc49862245"/>
      <w:bookmarkStart w:id="600" w:name="_Toc49870639"/>
      <w:r w:rsidR="0092064C">
        <w:rPr>
          <w:rFonts w:cstheme="minorHAnsi"/>
        </w:rPr>
        <w:br w:type="page"/>
      </w:r>
    </w:p>
    <w:p w14:paraId="1FB0CD42" w14:textId="74CC86F2" w:rsidR="003C2DDF" w:rsidRDefault="001C6698" w:rsidP="0092064C">
      <w:pPr>
        <w:pStyle w:val="BodyTextTitle"/>
      </w:pPr>
      <w:r>
        <w:t>17.1</w:t>
      </w:r>
      <w:r w:rsidR="0094140C">
        <w:t xml:space="preserve"> </w:t>
      </w:r>
      <w:r>
        <w:t xml:space="preserve">| AIR QUALITY </w:t>
      </w:r>
    </w:p>
    <w:p w14:paraId="75EE6AE6" w14:textId="08D8AD0D" w:rsidR="001C6698" w:rsidRPr="00020D20" w:rsidRDefault="001C6698" w:rsidP="00020D20">
      <w:pPr>
        <w:pStyle w:val="BodyTextTitle"/>
        <w:spacing w:before="0" w:line="240" w:lineRule="auto"/>
        <w:jc w:val="both"/>
        <w:rPr>
          <w:sz w:val="36"/>
        </w:rPr>
      </w:pPr>
      <w:r w:rsidRPr="00020D20">
        <w:rPr>
          <w:sz w:val="36"/>
        </w:rPr>
        <w:t>TABLE OF CONTENTS</w:t>
      </w:r>
      <w:bookmarkEnd w:id="597"/>
      <w:bookmarkEnd w:id="598"/>
    </w:p>
    <w:p w14:paraId="6C1E365A" w14:textId="3708DB78" w:rsidR="001C6698" w:rsidRDefault="00E524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_Ref50042006 \h </w:instrText>
      </w:r>
      <w:r w:rsidR="002D38FC">
        <w:instrText xml:space="preserve"> \* MERGEFORMAT </w:instrText>
      </w:r>
      <w:r>
        <w:fldChar w:fldCharType="separate"/>
      </w:r>
      <w:r w:rsidR="00FC3D54">
        <w:t xml:space="preserve">17.1.1 | </w:t>
      </w:r>
      <w:r w:rsidRPr="009D7DE0">
        <w:t>Purpose</w:t>
      </w:r>
      <w:r>
        <w:fldChar w:fldCharType="end"/>
      </w:r>
    </w:p>
    <w:p w14:paraId="0A56AEBD" w14:textId="69D8687A" w:rsidR="00E52490" w:rsidRDefault="00E524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_Ref50042017 \h </w:instrText>
      </w:r>
      <w:r w:rsidR="002D38FC">
        <w:instrText xml:space="preserve"> \* MERGEFORMAT </w:instrText>
      </w:r>
      <w:r>
        <w:fldChar w:fldCharType="separate"/>
      </w:r>
      <w:r w:rsidR="00FC3D54">
        <w:t xml:space="preserve">17.1.2 | </w:t>
      </w:r>
      <w:r w:rsidRPr="009D7DE0">
        <w:t>Transportation Conformity</w:t>
      </w:r>
      <w:r>
        <w:fldChar w:fldCharType="end"/>
      </w:r>
    </w:p>
    <w:p w14:paraId="574CD099" w14:textId="2E2D0104" w:rsidR="00E52490" w:rsidRDefault="00CE4BB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_Ref50042265 \h </w:instrText>
      </w:r>
      <w:r w:rsidR="002D38FC">
        <w:instrText xml:space="preserve"> \* MERGEFORMAT </w:instrText>
      </w:r>
      <w:r>
        <w:fldChar w:fldCharType="separate"/>
      </w:r>
      <w:r w:rsidRPr="009D7DE0">
        <w:t>State Implementation Plan</w:t>
      </w:r>
      <w:r>
        <w:fldChar w:fldCharType="end"/>
      </w:r>
    </w:p>
    <w:p w14:paraId="2BD8C5E8" w14:textId="0F8CB120" w:rsidR="00E52490" w:rsidRDefault="00E52490"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_Ref50042022 \h </w:instrText>
      </w:r>
      <w:r w:rsidR="002D38FC">
        <w:instrText xml:space="preserve"> \* MERGEFORMAT </w:instrText>
      </w:r>
      <w:r>
        <w:fldChar w:fldCharType="separate"/>
      </w:r>
      <w:r w:rsidR="00FC3D54">
        <w:t xml:space="preserve">17.1.3 | </w:t>
      </w:r>
      <w:r w:rsidRPr="009D7DE0">
        <w:t>Conformity Process</w:t>
      </w:r>
      <w:r>
        <w:fldChar w:fldCharType="end"/>
      </w:r>
    </w:p>
    <w:p w14:paraId="521E5F30" w14:textId="2373D4B8" w:rsidR="00E52490" w:rsidRDefault="00CE4BB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_Ref50042271 \h </w:instrText>
      </w:r>
      <w:r w:rsidR="002D38FC">
        <w:instrText xml:space="preserve"> \* MERGEFORMAT </w:instrText>
      </w:r>
      <w:r>
        <w:fldChar w:fldCharType="separate"/>
      </w:r>
      <w:r w:rsidRPr="009D7DE0">
        <w:t>Transportation Plans &amp; TIPs</w:t>
      </w:r>
      <w:r>
        <w:fldChar w:fldCharType="end"/>
      </w:r>
    </w:p>
    <w:p w14:paraId="1FA92841" w14:textId="2DB4643F" w:rsidR="00CE4BB7" w:rsidRDefault="00CE4BB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_Ref50042275 \h </w:instrText>
      </w:r>
      <w:r w:rsidR="002D38FC">
        <w:instrText xml:space="preserve"> \* MERGEFORMAT </w:instrText>
      </w:r>
      <w:r>
        <w:fldChar w:fldCharType="separate"/>
      </w:r>
      <w:r w:rsidRPr="009D7DE0">
        <w:t>Project-Level Conformity</w:t>
      </w:r>
      <w:r>
        <w:fldChar w:fldCharType="end"/>
      </w:r>
    </w:p>
    <w:p w14:paraId="541924A3" w14:textId="7C7690B6" w:rsidR="00CE4BB7" w:rsidRDefault="00CE4BB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_Ref50042464 \h </w:instrText>
      </w:r>
      <w:r w:rsidR="002D38FC">
        <w:instrText xml:space="preserve"> \* MERGEFORMAT </w:instrText>
      </w:r>
      <w:r>
        <w:fldChar w:fldCharType="separate"/>
      </w:r>
      <w:r w:rsidRPr="009D7DE0">
        <w:t>Transportation Control Measures</w:t>
      </w:r>
      <w:r>
        <w:fldChar w:fldCharType="end"/>
      </w:r>
    </w:p>
    <w:p w14:paraId="421E34FE" w14:textId="54E8A343" w:rsidR="00E52490" w:rsidRDefault="00CE4BB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_Ref50042289 \h </w:instrText>
      </w:r>
      <w:r w:rsidR="002D38FC">
        <w:instrText xml:space="preserve"> \* MERGEFORMAT </w:instrText>
      </w:r>
      <w:r>
        <w:fldChar w:fldCharType="separate"/>
      </w:r>
      <w:r w:rsidRPr="009D7DE0">
        <w:t>Interagency &amp; Public Consultation</w:t>
      </w:r>
      <w:r>
        <w:fldChar w:fldCharType="end"/>
      </w:r>
    </w:p>
    <w:p w14:paraId="542740C7" w14:textId="77CF7090" w:rsidR="001C6698" w:rsidRDefault="001C6698"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bookmarkStart w:id="601" w:name="_Toc50540245"/>
    <w:p w14:paraId="71BC1358" w14:textId="68CAD069" w:rsidR="000D156C" w:rsidRPr="00472679" w:rsidRDefault="000D62A8" w:rsidP="00020D20">
      <w:pPr>
        <w:pStyle w:val="Chapter17Heading"/>
      </w:pPr>
      <w:r w:rsidRPr="00472679">
        <w:rPr>
          <w:noProof/>
        </w:rPr>
        <mc:AlternateContent>
          <mc:Choice Requires="wps">
            <w:drawing>
              <wp:anchor distT="0" distB="0" distL="114300" distR="114300" simplePos="0" relativeHeight="251618387" behindDoc="1" locked="0" layoutInCell="1" allowOverlap="1" wp14:anchorId="625F2807" wp14:editId="1B629D49">
                <wp:simplePos x="0" y="0"/>
                <wp:positionH relativeFrom="column">
                  <wp:posOffset>4227830</wp:posOffset>
                </wp:positionH>
                <wp:positionV relativeFrom="paragraph">
                  <wp:posOffset>191770</wp:posOffset>
                </wp:positionV>
                <wp:extent cx="1669415" cy="1791970"/>
                <wp:effectExtent l="76200" t="95250" r="83185" b="93980"/>
                <wp:wrapTight wrapText="bothSides">
                  <wp:wrapPolygon edited="0">
                    <wp:start x="-986" y="-1148"/>
                    <wp:lineTo x="-986" y="22503"/>
                    <wp:lineTo x="22430" y="22503"/>
                    <wp:lineTo x="22430" y="-1148"/>
                    <wp:lineTo x="-986" y="-1148"/>
                  </wp:wrapPolygon>
                </wp:wrapTight>
                <wp:docPr id="816286271" name="Text Box 816286271"/>
                <wp:cNvGraphicFramePr/>
                <a:graphic xmlns:a="http://schemas.openxmlformats.org/drawingml/2006/main">
                  <a:graphicData uri="http://schemas.microsoft.com/office/word/2010/wordprocessingShape">
                    <wps:wsp>
                      <wps:cNvSpPr txBox="1"/>
                      <wps:spPr>
                        <a:xfrm>
                          <a:off x="0" y="0"/>
                          <a:ext cx="1669415" cy="17919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BF920DB" w14:textId="77777777" w:rsidR="00C6444C" w:rsidRDefault="00C6444C" w:rsidP="00020D20">
                            <w:pPr>
                              <w:jc w:val="center"/>
                            </w:pPr>
                            <w:r>
                              <w:rPr>
                                <w:noProof/>
                              </w:rPr>
                              <w:drawing>
                                <wp:inline distT="0" distB="0" distL="0" distR="0" wp14:anchorId="256EF84E" wp14:editId="7C6D8BEE">
                                  <wp:extent cx="457200" cy="457200"/>
                                  <wp:effectExtent l="0" t="0" r="0" b="0"/>
                                  <wp:docPr id="816286497" name="Picture 81628649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6E4C38" w14:textId="5016B97D" w:rsidR="00C6444C" w:rsidRPr="00954116" w:rsidRDefault="00C6444C" w:rsidP="00020D20">
                            <w:pPr>
                              <w:pStyle w:val="Calloutboxes"/>
                            </w:pPr>
                            <w:r w:rsidRPr="00394A74">
                              <w:t>ADOT has identified the need to organize, update, and streamline current transportation air quality conformity procedures into a comprehensive guidebook. ADOT’s Complete Air Quality Guidebook:</w:t>
                            </w:r>
                          </w:p>
                          <w:p w14:paraId="12D6DE42" w14:textId="58454F0E" w:rsidR="00C6444C" w:rsidRPr="00020D20" w:rsidRDefault="00202C92">
                            <w:pPr>
                              <w:pStyle w:val="Title"/>
                              <w:rPr>
                                <w:sz w:val="16"/>
                                <w:szCs w:val="16"/>
                              </w:rPr>
                            </w:pPr>
                            <w:hyperlink r:id="rId979" w:history="1">
                              <w:r w:rsidR="00C6444C" w:rsidRPr="00020D20">
                                <w:t>https://azdot.gov/business/environmental-planning/air-quality/guidance-air-</w:t>
                              </w:r>
                              <w:r w:rsidR="00C6444C" w:rsidRPr="00020D20">
                                <w:rPr>
                                  <w:rStyle w:val="Hyperlink"/>
                                  <w:rFonts w:ascii="Calibri" w:hAnsi="Calibri" w:cstheme="majorBidi"/>
                                  <w:i/>
                                  <w:iCs w:val="0"/>
                                  <w:color w:val="CE5B18"/>
                                  <w:u w:val="none"/>
                                </w:rPr>
                                <w:t>qual</w:t>
                              </w:r>
                              <w:r w:rsidR="00C6444C" w:rsidRPr="00020D20">
                                <w:rPr>
                                  <w:rStyle w:val="Hyperlink"/>
                                  <w:rFonts w:ascii="Calibri" w:hAnsi="Calibri" w:cstheme="majorBidi"/>
                                  <w:i/>
                                  <w:color w:val="CE5B18"/>
                                  <w:u w:val="none"/>
                                </w:rPr>
                                <w:t>ity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5F2807" id="Text Box 816286271" o:spid="_x0000_s1252" type="#_x0000_t202" style="position:absolute;left:0;text-align:left;margin-left:332.9pt;margin-top:15.1pt;width:131.45pt;height:141.1pt;z-index:-251698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" fillcolor="#f7f7f7" stroked="f" strokeweight=".5pt">
                <v:shadow on="t" type="perspective" color="black" opacity="26214f" offset="0,0" matrix="66847f,,,66847f"/>
                <v:textbox>
                  <w:txbxContent>
                    <w:p w14:paraId="3BF920DB" w14:textId="77777777" w:rsidR="00C6444C" w:rsidRDefault="00C6444C" w:rsidP="00020D20">
                      <w:pPr>
                        <w:jc w:val="center"/>
                      </w:pPr>
                      <w:r>
                        <w:rPr>
                          <w:noProof/>
                        </w:rPr>
                        <w:drawing>
                          <wp:inline distT="0" distB="0" distL="0" distR="0" wp14:anchorId="256EF84E" wp14:editId="7C6D8BEE">
                            <wp:extent cx="457200" cy="457200"/>
                            <wp:effectExtent l="0" t="0" r="0" b="0"/>
                            <wp:docPr id="816286497" name="Picture 81628649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6E4C38" w14:textId="5016B97D" w:rsidR="00C6444C" w:rsidRPr="00954116" w:rsidRDefault="00C6444C" w:rsidP="00020D20">
                      <w:pPr>
                        <w:pStyle w:val="Calloutboxes"/>
                      </w:pPr>
                      <w:r w:rsidRPr="00394A74">
                        <w:t>ADOT has identified the need to organize, update, and streamline current transportation air quality conformity procedures into a comprehensive guidebook. ADOT’s Complete Air Quality Guidebook:</w:t>
                      </w:r>
                    </w:p>
                    <w:p w14:paraId="12D6DE42" w14:textId="58454F0E" w:rsidR="00C6444C" w:rsidRPr="00020D20" w:rsidRDefault="00C6444C">
                      <w:pPr>
                        <w:pStyle w:val="Title"/>
                        <w:rPr>
                          <w:sz w:val="16"/>
                          <w:szCs w:val="16"/>
                        </w:rPr>
                      </w:pPr>
                      <w:hyperlink r:id="rId980" w:history="1">
                        <w:r w:rsidRPr="00020D20">
                          <w:t>https://azdot.gov/business/environmental-planning/air-quality/guidance-air-</w:t>
                        </w:r>
                        <w:r w:rsidRPr="00020D20">
                          <w:rPr>
                            <w:rStyle w:val="Hyperlink"/>
                            <w:rFonts w:ascii="Calibri" w:hAnsi="Calibri" w:cstheme="majorBidi"/>
                            <w:i/>
                            <w:iCs w:val="0"/>
                            <w:color w:val="CE5B18"/>
                            <w:u w:val="none"/>
                          </w:rPr>
                          <w:t>qual</w:t>
                        </w:r>
                        <w:r w:rsidRPr="00020D20">
                          <w:rPr>
                            <w:rStyle w:val="Hyperlink"/>
                            <w:rFonts w:ascii="Calibri" w:hAnsi="Calibri" w:cstheme="majorBidi"/>
                            <w:i/>
                            <w:color w:val="CE5B18"/>
                            <w:u w:val="none"/>
                          </w:rPr>
                          <w:t>ity</w:t>
                        </w:r>
                      </w:hyperlink>
                    </w:p>
                  </w:txbxContent>
                </v:textbox>
                <w10:wrap type="tight"/>
              </v:shape>
            </w:pict>
          </mc:Fallback>
        </mc:AlternateContent>
      </w:r>
      <w:r w:rsidR="0094140C">
        <w:t xml:space="preserve">17.1 </w:t>
      </w:r>
      <w:r w:rsidR="000D156C" w:rsidRPr="00472679">
        <w:t>|</w:t>
      </w:r>
      <w:r w:rsidR="000E518A">
        <w:t xml:space="preserve"> </w:t>
      </w:r>
      <w:r w:rsidR="000D156C" w:rsidRPr="00472679">
        <w:t>Air Quality</w:t>
      </w:r>
      <w:bookmarkEnd w:id="599"/>
      <w:bookmarkEnd w:id="600"/>
      <w:bookmarkEnd w:id="601"/>
    </w:p>
    <w:p w14:paraId="0ED5F6BE" w14:textId="77777777" w:rsidR="00FF51A4" w:rsidRDefault="00FF51A4" w:rsidP="00020D20">
      <w:pPr>
        <w:jc w:val="both"/>
        <w:rPr>
          <w:rFonts w:cstheme="minorHAnsi"/>
        </w:rPr>
        <w:sectPr w:rsidR="00FF51A4" w:rsidSect="0092064C">
          <w:type w:val="continuous"/>
          <w:pgSz w:w="12240" w:h="15840"/>
          <w:pgMar w:top="1440" w:right="1440" w:bottom="1440" w:left="1440" w:header="720" w:footer="720" w:gutter="0"/>
          <w:pgNumType w:chapStyle="1"/>
          <w:cols w:space="720"/>
          <w:docGrid w:linePitch="360"/>
        </w:sectPr>
      </w:pPr>
    </w:p>
    <w:p w14:paraId="2A2FE4B9" w14:textId="044CBC06" w:rsidR="009D7DE0" w:rsidRPr="009D7DE0" w:rsidRDefault="009D7DE0" w:rsidP="00020D20">
      <w:pPr>
        <w:pStyle w:val="Heading3"/>
        <w:jc w:val="both"/>
      </w:pPr>
      <w:bookmarkStart w:id="602" w:name="_Ref50042006"/>
      <w:r w:rsidRPr="009D7DE0">
        <w:t>17.1.1 | Purpose</w:t>
      </w:r>
      <w:bookmarkEnd w:id="602"/>
    </w:p>
    <w:p w14:paraId="0A664781" w14:textId="6F66129A" w:rsidR="009D7DE0" w:rsidRPr="009D7DE0" w:rsidRDefault="009D7DE0" w:rsidP="00020D20">
      <w:pPr>
        <w:jc w:val="both"/>
      </w:pPr>
      <w:r w:rsidRPr="009D7DE0">
        <w:t xml:space="preserve">When an MPO or COG is within or part of a designated air quality nonattainment or maintenance area, additional steps must be taken to protect and improve air quality. Transportation plans, programs, and projects must conform to the relevant air quality plan, which is the SIP approved by the EPA. The Clean Air Act requires state and local agencies to install and operate air quality monitoring equipment to determine if the </w:t>
      </w:r>
      <w:r w:rsidR="00692E72">
        <w:t>National Ambient Air Quality Standards (</w:t>
      </w:r>
      <w:r w:rsidRPr="009D7DE0">
        <w:t>NAAQS</w:t>
      </w:r>
      <w:r w:rsidR="00692E72">
        <w:t>)</w:t>
      </w:r>
      <w:r w:rsidRPr="009D7DE0">
        <w:t xml:space="preserve"> are being met. A</w:t>
      </w:r>
      <w:r w:rsidR="00692E72">
        <w:t xml:space="preserve">n analysis </w:t>
      </w:r>
      <w:r w:rsidRPr="009D7DE0">
        <w:t>referred to as “transportation conformity” requires an analysis to de</w:t>
      </w:r>
      <w:r w:rsidR="000B5373">
        <w:t>monstrate that a transportation plan meets emission limits of the SIP.</w:t>
      </w:r>
    </w:p>
    <w:p w14:paraId="2A2077DE" w14:textId="31D163CA" w:rsidR="000D156C" w:rsidRDefault="009D7DE0" w:rsidP="00020D20">
      <w:pPr>
        <w:jc w:val="both"/>
        <w:rPr>
          <w:b/>
        </w:rPr>
      </w:pPr>
      <w:r w:rsidRPr="009D7DE0">
        <w:t xml:space="preserve">Pursuant to the Clean Air Act Amendments (CAAA) of 1990, the EPA established NAAQS. These standards may change over time. For example, the 8-hour standard for ozone was set in 2008, and in 2010 the EPA issued a proposed rule to tighten those standards. </w:t>
      </w:r>
      <w:r w:rsidR="006235C6">
        <w:t>In 2015, the EPA revised the ozone standard to 0.070 ppm.</w:t>
      </w:r>
      <w:r w:rsidRPr="009D7DE0">
        <w:t xml:space="preserve"> Current NAAQS are shown in table 17.1-1.</w:t>
      </w:r>
    </w:p>
    <w:p w14:paraId="3AD9B731" w14:textId="77777777" w:rsidR="00914975" w:rsidRDefault="00914975" w:rsidP="00020D20">
      <w:pPr>
        <w:pStyle w:val="Heading5"/>
        <w:jc w:val="both"/>
        <w:sectPr w:rsidR="00914975" w:rsidSect="00F43B1D">
          <w:type w:val="continuous"/>
          <w:pgSz w:w="12240" w:h="15840"/>
          <w:pgMar w:top="1440" w:right="1440" w:bottom="1440" w:left="1440" w:header="720" w:footer="720" w:gutter="0"/>
          <w:cols w:num="2" w:space="720"/>
          <w:docGrid w:linePitch="360"/>
        </w:sectPr>
      </w:pPr>
    </w:p>
    <w:p w14:paraId="1B7F1CC2" w14:textId="1CEFFD5D" w:rsidR="009D7DE0" w:rsidRDefault="009D7DE0" w:rsidP="00020D20">
      <w:pPr>
        <w:pStyle w:val="Heading4"/>
        <w:jc w:val="both"/>
      </w:pPr>
      <w:r w:rsidRPr="00914975">
        <w:t>Table</w:t>
      </w:r>
      <w:r w:rsidRPr="009D7DE0">
        <w:t xml:space="preserve"> 17.1-1 |</w:t>
      </w:r>
      <w:r w:rsidR="004D572A">
        <w:t xml:space="preserve"> </w:t>
      </w:r>
      <w:r w:rsidRPr="009D7DE0">
        <w:t>National Ambient Air Quality Standards (NAAQS)</w:t>
      </w:r>
    </w:p>
    <w:tbl>
      <w:tblPr>
        <w:tblW w:w="9360" w:type="dxa"/>
        <w:tblInd w:w="-5" w:type="dxa"/>
        <w:tblLayout w:type="fixed"/>
        <w:tblCellMar>
          <w:left w:w="0" w:type="dxa"/>
          <w:right w:w="0" w:type="dxa"/>
        </w:tblCellMar>
        <w:tblLook w:val="0000" w:firstRow="0" w:lastRow="0" w:firstColumn="0" w:lastColumn="0" w:noHBand="0" w:noVBand="0"/>
      </w:tblPr>
      <w:tblGrid>
        <w:gridCol w:w="1440"/>
        <w:gridCol w:w="810"/>
        <w:gridCol w:w="1170"/>
        <w:gridCol w:w="1170"/>
        <w:gridCol w:w="1710"/>
        <w:gridCol w:w="3060"/>
      </w:tblGrid>
      <w:tr w:rsidR="006C1E58" w:rsidRPr="009C3812" w14:paraId="7D3522D0" w14:textId="77777777" w:rsidTr="00020D20">
        <w:trPr>
          <w:trHeight w:val="431"/>
        </w:trPr>
        <w:tc>
          <w:tcPr>
            <w:tcW w:w="2250" w:type="dxa"/>
            <w:gridSpan w:val="2"/>
            <w:tcBorders>
              <w:top w:val="single" w:sz="4" w:space="0" w:color="auto"/>
              <w:left w:val="single" w:sz="4" w:space="0" w:color="auto"/>
              <w:bottom w:val="single" w:sz="4" w:space="0" w:color="auto"/>
              <w:right w:val="single" w:sz="4" w:space="0" w:color="FFFFFF" w:themeColor="background1"/>
            </w:tcBorders>
            <w:shd w:val="clear" w:color="auto" w:fill="012768"/>
            <w:tcMar>
              <w:top w:w="0" w:type="dxa"/>
              <w:left w:w="108" w:type="dxa"/>
              <w:bottom w:w="0" w:type="dxa"/>
              <w:right w:w="108" w:type="dxa"/>
            </w:tcMar>
            <w:vAlign w:val="center"/>
          </w:tcPr>
          <w:p w14:paraId="0A2943D0" w14:textId="77777777" w:rsidR="009D7DE0" w:rsidRPr="00AA574A" w:rsidRDefault="009D7DE0" w:rsidP="00020D20">
            <w:pPr>
              <w:spacing w:before="0" w:after="0" w:line="240" w:lineRule="auto"/>
              <w:jc w:val="center"/>
              <w:rPr>
                <w:color w:val="FFFFFF" w:themeColor="background1"/>
                <w:sz w:val="22"/>
              </w:rPr>
            </w:pPr>
            <w:r w:rsidRPr="00AA574A">
              <w:rPr>
                <w:color w:val="FFFFFF" w:themeColor="background1"/>
                <w:sz w:val="22"/>
              </w:rPr>
              <w:t>Pollutant</w:t>
            </w:r>
            <w:r w:rsidRPr="00AA574A">
              <w:rPr>
                <w:color w:val="FFFFFF" w:themeColor="background1"/>
                <w:sz w:val="22"/>
              </w:rPr>
              <w:br/>
              <w:t>[Final Rule Citation]</w:t>
            </w:r>
          </w:p>
        </w:tc>
        <w:tc>
          <w:tcPr>
            <w:tcW w:w="117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0" w:type="dxa"/>
              <w:left w:w="108" w:type="dxa"/>
              <w:bottom w:w="0" w:type="dxa"/>
              <w:right w:w="108" w:type="dxa"/>
            </w:tcMar>
            <w:vAlign w:val="center"/>
          </w:tcPr>
          <w:p w14:paraId="6C1B41A6" w14:textId="77777777" w:rsidR="009D7DE0" w:rsidRPr="00AA574A" w:rsidRDefault="009D7DE0" w:rsidP="00020D20">
            <w:pPr>
              <w:spacing w:before="0" w:after="0" w:line="240" w:lineRule="auto"/>
              <w:jc w:val="center"/>
              <w:rPr>
                <w:color w:val="FFFFFF" w:themeColor="background1"/>
                <w:sz w:val="22"/>
              </w:rPr>
            </w:pPr>
            <w:r w:rsidRPr="00AA574A">
              <w:rPr>
                <w:color w:val="FFFFFF" w:themeColor="background1"/>
                <w:sz w:val="22"/>
              </w:rPr>
              <w:t>Primary / Secondary</w:t>
            </w:r>
          </w:p>
        </w:tc>
        <w:tc>
          <w:tcPr>
            <w:tcW w:w="117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0" w:type="dxa"/>
              <w:left w:w="108" w:type="dxa"/>
              <w:bottom w:w="0" w:type="dxa"/>
              <w:right w:w="108" w:type="dxa"/>
            </w:tcMar>
            <w:vAlign w:val="center"/>
          </w:tcPr>
          <w:p w14:paraId="6CB27B42" w14:textId="77777777" w:rsidR="009D7DE0" w:rsidRPr="00AA574A" w:rsidRDefault="009D7DE0" w:rsidP="00020D20">
            <w:pPr>
              <w:spacing w:before="0" w:after="0" w:line="240" w:lineRule="auto"/>
              <w:jc w:val="center"/>
              <w:rPr>
                <w:color w:val="FFFFFF" w:themeColor="background1"/>
                <w:sz w:val="22"/>
              </w:rPr>
            </w:pPr>
            <w:r w:rsidRPr="00AA574A">
              <w:rPr>
                <w:color w:val="FFFFFF" w:themeColor="background1"/>
                <w:sz w:val="22"/>
              </w:rPr>
              <w:t>Averaging Time</w:t>
            </w:r>
          </w:p>
        </w:tc>
        <w:tc>
          <w:tcPr>
            <w:tcW w:w="171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0" w:type="dxa"/>
              <w:left w:w="108" w:type="dxa"/>
              <w:bottom w:w="0" w:type="dxa"/>
              <w:right w:w="108" w:type="dxa"/>
            </w:tcMar>
            <w:vAlign w:val="center"/>
          </w:tcPr>
          <w:p w14:paraId="162F79DB" w14:textId="77777777" w:rsidR="009D7DE0" w:rsidRPr="00AA574A" w:rsidRDefault="009D7DE0" w:rsidP="00020D20">
            <w:pPr>
              <w:spacing w:before="0" w:after="0" w:line="240" w:lineRule="auto"/>
              <w:jc w:val="center"/>
              <w:rPr>
                <w:color w:val="FFFFFF" w:themeColor="background1"/>
                <w:sz w:val="22"/>
              </w:rPr>
            </w:pPr>
            <w:r w:rsidRPr="00AA574A">
              <w:rPr>
                <w:color w:val="FFFFFF" w:themeColor="background1"/>
                <w:sz w:val="22"/>
              </w:rPr>
              <w:t>Level (Concentration)</w:t>
            </w:r>
          </w:p>
        </w:tc>
        <w:tc>
          <w:tcPr>
            <w:tcW w:w="3060" w:type="dxa"/>
            <w:tcBorders>
              <w:top w:val="single" w:sz="4" w:space="0" w:color="auto"/>
              <w:left w:val="single" w:sz="4" w:space="0" w:color="FFFFFF" w:themeColor="background1"/>
              <w:bottom w:val="single" w:sz="4" w:space="0" w:color="auto"/>
              <w:right w:val="single" w:sz="4" w:space="0" w:color="auto"/>
            </w:tcBorders>
            <w:shd w:val="clear" w:color="auto" w:fill="012768"/>
            <w:tcMar>
              <w:top w:w="0" w:type="dxa"/>
              <w:left w:w="108" w:type="dxa"/>
              <w:bottom w:w="0" w:type="dxa"/>
              <w:right w:w="108" w:type="dxa"/>
            </w:tcMar>
            <w:vAlign w:val="center"/>
          </w:tcPr>
          <w:p w14:paraId="3662892C" w14:textId="77777777" w:rsidR="009D7DE0" w:rsidRPr="00AA574A" w:rsidRDefault="009D7DE0" w:rsidP="00020D20">
            <w:pPr>
              <w:spacing w:before="0" w:after="0" w:line="240" w:lineRule="auto"/>
              <w:jc w:val="center"/>
              <w:rPr>
                <w:color w:val="FFFFFF" w:themeColor="background1"/>
                <w:sz w:val="22"/>
              </w:rPr>
            </w:pPr>
            <w:r w:rsidRPr="00AA574A">
              <w:rPr>
                <w:color w:val="FFFFFF" w:themeColor="background1"/>
                <w:sz w:val="22"/>
              </w:rPr>
              <w:t>Form</w:t>
            </w:r>
          </w:p>
        </w:tc>
      </w:tr>
      <w:tr w:rsidR="004A63A9" w:rsidRPr="009D7DE0" w14:paraId="5BC1DAF1" w14:textId="77777777" w:rsidTr="00020D20">
        <w:trPr>
          <w:trHeight w:val="360"/>
        </w:trPr>
        <w:tc>
          <w:tcPr>
            <w:tcW w:w="2250" w:type="dxa"/>
            <w:gridSpan w:val="2"/>
            <w:vMerge w:val="restart"/>
            <w:tcBorders>
              <w:top w:val="single" w:sz="4" w:space="0" w:color="auto"/>
              <w:left w:val="single" w:sz="8" w:space="0" w:color="58585B"/>
              <w:bottom w:val="single" w:sz="8" w:space="0" w:color="31849B"/>
              <w:right w:val="single" w:sz="8" w:space="0" w:color="31849B"/>
            </w:tcBorders>
            <w:tcMar>
              <w:top w:w="0" w:type="dxa"/>
              <w:left w:w="108" w:type="dxa"/>
              <w:bottom w:w="0" w:type="dxa"/>
              <w:right w:w="108" w:type="dxa"/>
            </w:tcMar>
            <w:vAlign w:val="center"/>
          </w:tcPr>
          <w:p w14:paraId="7A8590DA" w14:textId="5A47F6D0" w:rsidR="009D7DE0" w:rsidRPr="009D7DE0" w:rsidRDefault="009D7DE0" w:rsidP="00020D20">
            <w:pPr>
              <w:spacing w:before="0" w:after="0" w:line="240" w:lineRule="auto"/>
              <w:jc w:val="center"/>
              <w:rPr>
                <w:rFonts w:cstheme="minorHAnsi"/>
                <w:color w:val="58585B"/>
              </w:rPr>
            </w:pPr>
            <w:r w:rsidRPr="00020D20">
              <w:rPr>
                <w:rFonts w:cstheme="minorHAnsi"/>
              </w:rPr>
              <w:t>Carbon Monoxide (CO)</w:t>
            </w:r>
            <w:r w:rsidRPr="009D7DE0">
              <w:rPr>
                <w:rFonts w:cstheme="minorHAnsi"/>
                <w:b/>
                <w:color w:val="58585B"/>
                <w:position w:val="23"/>
              </w:rPr>
              <w:br/>
            </w:r>
            <w:hyperlink r:id="rId981" w:history="1">
              <w:r w:rsidRPr="004F6B4B">
                <w:rPr>
                  <w:rStyle w:val="TitleChar"/>
                </w:rPr>
                <w:t>76 FR 54294, Aug 31, 2011</w:t>
              </w:r>
            </w:hyperlink>
          </w:p>
        </w:tc>
        <w:tc>
          <w:tcPr>
            <w:tcW w:w="1170" w:type="dxa"/>
            <w:tcBorders>
              <w:top w:val="single" w:sz="4" w:space="0" w:color="auto"/>
              <w:left w:val="single" w:sz="8" w:space="0" w:color="58585B"/>
              <w:bottom w:val="single" w:sz="8" w:space="0" w:color="58585B"/>
              <w:right w:val="single" w:sz="8" w:space="0" w:color="58585B"/>
            </w:tcBorders>
            <w:tcMar>
              <w:top w:w="0" w:type="dxa"/>
              <w:left w:w="108" w:type="dxa"/>
              <w:bottom w:w="0" w:type="dxa"/>
              <w:right w:w="108" w:type="dxa"/>
            </w:tcMar>
            <w:vAlign w:val="center"/>
          </w:tcPr>
          <w:p w14:paraId="7112EECF" w14:textId="54713020" w:rsidR="009D7DE0" w:rsidRPr="00020D20" w:rsidRDefault="009D7DE0" w:rsidP="00020D20">
            <w:pPr>
              <w:pStyle w:val="Heading5"/>
              <w:spacing w:before="0" w:after="0" w:line="240" w:lineRule="auto"/>
              <w:rPr>
                <w:i w:val="0"/>
                <w:color w:val="auto"/>
                <w:sz w:val="18"/>
              </w:rPr>
            </w:pPr>
            <w:r w:rsidRPr="00020D20">
              <w:rPr>
                <w:i w:val="0"/>
                <w:color w:val="auto"/>
                <w:sz w:val="18"/>
              </w:rPr>
              <w:t>Primary</w:t>
            </w:r>
          </w:p>
        </w:tc>
        <w:tc>
          <w:tcPr>
            <w:tcW w:w="1170" w:type="dxa"/>
            <w:tcBorders>
              <w:top w:val="single" w:sz="4" w:space="0" w:color="auto"/>
              <w:left w:val="single" w:sz="8" w:space="0" w:color="58585B"/>
              <w:bottom w:val="single" w:sz="8" w:space="0" w:color="58585B"/>
              <w:right w:val="single" w:sz="8" w:space="0" w:color="58585B"/>
            </w:tcBorders>
            <w:tcMar>
              <w:top w:w="0" w:type="dxa"/>
              <w:left w:w="108" w:type="dxa"/>
              <w:bottom w:w="0" w:type="dxa"/>
              <w:right w:w="108" w:type="dxa"/>
            </w:tcMar>
            <w:vAlign w:val="center"/>
          </w:tcPr>
          <w:p w14:paraId="7E605F86"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8-Hour</w:t>
            </w:r>
          </w:p>
        </w:tc>
        <w:tc>
          <w:tcPr>
            <w:tcW w:w="1710" w:type="dxa"/>
            <w:tcBorders>
              <w:top w:val="single" w:sz="4" w:space="0" w:color="auto"/>
              <w:left w:val="single" w:sz="8" w:space="0" w:color="58585B"/>
              <w:bottom w:val="single" w:sz="8" w:space="0" w:color="58585B"/>
              <w:right w:val="single" w:sz="8" w:space="0" w:color="58585B"/>
            </w:tcBorders>
            <w:tcMar>
              <w:top w:w="0" w:type="dxa"/>
              <w:left w:w="108" w:type="dxa"/>
              <w:bottom w:w="0" w:type="dxa"/>
              <w:right w:w="108" w:type="dxa"/>
            </w:tcMar>
            <w:vAlign w:val="center"/>
          </w:tcPr>
          <w:p w14:paraId="523DA046"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9 ppm</w:t>
            </w:r>
          </w:p>
        </w:tc>
        <w:tc>
          <w:tcPr>
            <w:tcW w:w="3060" w:type="dxa"/>
            <w:vMerge w:val="restart"/>
            <w:tcBorders>
              <w:top w:val="single" w:sz="4" w:space="0" w:color="auto"/>
              <w:left w:val="single" w:sz="8" w:space="0" w:color="58585B"/>
              <w:bottom w:val="single" w:sz="8" w:space="0" w:color="31849B"/>
              <w:right w:val="single" w:sz="8" w:space="0" w:color="58585B"/>
            </w:tcBorders>
            <w:tcMar>
              <w:top w:w="0" w:type="dxa"/>
              <w:left w:w="108" w:type="dxa"/>
              <w:bottom w:w="0" w:type="dxa"/>
              <w:right w:w="108" w:type="dxa"/>
            </w:tcMar>
            <w:vAlign w:val="center"/>
          </w:tcPr>
          <w:p w14:paraId="213A7C5E"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Not to be exceeded more than once per year</w:t>
            </w:r>
          </w:p>
        </w:tc>
      </w:tr>
      <w:tr w:rsidR="004A63A9" w:rsidRPr="009D7DE0" w14:paraId="3E342FD6" w14:textId="77777777" w:rsidTr="00020D20">
        <w:trPr>
          <w:trHeight w:val="360"/>
        </w:trPr>
        <w:tc>
          <w:tcPr>
            <w:tcW w:w="2250" w:type="dxa"/>
            <w:gridSpan w:val="2"/>
            <w:vMerge/>
            <w:tcBorders>
              <w:top w:val="single" w:sz="8" w:space="0" w:color="31849B"/>
              <w:left w:val="single" w:sz="8" w:space="0" w:color="58585B"/>
              <w:bottom w:val="single" w:sz="8" w:space="0" w:color="58585B"/>
              <w:right w:val="single" w:sz="8" w:space="0" w:color="31849B"/>
            </w:tcBorders>
          </w:tcPr>
          <w:p w14:paraId="36F9439E" w14:textId="77777777" w:rsidR="009D7DE0" w:rsidRPr="009D7DE0" w:rsidRDefault="009D7DE0" w:rsidP="00020D20">
            <w:pPr>
              <w:spacing w:before="0" w:after="0" w:line="240" w:lineRule="auto"/>
              <w:jc w:val="center"/>
              <w:rPr>
                <w:rFonts w:cstheme="minorHAnsi"/>
              </w:rPr>
            </w:pP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13A3C5BD"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Secondary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0CE5A620"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1-hour</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6122D185"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35 ppm</w:t>
            </w:r>
          </w:p>
        </w:tc>
        <w:tc>
          <w:tcPr>
            <w:tcW w:w="3060" w:type="dxa"/>
            <w:vMerge/>
            <w:tcBorders>
              <w:top w:val="single" w:sz="8" w:space="0" w:color="31849B"/>
              <w:left w:val="single" w:sz="8" w:space="0" w:color="58585B"/>
              <w:bottom w:val="single" w:sz="8" w:space="0" w:color="58585B"/>
              <w:right w:val="single" w:sz="8" w:space="0" w:color="58585B"/>
            </w:tcBorders>
          </w:tcPr>
          <w:p w14:paraId="0FCCC87D" w14:textId="77777777" w:rsidR="009D7DE0" w:rsidRPr="00020D20" w:rsidRDefault="009D7DE0" w:rsidP="00020D20">
            <w:pPr>
              <w:pStyle w:val="Heading5"/>
              <w:spacing w:before="0" w:after="0" w:line="240" w:lineRule="auto"/>
              <w:rPr>
                <w:i w:val="0"/>
                <w:color w:val="auto"/>
                <w:sz w:val="18"/>
              </w:rPr>
            </w:pPr>
          </w:p>
        </w:tc>
      </w:tr>
      <w:tr w:rsidR="004A63A9" w:rsidRPr="009D7DE0" w14:paraId="046BB92A" w14:textId="77777777" w:rsidTr="00020D20">
        <w:trPr>
          <w:trHeight w:val="540"/>
        </w:trPr>
        <w:tc>
          <w:tcPr>
            <w:tcW w:w="2250" w:type="dxa"/>
            <w:gridSpan w:val="2"/>
            <w:tcBorders>
              <w:top w:val="single" w:sz="8" w:space="0" w:color="58585B"/>
              <w:left w:val="single" w:sz="8" w:space="0" w:color="58585B"/>
              <w:bottom w:val="single" w:sz="8" w:space="0" w:color="58585B"/>
              <w:right w:val="single" w:sz="8" w:space="0" w:color="31849B"/>
            </w:tcBorders>
            <w:shd w:val="clear" w:color="auto" w:fill="E7E6E6" w:themeFill="background2"/>
            <w:tcMar>
              <w:top w:w="0" w:type="dxa"/>
              <w:left w:w="108" w:type="dxa"/>
              <w:bottom w:w="0" w:type="dxa"/>
              <w:right w:w="108" w:type="dxa"/>
            </w:tcMar>
            <w:vAlign w:val="center"/>
          </w:tcPr>
          <w:p w14:paraId="731C0912" w14:textId="77777777" w:rsidR="009D7DE0" w:rsidRPr="009D7DE0" w:rsidRDefault="009D7DE0" w:rsidP="00020D20">
            <w:pPr>
              <w:spacing w:before="0" w:after="0" w:line="240" w:lineRule="auto"/>
              <w:jc w:val="center"/>
            </w:pPr>
            <w:r w:rsidRPr="009D7DE0">
              <w:t>Lead</w:t>
            </w:r>
          </w:p>
          <w:p w14:paraId="1594D9B3" w14:textId="4460EE6F" w:rsidR="009D7DE0" w:rsidRPr="004F6B4B" w:rsidRDefault="00202C92">
            <w:pPr>
              <w:pStyle w:val="Title"/>
            </w:pPr>
            <w:hyperlink r:id="rId982" w:history="1">
              <w:r w:rsidR="009D7DE0" w:rsidRPr="004F6B4B">
                <w:rPr>
                  <w:rStyle w:val="Hyperlink"/>
                  <w:rFonts w:asciiTheme="minorHAnsi" w:hAnsiTheme="minorHAnsi" w:cstheme="majorBidi"/>
                  <w:i/>
                  <w:iCs w:val="0"/>
                  <w:color w:val="CE5B18"/>
                  <w:sz w:val="20"/>
                  <w:szCs w:val="56"/>
                  <w:u w:val="none"/>
                </w:rPr>
                <w:t>73 FR 66964, Nov 12, 2008</w:t>
              </w:r>
            </w:hyperlink>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0A7059B5"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Primary &amp; Secondary</w:t>
            </w:r>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132E38A4"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Rolling 3 month average</w:t>
            </w:r>
          </w:p>
        </w:tc>
        <w:tc>
          <w:tcPr>
            <w:tcW w:w="171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6F3FB4C8"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.15 μg/m</w:t>
            </w:r>
            <w:r w:rsidRPr="00020D20">
              <w:rPr>
                <w:i w:val="0"/>
                <w:color w:val="auto"/>
                <w:sz w:val="18"/>
                <w:vertAlign w:val="superscript"/>
              </w:rPr>
              <w:t>3</w:t>
            </w:r>
          </w:p>
        </w:tc>
        <w:tc>
          <w:tcPr>
            <w:tcW w:w="306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7A074840"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Not to be exceeded</w:t>
            </w:r>
          </w:p>
        </w:tc>
      </w:tr>
      <w:tr w:rsidR="004A63A9" w:rsidRPr="009D7DE0" w14:paraId="72C23094" w14:textId="77777777" w:rsidTr="00020D20">
        <w:trPr>
          <w:trHeight w:val="67"/>
        </w:trPr>
        <w:tc>
          <w:tcPr>
            <w:tcW w:w="2250" w:type="dxa"/>
            <w:gridSpan w:val="2"/>
            <w:vMerge w:val="restart"/>
            <w:tcBorders>
              <w:top w:val="single" w:sz="8" w:space="0" w:color="58585B"/>
              <w:left w:val="single" w:sz="8" w:space="0" w:color="58585B"/>
              <w:bottom w:val="single" w:sz="8" w:space="0" w:color="31849B"/>
              <w:right w:val="single" w:sz="8" w:space="0" w:color="31849B"/>
            </w:tcBorders>
            <w:tcMar>
              <w:top w:w="0" w:type="dxa"/>
              <w:left w:w="108" w:type="dxa"/>
              <w:bottom w:w="0" w:type="dxa"/>
              <w:right w:w="108" w:type="dxa"/>
            </w:tcMar>
            <w:vAlign w:val="center"/>
          </w:tcPr>
          <w:p w14:paraId="33AB21C0" w14:textId="2055B68F" w:rsidR="009D7DE0" w:rsidRPr="009D7DE0" w:rsidRDefault="009D7DE0" w:rsidP="00020D20">
            <w:pPr>
              <w:spacing w:before="0" w:after="0" w:line="240" w:lineRule="auto"/>
              <w:jc w:val="center"/>
              <w:rPr>
                <w:rFonts w:cstheme="minorHAnsi"/>
                <w:color w:val="58585B"/>
              </w:rPr>
            </w:pPr>
            <w:r w:rsidRPr="00020D20">
              <w:rPr>
                <w:rFonts w:cstheme="minorHAnsi"/>
              </w:rPr>
              <w:t xml:space="preserve">Nitrogen Dioxide </w:t>
            </w:r>
            <w:r w:rsidR="00F32664" w:rsidRPr="00020D20">
              <w:rPr>
                <w:rFonts w:cstheme="minorHAnsi"/>
              </w:rPr>
              <w:t>(NOx)</w:t>
            </w:r>
            <w:r w:rsidRPr="009D7DE0">
              <w:rPr>
                <w:rFonts w:cstheme="minorHAnsi"/>
                <w:b/>
                <w:color w:val="58585B"/>
                <w:position w:val="23"/>
              </w:rPr>
              <w:br/>
            </w:r>
            <w:hyperlink r:id="rId983" w:history="1">
              <w:r w:rsidRPr="004F6B4B">
                <w:rPr>
                  <w:rStyle w:val="TitleChar"/>
                </w:rPr>
                <w:t>75 FR 6474, Feb 9, 2010</w:t>
              </w:r>
            </w:hyperlink>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473AA402" w14:textId="155029D9" w:rsidR="009D7DE0" w:rsidRPr="00020D20" w:rsidRDefault="009D7DE0" w:rsidP="00020D20">
            <w:pPr>
              <w:pStyle w:val="Heading5"/>
              <w:spacing w:before="0" w:after="0" w:line="240" w:lineRule="auto"/>
              <w:rPr>
                <w:i w:val="0"/>
                <w:color w:val="auto"/>
                <w:sz w:val="18"/>
              </w:rPr>
            </w:pPr>
            <w:r w:rsidRPr="00020D20">
              <w:rPr>
                <w:i w:val="0"/>
                <w:color w:val="auto"/>
                <w:sz w:val="18"/>
              </w:rPr>
              <w:t>Primary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2FB2B1BA"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1-Hour</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7558ED9B" w14:textId="71A09153" w:rsidR="009D7DE0" w:rsidRPr="00020D20" w:rsidRDefault="006235C6" w:rsidP="00020D20">
            <w:pPr>
              <w:pStyle w:val="Heading5"/>
              <w:spacing w:before="0" w:after="0" w:line="240" w:lineRule="auto"/>
              <w:rPr>
                <w:i w:val="0"/>
                <w:color w:val="auto"/>
                <w:sz w:val="18"/>
              </w:rPr>
            </w:pPr>
            <w:r w:rsidRPr="00020D20">
              <w:rPr>
                <w:i w:val="0"/>
                <w:color w:val="auto"/>
                <w:sz w:val="18"/>
              </w:rPr>
              <w:t>100</w:t>
            </w:r>
            <w:r w:rsidR="009D7DE0" w:rsidRPr="00020D20">
              <w:rPr>
                <w:i w:val="0"/>
                <w:color w:val="auto"/>
                <w:sz w:val="18"/>
              </w:rPr>
              <w:t xml:space="preserve"> pp</w:t>
            </w:r>
            <w:r w:rsidRPr="00020D20">
              <w:rPr>
                <w:i w:val="0"/>
                <w:color w:val="auto"/>
                <w:sz w:val="18"/>
              </w:rPr>
              <w:t>b</w:t>
            </w:r>
          </w:p>
        </w:tc>
        <w:tc>
          <w:tcPr>
            <w:tcW w:w="306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6FA0469F"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98th percentile, average over 3 years</w:t>
            </w:r>
          </w:p>
        </w:tc>
      </w:tr>
      <w:tr w:rsidR="004A63A9" w:rsidRPr="009D7DE0" w14:paraId="707CF396" w14:textId="77777777" w:rsidTr="00020D20">
        <w:trPr>
          <w:trHeight w:val="540"/>
        </w:trPr>
        <w:tc>
          <w:tcPr>
            <w:tcW w:w="2250" w:type="dxa"/>
            <w:gridSpan w:val="2"/>
            <w:vMerge/>
            <w:tcBorders>
              <w:top w:val="single" w:sz="8" w:space="0" w:color="31849B"/>
              <w:left w:val="single" w:sz="8" w:space="0" w:color="58585B"/>
              <w:bottom w:val="single" w:sz="8" w:space="0" w:color="58585B"/>
              <w:right w:val="single" w:sz="8" w:space="0" w:color="31849B"/>
            </w:tcBorders>
          </w:tcPr>
          <w:p w14:paraId="1ECE907C" w14:textId="77777777" w:rsidR="009D7DE0" w:rsidRPr="009D7DE0" w:rsidRDefault="009D7DE0" w:rsidP="00020D20">
            <w:pPr>
              <w:spacing w:before="0" w:after="0" w:line="240" w:lineRule="auto"/>
              <w:jc w:val="center"/>
              <w:rPr>
                <w:rFonts w:cstheme="minorHAnsi"/>
              </w:rPr>
            </w:pP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75899C1E"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Primary &amp; Secondary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B371825"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4BA616FC" w14:textId="37F408FA" w:rsidR="009D7DE0" w:rsidRPr="00020D20" w:rsidRDefault="009D7DE0" w:rsidP="00020D20">
            <w:pPr>
              <w:pStyle w:val="Heading5"/>
              <w:spacing w:before="0" w:after="0" w:line="240" w:lineRule="auto"/>
              <w:rPr>
                <w:i w:val="0"/>
                <w:color w:val="auto"/>
                <w:sz w:val="18"/>
              </w:rPr>
            </w:pPr>
            <w:r w:rsidRPr="00020D20">
              <w:rPr>
                <w:i w:val="0"/>
                <w:color w:val="auto"/>
                <w:sz w:val="18"/>
              </w:rPr>
              <w:t>53 pp</w:t>
            </w:r>
            <w:r w:rsidR="006235C6" w:rsidRPr="00020D20">
              <w:rPr>
                <w:i w:val="0"/>
                <w:color w:val="auto"/>
                <w:sz w:val="18"/>
              </w:rPr>
              <w:t>b</w:t>
            </w:r>
          </w:p>
        </w:tc>
        <w:tc>
          <w:tcPr>
            <w:tcW w:w="306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DCCAFB1"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 mean</w:t>
            </w:r>
          </w:p>
        </w:tc>
      </w:tr>
      <w:tr w:rsidR="004A63A9" w:rsidRPr="009D7DE0" w14:paraId="3B9648E6" w14:textId="77777777" w:rsidTr="00020D20">
        <w:trPr>
          <w:trHeight w:val="540"/>
        </w:trPr>
        <w:tc>
          <w:tcPr>
            <w:tcW w:w="2250" w:type="dxa"/>
            <w:gridSpan w:val="2"/>
            <w:tcBorders>
              <w:top w:val="single" w:sz="8" w:space="0" w:color="58585B"/>
              <w:left w:val="single" w:sz="8" w:space="0" w:color="58585B"/>
              <w:bottom w:val="single" w:sz="8" w:space="0" w:color="58585B"/>
              <w:right w:val="single" w:sz="8" w:space="0" w:color="31849B"/>
            </w:tcBorders>
            <w:shd w:val="clear" w:color="auto" w:fill="E7E6E6" w:themeFill="background2"/>
            <w:tcMar>
              <w:top w:w="0" w:type="dxa"/>
              <w:left w:w="108" w:type="dxa"/>
              <w:bottom w:w="0" w:type="dxa"/>
              <w:right w:w="108" w:type="dxa"/>
            </w:tcMar>
            <w:vAlign w:val="center"/>
          </w:tcPr>
          <w:p w14:paraId="0499BCFA" w14:textId="77777777" w:rsidR="009D7DE0" w:rsidRPr="009D7DE0" w:rsidRDefault="009D7DE0" w:rsidP="00020D20">
            <w:pPr>
              <w:spacing w:before="0" w:after="0" w:line="240" w:lineRule="auto"/>
              <w:jc w:val="center"/>
              <w:rPr>
                <w:rFonts w:cstheme="minorHAnsi"/>
                <w:color w:val="FFFFFF"/>
                <w:position w:val="23"/>
              </w:rPr>
            </w:pPr>
            <w:r w:rsidRPr="009D7DE0">
              <w:t>Ozone</w:t>
            </w:r>
          </w:p>
          <w:p w14:paraId="18F3837C" w14:textId="014325F0" w:rsidR="009D7DE0" w:rsidRPr="004F6B4B" w:rsidRDefault="00202C92">
            <w:pPr>
              <w:pStyle w:val="Title"/>
            </w:pPr>
            <w:hyperlink r:id="rId984" w:history="1">
              <w:r w:rsidR="006235C6">
                <w:rPr>
                  <w:rStyle w:val="Hyperlink"/>
                  <w:rFonts w:asciiTheme="minorHAnsi" w:hAnsiTheme="minorHAnsi" w:cstheme="majorBidi"/>
                  <w:i/>
                  <w:iCs w:val="0"/>
                  <w:color w:val="CE5B18"/>
                  <w:sz w:val="20"/>
                  <w:szCs w:val="56"/>
                  <w:u w:val="none"/>
                </w:rPr>
                <w:t>80 FR 65292, Oct 26, 2015</w:t>
              </w:r>
            </w:hyperlink>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5107FC85"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Primary &amp; Secondary</w:t>
            </w:r>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3A6F574E"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8-Hour</w:t>
            </w:r>
          </w:p>
        </w:tc>
        <w:tc>
          <w:tcPr>
            <w:tcW w:w="171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5C750EC5" w14:textId="0813191F" w:rsidR="009D7DE0" w:rsidRPr="00020D20" w:rsidRDefault="009D7DE0" w:rsidP="00020D20">
            <w:pPr>
              <w:pStyle w:val="Heading5"/>
              <w:spacing w:before="0" w:after="0" w:line="240" w:lineRule="auto"/>
              <w:rPr>
                <w:i w:val="0"/>
                <w:color w:val="auto"/>
                <w:sz w:val="18"/>
              </w:rPr>
            </w:pPr>
            <w:r w:rsidRPr="00020D20">
              <w:rPr>
                <w:i w:val="0"/>
                <w:color w:val="auto"/>
                <w:sz w:val="18"/>
              </w:rPr>
              <w:t>0.07</w:t>
            </w:r>
            <w:r w:rsidR="006235C6" w:rsidRPr="00020D20">
              <w:rPr>
                <w:i w:val="0"/>
                <w:color w:val="auto"/>
                <w:sz w:val="18"/>
              </w:rPr>
              <w:t>0</w:t>
            </w:r>
            <w:r w:rsidRPr="00020D20">
              <w:rPr>
                <w:i w:val="0"/>
                <w:color w:val="auto"/>
                <w:sz w:val="18"/>
              </w:rPr>
              <w:t xml:space="preserve"> ppm</w:t>
            </w:r>
          </w:p>
        </w:tc>
        <w:tc>
          <w:tcPr>
            <w:tcW w:w="306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11C487B1"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 fourth-highest daily maximum 8-hr concentration averaged over 3 years</w:t>
            </w:r>
          </w:p>
        </w:tc>
      </w:tr>
      <w:tr w:rsidR="006C1E58" w:rsidRPr="009D7DE0" w14:paraId="765923D3" w14:textId="77777777" w:rsidTr="00020D20">
        <w:trPr>
          <w:trHeight w:val="360"/>
        </w:trPr>
        <w:tc>
          <w:tcPr>
            <w:tcW w:w="1440" w:type="dxa"/>
            <w:vMerge w:val="restart"/>
            <w:tcBorders>
              <w:top w:val="single" w:sz="8" w:space="0" w:color="58585B"/>
              <w:left w:val="single" w:sz="8" w:space="0" w:color="58585B"/>
              <w:bottom w:val="single" w:sz="8" w:space="0" w:color="31849B"/>
              <w:right w:val="single" w:sz="8" w:space="0" w:color="58585B"/>
            </w:tcBorders>
            <w:tcMar>
              <w:top w:w="0" w:type="dxa"/>
              <w:left w:w="108" w:type="dxa"/>
              <w:bottom w:w="0" w:type="dxa"/>
              <w:right w:w="108" w:type="dxa"/>
            </w:tcMar>
            <w:vAlign w:val="center"/>
          </w:tcPr>
          <w:p w14:paraId="0F7770DB" w14:textId="77777777" w:rsidR="009D7DE0" w:rsidRPr="009D7DE0" w:rsidRDefault="009D7DE0" w:rsidP="00020D20">
            <w:pPr>
              <w:spacing w:before="0" w:after="0" w:line="240" w:lineRule="auto"/>
              <w:jc w:val="center"/>
              <w:rPr>
                <w:rFonts w:cstheme="minorHAnsi"/>
                <w:color w:val="FFFFFF"/>
                <w:position w:val="23"/>
              </w:rPr>
            </w:pPr>
            <w:r w:rsidRPr="009D7DE0">
              <w:t>Particle Pollution</w:t>
            </w:r>
          </w:p>
          <w:p w14:paraId="7431381B" w14:textId="748DCD25" w:rsidR="009D7DE0" w:rsidRPr="004F6B4B" w:rsidRDefault="00202C92">
            <w:pPr>
              <w:pStyle w:val="Title"/>
            </w:pPr>
            <w:hyperlink r:id="rId985" w:history="1">
              <w:r w:rsidR="009D7DE0" w:rsidRPr="004F6B4B">
                <w:rPr>
                  <w:rStyle w:val="Hyperlink"/>
                  <w:rFonts w:asciiTheme="minorHAnsi" w:hAnsiTheme="minorHAnsi" w:cstheme="majorBidi"/>
                  <w:i/>
                  <w:iCs w:val="0"/>
                  <w:color w:val="CE5B18"/>
                  <w:sz w:val="20"/>
                  <w:szCs w:val="56"/>
                  <w:u w:val="none"/>
                </w:rPr>
                <w:t>78 FR 3086, Jan 15, 2013</w:t>
              </w:r>
            </w:hyperlink>
          </w:p>
        </w:tc>
        <w:tc>
          <w:tcPr>
            <w:tcW w:w="810" w:type="dxa"/>
            <w:vMerge w:val="restart"/>
            <w:tcBorders>
              <w:top w:val="single" w:sz="8" w:space="0" w:color="58585B"/>
              <w:left w:val="single" w:sz="8" w:space="0" w:color="58585B"/>
              <w:bottom w:val="single" w:sz="8" w:space="0" w:color="31849B"/>
              <w:right w:val="single" w:sz="8" w:space="0" w:color="58585B"/>
            </w:tcBorders>
            <w:tcMar>
              <w:top w:w="0" w:type="dxa"/>
              <w:left w:w="108" w:type="dxa"/>
              <w:bottom w:w="0" w:type="dxa"/>
              <w:right w:w="108" w:type="dxa"/>
            </w:tcMar>
            <w:vAlign w:val="center"/>
          </w:tcPr>
          <w:p w14:paraId="1F4246A4" w14:textId="77777777" w:rsidR="009D7DE0" w:rsidRPr="009D7DE0" w:rsidRDefault="009D7DE0" w:rsidP="00020D20">
            <w:pPr>
              <w:spacing w:before="0" w:after="0" w:line="240" w:lineRule="auto"/>
              <w:jc w:val="center"/>
            </w:pPr>
            <w:r w:rsidRPr="009D7DE0">
              <w:t>PM2.5</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4C9CCB88" w14:textId="3F6224BA" w:rsidR="009D7DE0" w:rsidRPr="00020D20" w:rsidRDefault="009D7DE0" w:rsidP="00020D20">
            <w:pPr>
              <w:pStyle w:val="Heading5"/>
              <w:spacing w:before="0" w:after="0" w:line="240" w:lineRule="auto"/>
              <w:rPr>
                <w:i w:val="0"/>
                <w:color w:val="auto"/>
                <w:sz w:val="18"/>
              </w:rPr>
            </w:pPr>
            <w:r w:rsidRPr="00020D20">
              <w:rPr>
                <w:i w:val="0"/>
                <w:color w:val="auto"/>
                <w:sz w:val="18"/>
              </w:rPr>
              <w:t>Primary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63904F6"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44802211"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12 μg/m</w:t>
            </w:r>
            <w:r w:rsidRPr="00020D20">
              <w:rPr>
                <w:i w:val="0"/>
                <w:color w:val="auto"/>
                <w:sz w:val="18"/>
                <w:vertAlign w:val="superscript"/>
              </w:rPr>
              <w:t>3</w:t>
            </w:r>
          </w:p>
        </w:tc>
        <w:tc>
          <w:tcPr>
            <w:tcW w:w="306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02A7B1B5"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 mean, averaged over 3 years</w:t>
            </w:r>
          </w:p>
        </w:tc>
      </w:tr>
      <w:tr w:rsidR="006C1E58" w:rsidRPr="009D7DE0" w14:paraId="4EAAF2BD" w14:textId="77777777" w:rsidTr="00020D20">
        <w:trPr>
          <w:trHeight w:val="133"/>
        </w:trPr>
        <w:tc>
          <w:tcPr>
            <w:tcW w:w="1440" w:type="dxa"/>
            <w:vMerge/>
            <w:tcBorders>
              <w:top w:val="single" w:sz="8" w:space="0" w:color="31849B"/>
              <w:left w:val="single" w:sz="8" w:space="0" w:color="58585B"/>
              <w:bottom w:val="single" w:sz="8" w:space="0" w:color="31849B"/>
              <w:right w:val="single" w:sz="8" w:space="0" w:color="58585B"/>
            </w:tcBorders>
          </w:tcPr>
          <w:p w14:paraId="54C042E6" w14:textId="77777777" w:rsidR="009D7DE0" w:rsidRPr="009D7DE0" w:rsidRDefault="009D7DE0" w:rsidP="00020D20">
            <w:pPr>
              <w:spacing w:before="0" w:after="0" w:line="240" w:lineRule="auto"/>
              <w:jc w:val="center"/>
              <w:rPr>
                <w:rFonts w:cstheme="minorHAnsi"/>
              </w:rPr>
            </w:pPr>
          </w:p>
        </w:tc>
        <w:tc>
          <w:tcPr>
            <w:tcW w:w="810" w:type="dxa"/>
            <w:vMerge/>
            <w:tcBorders>
              <w:top w:val="single" w:sz="8" w:space="0" w:color="31849B"/>
              <w:left w:val="single" w:sz="8" w:space="0" w:color="58585B"/>
              <w:bottom w:val="single" w:sz="8" w:space="0" w:color="31849B"/>
              <w:right w:val="single" w:sz="8" w:space="0" w:color="58585B"/>
            </w:tcBorders>
          </w:tcPr>
          <w:p w14:paraId="6ED35C06" w14:textId="77777777" w:rsidR="009D7DE0" w:rsidRPr="009D7DE0" w:rsidRDefault="009D7DE0" w:rsidP="00020D20">
            <w:pPr>
              <w:spacing w:before="0" w:after="0" w:line="240" w:lineRule="auto"/>
              <w:jc w:val="center"/>
              <w:rPr>
                <w:rFonts w:cstheme="minorHAnsi"/>
              </w:rPr>
            </w:pP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D7E56A7"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Secondary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2CF23E7"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4FA12996"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15 μg/m</w:t>
            </w:r>
            <w:r w:rsidRPr="00020D20">
              <w:rPr>
                <w:i w:val="0"/>
                <w:color w:val="auto"/>
                <w:sz w:val="18"/>
                <w:vertAlign w:val="superscript"/>
              </w:rPr>
              <w:t>3</w:t>
            </w:r>
          </w:p>
        </w:tc>
        <w:tc>
          <w:tcPr>
            <w:tcW w:w="306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74C54312"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Annual mean, averaged over 3 years</w:t>
            </w:r>
          </w:p>
        </w:tc>
      </w:tr>
      <w:tr w:rsidR="006C1E58" w:rsidRPr="009D7DE0" w14:paraId="5F2D3C99" w14:textId="77777777" w:rsidTr="00020D20">
        <w:trPr>
          <w:trHeight w:val="67"/>
        </w:trPr>
        <w:tc>
          <w:tcPr>
            <w:tcW w:w="1440" w:type="dxa"/>
            <w:vMerge/>
            <w:tcBorders>
              <w:top w:val="single" w:sz="8" w:space="0" w:color="31849B"/>
              <w:left w:val="single" w:sz="8" w:space="0" w:color="58585B"/>
              <w:bottom w:val="single" w:sz="8" w:space="0" w:color="31849B"/>
              <w:right w:val="single" w:sz="8" w:space="0" w:color="58585B"/>
            </w:tcBorders>
          </w:tcPr>
          <w:p w14:paraId="0F2F1767" w14:textId="77777777" w:rsidR="009D7DE0" w:rsidRPr="009D7DE0" w:rsidRDefault="009D7DE0" w:rsidP="00020D20">
            <w:pPr>
              <w:spacing w:before="0" w:after="0" w:line="240" w:lineRule="auto"/>
              <w:jc w:val="center"/>
              <w:rPr>
                <w:rFonts w:cstheme="minorHAnsi"/>
              </w:rPr>
            </w:pPr>
          </w:p>
        </w:tc>
        <w:tc>
          <w:tcPr>
            <w:tcW w:w="810" w:type="dxa"/>
            <w:vMerge/>
            <w:tcBorders>
              <w:top w:val="single" w:sz="8" w:space="0" w:color="31849B"/>
              <w:left w:val="single" w:sz="8" w:space="0" w:color="58585B"/>
              <w:bottom w:val="single" w:sz="8" w:space="0" w:color="58585B"/>
              <w:right w:val="single" w:sz="8" w:space="0" w:color="58585B"/>
            </w:tcBorders>
          </w:tcPr>
          <w:p w14:paraId="1CA17C9F" w14:textId="77777777" w:rsidR="009D7DE0" w:rsidRPr="009D7DE0" w:rsidRDefault="009D7DE0" w:rsidP="00020D20">
            <w:pPr>
              <w:spacing w:before="0" w:after="0" w:line="240" w:lineRule="auto"/>
              <w:jc w:val="center"/>
              <w:rPr>
                <w:rFonts w:cstheme="minorHAnsi"/>
              </w:rPr>
            </w:pP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7A36AE0F"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Primary &amp; Secondary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1EC06E89"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24-Hour</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575D45A0"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35 μg/m</w:t>
            </w:r>
            <w:r w:rsidRPr="00020D20">
              <w:rPr>
                <w:i w:val="0"/>
                <w:color w:val="auto"/>
                <w:sz w:val="18"/>
                <w:vertAlign w:val="superscript"/>
              </w:rPr>
              <w:t>3</w:t>
            </w:r>
          </w:p>
        </w:tc>
        <w:tc>
          <w:tcPr>
            <w:tcW w:w="306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044EC62"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98th percentile, averaged over 3 years</w:t>
            </w:r>
          </w:p>
        </w:tc>
      </w:tr>
      <w:tr w:rsidR="006C1E58" w:rsidRPr="009D7DE0" w14:paraId="595B09BF" w14:textId="77777777" w:rsidTr="00020D20">
        <w:trPr>
          <w:trHeight w:val="67"/>
        </w:trPr>
        <w:tc>
          <w:tcPr>
            <w:tcW w:w="1440" w:type="dxa"/>
            <w:vMerge/>
            <w:tcBorders>
              <w:top w:val="single" w:sz="8" w:space="0" w:color="31849B"/>
              <w:left w:val="single" w:sz="8" w:space="0" w:color="58585B"/>
              <w:bottom w:val="single" w:sz="8" w:space="0" w:color="58585B"/>
              <w:right w:val="single" w:sz="8" w:space="0" w:color="58585B"/>
            </w:tcBorders>
          </w:tcPr>
          <w:p w14:paraId="657AA0FB" w14:textId="77777777" w:rsidR="009D7DE0" w:rsidRPr="009D7DE0" w:rsidRDefault="009D7DE0" w:rsidP="00020D20">
            <w:pPr>
              <w:spacing w:before="0" w:after="0" w:line="240" w:lineRule="auto"/>
              <w:jc w:val="center"/>
              <w:rPr>
                <w:rFonts w:cstheme="minorHAnsi"/>
              </w:rPr>
            </w:pPr>
          </w:p>
        </w:tc>
        <w:tc>
          <w:tcPr>
            <w:tcW w:w="8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2C7EB080" w14:textId="77777777" w:rsidR="009D7DE0" w:rsidRPr="009D7DE0" w:rsidRDefault="009D7DE0" w:rsidP="00020D20">
            <w:pPr>
              <w:spacing w:before="0" w:after="0" w:line="240" w:lineRule="auto"/>
              <w:jc w:val="center"/>
            </w:pPr>
            <w:r w:rsidRPr="009D7DE0">
              <w:t>PM10</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1345E6E2"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Primary &amp; Secondary</w:t>
            </w:r>
          </w:p>
        </w:tc>
        <w:tc>
          <w:tcPr>
            <w:tcW w:w="117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7BB73168"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24-Hour</w:t>
            </w:r>
          </w:p>
        </w:tc>
        <w:tc>
          <w:tcPr>
            <w:tcW w:w="171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3DEF63A9"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150 μg/m</w:t>
            </w:r>
            <w:r w:rsidRPr="00020D20">
              <w:rPr>
                <w:i w:val="0"/>
                <w:color w:val="auto"/>
                <w:sz w:val="18"/>
                <w:vertAlign w:val="superscript"/>
              </w:rPr>
              <w:t>3</w:t>
            </w:r>
          </w:p>
        </w:tc>
        <w:tc>
          <w:tcPr>
            <w:tcW w:w="3060" w:type="dxa"/>
            <w:tcBorders>
              <w:top w:val="single" w:sz="8" w:space="0" w:color="58585B"/>
              <w:left w:val="single" w:sz="8" w:space="0" w:color="58585B"/>
              <w:bottom w:val="single" w:sz="8" w:space="0" w:color="58585B"/>
              <w:right w:val="single" w:sz="8" w:space="0" w:color="58585B"/>
            </w:tcBorders>
            <w:tcMar>
              <w:top w:w="0" w:type="dxa"/>
              <w:left w:w="108" w:type="dxa"/>
              <w:bottom w:w="0" w:type="dxa"/>
              <w:right w:w="108" w:type="dxa"/>
            </w:tcMar>
            <w:vAlign w:val="center"/>
          </w:tcPr>
          <w:p w14:paraId="23CF0E0F"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Not to be exceeded more than once per year on average over 3 years</w:t>
            </w:r>
          </w:p>
        </w:tc>
      </w:tr>
      <w:tr w:rsidR="004A63A9" w:rsidRPr="009D7DE0" w14:paraId="6B557A00" w14:textId="77777777" w:rsidTr="00020D20">
        <w:trPr>
          <w:trHeight w:val="540"/>
        </w:trPr>
        <w:tc>
          <w:tcPr>
            <w:tcW w:w="2250" w:type="dxa"/>
            <w:gridSpan w:val="2"/>
            <w:vMerge w:val="restart"/>
            <w:tcBorders>
              <w:top w:val="single" w:sz="8" w:space="0" w:color="58585B"/>
              <w:left w:val="single" w:sz="8" w:space="0" w:color="58585B"/>
              <w:bottom w:val="single" w:sz="8" w:space="0" w:color="31849B"/>
              <w:right w:val="single" w:sz="8" w:space="0" w:color="31849B"/>
            </w:tcBorders>
            <w:shd w:val="clear" w:color="auto" w:fill="E7E6E6" w:themeFill="background2"/>
            <w:tcMar>
              <w:top w:w="0" w:type="dxa"/>
              <w:left w:w="108" w:type="dxa"/>
              <w:bottom w:w="0" w:type="dxa"/>
              <w:right w:w="108" w:type="dxa"/>
            </w:tcMar>
            <w:vAlign w:val="center"/>
          </w:tcPr>
          <w:p w14:paraId="1491DC5A" w14:textId="77777777" w:rsidR="009D7DE0" w:rsidRPr="009D7DE0" w:rsidRDefault="009D7DE0" w:rsidP="00020D20">
            <w:pPr>
              <w:spacing w:before="0" w:after="0" w:line="240" w:lineRule="auto"/>
              <w:jc w:val="center"/>
              <w:rPr>
                <w:rFonts w:cstheme="minorHAnsi"/>
                <w:color w:val="FFFFFF"/>
                <w:position w:val="23"/>
              </w:rPr>
            </w:pPr>
            <w:r w:rsidRPr="009D7DE0">
              <w:t>Sulfur Dioxide</w:t>
            </w:r>
          </w:p>
          <w:p w14:paraId="3ABF14C1" w14:textId="638F3B7A" w:rsidR="009D7DE0" w:rsidRPr="004F6B4B" w:rsidRDefault="00202C92">
            <w:pPr>
              <w:pStyle w:val="Title"/>
            </w:pPr>
            <w:hyperlink r:id="rId986" w:history="1">
              <w:r w:rsidR="009D7DE0" w:rsidRPr="004F6B4B">
                <w:rPr>
                  <w:rStyle w:val="Hyperlink"/>
                  <w:rFonts w:asciiTheme="minorHAnsi" w:hAnsiTheme="minorHAnsi" w:cstheme="majorBidi"/>
                  <w:i/>
                  <w:iCs w:val="0"/>
                  <w:color w:val="CE5B18"/>
                  <w:sz w:val="20"/>
                  <w:szCs w:val="56"/>
                  <w:u w:val="none"/>
                </w:rPr>
                <w:t>75 FR 35520, Jun 22, 2010</w:t>
              </w:r>
            </w:hyperlink>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4F8C0275"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Primary</w:t>
            </w:r>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4947343F"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1-Hour</w:t>
            </w:r>
          </w:p>
        </w:tc>
        <w:tc>
          <w:tcPr>
            <w:tcW w:w="171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4BAC2463" w14:textId="5FB75ED4" w:rsidR="009D7DE0" w:rsidRPr="00020D20" w:rsidRDefault="009D7DE0" w:rsidP="00020D20">
            <w:pPr>
              <w:pStyle w:val="Heading5"/>
              <w:spacing w:before="0" w:after="0" w:line="240" w:lineRule="auto"/>
              <w:rPr>
                <w:i w:val="0"/>
                <w:color w:val="auto"/>
                <w:sz w:val="18"/>
              </w:rPr>
            </w:pPr>
            <w:r w:rsidRPr="00020D20">
              <w:rPr>
                <w:i w:val="0"/>
                <w:color w:val="auto"/>
                <w:sz w:val="18"/>
              </w:rPr>
              <w:t>75 pp</w:t>
            </w:r>
            <w:r w:rsidR="00847C1F">
              <w:rPr>
                <w:i w:val="0"/>
                <w:color w:val="auto"/>
                <w:sz w:val="18"/>
              </w:rPr>
              <w:t>b</w:t>
            </w:r>
          </w:p>
        </w:tc>
        <w:tc>
          <w:tcPr>
            <w:tcW w:w="306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25FCB917"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99th percentile of 1-hour daily maximum concentrations, averaged over 3 years</w:t>
            </w:r>
          </w:p>
        </w:tc>
      </w:tr>
      <w:tr w:rsidR="004A63A9" w:rsidRPr="009D7DE0" w14:paraId="7C98E609" w14:textId="77777777" w:rsidTr="00020D20">
        <w:trPr>
          <w:trHeight w:val="360"/>
        </w:trPr>
        <w:tc>
          <w:tcPr>
            <w:tcW w:w="2250" w:type="dxa"/>
            <w:gridSpan w:val="2"/>
            <w:vMerge/>
            <w:tcBorders>
              <w:top w:val="single" w:sz="8" w:space="0" w:color="31849B"/>
              <w:left w:val="single" w:sz="8" w:space="0" w:color="58585B"/>
              <w:bottom w:val="single" w:sz="8" w:space="0" w:color="58585B"/>
              <w:right w:val="single" w:sz="8" w:space="0" w:color="31849B"/>
            </w:tcBorders>
            <w:shd w:val="clear" w:color="auto" w:fill="E7E6E6" w:themeFill="background2"/>
          </w:tcPr>
          <w:p w14:paraId="49363940" w14:textId="77777777" w:rsidR="009D7DE0" w:rsidRPr="009D7DE0" w:rsidRDefault="009D7DE0" w:rsidP="00020D20">
            <w:pPr>
              <w:spacing w:before="0" w:after="0" w:line="240" w:lineRule="auto"/>
              <w:jc w:val="center"/>
              <w:rPr>
                <w:rFonts w:cstheme="minorHAnsi"/>
              </w:rPr>
            </w:pPr>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403F31C7"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Secondary</w:t>
            </w:r>
          </w:p>
        </w:tc>
        <w:tc>
          <w:tcPr>
            <w:tcW w:w="117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53657DDA"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3-Hour</w:t>
            </w:r>
          </w:p>
        </w:tc>
        <w:tc>
          <w:tcPr>
            <w:tcW w:w="171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7799F6DF"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0.5 ppm</w:t>
            </w:r>
          </w:p>
        </w:tc>
        <w:tc>
          <w:tcPr>
            <w:tcW w:w="306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0" w:type="dxa"/>
              <w:left w:w="108" w:type="dxa"/>
              <w:bottom w:w="0" w:type="dxa"/>
              <w:right w:w="108" w:type="dxa"/>
            </w:tcMar>
            <w:vAlign w:val="center"/>
          </w:tcPr>
          <w:p w14:paraId="68A0D1AE" w14:textId="77777777" w:rsidR="009D7DE0" w:rsidRPr="00020D20" w:rsidRDefault="009D7DE0" w:rsidP="00020D20">
            <w:pPr>
              <w:pStyle w:val="Heading5"/>
              <w:spacing w:before="0" w:after="0" w:line="240" w:lineRule="auto"/>
              <w:rPr>
                <w:i w:val="0"/>
                <w:color w:val="auto"/>
                <w:sz w:val="18"/>
              </w:rPr>
            </w:pPr>
            <w:r w:rsidRPr="00020D20">
              <w:rPr>
                <w:i w:val="0"/>
                <w:color w:val="auto"/>
                <w:sz w:val="18"/>
              </w:rPr>
              <w:t>Not to be exceeded more than once per year</w:t>
            </w:r>
          </w:p>
        </w:tc>
      </w:tr>
    </w:tbl>
    <w:p w14:paraId="13F2860B" w14:textId="4320A01E" w:rsidR="009D7DE0" w:rsidRPr="001419F6" w:rsidRDefault="009D7DE0" w:rsidP="00020D20">
      <w:pPr>
        <w:pStyle w:val="Source-Graphic"/>
        <w:jc w:val="both"/>
      </w:pPr>
      <w:r w:rsidRPr="001419F6">
        <w:t>* ppm means parts per million</w:t>
      </w:r>
      <w:r w:rsidR="006235C6">
        <w:t>; ppb means parts per billion</w:t>
      </w:r>
      <w:r w:rsidRPr="001419F6">
        <w:t>; µg/m</w:t>
      </w:r>
      <w:r w:rsidRPr="001419F6">
        <w:rPr>
          <w:vertAlign w:val="superscript"/>
        </w:rPr>
        <w:t>3</w:t>
      </w:r>
      <w:r w:rsidRPr="001419F6">
        <w:t>means micrograms per cubic meter.</w:t>
      </w:r>
    </w:p>
    <w:p w14:paraId="5A0CFD21" w14:textId="18BDC292" w:rsidR="009D7DE0" w:rsidRPr="001419F6" w:rsidRDefault="009D7DE0" w:rsidP="00020D20">
      <w:pPr>
        <w:pStyle w:val="Source-Graphic"/>
        <w:jc w:val="both"/>
      </w:pPr>
      <w:r w:rsidRPr="001419F6">
        <w:t>Source: Data from EPA 20</w:t>
      </w:r>
      <w:r w:rsidR="006235C6">
        <w:t>20</w:t>
      </w:r>
      <w:r w:rsidRPr="001419F6">
        <w:t xml:space="preserve">. </w:t>
      </w:r>
      <w:hyperlink r:id="rId987" w:history="1">
        <w:r w:rsidR="00654A88" w:rsidRPr="00654A88">
          <w:rPr>
            <w:rStyle w:val="TitleChar"/>
            <w:sz w:val="16"/>
            <w:szCs w:val="16"/>
          </w:rPr>
          <w:t>https://www.epa.gov/environmental-topics/air-topics</w:t>
        </w:r>
      </w:hyperlink>
    </w:p>
    <w:p w14:paraId="33A4EF1A" w14:textId="3F57D07A" w:rsidR="009D7DE0" w:rsidRDefault="009D7DE0" w:rsidP="00020D20">
      <w:pPr>
        <w:jc w:val="both"/>
        <w:rPr>
          <w:rFonts w:cstheme="minorHAnsi"/>
        </w:rPr>
      </w:pPr>
    </w:p>
    <w:p w14:paraId="5B195BF9" w14:textId="77777777" w:rsidR="00914975" w:rsidRDefault="00914975" w:rsidP="00020D20">
      <w:pPr>
        <w:jc w:val="both"/>
        <w:rPr>
          <w:rFonts w:cstheme="minorHAnsi"/>
        </w:rPr>
        <w:sectPr w:rsidR="00914975" w:rsidSect="00020D20">
          <w:type w:val="continuous"/>
          <w:pgSz w:w="12240" w:h="15840"/>
          <w:pgMar w:top="1440" w:right="1440" w:bottom="1440" w:left="1440" w:header="720" w:footer="720" w:gutter="0"/>
          <w:pgNumType w:chapStyle="1"/>
          <w:cols w:space="720"/>
          <w:docGrid w:linePitch="360"/>
        </w:sectPr>
      </w:pPr>
    </w:p>
    <w:tbl>
      <w:tblPr>
        <w:tblpPr w:leftFromText="180" w:rightFromText="180" w:vertAnchor="page" w:horzAnchor="margin" w:tblpXSpec="right" w:tblpY="2461"/>
        <w:tblW w:w="4510" w:type="dxa"/>
        <w:tblLook w:val="04A0" w:firstRow="1" w:lastRow="0" w:firstColumn="1" w:lastColumn="0" w:noHBand="0" w:noVBand="1"/>
      </w:tblPr>
      <w:tblGrid>
        <w:gridCol w:w="990"/>
        <w:gridCol w:w="1041"/>
        <w:gridCol w:w="979"/>
        <w:gridCol w:w="1500"/>
      </w:tblGrid>
      <w:tr w:rsidR="00692E72" w14:paraId="5F7D6CCB" w14:textId="77777777" w:rsidTr="00020D20">
        <w:tc>
          <w:tcPr>
            <w:tcW w:w="990" w:type="dxa"/>
            <w:tcBorders>
              <w:top w:val="single" w:sz="4" w:space="0" w:color="auto"/>
              <w:left w:val="single" w:sz="4" w:space="0" w:color="auto"/>
              <w:bottom w:val="single" w:sz="4" w:space="0" w:color="auto"/>
              <w:right w:val="single" w:sz="4" w:space="0" w:color="FFFFFF" w:themeColor="background1"/>
            </w:tcBorders>
            <w:shd w:val="clear" w:color="auto" w:fill="012768"/>
            <w:vAlign w:val="center"/>
          </w:tcPr>
          <w:p w14:paraId="0582F637" w14:textId="77777777" w:rsidR="00692E72" w:rsidRPr="00790C03" w:rsidRDefault="00692E72" w:rsidP="00692E72">
            <w:pPr>
              <w:spacing w:before="0" w:after="0" w:line="240" w:lineRule="auto"/>
              <w:jc w:val="both"/>
              <w:rPr>
                <w:sz w:val="18"/>
              </w:rPr>
            </w:pPr>
            <w:r w:rsidRPr="00790C03">
              <w:rPr>
                <w:sz w:val="18"/>
              </w:rPr>
              <w:t>County</w:t>
            </w:r>
          </w:p>
        </w:tc>
        <w:tc>
          <w:tcPr>
            <w:tcW w:w="104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vAlign w:val="center"/>
          </w:tcPr>
          <w:p w14:paraId="0C2C421F" w14:textId="77777777" w:rsidR="00692E72" w:rsidRPr="00790C03" w:rsidRDefault="00692E72" w:rsidP="00692E72">
            <w:pPr>
              <w:spacing w:before="0" w:after="0" w:line="240" w:lineRule="auto"/>
              <w:jc w:val="both"/>
              <w:rPr>
                <w:sz w:val="18"/>
              </w:rPr>
            </w:pPr>
            <w:r w:rsidRPr="00790C03">
              <w:rPr>
                <w:sz w:val="18"/>
              </w:rPr>
              <w:t>Pollutant</w:t>
            </w:r>
          </w:p>
        </w:tc>
        <w:tc>
          <w:tcPr>
            <w:tcW w:w="979"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vAlign w:val="center"/>
          </w:tcPr>
          <w:p w14:paraId="18F16433" w14:textId="77777777" w:rsidR="00692E72" w:rsidRPr="00790C03" w:rsidRDefault="00692E72" w:rsidP="00692E72">
            <w:pPr>
              <w:spacing w:before="0" w:after="0" w:line="240" w:lineRule="auto"/>
              <w:jc w:val="both"/>
              <w:rPr>
                <w:sz w:val="18"/>
              </w:rPr>
            </w:pPr>
            <w:r w:rsidRPr="00790C03">
              <w:rPr>
                <w:sz w:val="18"/>
              </w:rPr>
              <w:t>Location</w:t>
            </w:r>
          </w:p>
        </w:tc>
        <w:tc>
          <w:tcPr>
            <w:tcW w:w="1500" w:type="dxa"/>
            <w:tcBorders>
              <w:top w:val="single" w:sz="4" w:space="0" w:color="auto"/>
              <w:left w:val="single" w:sz="4" w:space="0" w:color="FFFFFF" w:themeColor="background1"/>
              <w:bottom w:val="single" w:sz="4" w:space="0" w:color="auto"/>
              <w:right w:val="single" w:sz="4" w:space="0" w:color="auto"/>
            </w:tcBorders>
            <w:shd w:val="clear" w:color="auto" w:fill="012768"/>
            <w:vAlign w:val="center"/>
          </w:tcPr>
          <w:p w14:paraId="7F9DB032" w14:textId="77777777" w:rsidR="00692E72" w:rsidRPr="00790C03" w:rsidRDefault="00692E72" w:rsidP="00692E72">
            <w:pPr>
              <w:spacing w:before="0" w:after="0" w:line="240" w:lineRule="auto"/>
              <w:jc w:val="both"/>
              <w:rPr>
                <w:sz w:val="18"/>
              </w:rPr>
            </w:pPr>
            <w:r w:rsidRPr="00790C03">
              <w:rPr>
                <w:sz w:val="18"/>
              </w:rPr>
              <w:t>Status &amp; Severity</w:t>
            </w:r>
          </w:p>
        </w:tc>
      </w:tr>
      <w:tr w:rsidR="00692E72" w14:paraId="604A5BBB" w14:textId="77777777" w:rsidTr="00020D20">
        <w:tc>
          <w:tcPr>
            <w:tcW w:w="990" w:type="dxa"/>
            <w:vMerge w:val="restart"/>
            <w:tcBorders>
              <w:top w:val="single" w:sz="4" w:space="0" w:color="auto"/>
              <w:left w:val="single" w:sz="4" w:space="0" w:color="auto"/>
              <w:bottom w:val="single" w:sz="4" w:space="0" w:color="auto"/>
              <w:right w:val="single" w:sz="4" w:space="0" w:color="auto"/>
            </w:tcBorders>
            <w:vAlign w:val="center"/>
          </w:tcPr>
          <w:p w14:paraId="69C380AF" w14:textId="77777777" w:rsidR="00692E72" w:rsidRPr="00023359" w:rsidRDefault="00692E72" w:rsidP="00692E72">
            <w:pPr>
              <w:spacing w:before="0" w:after="0" w:line="240" w:lineRule="auto"/>
              <w:jc w:val="both"/>
              <w:rPr>
                <w:sz w:val="16"/>
              </w:rPr>
            </w:pPr>
            <w:r w:rsidRPr="00023359">
              <w:rPr>
                <w:sz w:val="16"/>
              </w:rPr>
              <w:t>Cochise</w:t>
            </w:r>
          </w:p>
        </w:tc>
        <w:tc>
          <w:tcPr>
            <w:tcW w:w="1041" w:type="dxa"/>
            <w:tcBorders>
              <w:top w:val="single" w:sz="4" w:space="0" w:color="auto"/>
              <w:left w:val="single" w:sz="4" w:space="0" w:color="auto"/>
              <w:bottom w:val="single" w:sz="4" w:space="0" w:color="auto"/>
              <w:right w:val="single" w:sz="4" w:space="0" w:color="auto"/>
            </w:tcBorders>
            <w:vAlign w:val="center"/>
          </w:tcPr>
          <w:p w14:paraId="0C2CAAB8"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vAlign w:val="center"/>
          </w:tcPr>
          <w:p w14:paraId="289E12F6" w14:textId="77777777" w:rsidR="00692E72" w:rsidRPr="00023359" w:rsidRDefault="00692E72" w:rsidP="00692E72">
            <w:pPr>
              <w:spacing w:before="0" w:after="0" w:line="240" w:lineRule="auto"/>
              <w:jc w:val="both"/>
              <w:rPr>
                <w:sz w:val="16"/>
              </w:rPr>
            </w:pPr>
            <w:r w:rsidRPr="00023359">
              <w:rPr>
                <w:sz w:val="16"/>
              </w:rPr>
              <w:t xml:space="preserve">Paul Spur / Douglas </w:t>
            </w:r>
          </w:p>
        </w:tc>
        <w:tc>
          <w:tcPr>
            <w:tcW w:w="1500" w:type="dxa"/>
            <w:tcBorders>
              <w:top w:val="single" w:sz="4" w:space="0" w:color="auto"/>
              <w:left w:val="single" w:sz="4" w:space="0" w:color="auto"/>
              <w:bottom w:val="single" w:sz="4" w:space="0" w:color="auto"/>
              <w:right w:val="single" w:sz="4" w:space="0" w:color="auto"/>
            </w:tcBorders>
            <w:vAlign w:val="center"/>
          </w:tcPr>
          <w:p w14:paraId="534A3119" w14:textId="77777777" w:rsidR="00692E72" w:rsidRPr="00023359" w:rsidRDefault="00692E72" w:rsidP="00692E72">
            <w:pPr>
              <w:spacing w:before="0" w:after="0" w:line="240" w:lineRule="auto"/>
              <w:jc w:val="both"/>
              <w:rPr>
                <w:sz w:val="16"/>
              </w:rPr>
            </w:pPr>
            <w:r w:rsidRPr="00023359">
              <w:rPr>
                <w:sz w:val="16"/>
              </w:rPr>
              <w:t>Nonattainment, moderate</w:t>
            </w:r>
          </w:p>
        </w:tc>
      </w:tr>
      <w:tr w:rsidR="00692E72" w14:paraId="612A1536"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1FADF1FF"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6F298E0A" w14:textId="77777777" w:rsidR="00692E72" w:rsidRPr="00023359" w:rsidRDefault="00692E72" w:rsidP="00692E72">
            <w:pPr>
              <w:spacing w:before="0" w:after="0" w:line="240" w:lineRule="auto"/>
              <w:jc w:val="both"/>
              <w:rPr>
                <w:sz w:val="16"/>
              </w:rPr>
            </w:pPr>
            <w:r w:rsidRPr="00023359">
              <w:rPr>
                <w:sz w:val="16"/>
              </w:rPr>
              <w:t>Sulfur dioxide</w:t>
            </w:r>
          </w:p>
        </w:tc>
        <w:tc>
          <w:tcPr>
            <w:tcW w:w="979" w:type="dxa"/>
            <w:tcBorders>
              <w:top w:val="single" w:sz="4" w:space="0" w:color="auto"/>
              <w:left w:val="single" w:sz="4" w:space="0" w:color="auto"/>
              <w:bottom w:val="single" w:sz="4" w:space="0" w:color="auto"/>
              <w:right w:val="single" w:sz="4" w:space="0" w:color="auto"/>
            </w:tcBorders>
            <w:vAlign w:val="center"/>
          </w:tcPr>
          <w:p w14:paraId="283AFDA3" w14:textId="77777777" w:rsidR="00692E72" w:rsidRPr="00023359" w:rsidRDefault="00692E72" w:rsidP="00692E72">
            <w:pPr>
              <w:spacing w:before="0" w:after="0" w:line="240" w:lineRule="auto"/>
              <w:jc w:val="both"/>
              <w:rPr>
                <w:sz w:val="16"/>
              </w:rPr>
            </w:pPr>
            <w:r w:rsidRPr="00023359">
              <w:rPr>
                <w:sz w:val="16"/>
              </w:rPr>
              <w:t>Douglas</w:t>
            </w:r>
          </w:p>
        </w:tc>
        <w:tc>
          <w:tcPr>
            <w:tcW w:w="1500" w:type="dxa"/>
            <w:tcBorders>
              <w:top w:val="single" w:sz="4" w:space="0" w:color="auto"/>
              <w:left w:val="single" w:sz="4" w:space="0" w:color="auto"/>
              <w:bottom w:val="single" w:sz="4" w:space="0" w:color="auto"/>
              <w:right w:val="single" w:sz="4" w:space="0" w:color="auto"/>
            </w:tcBorders>
            <w:vAlign w:val="center"/>
          </w:tcPr>
          <w:p w14:paraId="7A210E2F" w14:textId="77777777" w:rsidR="00692E72" w:rsidRPr="00023359" w:rsidRDefault="00692E72" w:rsidP="00692E72">
            <w:pPr>
              <w:spacing w:before="0" w:after="0" w:line="240" w:lineRule="auto"/>
              <w:jc w:val="both"/>
              <w:rPr>
                <w:sz w:val="16"/>
              </w:rPr>
            </w:pPr>
            <w:r w:rsidRPr="00023359">
              <w:rPr>
                <w:sz w:val="16"/>
              </w:rPr>
              <w:t>Maintenance, primary</w:t>
            </w:r>
          </w:p>
        </w:tc>
      </w:tr>
      <w:tr w:rsidR="00692E72" w14:paraId="6C008289" w14:textId="77777777" w:rsidTr="00020D20">
        <w:tc>
          <w:tcPr>
            <w:tcW w:w="99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67CA770" w14:textId="77777777" w:rsidR="00692E72" w:rsidRPr="00023359" w:rsidRDefault="00692E72" w:rsidP="00692E72">
            <w:pPr>
              <w:spacing w:before="0" w:after="0" w:line="240" w:lineRule="auto"/>
              <w:jc w:val="both"/>
              <w:rPr>
                <w:sz w:val="16"/>
              </w:rPr>
            </w:pPr>
            <w:r w:rsidRPr="00023359">
              <w:rPr>
                <w:sz w:val="16"/>
              </w:rPr>
              <w:t>Gila</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7303FF8"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112BD20" w14:textId="77777777" w:rsidR="00692E72" w:rsidRPr="00023359" w:rsidRDefault="00692E72" w:rsidP="00692E72">
            <w:pPr>
              <w:spacing w:before="0" w:after="0" w:line="240" w:lineRule="auto"/>
              <w:jc w:val="both"/>
              <w:rPr>
                <w:sz w:val="16"/>
              </w:rPr>
            </w:pPr>
            <w:r w:rsidRPr="00023359">
              <w:rPr>
                <w:sz w:val="16"/>
              </w:rPr>
              <w:t>Miami</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6EE38A9" w14:textId="77777777" w:rsidR="00692E72" w:rsidRPr="00023359" w:rsidRDefault="00692E72" w:rsidP="00692E72">
            <w:pPr>
              <w:spacing w:before="0" w:after="0" w:line="240" w:lineRule="auto"/>
              <w:jc w:val="both"/>
              <w:rPr>
                <w:sz w:val="16"/>
              </w:rPr>
            </w:pPr>
            <w:r w:rsidRPr="00023359">
              <w:rPr>
                <w:sz w:val="16"/>
              </w:rPr>
              <w:t>Nonattainment, moderate</w:t>
            </w:r>
          </w:p>
        </w:tc>
      </w:tr>
      <w:tr w:rsidR="00692E72" w14:paraId="5EAE9553"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A9CA51F"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6779112"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4052E38" w14:textId="77777777" w:rsidR="00692E72" w:rsidRPr="00023359" w:rsidRDefault="00692E72" w:rsidP="00692E72">
            <w:pPr>
              <w:spacing w:before="0" w:after="0" w:line="240" w:lineRule="auto"/>
              <w:jc w:val="both"/>
              <w:rPr>
                <w:sz w:val="16"/>
              </w:rPr>
            </w:pPr>
            <w:r w:rsidRPr="00023359">
              <w:rPr>
                <w:sz w:val="16"/>
              </w:rPr>
              <w:t>Payson</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5CAC32E" w14:textId="77777777" w:rsidR="00692E72" w:rsidRPr="00023359" w:rsidRDefault="00692E72" w:rsidP="00692E72">
            <w:pPr>
              <w:spacing w:before="0" w:after="0" w:line="240" w:lineRule="auto"/>
              <w:jc w:val="both"/>
              <w:rPr>
                <w:sz w:val="16"/>
              </w:rPr>
            </w:pPr>
            <w:r w:rsidRPr="00023359">
              <w:rPr>
                <w:sz w:val="16"/>
              </w:rPr>
              <w:t>Maintenance</w:t>
            </w:r>
          </w:p>
        </w:tc>
      </w:tr>
      <w:tr w:rsidR="00692E72" w14:paraId="54732BD2"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AA37448"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BB0D3E9" w14:textId="77777777" w:rsidR="00692E72" w:rsidRPr="00023359" w:rsidRDefault="00692E72" w:rsidP="00692E72">
            <w:pPr>
              <w:spacing w:before="0" w:after="0" w:line="240" w:lineRule="auto"/>
              <w:jc w:val="both"/>
              <w:rPr>
                <w:sz w:val="16"/>
              </w:rPr>
            </w:pPr>
            <w:r w:rsidRPr="00023359">
              <w:rPr>
                <w:sz w:val="16"/>
              </w:rPr>
              <w:t>Sulfur dioxide</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BE5EBE" w14:textId="77777777" w:rsidR="00692E72" w:rsidRPr="00023359" w:rsidRDefault="00692E72" w:rsidP="00692E72">
            <w:pPr>
              <w:spacing w:before="0" w:after="0" w:line="240" w:lineRule="auto"/>
              <w:jc w:val="both"/>
              <w:rPr>
                <w:sz w:val="16"/>
              </w:rPr>
            </w:pPr>
            <w:r w:rsidRPr="00023359">
              <w:rPr>
                <w:sz w:val="16"/>
              </w:rPr>
              <w:t>Miami</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7459BB4" w14:textId="77777777" w:rsidR="00692E72" w:rsidRPr="00023359" w:rsidRDefault="00692E72" w:rsidP="00692E72">
            <w:pPr>
              <w:spacing w:before="0" w:after="0" w:line="240" w:lineRule="auto"/>
              <w:jc w:val="both"/>
              <w:rPr>
                <w:sz w:val="16"/>
              </w:rPr>
            </w:pPr>
            <w:r w:rsidRPr="00023359">
              <w:rPr>
                <w:sz w:val="16"/>
              </w:rPr>
              <w:t>Maintenance, primary</w:t>
            </w:r>
          </w:p>
        </w:tc>
      </w:tr>
      <w:tr w:rsidR="00692E72" w14:paraId="0B516DA7" w14:textId="77777777" w:rsidTr="00020D20">
        <w:tc>
          <w:tcPr>
            <w:tcW w:w="990" w:type="dxa"/>
            <w:tcBorders>
              <w:top w:val="single" w:sz="4" w:space="0" w:color="auto"/>
              <w:left w:val="single" w:sz="4" w:space="0" w:color="auto"/>
              <w:bottom w:val="single" w:sz="4" w:space="0" w:color="auto"/>
              <w:right w:val="single" w:sz="4" w:space="0" w:color="auto"/>
            </w:tcBorders>
            <w:vAlign w:val="center"/>
          </w:tcPr>
          <w:p w14:paraId="6164F28D" w14:textId="77777777" w:rsidR="00692E72" w:rsidRPr="00023359" w:rsidRDefault="00692E72" w:rsidP="00692E72">
            <w:pPr>
              <w:spacing w:before="0" w:after="0" w:line="240" w:lineRule="auto"/>
              <w:jc w:val="both"/>
              <w:rPr>
                <w:sz w:val="16"/>
              </w:rPr>
            </w:pPr>
            <w:r w:rsidRPr="00023359">
              <w:rPr>
                <w:sz w:val="16"/>
              </w:rPr>
              <w:t>Greenlee</w:t>
            </w:r>
          </w:p>
        </w:tc>
        <w:tc>
          <w:tcPr>
            <w:tcW w:w="1041" w:type="dxa"/>
            <w:tcBorders>
              <w:top w:val="single" w:sz="4" w:space="0" w:color="auto"/>
              <w:left w:val="single" w:sz="4" w:space="0" w:color="auto"/>
              <w:bottom w:val="single" w:sz="4" w:space="0" w:color="auto"/>
              <w:right w:val="single" w:sz="4" w:space="0" w:color="auto"/>
            </w:tcBorders>
            <w:vAlign w:val="center"/>
          </w:tcPr>
          <w:p w14:paraId="78B9EE33" w14:textId="77777777" w:rsidR="00692E72" w:rsidRPr="00023359" w:rsidRDefault="00692E72" w:rsidP="00692E72">
            <w:pPr>
              <w:spacing w:before="0" w:after="0" w:line="240" w:lineRule="auto"/>
              <w:jc w:val="both"/>
              <w:rPr>
                <w:sz w:val="16"/>
              </w:rPr>
            </w:pPr>
            <w:r w:rsidRPr="00023359">
              <w:rPr>
                <w:sz w:val="16"/>
              </w:rPr>
              <w:t>Sulfur dioxide</w:t>
            </w:r>
          </w:p>
        </w:tc>
        <w:tc>
          <w:tcPr>
            <w:tcW w:w="979" w:type="dxa"/>
            <w:tcBorders>
              <w:top w:val="single" w:sz="4" w:space="0" w:color="auto"/>
              <w:left w:val="single" w:sz="4" w:space="0" w:color="auto"/>
              <w:bottom w:val="single" w:sz="4" w:space="0" w:color="auto"/>
              <w:right w:val="single" w:sz="4" w:space="0" w:color="auto"/>
            </w:tcBorders>
            <w:vAlign w:val="center"/>
          </w:tcPr>
          <w:p w14:paraId="0FF418B6" w14:textId="77777777" w:rsidR="00692E72" w:rsidRPr="00023359" w:rsidRDefault="00692E72" w:rsidP="00692E72">
            <w:pPr>
              <w:spacing w:before="0" w:after="0" w:line="240" w:lineRule="auto"/>
              <w:jc w:val="both"/>
              <w:rPr>
                <w:sz w:val="16"/>
              </w:rPr>
            </w:pPr>
            <w:r w:rsidRPr="00023359">
              <w:rPr>
                <w:sz w:val="16"/>
              </w:rPr>
              <w:t>Morenci</w:t>
            </w:r>
          </w:p>
        </w:tc>
        <w:tc>
          <w:tcPr>
            <w:tcW w:w="1500" w:type="dxa"/>
            <w:tcBorders>
              <w:top w:val="single" w:sz="4" w:space="0" w:color="auto"/>
              <w:left w:val="single" w:sz="4" w:space="0" w:color="auto"/>
              <w:bottom w:val="single" w:sz="4" w:space="0" w:color="auto"/>
              <w:right w:val="single" w:sz="4" w:space="0" w:color="auto"/>
            </w:tcBorders>
            <w:vAlign w:val="center"/>
          </w:tcPr>
          <w:p w14:paraId="2264AD19" w14:textId="77777777" w:rsidR="00692E72" w:rsidRPr="00023359" w:rsidRDefault="00692E72" w:rsidP="00692E72">
            <w:pPr>
              <w:spacing w:before="0" w:after="0" w:line="240" w:lineRule="auto"/>
              <w:jc w:val="both"/>
              <w:rPr>
                <w:sz w:val="16"/>
              </w:rPr>
            </w:pPr>
            <w:r w:rsidRPr="00023359">
              <w:rPr>
                <w:sz w:val="16"/>
              </w:rPr>
              <w:t>Maintenance, primary</w:t>
            </w:r>
          </w:p>
        </w:tc>
      </w:tr>
      <w:tr w:rsidR="00692E72" w14:paraId="630ED6D2" w14:textId="77777777" w:rsidTr="00020D20">
        <w:tc>
          <w:tcPr>
            <w:tcW w:w="99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DE863C7" w14:textId="77777777" w:rsidR="00692E72" w:rsidRPr="00023359" w:rsidRDefault="00692E72" w:rsidP="00692E72">
            <w:pPr>
              <w:spacing w:before="0" w:after="0" w:line="240" w:lineRule="auto"/>
              <w:jc w:val="both"/>
              <w:rPr>
                <w:sz w:val="16"/>
              </w:rPr>
            </w:pPr>
            <w:r w:rsidRPr="00023359">
              <w:rPr>
                <w:sz w:val="16"/>
              </w:rPr>
              <w:t>Maricopa</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748A767" w14:textId="77777777" w:rsidR="00692E72" w:rsidRPr="00023359" w:rsidRDefault="00692E72" w:rsidP="00692E72">
            <w:pPr>
              <w:spacing w:before="0" w:after="0" w:line="240" w:lineRule="auto"/>
              <w:jc w:val="both"/>
              <w:rPr>
                <w:sz w:val="16"/>
              </w:rPr>
            </w:pPr>
            <w:r w:rsidRPr="00023359">
              <w:rPr>
                <w:sz w:val="16"/>
              </w:rPr>
              <w:t>Carbon monoxide</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4AF9A6"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C585055" w14:textId="77777777" w:rsidR="00692E72" w:rsidRPr="00023359" w:rsidRDefault="00692E72" w:rsidP="00692E72">
            <w:pPr>
              <w:spacing w:before="0" w:after="0" w:line="240" w:lineRule="auto"/>
              <w:jc w:val="both"/>
              <w:rPr>
                <w:sz w:val="16"/>
              </w:rPr>
            </w:pPr>
            <w:r w:rsidRPr="00023359">
              <w:rPr>
                <w:sz w:val="16"/>
              </w:rPr>
              <w:t>Maintenance</w:t>
            </w:r>
          </w:p>
        </w:tc>
      </w:tr>
      <w:tr w:rsidR="00692E72" w14:paraId="7482EE98"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B541F90"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54BB904" w14:textId="77777777" w:rsidR="00692E72" w:rsidRPr="00023359" w:rsidRDefault="00692E72" w:rsidP="00692E72">
            <w:pPr>
              <w:spacing w:before="0" w:after="0" w:line="240" w:lineRule="auto"/>
              <w:jc w:val="both"/>
              <w:rPr>
                <w:sz w:val="16"/>
              </w:rPr>
            </w:pPr>
            <w:r w:rsidRPr="00023359">
              <w:rPr>
                <w:sz w:val="16"/>
              </w:rPr>
              <w:t>Ozone, 1 hr</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505C942"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A06DE16" w14:textId="77777777" w:rsidR="00692E72" w:rsidRPr="00023359" w:rsidRDefault="00692E72" w:rsidP="00692E72">
            <w:pPr>
              <w:spacing w:before="0" w:after="0" w:line="240" w:lineRule="auto"/>
              <w:jc w:val="both"/>
              <w:rPr>
                <w:sz w:val="16"/>
              </w:rPr>
            </w:pPr>
            <w:r w:rsidRPr="00023359">
              <w:rPr>
                <w:sz w:val="16"/>
              </w:rPr>
              <w:t>Maintenance</w:t>
            </w:r>
          </w:p>
        </w:tc>
      </w:tr>
      <w:tr w:rsidR="00692E72" w14:paraId="2B354119"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E08401E"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D90A552" w14:textId="77777777" w:rsidR="00692E72" w:rsidRPr="00023359" w:rsidRDefault="00692E72" w:rsidP="00692E72">
            <w:pPr>
              <w:spacing w:before="0" w:after="0" w:line="240" w:lineRule="auto"/>
              <w:jc w:val="both"/>
              <w:rPr>
                <w:sz w:val="16"/>
              </w:rPr>
            </w:pPr>
            <w:r w:rsidRPr="00023359">
              <w:rPr>
                <w:sz w:val="16"/>
              </w:rPr>
              <w:t>Ozone, 8 hr</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123469B"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158800D" w14:textId="77777777" w:rsidR="00692E72" w:rsidRPr="00023359" w:rsidRDefault="00692E72" w:rsidP="00692E72">
            <w:pPr>
              <w:spacing w:before="0" w:after="0" w:line="240" w:lineRule="auto"/>
              <w:jc w:val="both"/>
              <w:rPr>
                <w:sz w:val="16"/>
              </w:rPr>
            </w:pPr>
            <w:r w:rsidRPr="00023359">
              <w:rPr>
                <w:sz w:val="16"/>
              </w:rPr>
              <w:t>Nonattainment, marginal</w:t>
            </w:r>
          </w:p>
        </w:tc>
      </w:tr>
      <w:tr w:rsidR="00692E72" w14:paraId="56AF99A1"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50F35C6"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38EB0AB"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41C4B64"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8508CE" w14:textId="77777777" w:rsidR="00692E72" w:rsidRPr="00023359" w:rsidRDefault="00692E72" w:rsidP="00692E72">
            <w:pPr>
              <w:spacing w:before="0" w:after="0" w:line="240" w:lineRule="auto"/>
              <w:jc w:val="both"/>
              <w:rPr>
                <w:sz w:val="16"/>
              </w:rPr>
            </w:pPr>
            <w:r w:rsidRPr="00023359">
              <w:rPr>
                <w:sz w:val="16"/>
              </w:rPr>
              <w:t>Nonattainment, serious</w:t>
            </w:r>
          </w:p>
        </w:tc>
      </w:tr>
      <w:tr w:rsidR="00692E72" w14:paraId="24FC2FF6" w14:textId="77777777" w:rsidTr="00020D20">
        <w:tc>
          <w:tcPr>
            <w:tcW w:w="990" w:type="dxa"/>
            <w:tcBorders>
              <w:top w:val="single" w:sz="4" w:space="0" w:color="auto"/>
              <w:left w:val="single" w:sz="4" w:space="0" w:color="auto"/>
              <w:bottom w:val="single" w:sz="4" w:space="0" w:color="auto"/>
              <w:right w:val="single" w:sz="4" w:space="0" w:color="auto"/>
            </w:tcBorders>
            <w:vAlign w:val="center"/>
          </w:tcPr>
          <w:p w14:paraId="29A5AAAE" w14:textId="77777777" w:rsidR="00692E72" w:rsidRPr="00023359" w:rsidRDefault="00692E72" w:rsidP="00692E72">
            <w:pPr>
              <w:spacing w:before="0" w:after="0" w:line="240" w:lineRule="auto"/>
              <w:jc w:val="both"/>
              <w:rPr>
                <w:sz w:val="16"/>
              </w:rPr>
            </w:pPr>
            <w:r w:rsidRPr="00023359">
              <w:rPr>
                <w:sz w:val="16"/>
              </w:rPr>
              <w:t>Mojave</w:t>
            </w:r>
          </w:p>
        </w:tc>
        <w:tc>
          <w:tcPr>
            <w:tcW w:w="1041" w:type="dxa"/>
            <w:tcBorders>
              <w:top w:val="single" w:sz="4" w:space="0" w:color="auto"/>
              <w:left w:val="single" w:sz="4" w:space="0" w:color="auto"/>
              <w:bottom w:val="single" w:sz="4" w:space="0" w:color="auto"/>
              <w:right w:val="single" w:sz="4" w:space="0" w:color="auto"/>
            </w:tcBorders>
            <w:vAlign w:val="center"/>
          </w:tcPr>
          <w:p w14:paraId="53918BFC"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vAlign w:val="center"/>
          </w:tcPr>
          <w:p w14:paraId="11B413EC" w14:textId="77777777" w:rsidR="00692E72" w:rsidRPr="00023359" w:rsidRDefault="00692E72" w:rsidP="00692E72">
            <w:pPr>
              <w:spacing w:before="0" w:after="0" w:line="240" w:lineRule="auto"/>
              <w:jc w:val="both"/>
              <w:rPr>
                <w:sz w:val="16"/>
              </w:rPr>
            </w:pPr>
            <w:r w:rsidRPr="00023359">
              <w:rPr>
                <w:sz w:val="16"/>
              </w:rPr>
              <w:t>Bullhead City</w:t>
            </w:r>
          </w:p>
        </w:tc>
        <w:tc>
          <w:tcPr>
            <w:tcW w:w="1500" w:type="dxa"/>
            <w:tcBorders>
              <w:top w:val="single" w:sz="4" w:space="0" w:color="auto"/>
              <w:left w:val="single" w:sz="4" w:space="0" w:color="auto"/>
              <w:bottom w:val="single" w:sz="4" w:space="0" w:color="auto"/>
              <w:right w:val="single" w:sz="4" w:space="0" w:color="auto"/>
            </w:tcBorders>
            <w:vAlign w:val="center"/>
          </w:tcPr>
          <w:p w14:paraId="446D0240" w14:textId="77777777" w:rsidR="00692E72" w:rsidRPr="00023359" w:rsidRDefault="00692E72" w:rsidP="00692E72">
            <w:pPr>
              <w:spacing w:before="0" w:after="0" w:line="240" w:lineRule="auto"/>
              <w:jc w:val="both"/>
              <w:rPr>
                <w:sz w:val="16"/>
              </w:rPr>
            </w:pPr>
            <w:r w:rsidRPr="00023359">
              <w:rPr>
                <w:sz w:val="16"/>
              </w:rPr>
              <w:t>Maintenance</w:t>
            </w:r>
          </w:p>
        </w:tc>
      </w:tr>
      <w:tr w:rsidR="00692E72" w14:paraId="299A8E26" w14:textId="77777777" w:rsidTr="00020D20">
        <w:tc>
          <w:tcPr>
            <w:tcW w:w="99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9C8BA9E" w14:textId="77777777" w:rsidR="00692E72" w:rsidRPr="00023359" w:rsidRDefault="00692E72" w:rsidP="00692E72">
            <w:pPr>
              <w:spacing w:before="0" w:after="0" w:line="240" w:lineRule="auto"/>
              <w:jc w:val="both"/>
              <w:rPr>
                <w:sz w:val="16"/>
              </w:rPr>
            </w:pPr>
            <w:r>
              <w:rPr>
                <w:sz w:val="16"/>
              </w:rPr>
              <w:t>Pima</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4AC3FD4"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F196860" w14:textId="77777777" w:rsidR="00692E72" w:rsidRPr="00023359" w:rsidRDefault="00692E72" w:rsidP="00692E72">
            <w:pPr>
              <w:spacing w:before="0" w:after="0" w:line="240" w:lineRule="auto"/>
              <w:jc w:val="both"/>
              <w:rPr>
                <w:sz w:val="16"/>
              </w:rPr>
            </w:pPr>
            <w:r w:rsidRPr="00023359">
              <w:rPr>
                <w:sz w:val="16"/>
              </w:rPr>
              <w:t xml:space="preserve">Ajo </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CC62C34" w14:textId="77777777" w:rsidR="00692E72" w:rsidRPr="00023359" w:rsidRDefault="00692E72" w:rsidP="00692E72">
            <w:pPr>
              <w:spacing w:before="0" w:after="0" w:line="240" w:lineRule="auto"/>
              <w:jc w:val="both"/>
              <w:rPr>
                <w:sz w:val="16"/>
              </w:rPr>
            </w:pPr>
            <w:r>
              <w:rPr>
                <w:sz w:val="16"/>
              </w:rPr>
              <w:t>Maintenance</w:t>
            </w:r>
          </w:p>
        </w:tc>
      </w:tr>
      <w:tr w:rsidR="00692E72" w14:paraId="06954568"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94C17AE"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73539D0"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FF7C4F6" w14:textId="77777777" w:rsidR="00692E72" w:rsidRPr="00023359" w:rsidRDefault="00692E72" w:rsidP="00692E72">
            <w:pPr>
              <w:spacing w:before="0" w:after="0" w:line="240" w:lineRule="auto"/>
              <w:jc w:val="both"/>
              <w:rPr>
                <w:sz w:val="16"/>
              </w:rPr>
            </w:pPr>
            <w:r w:rsidRPr="00023359">
              <w:rPr>
                <w:sz w:val="16"/>
              </w:rPr>
              <w:t>Rillito</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F4C20DA" w14:textId="77777777" w:rsidR="00692E72" w:rsidRPr="00023359" w:rsidRDefault="00692E72" w:rsidP="00692E72">
            <w:pPr>
              <w:spacing w:before="0" w:after="0" w:line="240" w:lineRule="auto"/>
              <w:jc w:val="both"/>
              <w:rPr>
                <w:sz w:val="16"/>
              </w:rPr>
            </w:pPr>
            <w:r w:rsidRPr="00023359">
              <w:rPr>
                <w:sz w:val="16"/>
              </w:rPr>
              <w:t>Nonattainment, moderate</w:t>
            </w:r>
          </w:p>
        </w:tc>
      </w:tr>
      <w:tr w:rsidR="00692E72" w14:paraId="1E50D8ED" w14:textId="77777777" w:rsidTr="00020D20">
        <w:tc>
          <w:tcPr>
            <w:tcW w:w="990" w:type="dxa"/>
            <w:vMerge w:val="restart"/>
            <w:tcBorders>
              <w:top w:val="single" w:sz="4" w:space="0" w:color="auto"/>
              <w:left w:val="single" w:sz="4" w:space="0" w:color="auto"/>
              <w:bottom w:val="single" w:sz="4" w:space="0" w:color="auto"/>
              <w:right w:val="single" w:sz="4" w:space="0" w:color="auto"/>
            </w:tcBorders>
            <w:vAlign w:val="center"/>
          </w:tcPr>
          <w:p w14:paraId="27946413" w14:textId="77777777" w:rsidR="00692E72" w:rsidRPr="00023359" w:rsidRDefault="00692E72" w:rsidP="00692E72">
            <w:pPr>
              <w:spacing w:before="0" w:after="0" w:line="240" w:lineRule="auto"/>
              <w:jc w:val="both"/>
              <w:rPr>
                <w:sz w:val="16"/>
              </w:rPr>
            </w:pPr>
            <w:r w:rsidRPr="00023359">
              <w:rPr>
                <w:sz w:val="16"/>
              </w:rPr>
              <w:t>Pinal</w:t>
            </w:r>
          </w:p>
        </w:tc>
        <w:tc>
          <w:tcPr>
            <w:tcW w:w="1041" w:type="dxa"/>
            <w:tcBorders>
              <w:top w:val="single" w:sz="4" w:space="0" w:color="auto"/>
              <w:left w:val="single" w:sz="4" w:space="0" w:color="auto"/>
              <w:bottom w:val="single" w:sz="4" w:space="0" w:color="auto"/>
              <w:right w:val="single" w:sz="4" w:space="0" w:color="auto"/>
            </w:tcBorders>
            <w:vAlign w:val="center"/>
          </w:tcPr>
          <w:p w14:paraId="02CFF6B6" w14:textId="77777777" w:rsidR="00692E72" w:rsidRPr="00023359" w:rsidRDefault="00692E72" w:rsidP="00692E72">
            <w:pPr>
              <w:spacing w:before="0" w:after="0" w:line="240" w:lineRule="auto"/>
              <w:jc w:val="both"/>
              <w:rPr>
                <w:sz w:val="16"/>
              </w:rPr>
            </w:pPr>
            <w:r w:rsidRPr="00023359">
              <w:rPr>
                <w:sz w:val="16"/>
              </w:rPr>
              <w:t>Carbon monoxide</w:t>
            </w:r>
          </w:p>
        </w:tc>
        <w:tc>
          <w:tcPr>
            <w:tcW w:w="979" w:type="dxa"/>
            <w:tcBorders>
              <w:top w:val="single" w:sz="4" w:space="0" w:color="auto"/>
              <w:left w:val="single" w:sz="4" w:space="0" w:color="auto"/>
              <w:bottom w:val="single" w:sz="4" w:space="0" w:color="auto"/>
              <w:right w:val="single" w:sz="4" w:space="0" w:color="auto"/>
            </w:tcBorders>
            <w:vAlign w:val="center"/>
          </w:tcPr>
          <w:p w14:paraId="7F38545E"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vAlign w:val="center"/>
          </w:tcPr>
          <w:p w14:paraId="2F099975" w14:textId="77777777" w:rsidR="00692E72" w:rsidRPr="00023359" w:rsidRDefault="00692E72" w:rsidP="00692E72">
            <w:pPr>
              <w:spacing w:before="0" w:after="0" w:line="240" w:lineRule="auto"/>
              <w:jc w:val="both"/>
              <w:rPr>
                <w:sz w:val="16"/>
              </w:rPr>
            </w:pPr>
            <w:r w:rsidRPr="00023359">
              <w:rPr>
                <w:sz w:val="16"/>
              </w:rPr>
              <w:t>Maintenance</w:t>
            </w:r>
          </w:p>
        </w:tc>
      </w:tr>
      <w:tr w:rsidR="00692E72" w14:paraId="0797758A"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1E9EB126"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48FEC95C" w14:textId="77777777" w:rsidR="00692E72" w:rsidRPr="00023359" w:rsidRDefault="00692E72" w:rsidP="00692E72">
            <w:pPr>
              <w:spacing w:before="0" w:after="0" w:line="240" w:lineRule="auto"/>
              <w:jc w:val="both"/>
              <w:rPr>
                <w:sz w:val="16"/>
              </w:rPr>
            </w:pPr>
            <w:r w:rsidRPr="00023359">
              <w:rPr>
                <w:sz w:val="16"/>
              </w:rPr>
              <w:t>Lead</w:t>
            </w:r>
          </w:p>
        </w:tc>
        <w:tc>
          <w:tcPr>
            <w:tcW w:w="979" w:type="dxa"/>
            <w:tcBorders>
              <w:top w:val="single" w:sz="4" w:space="0" w:color="auto"/>
              <w:left w:val="single" w:sz="4" w:space="0" w:color="auto"/>
              <w:bottom w:val="single" w:sz="4" w:space="0" w:color="auto"/>
              <w:right w:val="single" w:sz="4" w:space="0" w:color="auto"/>
            </w:tcBorders>
            <w:vAlign w:val="center"/>
          </w:tcPr>
          <w:p w14:paraId="717F9DFE" w14:textId="77777777" w:rsidR="00692E72" w:rsidRPr="00023359" w:rsidRDefault="00692E72" w:rsidP="00692E72">
            <w:pPr>
              <w:spacing w:before="0" w:after="0" w:line="240" w:lineRule="auto"/>
              <w:jc w:val="both"/>
              <w:rPr>
                <w:sz w:val="16"/>
              </w:rPr>
            </w:pPr>
            <w:r w:rsidRPr="00023359">
              <w:rPr>
                <w:sz w:val="16"/>
              </w:rPr>
              <w:t>Hayden</w:t>
            </w:r>
          </w:p>
        </w:tc>
        <w:tc>
          <w:tcPr>
            <w:tcW w:w="1500" w:type="dxa"/>
            <w:tcBorders>
              <w:top w:val="single" w:sz="4" w:space="0" w:color="auto"/>
              <w:left w:val="single" w:sz="4" w:space="0" w:color="auto"/>
              <w:bottom w:val="single" w:sz="4" w:space="0" w:color="auto"/>
              <w:right w:val="single" w:sz="4" w:space="0" w:color="auto"/>
            </w:tcBorders>
            <w:vAlign w:val="center"/>
          </w:tcPr>
          <w:p w14:paraId="47DD15BB" w14:textId="77777777" w:rsidR="00692E72" w:rsidRPr="00023359" w:rsidRDefault="00692E72" w:rsidP="00692E72">
            <w:pPr>
              <w:spacing w:before="0" w:after="0" w:line="240" w:lineRule="auto"/>
              <w:jc w:val="both"/>
              <w:rPr>
                <w:sz w:val="16"/>
              </w:rPr>
            </w:pPr>
            <w:r w:rsidRPr="00023359">
              <w:rPr>
                <w:sz w:val="16"/>
              </w:rPr>
              <w:t>Nonattainment</w:t>
            </w:r>
          </w:p>
        </w:tc>
      </w:tr>
      <w:tr w:rsidR="00692E72" w14:paraId="07DE2017"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5884D100"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7A52CABB" w14:textId="77777777" w:rsidR="00692E72" w:rsidRPr="00023359" w:rsidRDefault="00692E72" w:rsidP="00692E72">
            <w:pPr>
              <w:spacing w:before="0" w:after="0" w:line="240" w:lineRule="auto"/>
              <w:jc w:val="both"/>
              <w:rPr>
                <w:sz w:val="16"/>
              </w:rPr>
            </w:pPr>
            <w:r w:rsidRPr="00023359">
              <w:rPr>
                <w:sz w:val="16"/>
              </w:rPr>
              <w:t>Ozone, 8 hr</w:t>
            </w:r>
          </w:p>
        </w:tc>
        <w:tc>
          <w:tcPr>
            <w:tcW w:w="979" w:type="dxa"/>
            <w:tcBorders>
              <w:top w:val="single" w:sz="4" w:space="0" w:color="auto"/>
              <w:left w:val="single" w:sz="4" w:space="0" w:color="auto"/>
              <w:bottom w:val="single" w:sz="4" w:space="0" w:color="auto"/>
              <w:right w:val="single" w:sz="4" w:space="0" w:color="auto"/>
            </w:tcBorders>
            <w:vAlign w:val="center"/>
          </w:tcPr>
          <w:p w14:paraId="5538710D"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vAlign w:val="center"/>
          </w:tcPr>
          <w:p w14:paraId="7155E925" w14:textId="77777777" w:rsidR="00692E72" w:rsidRPr="00023359" w:rsidRDefault="00692E72" w:rsidP="00692E72">
            <w:pPr>
              <w:spacing w:before="0" w:after="0" w:line="240" w:lineRule="auto"/>
              <w:jc w:val="both"/>
              <w:rPr>
                <w:sz w:val="16"/>
              </w:rPr>
            </w:pPr>
            <w:r w:rsidRPr="00023359">
              <w:rPr>
                <w:sz w:val="16"/>
              </w:rPr>
              <w:t>Nonattainment, marginal</w:t>
            </w:r>
          </w:p>
        </w:tc>
      </w:tr>
      <w:tr w:rsidR="00692E72" w14:paraId="3074EA1B"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6F81B857"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5E89E554"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vAlign w:val="center"/>
          </w:tcPr>
          <w:p w14:paraId="6B2FADF1" w14:textId="77777777" w:rsidR="00692E72" w:rsidRPr="00023359" w:rsidRDefault="00692E72" w:rsidP="00692E72">
            <w:pPr>
              <w:spacing w:before="0" w:after="0" w:line="240" w:lineRule="auto"/>
              <w:jc w:val="both"/>
              <w:rPr>
                <w:sz w:val="16"/>
              </w:rPr>
            </w:pPr>
            <w:r w:rsidRPr="00023359">
              <w:rPr>
                <w:sz w:val="16"/>
              </w:rPr>
              <w:t>Phoenix-Mesa</w:t>
            </w:r>
          </w:p>
        </w:tc>
        <w:tc>
          <w:tcPr>
            <w:tcW w:w="1500" w:type="dxa"/>
            <w:tcBorders>
              <w:top w:val="single" w:sz="4" w:space="0" w:color="auto"/>
              <w:left w:val="single" w:sz="4" w:space="0" w:color="auto"/>
              <w:bottom w:val="single" w:sz="4" w:space="0" w:color="auto"/>
              <w:right w:val="single" w:sz="4" w:space="0" w:color="auto"/>
            </w:tcBorders>
            <w:vAlign w:val="center"/>
          </w:tcPr>
          <w:p w14:paraId="1F30DC02" w14:textId="77777777" w:rsidR="00692E72" w:rsidRPr="00023359" w:rsidRDefault="00692E72" w:rsidP="00692E72">
            <w:pPr>
              <w:spacing w:before="0" w:after="0" w:line="240" w:lineRule="auto"/>
              <w:jc w:val="both"/>
              <w:rPr>
                <w:sz w:val="16"/>
              </w:rPr>
            </w:pPr>
            <w:r w:rsidRPr="00023359">
              <w:rPr>
                <w:sz w:val="16"/>
              </w:rPr>
              <w:t>Nonattainment, serious</w:t>
            </w:r>
          </w:p>
        </w:tc>
      </w:tr>
      <w:tr w:rsidR="00692E72" w14:paraId="6B397FC3"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1045DC30"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631CD0C3"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vAlign w:val="center"/>
          </w:tcPr>
          <w:p w14:paraId="6381B2F0" w14:textId="77777777" w:rsidR="00692E72" w:rsidRPr="00023359" w:rsidRDefault="00692E72" w:rsidP="00692E72">
            <w:pPr>
              <w:spacing w:before="0" w:after="0" w:line="240" w:lineRule="auto"/>
              <w:jc w:val="both"/>
              <w:rPr>
                <w:sz w:val="16"/>
              </w:rPr>
            </w:pPr>
            <w:r w:rsidRPr="00023359">
              <w:rPr>
                <w:sz w:val="16"/>
              </w:rPr>
              <w:t>West Pinal</w:t>
            </w:r>
          </w:p>
        </w:tc>
        <w:tc>
          <w:tcPr>
            <w:tcW w:w="1500" w:type="dxa"/>
            <w:tcBorders>
              <w:top w:val="single" w:sz="4" w:space="0" w:color="auto"/>
              <w:left w:val="single" w:sz="4" w:space="0" w:color="auto"/>
              <w:bottom w:val="single" w:sz="4" w:space="0" w:color="auto"/>
              <w:right w:val="single" w:sz="4" w:space="0" w:color="auto"/>
            </w:tcBorders>
            <w:vAlign w:val="center"/>
          </w:tcPr>
          <w:p w14:paraId="01BA82D3" w14:textId="77777777" w:rsidR="00692E72" w:rsidRPr="00023359" w:rsidRDefault="00692E72" w:rsidP="00692E72">
            <w:pPr>
              <w:spacing w:before="0" w:after="0" w:line="240" w:lineRule="auto"/>
              <w:jc w:val="both"/>
              <w:rPr>
                <w:sz w:val="16"/>
              </w:rPr>
            </w:pPr>
            <w:r w:rsidRPr="00023359">
              <w:rPr>
                <w:sz w:val="16"/>
              </w:rPr>
              <w:t>Nonattainment, serious</w:t>
            </w:r>
          </w:p>
        </w:tc>
      </w:tr>
      <w:tr w:rsidR="00692E72" w14:paraId="4E93FA3E"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17E75501"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20B4C6D4"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vAlign w:val="center"/>
          </w:tcPr>
          <w:p w14:paraId="523C8716" w14:textId="77777777" w:rsidR="00692E72" w:rsidRPr="00023359" w:rsidRDefault="00692E72" w:rsidP="00692E72">
            <w:pPr>
              <w:spacing w:before="0" w:after="0" w:line="240" w:lineRule="auto"/>
              <w:jc w:val="both"/>
              <w:rPr>
                <w:sz w:val="16"/>
              </w:rPr>
            </w:pPr>
            <w:r w:rsidRPr="00023359">
              <w:rPr>
                <w:sz w:val="16"/>
              </w:rPr>
              <w:t>Hayden</w:t>
            </w:r>
          </w:p>
        </w:tc>
        <w:tc>
          <w:tcPr>
            <w:tcW w:w="1500" w:type="dxa"/>
            <w:tcBorders>
              <w:top w:val="single" w:sz="4" w:space="0" w:color="auto"/>
              <w:left w:val="single" w:sz="4" w:space="0" w:color="auto"/>
              <w:bottom w:val="single" w:sz="4" w:space="0" w:color="auto"/>
              <w:right w:val="single" w:sz="4" w:space="0" w:color="auto"/>
            </w:tcBorders>
            <w:vAlign w:val="center"/>
          </w:tcPr>
          <w:p w14:paraId="7717292F" w14:textId="77777777" w:rsidR="00692E72" w:rsidRPr="00023359" w:rsidRDefault="00692E72" w:rsidP="00692E72">
            <w:pPr>
              <w:spacing w:before="0" w:after="0" w:line="240" w:lineRule="auto"/>
              <w:jc w:val="both"/>
              <w:rPr>
                <w:sz w:val="16"/>
              </w:rPr>
            </w:pPr>
            <w:r w:rsidRPr="00023359">
              <w:rPr>
                <w:sz w:val="16"/>
              </w:rPr>
              <w:t>Nonattainment, moderate</w:t>
            </w:r>
          </w:p>
        </w:tc>
      </w:tr>
      <w:tr w:rsidR="00692E72" w14:paraId="35284D4B"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1DF3F444"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32EEA314" w14:textId="77777777" w:rsidR="00692E72" w:rsidRPr="00023359" w:rsidRDefault="00692E72" w:rsidP="00692E72">
            <w:pPr>
              <w:spacing w:before="0" w:after="0" w:line="240" w:lineRule="auto"/>
              <w:jc w:val="both"/>
              <w:rPr>
                <w:sz w:val="16"/>
              </w:rPr>
            </w:pPr>
            <w:r w:rsidRPr="00023359">
              <w:rPr>
                <w:sz w:val="16"/>
              </w:rPr>
              <w:t>PM2.5 (2006)</w:t>
            </w:r>
          </w:p>
        </w:tc>
        <w:tc>
          <w:tcPr>
            <w:tcW w:w="979" w:type="dxa"/>
            <w:tcBorders>
              <w:top w:val="single" w:sz="4" w:space="0" w:color="auto"/>
              <w:left w:val="single" w:sz="4" w:space="0" w:color="auto"/>
              <w:bottom w:val="single" w:sz="4" w:space="0" w:color="auto"/>
              <w:right w:val="single" w:sz="4" w:space="0" w:color="auto"/>
            </w:tcBorders>
            <w:vAlign w:val="center"/>
          </w:tcPr>
          <w:p w14:paraId="07F30FF5" w14:textId="77777777" w:rsidR="00692E72" w:rsidRPr="00023359" w:rsidRDefault="00692E72" w:rsidP="00692E72">
            <w:pPr>
              <w:spacing w:before="0" w:after="0" w:line="240" w:lineRule="auto"/>
              <w:jc w:val="both"/>
              <w:rPr>
                <w:sz w:val="16"/>
              </w:rPr>
            </w:pPr>
            <w:r w:rsidRPr="00023359">
              <w:rPr>
                <w:sz w:val="16"/>
              </w:rPr>
              <w:t xml:space="preserve">West Central Pinal </w:t>
            </w:r>
          </w:p>
        </w:tc>
        <w:tc>
          <w:tcPr>
            <w:tcW w:w="1500" w:type="dxa"/>
            <w:tcBorders>
              <w:top w:val="single" w:sz="4" w:space="0" w:color="auto"/>
              <w:left w:val="single" w:sz="4" w:space="0" w:color="auto"/>
              <w:bottom w:val="single" w:sz="4" w:space="0" w:color="auto"/>
              <w:right w:val="single" w:sz="4" w:space="0" w:color="auto"/>
            </w:tcBorders>
            <w:vAlign w:val="center"/>
          </w:tcPr>
          <w:p w14:paraId="12B7EDBE" w14:textId="77777777" w:rsidR="00692E72" w:rsidRPr="00023359" w:rsidRDefault="00692E72" w:rsidP="00692E72">
            <w:pPr>
              <w:spacing w:before="0" w:after="0" w:line="240" w:lineRule="auto"/>
              <w:jc w:val="both"/>
              <w:rPr>
                <w:sz w:val="16"/>
              </w:rPr>
            </w:pPr>
            <w:r w:rsidRPr="00023359">
              <w:rPr>
                <w:sz w:val="16"/>
              </w:rPr>
              <w:t xml:space="preserve">Nonattainment </w:t>
            </w:r>
          </w:p>
        </w:tc>
      </w:tr>
      <w:tr w:rsidR="00692E72" w14:paraId="4D397AD9" w14:textId="77777777" w:rsidTr="00020D20">
        <w:tc>
          <w:tcPr>
            <w:tcW w:w="990" w:type="dxa"/>
            <w:vMerge/>
            <w:tcBorders>
              <w:top w:val="single" w:sz="4" w:space="0" w:color="auto"/>
              <w:left w:val="single" w:sz="4" w:space="0" w:color="auto"/>
              <w:bottom w:val="single" w:sz="4" w:space="0" w:color="auto"/>
              <w:right w:val="single" w:sz="4" w:space="0" w:color="auto"/>
            </w:tcBorders>
            <w:vAlign w:val="center"/>
          </w:tcPr>
          <w:p w14:paraId="662A03B8"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74DDA300" w14:textId="77777777" w:rsidR="00692E72" w:rsidRPr="00023359" w:rsidRDefault="00692E72" w:rsidP="00692E72">
            <w:pPr>
              <w:spacing w:before="0" w:after="0" w:line="240" w:lineRule="auto"/>
              <w:jc w:val="both"/>
              <w:rPr>
                <w:sz w:val="16"/>
              </w:rPr>
            </w:pPr>
            <w:r w:rsidRPr="00023359">
              <w:rPr>
                <w:sz w:val="16"/>
              </w:rPr>
              <w:t>Sulfur dioxide</w:t>
            </w:r>
          </w:p>
        </w:tc>
        <w:tc>
          <w:tcPr>
            <w:tcW w:w="979" w:type="dxa"/>
            <w:tcBorders>
              <w:top w:val="single" w:sz="4" w:space="0" w:color="auto"/>
              <w:left w:val="single" w:sz="4" w:space="0" w:color="auto"/>
              <w:bottom w:val="single" w:sz="4" w:space="0" w:color="auto"/>
              <w:right w:val="single" w:sz="4" w:space="0" w:color="auto"/>
            </w:tcBorders>
            <w:vAlign w:val="center"/>
          </w:tcPr>
          <w:p w14:paraId="75C32C2F" w14:textId="77777777" w:rsidR="00692E72" w:rsidRPr="00023359" w:rsidRDefault="00692E72" w:rsidP="00692E72">
            <w:pPr>
              <w:spacing w:before="0" w:after="0" w:line="240" w:lineRule="auto"/>
              <w:jc w:val="both"/>
              <w:rPr>
                <w:sz w:val="16"/>
              </w:rPr>
            </w:pPr>
            <w:r w:rsidRPr="00023359">
              <w:rPr>
                <w:sz w:val="16"/>
              </w:rPr>
              <w:t xml:space="preserve">Hayden </w:t>
            </w:r>
          </w:p>
        </w:tc>
        <w:tc>
          <w:tcPr>
            <w:tcW w:w="1500" w:type="dxa"/>
            <w:tcBorders>
              <w:top w:val="single" w:sz="4" w:space="0" w:color="auto"/>
              <w:left w:val="single" w:sz="4" w:space="0" w:color="auto"/>
              <w:bottom w:val="single" w:sz="4" w:space="0" w:color="auto"/>
              <w:right w:val="single" w:sz="4" w:space="0" w:color="auto"/>
            </w:tcBorders>
            <w:vAlign w:val="center"/>
          </w:tcPr>
          <w:p w14:paraId="5B830A92" w14:textId="77777777" w:rsidR="00692E72" w:rsidRPr="00023359" w:rsidRDefault="00692E72" w:rsidP="00692E72">
            <w:pPr>
              <w:spacing w:before="0" w:after="0" w:line="240" w:lineRule="auto"/>
              <w:jc w:val="both"/>
              <w:rPr>
                <w:sz w:val="16"/>
              </w:rPr>
            </w:pPr>
            <w:r w:rsidRPr="00023359">
              <w:rPr>
                <w:sz w:val="16"/>
              </w:rPr>
              <w:t>Nonattainment, primary</w:t>
            </w:r>
          </w:p>
        </w:tc>
      </w:tr>
      <w:tr w:rsidR="00692E72" w14:paraId="5D62B7E1" w14:textId="77777777" w:rsidTr="00020D20">
        <w:tc>
          <w:tcPr>
            <w:tcW w:w="99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12AC1AE" w14:textId="77777777" w:rsidR="00692E72" w:rsidRPr="00023359" w:rsidRDefault="00692E72" w:rsidP="00692E72">
            <w:pPr>
              <w:spacing w:before="0" w:after="0" w:line="240" w:lineRule="auto"/>
              <w:jc w:val="both"/>
              <w:rPr>
                <w:sz w:val="16"/>
              </w:rPr>
            </w:pPr>
            <w:r w:rsidRPr="00023359">
              <w:rPr>
                <w:sz w:val="16"/>
              </w:rPr>
              <w:t>Santa Cruz</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550ACC"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8C2519" w14:textId="77777777" w:rsidR="00692E72" w:rsidRPr="00023359" w:rsidRDefault="00692E72" w:rsidP="00692E72">
            <w:pPr>
              <w:spacing w:before="0" w:after="0" w:line="240" w:lineRule="auto"/>
              <w:jc w:val="both"/>
              <w:rPr>
                <w:sz w:val="16"/>
              </w:rPr>
            </w:pPr>
            <w:r w:rsidRPr="00023359">
              <w:rPr>
                <w:sz w:val="16"/>
              </w:rPr>
              <w:t>Nogales</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0782CFD" w14:textId="77777777" w:rsidR="00692E72" w:rsidRPr="00023359" w:rsidRDefault="00692E72" w:rsidP="00692E72">
            <w:pPr>
              <w:spacing w:before="0" w:after="0" w:line="240" w:lineRule="auto"/>
              <w:jc w:val="both"/>
              <w:rPr>
                <w:sz w:val="16"/>
              </w:rPr>
            </w:pPr>
            <w:r w:rsidRPr="00023359">
              <w:rPr>
                <w:sz w:val="16"/>
              </w:rPr>
              <w:t>Nonattainment, marginal</w:t>
            </w:r>
          </w:p>
        </w:tc>
      </w:tr>
      <w:tr w:rsidR="00692E72" w14:paraId="392708BB" w14:textId="77777777" w:rsidTr="00020D20">
        <w:tc>
          <w:tcPr>
            <w:tcW w:w="990"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F352801"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54C6C1B" w14:textId="77777777" w:rsidR="00692E72" w:rsidRPr="00023359" w:rsidRDefault="00692E72" w:rsidP="00692E72">
            <w:pPr>
              <w:spacing w:before="0" w:after="0" w:line="240" w:lineRule="auto"/>
              <w:jc w:val="both"/>
              <w:rPr>
                <w:sz w:val="16"/>
              </w:rPr>
            </w:pPr>
            <w:r w:rsidRPr="00023359">
              <w:rPr>
                <w:sz w:val="16"/>
              </w:rPr>
              <w:t>PM2.5 (2006)</w:t>
            </w:r>
          </w:p>
        </w:tc>
        <w:tc>
          <w:tcPr>
            <w:tcW w:w="97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FDC150E" w14:textId="77777777" w:rsidR="00692E72" w:rsidRPr="00023359" w:rsidRDefault="00692E72" w:rsidP="00692E72">
            <w:pPr>
              <w:spacing w:before="0" w:after="0" w:line="240" w:lineRule="auto"/>
              <w:jc w:val="both"/>
              <w:rPr>
                <w:sz w:val="16"/>
              </w:rPr>
            </w:pPr>
            <w:r w:rsidRPr="00023359">
              <w:rPr>
                <w:sz w:val="16"/>
              </w:rPr>
              <w:t>Nogales</w:t>
            </w:r>
          </w:p>
        </w:tc>
        <w:tc>
          <w:tcPr>
            <w:tcW w:w="150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920C4B4" w14:textId="77777777" w:rsidR="00692E72" w:rsidRPr="00023359" w:rsidRDefault="00692E72" w:rsidP="00692E72">
            <w:pPr>
              <w:spacing w:before="0" w:after="0" w:line="240" w:lineRule="auto"/>
              <w:jc w:val="both"/>
              <w:rPr>
                <w:sz w:val="16"/>
              </w:rPr>
            </w:pPr>
            <w:r w:rsidRPr="00023359">
              <w:rPr>
                <w:sz w:val="16"/>
              </w:rPr>
              <w:t>Nonattainment</w:t>
            </w:r>
          </w:p>
        </w:tc>
      </w:tr>
      <w:tr w:rsidR="00692E72" w14:paraId="7CE434D3" w14:textId="77777777" w:rsidTr="00020D20">
        <w:tc>
          <w:tcPr>
            <w:tcW w:w="990" w:type="dxa"/>
            <w:vMerge w:val="restart"/>
            <w:tcBorders>
              <w:top w:val="single" w:sz="4" w:space="0" w:color="auto"/>
              <w:left w:val="single" w:sz="4" w:space="0" w:color="auto"/>
              <w:bottom w:val="single" w:sz="4" w:space="0" w:color="auto"/>
              <w:right w:val="single" w:sz="4" w:space="0" w:color="auto"/>
            </w:tcBorders>
            <w:vAlign w:val="center"/>
          </w:tcPr>
          <w:p w14:paraId="2986B185" w14:textId="77777777" w:rsidR="00692E72" w:rsidRPr="00023359" w:rsidRDefault="00692E72" w:rsidP="00692E72">
            <w:pPr>
              <w:spacing w:before="0" w:after="0" w:line="240" w:lineRule="auto"/>
              <w:jc w:val="both"/>
              <w:rPr>
                <w:sz w:val="16"/>
              </w:rPr>
            </w:pPr>
            <w:r w:rsidRPr="00023359">
              <w:rPr>
                <w:sz w:val="16"/>
              </w:rPr>
              <w:t>Yuma</w:t>
            </w:r>
          </w:p>
        </w:tc>
        <w:tc>
          <w:tcPr>
            <w:tcW w:w="1041" w:type="dxa"/>
            <w:tcBorders>
              <w:top w:val="single" w:sz="4" w:space="0" w:color="auto"/>
              <w:left w:val="single" w:sz="4" w:space="0" w:color="auto"/>
              <w:bottom w:val="single" w:sz="4" w:space="0" w:color="auto"/>
              <w:right w:val="single" w:sz="4" w:space="0" w:color="auto"/>
            </w:tcBorders>
            <w:vAlign w:val="center"/>
          </w:tcPr>
          <w:p w14:paraId="2F550F03" w14:textId="77777777" w:rsidR="00692E72" w:rsidRPr="00023359" w:rsidRDefault="00692E72" w:rsidP="00692E72">
            <w:pPr>
              <w:spacing w:before="0" w:after="0" w:line="240" w:lineRule="auto"/>
              <w:jc w:val="both"/>
              <w:rPr>
                <w:sz w:val="16"/>
              </w:rPr>
            </w:pPr>
            <w:r w:rsidRPr="00023359">
              <w:rPr>
                <w:sz w:val="16"/>
              </w:rPr>
              <w:t>Ozone, 8hr</w:t>
            </w:r>
          </w:p>
        </w:tc>
        <w:tc>
          <w:tcPr>
            <w:tcW w:w="979" w:type="dxa"/>
            <w:tcBorders>
              <w:top w:val="single" w:sz="4" w:space="0" w:color="auto"/>
              <w:left w:val="single" w:sz="4" w:space="0" w:color="auto"/>
              <w:bottom w:val="single" w:sz="4" w:space="0" w:color="auto"/>
              <w:right w:val="single" w:sz="4" w:space="0" w:color="auto"/>
            </w:tcBorders>
            <w:vAlign w:val="center"/>
          </w:tcPr>
          <w:p w14:paraId="6D2DBBCE" w14:textId="77777777" w:rsidR="00692E72" w:rsidRPr="00023359" w:rsidRDefault="00692E72" w:rsidP="00692E72">
            <w:pPr>
              <w:spacing w:before="0" w:after="0" w:line="240" w:lineRule="auto"/>
              <w:jc w:val="both"/>
              <w:rPr>
                <w:sz w:val="16"/>
              </w:rPr>
            </w:pPr>
            <w:r w:rsidRPr="00023359">
              <w:rPr>
                <w:sz w:val="16"/>
              </w:rPr>
              <w:t>Yuma</w:t>
            </w:r>
          </w:p>
        </w:tc>
        <w:tc>
          <w:tcPr>
            <w:tcW w:w="1500" w:type="dxa"/>
            <w:tcBorders>
              <w:top w:val="single" w:sz="4" w:space="0" w:color="auto"/>
              <w:left w:val="single" w:sz="4" w:space="0" w:color="auto"/>
              <w:bottom w:val="single" w:sz="4" w:space="0" w:color="auto"/>
              <w:right w:val="single" w:sz="4" w:space="0" w:color="auto"/>
            </w:tcBorders>
            <w:vAlign w:val="center"/>
          </w:tcPr>
          <w:p w14:paraId="0E8AC640" w14:textId="77777777" w:rsidR="00692E72" w:rsidRPr="00023359" w:rsidRDefault="00692E72" w:rsidP="00692E72">
            <w:pPr>
              <w:spacing w:before="0" w:after="0" w:line="240" w:lineRule="auto"/>
              <w:jc w:val="both"/>
              <w:rPr>
                <w:sz w:val="16"/>
              </w:rPr>
            </w:pPr>
            <w:r w:rsidRPr="00023359">
              <w:rPr>
                <w:sz w:val="16"/>
              </w:rPr>
              <w:t>Nonattainment, marginal</w:t>
            </w:r>
          </w:p>
        </w:tc>
      </w:tr>
      <w:tr w:rsidR="00692E72" w14:paraId="3091DA37" w14:textId="77777777" w:rsidTr="00020D20">
        <w:tc>
          <w:tcPr>
            <w:tcW w:w="990" w:type="dxa"/>
            <w:vMerge/>
            <w:tcBorders>
              <w:top w:val="single" w:sz="4" w:space="0" w:color="auto"/>
              <w:left w:val="single" w:sz="4" w:space="0" w:color="auto"/>
              <w:bottom w:val="single" w:sz="4" w:space="0" w:color="auto"/>
              <w:right w:val="single" w:sz="4" w:space="0" w:color="auto"/>
            </w:tcBorders>
          </w:tcPr>
          <w:p w14:paraId="59CB8FF7" w14:textId="77777777" w:rsidR="00692E72" w:rsidRPr="00023359" w:rsidRDefault="00692E72" w:rsidP="00692E72">
            <w:pPr>
              <w:spacing w:before="0" w:after="0" w:line="240" w:lineRule="auto"/>
              <w:jc w:val="both"/>
              <w:rPr>
                <w:sz w:val="16"/>
              </w:rPr>
            </w:pPr>
          </w:p>
        </w:tc>
        <w:tc>
          <w:tcPr>
            <w:tcW w:w="1041" w:type="dxa"/>
            <w:tcBorders>
              <w:top w:val="single" w:sz="4" w:space="0" w:color="auto"/>
              <w:left w:val="single" w:sz="4" w:space="0" w:color="auto"/>
              <w:bottom w:val="single" w:sz="4" w:space="0" w:color="auto"/>
              <w:right w:val="single" w:sz="4" w:space="0" w:color="auto"/>
            </w:tcBorders>
            <w:vAlign w:val="center"/>
          </w:tcPr>
          <w:p w14:paraId="715EE6BF" w14:textId="77777777" w:rsidR="00692E72" w:rsidRPr="00023359" w:rsidRDefault="00692E72" w:rsidP="00692E72">
            <w:pPr>
              <w:spacing w:before="0" w:after="0" w:line="240" w:lineRule="auto"/>
              <w:jc w:val="both"/>
              <w:rPr>
                <w:sz w:val="16"/>
              </w:rPr>
            </w:pPr>
            <w:r w:rsidRPr="00023359">
              <w:rPr>
                <w:sz w:val="16"/>
              </w:rPr>
              <w:t>PM10</w:t>
            </w:r>
          </w:p>
        </w:tc>
        <w:tc>
          <w:tcPr>
            <w:tcW w:w="979" w:type="dxa"/>
            <w:tcBorders>
              <w:top w:val="single" w:sz="4" w:space="0" w:color="auto"/>
              <w:left w:val="single" w:sz="4" w:space="0" w:color="auto"/>
              <w:bottom w:val="single" w:sz="4" w:space="0" w:color="auto"/>
              <w:right w:val="single" w:sz="4" w:space="0" w:color="auto"/>
            </w:tcBorders>
            <w:vAlign w:val="center"/>
          </w:tcPr>
          <w:p w14:paraId="60C71C6E" w14:textId="77777777" w:rsidR="00692E72" w:rsidRPr="00023359" w:rsidRDefault="00692E72" w:rsidP="00692E72">
            <w:pPr>
              <w:spacing w:before="0" w:after="0" w:line="240" w:lineRule="auto"/>
              <w:jc w:val="both"/>
              <w:rPr>
                <w:sz w:val="16"/>
              </w:rPr>
            </w:pPr>
            <w:r w:rsidRPr="00023359">
              <w:rPr>
                <w:sz w:val="16"/>
              </w:rPr>
              <w:t>Yuma</w:t>
            </w:r>
          </w:p>
        </w:tc>
        <w:tc>
          <w:tcPr>
            <w:tcW w:w="1500" w:type="dxa"/>
            <w:tcBorders>
              <w:top w:val="single" w:sz="4" w:space="0" w:color="auto"/>
              <w:left w:val="single" w:sz="4" w:space="0" w:color="auto"/>
              <w:bottom w:val="single" w:sz="4" w:space="0" w:color="auto"/>
              <w:right w:val="single" w:sz="4" w:space="0" w:color="auto"/>
            </w:tcBorders>
            <w:vAlign w:val="center"/>
          </w:tcPr>
          <w:p w14:paraId="519A894B" w14:textId="77777777" w:rsidR="00692E72" w:rsidRPr="00023359" w:rsidRDefault="00692E72" w:rsidP="00692E72">
            <w:pPr>
              <w:spacing w:before="0" w:after="0" w:line="240" w:lineRule="auto"/>
              <w:jc w:val="both"/>
              <w:rPr>
                <w:sz w:val="16"/>
              </w:rPr>
            </w:pPr>
            <w:r w:rsidRPr="00023359">
              <w:rPr>
                <w:sz w:val="16"/>
              </w:rPr>
              <w:t>Nonattainment, moderate</w:t>
            </w:r>
          </w:p>
        </w:tc>
      </w:tr>
    </w:tbl>
    <w:p w14:paraId="714A5C73" w14:textId="42DE2B36" w:rsidR="009D7DE0" w:rsidRPr="009D7DE0" w:rsidRDefault="00692E72" w:rsidP="00020D20">
      <w:pPr>
        <w:jc w:val="both"/>
        <w:rPr>
          <w:rFonts w:cstheme="minorHAnsi"/>
        </w:rPr>
      </w:pPr>
      <w:r w:rsidRPr="009D7DE0">
        <w:rPr>
          <w:rFonts w:cstheme="minorHAnsi"/>
        </w:rPr>
        <w:t xml:space="preserve"> </w:t>
      </w:r>
      <w:r w:rsidR="009D7DE0" w:rsidRPr="009D7DE0">
        <w:rPr>
          <w:rFonts w:cstheme="minorHAnsi"/>
        </w:rPr>
        <w:t>Federal and state air quality monitoring equipment in operation in or near a majority of the nation’s most populated areas provide the quality-controlled data used to determine whether or not the NAAQS are being met. Areas that exceed these standards are designated as “nonattainment areas.” Areas once designated as nonattainment areas that later meet compliance requirements are designated as maintenance areas.</w:t>
      </w:r>
    </w:p>
    <w:p w14:paraId="4CC98D28" w14:textId="602C9E17" w:rsidR="009D7DE0" w:rsidRPr="009D7DE0" w:rsidRDefault="009D7DE0" w:rsidP="00020D20">
      <w:pPr>
        <w:jc w:val="both"/>
        <w:rPr>
          <w:rFonts w:cstheme="minorHAnsi"/>
          <w:b/>
        </w:rPr>
      </w:pPr>
      <w:r w:rsidRPr="009D7DE0">
        <w:rPr>
          <w:rFonts w:cstheme="minorHAnsi"/>
        </w:rPr>
        <w:t xml:space="preserve">Table 17.1-2 lists the areas in Arizona that currently are classified either as nonattainment or maintenance areas for various pollutants. Transportation-related pollutants include PM10, PM2.5, carbon monoxide, ozone, and nitrogen oxide. Nonattainment area boundaries are proposed by </w:t>
      </w:r>
      <w:r w:rsidR="00692E72">
        <w:rPr>
          <w:rFonts w:cstheme="minorHAnsi"/>
        </w:rPr>
        <w:t xml:space="preserve">ADEQ </w:t>
      </w:r>
      <w:r w:rsidRPr="009D7DE0">
        <w:rPr>
          <w:rFonts w:cstheme="minorHAnsi"/>
        </w:rPr>
        <w:t>and approved by the EPA.</w:t>
      </w:r>
      <w:r>
        <w:rPr>
          <w:rFonts w:cstheme="minorHAnsi"/>
        </w:rPr>
        <w:t xml:space="preserve"> </w:t>
      </w:r>
    </w:p>
    <w:p w14:paraId="6B39083A" w14:textId="7143335B" w:rsidR="009D7DE0" w:rsidRPr="009D7DE0" w:rsidRDefault="009D7DE0" w:rsidP="00020D20">
      <w:pPr>
        <w:pStyle w:val="Heading3"/>
        <w:jc w:val="both"/>
      </w:pPr>
      <w:bookmarkStart w:id="603" w:name="_Ref50042017"/>
      <w:r w:rsidRPr="009D7DE0">
        <w:t>17.1.2 | Transportation Conformity</w:t>
      </w:r>
      <w:bookmarkEnd w:id="603"/>
    </w:p>
    <w:p w14:paraId="536D5E02" w14:textId="35D2A1D7" w:rsidR="006E65C7" w:rsidRDefault="009372E3" w:rsidP="00020D20">
      <w:pPr>
        <w:spacing w:after="0"/>
        <w:jc w:val="both"/>
      </w:pPr>
      <w:r>
        <w:rPr>
          <w:rFonts w:cstheme="minorHAnsi"/>
          <w:noProof/>
        </w:rPr>
        <mc:AlternateContent>
          <mc:Choice Requires="wps">
            <w:drawing>
              <wp:anchor distT="0" distB="0" distL="114300" distR="114300" simplePos="0" relativeHeight="251618389" behindDoc="1" locked="0" layoutInCell="1" allowOverlap="1" wp14:anchorId="26DEB24B" wp14:editId="3138B17E">
                <wp:simplePos x="0" y="0"/>
                <wp:positionH relativeFrom="column">
                  <wp:posOffset>1257935</wp:posOffset>
                </wp:positionH>
                <wp:positionV relativeFrom="paragraph">
                  <wp:posOffset>1828800</wp:posOffset>
                </wp:positionV>
                <wp:extent cx="1341755" cy="1475740"/>
                <wp:effectExtent l="76200" t="95250" r="67945" b="86360"/>
                <wp:wrapTight wrapText="bothSides">
                  <wp:wrapPolygon edited="0">
                    <wp:start x="-1227" y="-1394"/>
                    <wp:lineTo x="-1227" y="22585"/>
                    <wp:lineTo x="22387" y="22585"/>
                    <wp:lineTo x="22387" y="-1394"/>
                    <wp:lineTo x="-1227" y="-1394"/>
                  </wp:wrapPolygon>
                </wp:wrapTight>
                <wp:docPr id="816286275" name="Text Box 816286275"/>
                <wp:cNvGraphicFramePr/>
                <a:graphic xmlns:a="http://schemas.openxmlformats.org/drawingml/2006/main">
                  <a:graphicData uri="http://schemas.microsoft.com/office/word/2010/wordprocessingShape">
                    <wps:wsp>
                      <wps:cNvSpPr txBox="1"/>
                      <wps:spPr>
                        <a:xfrm>
                          <a:off x="0" y="0"/>
                          <a:ext cx="1341755" cy="14757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687FAFE" w14:textId="77777777" w:rsidR="00C6444C" w:rsidRDefault="00C6444C" w:rsidP="00020D20">
                            <w:pPr>
                              <w:jc w:val="center"/>
                            </w:pPr>
                            <w:r>
                              <w:rPr>
                                <w:noProof/>
                              </w:rPr>
                              <w:drawing>
                                <wp:inline distT="0" distB="0" distL="0" distR="0" wp14:anchorId="7B54D9E1" wp14:editId="013778F0">
                                  <wp:extent cx="457200" cy="457200"/>
                                  <wp:effectExtent l="0" t="0" r="0" b="0"/>
                                  <wp:docPr id="816286258" name="Picture 81628625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5485A38" w14:textId="12AA52A7" w:rsidR="00C6444C" w:rsidRPr="00954116" w:rsidRDefault="00C6444C" w:rsidP="00020D20">
                            <w:pPr>
                              <w:pStyle w:val="Calloutboxes"/>
                            </w:pPr>
                            <w:r w:rsidRPr="00394A74">
                              <w:t>The FHWA Transportation Conformity Reference Guide can be found at:</w:t>
                            </w:r>
                          </w:p>
                          <w:p w14:paraId="2B317A68" w14:textId="2F687D55" w:rsidR="00C6444C" w:rsidRPr="00020D20" w:rsidRDefault="00202C92">
                            <w:pPr>
                              <w:pStyle w:val="Title"/>
                              <w:rPr>
                                <w:sz w:val="16"/>
                              </w:rPr>
                            </w:pPr>
                            <w:hyperlink r:id="rId988" w:history="1">
                              <w:r w:rsidR="00C6444C" w:rsidRPr="00020D20">
                                <w:rPr>
                                  <w:rStyle w:val="Hyperlink"/>
                                  <w:rFonts w:ascii="Calibri" w:hAnsi="Calibri" w:cstheme="majorBidi"/>
                                  <w:i/>
                                  <w:iCs w:val="0"/>
                                  <w:color w:val="CE5B18"/>
                                  <w:szCs w:val="56"/>
                                  <w:u w:val="none"/>
                                </w:rPr>
                                <w:t>https://www.fhwa.dot.gov/environment//air_quality/conformity/con_broc.pdf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DEB24B" id="Text Box 816286275" o:spid="_x0000_s1253" type="#_x0000_t202" style="position:absolute;left:0;text-align:left;margin-left:99.05pt;margin-top:2in;width:105.65pt;height:116.2pt;z-index:-251698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" fillcolor="#f7f7f7" stroked="f" strokeweight=".5pt">
                <v:shadow on="t" type="perspective" color="black" opacity="26214f" offset="0,0" matrix="66847f,,,66847f"/>
                <v:textbox>
                  <w:txbxContent>
                    <w:p w14:paraId="2687FAFE" w14:textId="77777777" w:rsidR="00C6444C" w:rsidRDefault="00C6444C" w:rsidP="00020D20">
                      <w:pPr>
                        <w:jc w:val="center"/>
                      </w:pPr>
                      <w:r>
                        <w:rPr>
                          <w:noProof/>
                        </w:rPr>
                        <w:drawing>
                          <wp:inline distT="0" distB="0" distL="0" distR="0" wp14:anchorId="7B54D9E1" wp14:editId="013778F0">
                            <wp:extent cx="457200" cy="457200"/>
                            <wp:effectExtent l="0" t="0" r="0" b="0"/>
                            <wp:docPr id="816286258" name="Picture 81628625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5485A38" w14:textId="12AA52A7" w:rsidR="00C6444C" w:rsidRPr="00954116" w:rsidRDefault="00C6444C" w:rsidP="00020D20">
                      <w:pPr>
                        <w:pStyle w:val="Calloutboxes"/>
                      </w:pPr>
                      <w:r w:rsidRPr="00394A74">
                        <w:t>The FHWA Transportation Conformity Reference Guide can be found at:</w:t>
                      </w:r>
                    </w:p>
                    <w:p w14:paraId="2B317A68" w14:textId="2F687D55" w:rsidR="00C6444C" w:rsidRPr="00020D20" w:rsidRDefault="00C6444C">
                      <w:pPr>
                        <w:pStyle w:val="Title"/>
                        <w:rPr>
                          <w:sz w:val="16"/>
                        </w:rPr>
                      </w:pPr>
                      <w:hyperlink r:id="rId989" w:history="1">
                        <w:r w:rsidRPr="00020D20">
                          <w:rPr>
                            <w:rStyle w:val="Hyperlink"/>
                            <w:rFonts w:ascii="Calibri" w:hAnsi="Calibri" w:cstheme="majorBidi"/>
                            <w:i/>
                            <w:iCs w:val="0"/>
                            <w:color w:val="CE5B18"/>
                            <w:szCs w:val="56"/>
                            <w:u w:val="none"/>
                          </w:rPr>
                          <w:t>https://www.fhwa.dot.gov/environment//air_quality/conformity/con_broc.pdf</w:t>
                        </w:r>
                      </w:hyperlink>
                    </w:p>
                  </w:txbxContent>
                </v:textbox>
                <w10:wrap type="tight"/>
              </v:shape>
            </w:pict>
          </mc:Fallback>
        </mc:AlternateContent>
      </w:r>
      <w:r>
        <w:rPr>
          <w:rFonts w:cstheme="minorHAnsi"/>
          <w:noProof/>
        </w:rPr>
        <mc:AlternateContent>
          <mc:Choice Requires="wps">
            <w:drawing>
              <wp:anchor distT="0" distB="0" distL="114300" distR="114300" simplePos="0" relativeHeight="251618388" behindDoc="1" locked="0" layoutInCell="1" allowOverlap="1" wp14:anchorId="70963E8F" wp14:editId="66FDFC8C">
                <wp:simplePos x="0" y="0"/>
                <wp:positionH relativeFrom="column">
                  <wp:posOffset>1257935</wp:posOffset>
                </wp:positionH>
                <wp:positionV relativeFrom="paragraph">
                  <wp:posOffset>142240</wp:posOffset>
                </wp:positionV>
                <wp:extent cx="1341755" cy="1519555"/>
                <wp:effectExtent l="76200" t="95250" r="67945" b="99695"/>
                <wp:wrapTight wrapText="bothSides">
                  <wp:wrapPolygon edited="0">
                    <wp:start x="-1227" y="-1354"/>
                    <wp:lineTo x="-1227" y="22746"/>
                    <wp:lineTo x="22387" y="22746"/>
                    <wp:lineTo x="22387" y="-1354"/>
                    <wp:lineTo x="-1227" y="-1354"/>
                  </wp:wrapPolygon>
                </wp:wrapTight>
                <wp:docPr id="816286273" name="Text Box 816286273"/>
                <wp:cNvGraphicFramePr/>
                <a:graphic xmlns:a="http://schemas.openxmlformats.org/drawingml/2006/main">
                  <a:graphicData uri="http://schemas.microsoft.com/office/word/2010/wordprocessingShape">
                    <wps:wsp>
                      <wps:cNvSpPr txBox="1"/>
                      <wps:spPr>
                        <a:xfrm>
                          <a:off x="0" y="0"/>
                          <a:ext cx="1341755" cy="151955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B3196EC" w14:textId="77777777" w:rsidR="00C6444C" w:rsidRDefault="00C6444C" w:rsidP="00020D20">
                            <w:pPr>
                              <w:jc w:val="center"/>
                            </w:pPr>
                            <w:r>
                              <w:rPr>
                                <w:noProof/>
                              </w:rPr>
                              <w:drawing>
                                <wp:inline distT="0" distB="0" distL="0" distR="0" wp14:anchorId="61B807D9" wp14:editId="77D3C751">
                                  <wp:extent cx="457200" cy="457200"/>
                                  <wp:effectExtent l="0" t="0" r="0" b="0"/>
                                  <wp:docPr id="816286259" name="Picture 81628625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8B91DE2" w14:textId="6F50AFED" w:rsidR="00C6444C" w:rsidRPr="00954116" w:rsidRDefault="00C6444C" w:rsidP="00020D20">
                            <w:pPr>
                              <w:pStyle w:val="Calloutboxes"/>
                            </w:pPr>
                            <w:r w:rsidRPr="00394A74">
                              <w:t>For further policy &amp; guidance information follow:</w:t>
                            </w:r>
                          </w:p>
                          <w:p w14:paraId="057A0B04" w14:textId="60F94CC1" w:rsidR="00C6444C" w:rsidRPr="00020D20" w:rsidRDefault="00202C92">
                            <w:pPr>
                              <w:pStyle w:val="Title"/>
                              <w:rPr>
                                <w:sz w:val="16"/>
                              </w:rPr>
                            </w:pPr>
                            <w:hyperlink r:id="rId990" w:history="1">
                              <w:r w:rsidR="00C6444C" w:rsidRPr="00020D20">
                                <w:rPr>
                                  <w:rStyle w:val="Hyperlink"/>
                                  <w:rFonts w:ascii="Calibri" w:hAnsi="Calibri" w:cstheme="majorBidi"/>
                                  <w:i/>
                                  <w:iCs w:val="0"/>
                                  <w:color w:val="CE5B18"/>
                                  <w:szCs w:val="56"/>
                                  <w:u w:val="none"/>
                                </w:rPr>
                                <w:t>https://www.fhwa.dot.gov/environment/air_quality/conformity/policy_and_guidance/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963E8F" id="Text Box 816286273" o:spid="_x0000_s1254" type="#_x0000_t202" style="position:absolute;left:0;text-align:left;margin-left:99.05pt;margin-top:11.2pt;width:105.65pt;height:119.65pt;z-index:-251698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" fillcolor="#f7f7f7" stroked="f" strokeweight=".5pt">
                <v:shadow on="t" type="perspective" color="black" opacity="26214f" offset="0,0" matrix="66847f,,,66847f"/>
                <v:textbox>
                  <w:txbxContent>
                    <w:p w14:paraId="6B3196EC" w14:textId="77777777" w:rsidR="00C6444C" w:rsidRDefault="00C6444C" w:rsidP="00020D20">
                      <w:pPr>
                        <w:jc w:val="center"/>
                      </w:pPr>
                      <w:r>
                        <w:rPr>
                          <w:noProof/>
                        </w:rPr>
                        <w:drawing>
                          <wp:inline distT="0" distB="0" distL="0" distR="0" wp14:anchorId="61B807D9" wp14:editId="77D3C751">
                            <wp:extent cx="457200" cy="457200"/>
                            <wp:effectExtent l="0" t="0" r="0" b="0"/>
                            <wp:docPr id="816286259" name="Picture 81628625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8B91DE2" w14:textId="6F50AFED" w:rsidR="00C6444C" w:rsidRPr="00954116" w:rsidRDefault="00C6444C" w:rsidP="00020D20">
                      <w:pPr>
                        <w:pStyle w:val="Calloutboxes"/>
                      </w:pPr>
                      <w:r w:rsidRPr="00394A74">
                        <w:t>For further policy &amp; guidance information follow:</w:t>
                      </w:r>
                    </w:p>
                    <w:p w14:paraId="057A0B04" w14:textId="60F94CC1" w:rsidR="00C6444C" w:rsidRPr="00020D20" w:rsidRDefault="00C6444C">
                      <w:pPr>
                        <w:pStyle w:val="Title"/>
                        <w:rPr>
                          <w:sz w:val="16"/>
                        </w:rPr>
                      </w:pPr>
                      <w:hyperlink r:id="rId991" w:history="1">
                        <w:r w:rsidRPr="00020D20">
                          <w:rPr>
                            <w:rStyle w:val="Hyperlink"/>
                            <w:rFonts w:ascii="Calibri" w:hAnsi="Calibri" w:cstheme="majorBidi"/>
                            <w:i/>
                            <w:iCs w:val="0"/>
                            <w:color w:val="CE5B18"/>
                            <w:szCs w:val="56"/>
                            <w:u w:val="none"/>
                          </w:rPr>
                          <w:t>https://www.fhwa.dot.gov/environment/air_quality/conformity/policy_and_guidance/</w:t>
                        </w:r>
                      </w:hyperlink>
                    </w:p>
                  </w:txbxContent>
                </v:textbox>
                <w10:wrap type="tight"/>
              </v:shape>
            </w:pict>
          </mc:Fallback>
        </mc:AlternateContent>
      </w:r>
      <w:r w:rsidR="009D7DE0" w:rsidRPr="009D7DE0">
        <w:t>Transportation conformity is a requirement of Section 176(c) of the CAA (</w:t>
      </w:r>
      <w:hyperlink r:id="rId992" w:history="1">
        <w:r w:rsidR="009D7DE0" w:rsidRPr="00020D20">
          <w:rPr>
            <w:rStyle w:val="TitleChar"/>
          </w:rPr>
          <w:t>42 U.S.C. § 7506(c)</w:t>
        </w:r>
      </w:hyperlink>
      <w:r w:rsidR="009D7DE0" w:rsidRPr="009D7DE0">
        <w:t xml:space="preserve">) requirement that connects air quality and transportation planning activities. The goal of transportation conformity is to ensure that FHWA and FTA funding and approvals are given to highway and transit activities that are consistent with air quality goals. Conformity means that transportation activities do not cause new air quality violations, worsen existing violations, or delay timely attainment of the NAAQS. The EPA and USDOT have established conformity requirements that states and MPOs are required to meet. </w:t>
      </w:r>
    </w:p>
    <w:p w14:paraId="216C2F67" w14:textId="62EF91C3" w:rsidR="0094140C" w:rsidRDefault="0094140C" w:rsidP="00020D20">
      <w:pPr>
        <w:pStyle w:val="Heading4"/>
        <w:spacing w:after="0"/>
        <w:jc w:val="both"/>
      </w:pPr>
      <w:r w:rsidRPr="009D7DE0">
        <w:t xml:space="preserve">Table 17.1-2 | Arizona Air Quality Nonattainment and </w:t>
      </w:r>
      <w:r w:rsidRPr="00472679">
        <w:t>Maintenance</w:t>
      </w:r>
      <w:r w:rsidRPr="009D7DE0">
        <w:t xml:space="preserve"> Areas</w:t>
      </w:r>
    </w:p>
    <w:p w14:paraId="3546F0BE" w14:textId="77777777" w:rsidR="00495A39" w:rsidRPr="005E60F5" w:rsidRDefault="00495A39" w:rsidP="00020D20">
      <w:pPr>
        <w:pStyle w:val="TableNotes"/>
        <w:spacing w:before="0" w:after="0" w:line="240" w:lineRule="auto"/>
        <w:jc w:val="both"/>
      </w:pPr>
      <w:r w:rsidRPr="005E60F5">
        <w:t xml:space="preserve">Note: As of </w:t>
      </w:r>
      <w:r>
        <w:t>August 7, 2020</w:t>
      </w:r>
    </w:p>
    <w:p w14:paraId="7D8E894E" w14:textId="6F52C582" w:rsidR="00495A39" w:rsidRPr="005E60F5" w:rsidRDefault="00692E72" w:rsidP="00020D20">
      <w:pPr>
        <w:pStyle w:val="TableNotes"/>
        <w:spacing w:before="0" w:after="0" w:line="240" w:lineRule="auto"/>
        <w:jc w:val="both"/>
        <w:rPr>
          <w:szCs w:val="16"/>
        </w:rPr>
      </w:pPr>
      <w:r w:rsidRPr="005E60F5">
        <w:rPr>
          <w:szCs w:val="16"/>
        </w:rPr>
        <w:t xml:space="preserve"> </w:t>
      </w:r>
      <w:r w:rsidR="00495A39" w:rsidRPr="005E60F5">
        <w:rPr>
          <w:szCs w:val="16"/>
        </w:rPr>
        <w:t xml:space="preserve">Source: Data from MPD, </w:t>
      </w:r>
      <w:hyperlink r:id="rId993" w:history="1">
        <w:r w:rsidR="00495A39" w:rsidRPr="006377C2">
          <w:rPr>
            <w:rStyle w:val="TitleChar"/>
            <w:sz w:val="16"/>
            <w:szCs w:val="16"/>
          </w:rPr>
          <w:t>ADOT Air Quality Management Guidebook</w:t>
        </w:r>
      </w:hyperlink>
      <w:r w:rsidR="00495A39" w:rsidRPr="00341EA8">
        <w:rPr>
          <w:rStyle w:val="TitleChar"/>
        </w:rPr>
        <w:t xml:space="preserve"> </w:t>
      </w:r>
    </w:p>
    <w:p w14:paraId="680B62D1" w14:textId="5F6221DA" w:rsidR="009D7DE0" w:rsidRPr="009D7DE0" w:rsidRDefault="009D7DE0" w:rsidP="00020D20">
      <w:pPr>
        <w:jc w:val="both"/>
        <w:rPr>
          <w:rFonts w:cstheme="minorHAnsi"/>
        </w:rPr>
      </w:pPr>
      <w:r w:rsidRPr="009D7DE0">
        <w:rPr>
          <w:rFonts w:cstheme="minorHAnsi"/>
        </w:rPr>
        <w:t>Conformity requirements were first mandated in the 1990 CAAA and have been revised multiple times over the past two decades.</w:t>
      </w:r>
    </w:p>
    <w:p w14:paraId="17DADC19" w14:textId="1138AB25" w:rsidR="009D7DE0" w:rsidRDefault="009D7DE0" w:rsidP="00020D20">
      <w:pPr>
        <w:jc w:val="both"/>
        <w:rPr>
          <w:rFonts w:cstheme="minorHAnsi"/>
        </w:rPr>
      </w:pPr>
      <w:r w:rsidRPr="009D7DE0">
        <w:rPr>
          <w:rFonts w:cstheme="minorHAnsi"/>
        </w:rPr>
        <w:t xml:space="preserve">Transportation conformity applies to all areas that are in nonattainment or maintenance for particulate matter (PM10 and PM2.5), ozone, carbon monoxide, and nitrogen oxide. In nonattainment and maintenance areas, conformity determination is required for RTPs, regional TIPS, MTIPs, and projects that receive FHWA or FTA funding or approval. Table 17.1-2 provides a list of the nonattainment and maintenance areas in Arizona. The table includes references to a 1-hour ozone standard that was superseded in 2008, as well as referencing sulfur dioxide areas that are not subject to transportation conformity. </w:t>
      </w:r>
    </w:p>
    <w:p w14:paraId="423A5B56" w14:textId="77777777" w:rsidR="009D7DE0" w:rsidRPr="009D7DE0" w:rsidRDefault="009D7DE0" w:rsidP="00020D20">
      <w:pPr>
        <w:pStyle w:val="SubHeading3"/>
        <w:jc w:val="both"/>
      </w:pPr>
      <w:bookmarkStart w:id="604" w:name="_Ref50042265"/>
      <w:r w:rsidRPr="009D7DE0">
        <w:t>State Implementation Plan</w:t>
      </w:r>
      <w:bookmarkEnd w:id="604"/>
      <w:r w:rsidRPr="009D7DE0">
        <w:t xml:space="preserve"> </w:t>
      </w:r>
    </w:p>
    <w:p w14:paraId="53CECB2E" w14:textId="6E029A27" w:rsidR="009D7DE0" w:rsidRPr="009D7DE0" w:rsidRDefault="00134605" w:rsidP="00020D20">
      <w:pPr>
        <w:jc w:val="both"/>
        <w:rPr>
          <w:rFonts w:cstheme="minorHAnsi"/>
        </w:rPr>
      </w:pPr>
      <w:r>
        <w:rPr>
          <w:rFonts w:cstheme="minorHAnsi"/>
          <w:noProof/>
        </w:rPr>
        <mc:AlternateContent>
          <mc:Choice Requires="wps">
            <w:drawing>
              <wp:anchor distT="0" distB="0" distL="114300" distR="114300" simplePos="0" relativeHeight="251618390" behindDoc="1" locked="0" layoutInCell="1" allowOverlap="1" wp14:anchorId="39BF06C6" wp14:editId="38CE7587">
                <wp:simplePos x="0" y="0"/>
                <wp:positionH relativeFrom="column">
                  <wp:posOffset>1476375</wp:posOffset>
                </wp:positionH>
                <wp:positionV relativeFrom="paragraph">
                  <wp:posOffset>623570</wp:posOffset>
                </wp:positionV>
                <wp:extent cx="1270635" cy="1638300"/>
                <wp:effectExtent l="76200" t="95250" r="81915" b="95250"/>
                <wp:wrapTight wrapText="bothSides">
                  <wp:wrapPolygon edited="0">
                    <wp:start x="-1295" y="-1256"/>
                    <wp:lineTo x="-1295" y="22605"/>
                    <wp:lineTo x="22669" y="22605"/>
                    <wp:lineTo x="22669" y="-1256"/>
                    <wp:lineTo x="-1295" y="-1256"/>
                  </wp:wrapPolygon>
                </wp:wrapTight>
                <wp:docPr id="816286277" name="Text Box 816286277"/>
                <wp:cNvGraphicFramePr/>
                <a:graphic xmlns:a="http://schemas.openxmlformats.org/drawingml/2006/main">
                  <a:graphicData uri="http://schemas.microsoft.com/office/word/2010/wordprocessingShape">
                    <wps:wsp>
                      <wps:cNvSpPr txBox="1"/>
                      <wps:spPr>
                        <a:xfrm>
                          <a:off x="0" y="0"/>
                          <a:ext cx="1270635" cy="1638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5283B80" w14:textId="77777777" w:rsidR="00C6444C" w:rsidRDefault="00C6444C" w:rsidP="00020D20">
                            <w:pPr>
                              <w:jc w:val="center"/>
                            </w:pPr>
                            <w:r>
                              <w:rPr>
                                <w:noProof/>
                              </w:rPr>
                              <w:drawing>
                                <wp:inline distT="0" distB="0" distL="0" distR="0" wp14:anchorId="41E71382" wp14:editId="14C9EBC3">
                                  <wp:extent cx="457200" cy="457200"/>
                                  <wp:effectExtent l="0" t="0" r="0" b="0"/>
                                  <wp:docPr id="816286261" name="Picture 81628626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59A60C6" w14:textId="1F0C5456" w:rsidR="00C6444C" w:rsidRPr="00954116" w:rsidRDefault="00C6444C" w:rsidP="00020D20">
                            <w:pPr>
                              <w:pStyle w:val="Calloutboxes"/>
                            </w:pPr>
                            <w:r w:rsidRPr="00394A74">
                              <w:t>ADOT Environmental Services &amp; Planning, Air Quality Planning Section can be found at:</w:t>
                            </w:r>
                          </w:p>
                          <w:p w14:paraId="370C2C41" w14:textId="3802C4C1" w:rsidR="00C6444C" w:rsidRPr="00020D20" w:rsidRDefault="00202C92">
                            <w:pPr>
                              <w:pStyle w:val="Title"/>
                              <w:rPr>
                                <w:sz w:val="16"/>
                              </w:rPr>
                            </w:pPr>
                            <w:hyperlink r:id="rId994" w:history="1">
                              <w:r w:rsidR="00C6444C" w:rsidRPr="00020D20">
                                <w:rPr>
                                  <w:rStyle w:val="Hyperlink"/>
                                  <w:rFonts w:ascii="Calibri" w:hAnsi="Calibri" w:cstheme="majorBidi"/>
                                  <w:i/>
                                  <w:iCs w:val="0"/>
                                  <w:color w:val="CE5B18"/>
                                  <w:szCs w:val="56"/>
                                  <w:u w:val="none"/>
                                </w:rPr>
                                <w:t>https://azdot.gov/business/environmental-planning/air-quality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BF06C6" id="Text Box 816286277" o:spid="_x0000_s1255" type="#_x0000_t202" style="position:absolute;left:0;text-align:left;margin-left:116.25pt;margin-top:49.1pt;width:100.05pt;height:129pt;z-index:-251698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" fillcolor="#f7f7f7" stroked="f" strokeweight=".5pt">
                <v:shadow on="t" type="perspective" color="black" opacity="26214f" offset="0,0" matrix="66847f,,,66847f"/>
                <v:textbox>
                  <w:txbxContent>
                    <w:p w14:paraId="15283B80" w14:textId="77777777" w:rsidR="00C6444C" w:rsidRDefault="00C6444C" w:rsidP="00020D20">
                      <w:pPr>
                        <w:jc w:val="center"/>
                      </w:pPr>
                      <w:r>
                        <w:rPr>
                          <w:noProof/>
                        </w:rPr>
                        <w:drawing>
                          <wp:inline distT="0" distB="0" distL="0" distR="0" wp14:anchorId="41E71382" wp14:editId="14C9EBC3">
                            <wp:extent cx="457200" cy="457200"/>
                            <wp:effectExtent l="0" t="0" r="0" b="0"/>
                            <wp:docPr id="816286261" name="Picture 81628626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59A60C6" w14:textId="1F0C5456" w:rsidR="00C6444C" w:rsidRPr="00954116" w:rsidRDefault="00C6444C" w:rsidP="00020D20">
                      <w:pPr>
                        <w:pStyle w:val="Calloutboxes"/>
                      </w:pPr>
                      <w:r w:rsidRPr="00394A74">
                        <w:t>ADOT Environmental Services &amp; Planning, Air Quality Planning Section can be found at:</w:t>
                      </w:r>
                    </w:p>
                    <w:p w14:paraId="370C2C41" w14:textId="3802C4C1" w:rsidR="00C6444C" w:rsidRPr="00020D20" w:rsidRDefault="00C6444C">
                      <w:pPr>
                        <w:pStyle w:val="Title"/>
                        <w:rPr>
                          <w:sz w:val="16"/>
                        </w:rPr>
                      </w:pPr>
                      <w:hyperlink r:id="rId995" w:history="1">
                        <w:r w:rsidRPr="00020D20">
                          <w:rPr>
                            <w:rStyle w:val="Hyperlink"/>
                            <w:rFonts w:ascii="Calibri" w:hAnsi="Calibri" w:cstheme="majorBidi"/>
                            <w:i/>
                            <w:iCs w:val="0"/>
                            <w:color w:val="CE5B18"/>
                            <w:szCs w:val="56"/>
                            <w:u w:val="none"/>
                          </w:rPr>
                          <w:t>https://azdot.gov/business/environmental-planning/air-quality</w:t>
                        </w:r>
                      </w:hyperlink>
                    </w:p>
                  </w:txbxContent>
                </v:textbox>
                <w10:wrap type="tight"/>
              </v:shape>
            </w:pict>
          </mc:Fallback>
        </mc:AlternateContent>
      </w:r>
      <w:r w:rsidR="009D7DE0" w:rsidRPr="009D7DE0">
        <w:rPr>
          <w:rFonts w:cstheme="minorHAnsi"/>
        </w:rPr>
        <w:t xml:space="preserve">A SIP defines how a state plans to attain and/or maintain the NAAQS. The SIP is developed through a public process, formally adopted by the state, and submitted to the EPA for review and approval. A SIP typically includes state-adopted control measures and comprehensive air quality plans, such as attainment plans, maintenance plans, and transportation control plans. SIP elements often focus on sources of pollution other than transportation, such as point and area sources (e.g., power plants, industrial plants, etc.), over which transportation agencies have </w:t>
      </w:r>
      <w:r w:rsidR="008136B1">
        <w:rPr>
          <w:rFonts w:cstheme="minorHAnsi"/>
        </w:rPr>
        <w:t xml:space="preserve">no </w:t>
      </w:r>
      <w:r w:rsidR="009D7DE0" w:rsidRPr="009D7DE0">
        <w:rPr>
          <w:rFonts w:cstheme="minorHAnsi"/>
        </w:rPr>
        <w:t>jurisdiction or expertise. The ADEQ is the state agency responsible for regulating all emission sources throughout Arizona. County air pollution agencies also have a substantial role in developing rules and regulations for the SIP</w:t>
      </w:r>
      <w:r w:rsidR="000A4575">
        <w:rPr>
          <w:rFonts w:cstheme="minorHAnsi"/>
        </w:rPr>
        <w:t xml:space="preserve"> and have been delegated authority to regulate certain emission sources</w:t>
      </w:r>
      <w:r w:rsidR="009D7DE0" w:rsidRPr="009D7DE0">
        <w:rPr>
          <w:rFonts w:cstheme="minorHAnsi"/>
        </w:rPr>
        <w:t>.</w:t>
      </w:r>
    </w:p>
    <w:p w14:paraId="3F5594DA" w14:textId="08CEB096" w:rsidR="009D7DE0" w:rsidRDefault="009D7DE0" w:rsidP="00020D20">
      <w:pPr>
        <w:jc w:val="both"/>
        <w:rPr>
          <w:rFonts w:cstheme="minorHAnsi"/>
        </w:rPr>
      </w:pPr>
      <w:r w:rsidRPr="009D7DE0">
        <w:rPr>
          <w:rFonts w:cstheme="minorHAnsi"/>
        </w:rPr>
        <w:t xml:space="preserve">The ADOT MPD Air Quality Team is responsible for developing transportation-related portions of SIPs for nonattainment and maintenance areas outside of MPO jurisdiction. In nonattainment and maintenance areas, SIPs include an emissions inventory for </w:t>
      </w:r>
      <w:r w:rsidR="00577E8F">
        <w:rPr>
          <w:rFonts w:cstheme="minorHAnsi"/>
          <w:noProof/>
        </w:rPr>
        <mc:AlternateContent>
          <mc:Choice Requires="wps">
            <w:drawing>
              <wp:anchor distT="0" distB="0" distL="114300" distR="114300" simplePos="0" relativeHeight="251618391" behindDoc="1" locked="0" layoutInCell="1" allowOverlap="1" wp14:anchorId="58CE80F4" wp14:editId="637FA0BF">
                <wp:simplePos x="0" y="0"/>
                <wp:positionH relativeFrom="column">
                  <wp:posOffset>0</wp:posOffset>
                </wp:positionH>
                <wp:positionV relativeFrom="paragraph">
                  <wp:posOffset>95637</wp:posOffset>
                </wp:positionV>
                <wp:extent cx="1371600" cy="1475740"/>
                <wp:effectExtent l="76200" t="95250" r="76200" b="86360"/>
                <wp:wrapTight wrapText="bothSides">
                  <wp:wrapPolygon edited="0">
                    <wp:start x="-1200" y="-1394"/>
                    <wp:lineTo x="-1200" y="22585"/>
                    <wp:lineTo x="22500" y="22585"/>
                    <wp:lineTo x="22500" y="-1394"/>
                    <wp:lineTo x="-1200" y="-1394"/>
                  </wp:wrapPolygon>
                </wp:wrapTight>
                <wp:docPr id="816286279" name="Text Box 816286279"/>
                <wp:cNvGraphicFramePr/>
                <a:graphic xmlns:a="http://schemas.openxmlformats.org/drawingml/2006/main">
                  <a:graphicData uri="http://schemas.microsoft.com/office/word/2010/wordprocessingShape">
                    <wps:wsp>
                      <wps:cNvSpPr txBox="1"/>
                      <wps:spPr>
                        <a:xfrm>
                          <a:off x="0" y="0"/>
                          <a:ext cx="1371600" cy="14757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BC68752" w14:textId="77777777" w:rsidR="00C6444C" w:rsidRDefault="00C6444C" w:rsidP="00020D20">
                            <w:pPr>
                              <w:jc w:val="center"/>
                            </w:pPr>
                            <w:r>
                              <w:rPr>
                                <w:noProof/>
                              </w:rPr>
                              <w:drawing>
                                <wp:inline distT="0" distB="0" distL="0" distR="0" wp14:anchorId="5BA40822" wp14:editId="3ED8F3D1">
                                  <wp:extent cx="457200" cy="457200"/>
                                  <wp:effectExtent l="0" t="0" r="0" b="0"/>
                                  <wp:docPr id="816286262" name="Picture 81628626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0ABBCBE" w14:textId="7ED062BF" w:rsidR="00C6444C" w:rsidRPr="00954116" w:rsidRDefault="00C6444C" w:rsidP="00020D20">
                            <w:pPr>
                              <w:pStyle w:val="Calloutboxes"/>
                            </w:pPr>
                            <w:r w:rsidRPr="00394A74">
                              <w:t>Guidance for Developing Transportation Conformity State Implementation Plans (SIPs) can be found at:</w:t>
                            </w:r>
                          </w:p>
                          <w:p w14:paraId="1B6928A8" w14:textId="5966B3B4" w:rsidR="00C6444C" w:rsidRPr="00020D20" w:rsidRDefault="00202C92">
                            <w:pPr>
                              <w:pStyle w:val="Title"/>
                              <w:rPr>
                                <w:sz w:val="16"/>
                              </w:rPr>
                            </w:pPr>
                            <w:hyperlink r:id="rId996" w:history="1">
                              <w:r w:rsidR="00C6444C" w:rsidRPr="00020D20">
                                <w:rPr>
                                  <w:rStyle w:val="Hyperlink"/>
                                  <w:rFonts w:ascii="Calibri" w:hAnsi="Calibri" w:cstheme="majorBidi"/>
                                  <w:i/>
                                  <w:iCs w:val="0"/>
                                  <w:color w:val="CE5B18"/>
                                  <w:szCs w:val="56"/>
                                  <w:u w:val="none"/>
                                </w:rPr>
                                <w:t>https://www.epa.gov/state-and-local-transportation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CE80F4" id="Text Box 816286279" o:spid="_x0000_s1256" type="#_x0000_t202" style="position:absolute;left:0;text-align:left;margin-left:0;margin-top:7.55pt;width:108pt;height:116.2pt;z-index:-251698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" fillcolor="#f7f7f7" stroked="f" strokeweight=".5pt">
                <v:shadow on="t" type="perspective" color="black" opacity="26214f" offset="0,0" matrix="66847f,,,66847f"/>
                <v:textbox>
                  <w:txbxContent>
                    <w:p w14:paraId="0BC68752" w14:textId="77777777" w:rsidR="00C6444C" w:rsidRDefault="00C6444C" w:rsidP="00020D20">
                      <w:pPr>
                        <w:jc w:val="center"/>
                      </w:pPr>
                      <w:r>
                        <w:rPr>
                          <w:noProof/>
                        </w:rPr>
                        <w:drawing>
                          <wp:inline distT="0" distB="0" distL="0" distR="0" wp14:anchorId="5BA40822" wp14:editId="3ED8F3D1">
                            <wp:extent cx="457200" cy="457200"/>
                            <wp:effectExtent l="0" t="0" r="0" b="0"/>
                            <wp:docPr id="816286262" name="Picture 81628626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0ABBCBE" w14:textId="7ED062BF" w:rsidR="00C6444C" w:rsidRPr="00954116" w:rsidRDefault="00C6444C" w:rsidP="00020D20">
                      <w:pPr>
                        <w:pStyle w:val="Calloutboxes"/>
                      </w:pPr>
                      <w:r w:rsidRPr="00394A74">
                        <w:t>Guidance for Developing Transportation Conformity State Implementation Plans (SIPs) can be found at:</w:t>
                      </w:r>
                    </w:p>
                    <w:p w14:paraId="1B6928A8" w14:textId="5966B3B4" w:rsidR="00C6444C" w:rsidRPr="00020D20" w:rsidRDefault="00C6444C">
                      <w:pPr>
                        <w:pStyle w:val="Title"/>
                        <w:rPr>
                          <w:sz w:val="16"/>
                        </w:rPr>
                      </w:pPr>
                      <w:hyperlink r:id="rId997" w:history="1">
                        <w:r w:rsidRPr="00020D20">
                          <w:rPr>
                            <w:rStyle w:val="Hyperlink"/>
                            <w:rFonts w:ascii="Calibri" w:hAnsi="Calibri" w:cstheme="majorBidi"/>
                            <w:i/>
                            <w:iCs w:val="0"/>
                            <w:color w:val="CE5B18"/>
                            <w:szCs w:val="56"/>
                            <w:u w:val="none"/>
                          </w:rPr>
                          <w:t>https://www.epa.gov/state-and-local-transportation</w:t>
                        </w:r>
                      </w:hyperlink>
                    </w:p>
                  </w:txbxContent>
                </v:textbox>
                <w10:wrap type="tight"/>
              </v:shape>
            </w:pict>
          </mc:Fallback>
        </mc:AlternateContent>
      </w:r>
      <w:r w:rsidRPr="009D7DE0">
        <w:rPr>
          <w:rFonts w:cstheme="minorHAnsi"/>
        </w:rPr>
        <w:t xml:space="preserve">mobile sources that establishes an emissions budget and contains specific </w:t>
      </w:r>
      <w:hyperlink r:id="rId998" w:history="1">
        <w:r w:rsidRPr="000D6099">
          <w:rPr>
            <w:rStyle w:val="TitleChar"/>
          </w:rPr>
          <w:t>Transportation Control Measures</w:t>
        </w:r>
      </w:hyperlink>
      <w:r w:rsidRPr="009D7DE0">
        <w:rPr>
          <w:rFonts w:cstheme="minorHAnsi"/>
        </w:rPr>
        <w:t xml:space="preserve"> (TCMs) to be implemented to meet NAAQS</w:t>
      </w:r>
      <w:r w:rsidR="00AA0F9B">
        <w:rPr>
          <w:rFonts w:cstheme="minorHAnsi"/>
        </w:rPr>
        <w:t>.</w:t>
      </w:r>
      <w:r w:rsidR="00134605" w:rsidRPr="00134605">
        <w:rPr>
          <w:rFonts w:cstheme="minorHAnsi"/>
        </w:rPr>
        <w:t xml:space="preserve"> </w:t>
      </w:r>
    </w:p>
    <w:p w14:paraId="513C53AC" w14:textId="2582B019" w:rsidR="009D7DE0" w:rsidRPr="009D7DE0" w:rsidRDefault="009D7DE0" w:rsidP="00020D20">
      <w:pPr>
        <w:pStyle w:val="Heading3"/>
        <w:jc w:val="both"/>
      </w:pPr>
      <w:bookmarkStart w:id="605" w:name="_Ref50042022"/>
      <w:r w:rsidRPr="009D7DE0">
        <w:t>17.1.3 | Conformity Process</w:t>
      </w:r>
      <w:bookmarkEnd w:id="605"/>
    </w:p>
    <w:p w14:paraId="75DB4669" w14:textId="42F9070C" w:rsidR="009D7DE0" w:rsidRPr="009D7DE0" w:rsidRDefault="009D7DE0" w:rsidP="00020D20">
      <w:pPr>
        <w:pStyle w:val="SubHeading3"/>
        <w:jc w:val="both"/>
      </w:pPr>
      <w:bookmarkStart w:id="606" w:name="_Ref50042271"/>
      <w:r w:rsidRPr="009D7DE0">
        <w:t>Transportation Plans &amp; TIPs</w:t>
      </w:r>
      <w:bookmarkEnd w:id="606"/>
      <w:r>
        <w:t xml:space="preserve"> </w:t>
      </w:r>
    </w:p>
    <w:p w14:paraId="78292D91" w14:textId="7EA49D71" w:rsidR="009D7DE0" w:rsidRPr="009D7DE0" w:rsidRDefault="009D7DE0" w:rsidP="00020D20">
      <w:pPr>
        <w:jc w:val="both"/>
        <w:rPr>
          <w:rFonts w:cstheme="minorHAnsi"/>
        </w:rPr>
      </w:pPr>
      <w:r w:rsidRPr="009D7DE0">
        <w:rPr>
          <w:rFonts w:cstheme="minorHAnsi"/>
        </w:rPr>
        <w:t>MPOs are responsible for evaluating the conformity of RTPs and TIPs. Conformity evaluation of these plans is required in nonattainment and maintenance areas:</w:t>
      </w:r>
    </w:p>
    <w:p w14:paraId="5EC60497" w14:textId="636B7B81" w:rsidR="009D7DE0" w:rsidRPr="009D7DE0" w:rsidRDefault="009D7DE0" w:rsidP="00020D20">
      <w:pPr>
        <w:pStyle w:val="Body-Bullets"/>
        <w:jc w:val="both"/>
      </w:pPr>
      <w:r w:rsidRPr="009D7DE0">
        <w:t>at least every four years;</w:t>
      </w:r>
    </w:p>
    <w:p w14:paraId="6DAB0ADD" w14:textId="76EF970A" w:rsidR="009D7DE0" w:rsidRPr="009D7DE0" w:rsidRDefault="009D7DE0" w:rsidP="00020D20">
      <w:pPr>
        <w:pStyle w:val="Body-Bullets"/>
        <w:jc w:val="both"/>
      </w:pPr>
      <w:r w:rsidRPr="009D7DE0">
        <w:t xml:space="preserve">24 months after certain SIP actions; </w:t>
      </w:r>
    </w:p>
    <w:p w14:paraId="55CCC3B5" w14:textId="77777777" w:rsidR="009D7DE0" w:rsidRPr="009D7DE0" w:rsidRDefault="009D7DE0" w:rsidP="00020D20">
      <w:pPr>
        <w:pStyle w:val="Body-Bullets"/>
        <w:jc w:val="both"/>
      </w:pPr>
      <w:r w:rsidRPr="009D7DE0">
        <w:t>within 12 months after new nonattainment designation becomes effective; and</w:t>
      </w:r>
    </w:p>
    <w:p w14:paraId="2B7CE7AC" w14:textId="5F8D696D" w:rsidR="009D7DE0" w:rsidRPr="009D7DE0" w:rsidRDefault="009D7DE0" w:rsidP="00020D20">
      <w:pPr>
        <w:pStyle w:val="Body-Bullets"/>
        <w:jc w:val="both"/>
      </w:pPr>
      <w:r w:rsidRPr="009D7DE0">
        <w:t>prior to acceptance of a new or updated RTP, TIP, and certain plan and TIP amendments.</w:t>
      </w:r>
    </w:p>
    <w:p w14:paraId="5A138733" w14:textId="7C59247C" w:rsidR="009D7DE0" w:rsidRDefault="009D7DE0" w:rsidP="00020D20">
      <w:pPr>
        <w:jc w:val="both"/>
        <w:rPr>
          <w:rFonts w:cstheme="minorHAnsi"/>
        </w:rPr>
      </w:pPr>
      <w:r w:rsidRPr="009D7DE0">
        <w:rPr>
          <w:rFonts w:cstheme="minorHAnsi"/>
        </w:rPr>
        <w:t xml:space="preserve">Conformity determinations are approved by the FHWA and/or the FTA. MPOs make initial conformity determinations for plans and programs in metropolitan areas, whereas ADOT leads conformity determination for areas outside of MPO jurisdiction. When a conformity determination is not made according to schedule, areas have a one-year grace period to make the determination before there is a conformity lapse and the use of federal-aid funds is restricted. Such restrictions typically target projects that would provide additional roadway capacity usable by </w:t>
      </w:r>
      <w:r w:rsidR="0001503D">
        <w:rPr>
          <w:rFonts w:cstheme="minorHAnsi"/>
        </w:rPr>
        <w:t>single-occupancy (or occupant) vehicle (</w:t>
      </w:r>
      <w:r w:rsidRPr="009D7DE0">
        <w:rPr>
          <w:rFonts w:cstheme="minorHAnsi"/>
        </w:rPr>
        <w:t>SOV</w:t>
      </w:r>
      <w:r w:rsidR="0001503D">
        <w:rPr>
          <w:rFonts w:cstheme="minorHAnsi"/>
        </w:rPr>
        <w:t>)</w:t>
      </w:r>
      <w:r w:rsidRPr="009D7DE0">
        <w:rPr>
          <w:rFonts w:cstheme="minorHAnsi"/>
        </w:rPr>
        <w:t>.</w:t>
      </w:r>
    </w:p>
    <w:p w14:paraId="1A000FAA" w14:textId="70E32927" w:rsidR="009D7DE0" w:rsidRDefault="009E7FE4" w:rsidP="00020D20">
      <w:pPr>
        <w:jc w:val="both"/>
        <w:rPr>
          <w:rFonts w:cstheme="minorHAnsi"/>
        </w:rPr>
      </w:pPr>
      <w:r>
        <w:rPr>
          <w:rFonts w:cstheme="minorHAnsi"/>
          <w:noProof/>
        </w:rPr>
        <mc:AlternateContent>
          <mc:Choice Requires="wps">
            <w:drawing>
              <wp:anchor distT="0" distB="0" distL="114300" distR="114300" simplePos="0" relativeHeight="251618392" behindDoc="1" locked="0" layoutInCell="1" allowOverlap="1" wp14:anchorId="61D5B4FD" wp14:editId="32469E06">
                <wp:simplePos x="0" y="0"/>
                <wp:positionH relativeFrom="margin">
                  <wp:posOffset>1835150</wp:posOffset>
                </wp:positionH>
                <wp:positionV relativeFrom="paragraph">
                  <wp:posOffset>77470</wp:posOffset>
                </wp:positionV>
                <wp:extent cx="931545" cy="1264920"/>
                <wp:effectExtent l="76200" t="76200" r="78105" b="68580"/>
                <wp:wrapTight wrapText="bothSides">
                  <wp:wrapPolygon edited="0">
                    <wp:start x="-1325" y="-1301"/>
                    <wp:lineTo x="-1767" y="-976"/>
                    <wp:lineTo x="-1767" y="21145"/>
                    <wp:lineTo x="-1325" y="22446"/>
                    <wp:lineTo x="22528" y="22446"/>
                    <wp:lineTo x="22969" y="20169"/>
                    <wp:lineTo x="22969" y="4229"/>
                    <wp:lineTo x="22528" y="-651"/>
                    <wp:lineTo x="22528" y="-1301"/>
                    <wp:lineTo x="-1325" y="-1301"/>
                  </wp:wrapPolygon>
                </wp:wrapTight>
                <wp:docPr id="816286281" name="Text Box 816286281"/>
                <wp:cNvGraphicFramePr/>
                <a:graphic xmlns:a="http://schemas.openxmlformats.org/drawingml/2006/main">
                  <a:graphicData uri="http://schemas.microsoft.com/office/word/2010/wordprocessingShape">
                    <wps:wsp>
                      <wps:cNvSpPr txBox="1"/>
                      <wps:spPr>
                        <a:xfrm>
                          <a:off x="0" y="0"/>
                          <a:ext cx="931545" cy="126492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3864B7B" w14:textId="77777777" w:rsidR="00C6444C" w:rsidRDefault="00C6444C" w:rsidP="00020D20">
                            <w:pPr>
                              <w:jc w:val="center"/>
                            </w:pPr>
                            <w:r>
                              <w:rPr>
                                <w:noProof/>
                              </w:rPr>
                              <w:drawing>
                                <wp:inline distT="0" distB="0" distL="0" distR="0" wp14:anchorId="6B357B14" wp14:editId="7DBFA240">
                                  <wp:extent cx="457200" cy="457200"/>
                                  <wp:effectExtent l="0" t="0" r="0" b="0"/>
                                  <wp:docPr id="816286264" name="Picture 81628626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62C018" w14:textId="77777777" w:rsidR="00C6444C" w:rsidRPr="00954116" w:rsidRDefault="00C6444C" w:rsidP="00020D20">
                            <w:pPr>
                              <w:pStyle w:val="Calloutboxes"/>
                            </w:pPr>
                            <w:r w:rsidRPr="00394A74">
                              <w:t>EPA,</w:t>
                            </w:r>
                          </w:p>
                          <w:p w14:paraId="120A7B9D" w14:textId="292A25B2" w:rsidR="00C6444C" w:rsidRPr="00020D20" w:rsidRDefault="00202C92" w:rsidP="00020D20">
                            <w:pPr>
                              <w:spacing w:before="0" w:after="0" w:line="240" w:lineRule="auto"/>
                              <w:jc w:val="center"/>
                              <w:rPr>
                                <w:sz w:val="16"/>
                                <w:szCs w:val="16"/>
                              </w:rPr>
                            </w:pPr>
                            <w:hyperlink r:id="rId999" w:history="1">
                              <w:r w:rsidR="00C6444C" w:rsidRPr="00020D20">
                                <w:rPr>
                                  <w:rStyle w:val="TitleChar"/>
                                  <w:sz w:val="16"/>
                                  <w:szCs w:val="16"/>
                                </w:rPr>
                                <w:t>Transportation Conformity Regulations</w:t>
                              </w:r>
                            </w:hyperlink>
                          </w:p>
                          <w:p w14:paraId="3734E5EA" w14:textId="77777777" w:rsidR="00C6444C" w:rsidRPr="00C11298" w:rsidRDefault="00C6444C" w:rsidP="00ED1276">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D5B4FD" id="Text Box 816286281" o:spid="_x0000_s1257" type="#_x0000_t202" style="position:absolute;left:0;text-align:left;margin-left:144.5pt;margin-top:6.1pt;width:73.35pt;height:99.6pt;z-index:-251698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" fillcolor="#f7f7f7" stroked="f" strokeweight=".5pt">
                <v:shadow on="t" type="perspective" color="black" opacity="26214f" offset="0,0" matrix="66847f,,,66847f"/>
                <v:textbox>
                  <w:txbxContent>
                    <w:p w14:paraId="43864B7B" w14:textId="77777777" w:rsidR="00C6444C" w:rsidRDefault="00C6444C" w:rsidP="00020D20">
                      <w:pPr>
                        <w:jc w:val="center"/>
                      </w:pPr>
                      <w:r>
                        <w:rPr>
                          <w:noProof/>
                        </w:rPr>
                        <w:drawing>
                          <wp:inline distT="0" distB="0" distL="0" distR="0" wp14:anchorId="6B357B14" wp14:editId="7DBFA240">
                            <wp:extent cx="457200" cy="457200"/>
                            <wp:effectExtent l="0" t="0" r="0" b="0"/>
                            <wp:docPr id="816286264" name="Picture 81628626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F62C018" w14:textId="77777777" w:rsidR="00C6444C" w:rsidRPr="00954116" w:rsidRDefault="00C6444C" w:rsidP="00020D20">
                      <w:pPr>
                        <w:pStyle w:val="Calloutboxes"/>
                      </w:pPr>
                      <w:r w:rsidRPr="00394A74">
                        <w:t>EPA,</w:t>
                      </w:r>
                    </w:p>
                    <w:p w14:paraId="120A7B9D" w14:textId="292A25B2" w:rsidR="00C6444C" w:rsidRPr="00020D20" w:rsidRDefault="00C6444C" w:rsidP="00020D20">
                      <w:pPr>
                        <w:spacing w:before="0" w:after="0" w:line="240" w:lineRule="auto"/>
                        <w:jc w:val="center"/>
                        <w:rPr>
                          <w:sz w:val="16"/>
                          <w:szCs w:val="16"/>
                        </w:rPr>
                      </w:pPr>
                      <w:hyperlink r:id="rId1000" w:history="1">
                        <w:r w:rsidRPr="00020D20">
                          <w:rPr>
                            <w:rStyle w:val="TitleChar"/>
                            <w:sz w:val="16"/>
                            <w:szCs w:val="16"/>
                          </w:rPr>
                          <w:t>Transportation Conformity Regulations</w:t>
                        </w:r>
                      </w:hyperlink>
                    </w:p>
                    <w:p w14:paraId="3734E5EA" w14:textId="77777777" w:rsidR="00C6444C" w:rsidRPr="00C11298" w:rsidRDefault="00C6444C" w:rsidP="00ED1276">
                      <w:pPr>
                        <w:pStyle w:val="Title"/>
                      </w:pPr>
                    </w:p>
                  </w:txbxContent>
                </v:textbox>
                <w10:wrap type="tight" anchorx="margin"/>
              </v:shape>
            </w:pict>
          </mc:Fallback>
        </mc:AlternateContent>
      </w:r>
      <w:r w:rsidR="009D7DE0" w:rsidRPr="009D7DE0">
        <w:rPr>
          <w:rFonts w:cstheme="minorHAnsi"/>
        </w:rPr>
        <w:t xml:space="preserve">In the transportation conformity evaluation, emissions associated with the RTP and TIP </w:t>
      </w:r>
      <w:r w:rsidR="008136B1">
        <w:rPr>
          <w:rFonts w:cstheme="minorHAnsi"/>
        </w:rPr>
        <w:t>are</w:t>
      </w:r>
      <w:r w:rsidR="008136B1" w:rsidRPr="009D7DE0">
        <w:rPr>
          <w:rFonts w:cstheme="minorHAnsi"/>
        </w:rPr>
        <w:t xml:space="preserve"> </w:t>
      </w:r>
      <w:r w:rsidR="009D7DE0" w:rsidRPr="009D7DE0">
        <w:rPr>
          <w:rFonts w:cstheme="minorHAnsi"/>
        </w:rPr>
        <w:t xml:space="preserve">estimated. Emissions estimates are made using the latest emissions model adopted by the EPA and are based on the latest planning assumptions (population, employment, land use, mode split, etc.) for the region. For pollutant emissions, the </w:t>
      </w:r>
      <w:hyperlink r:id="rId1001" w:history="1">
        <w:r w:rsidR="009D7DE0" w:rsidRPr="00332C96">
          <w:rPr>
            <w:rStyle w:val="TitleChar"/>
          </w:rPr>
          <w:t>EPA’s Motor Vehicle Emission Simulator</w:t>
        </w:r>
      </w:hyperlink>
      <w:r w:rsidR="009D7DE0" w:rsidRPr="009D7DE0">
        <w:rPr>
          <w:rFonts w:cstheme="minorHAnsi"/>
        </w:rPr>
        <w:t xml:space="preserve"> (MOVES) is the approved model for estimating current and future emissions from motor vehicles (EPA 201</w:t>
      </w:r>
      <w:r w:rsidR="000A4575">
        <w:rPr>
          <w:rFonts w:cstheme="minorHAnsi"/>
        </w:rPr>
        <w:t>4</w:t>
      </w:r>
      <w:r w:rsidR="009D7DE0" w:rsidRPr="009D7DE0">
        <w:rPr>
          <w:rFonts w:cstheme="minorHAnsi"/>
        </w:rPr>
        <w:t xml:space="preserve">b). Network-based </w:t>
      </w:r>
      <w:r w:rsidR="00DB7EF5">
        <w:rPr>
          <w:rFonts w:cstheme="minorHAnsi"/>
        </w:rPr>
        <w:t>travel demand model (</w:t>
      </w:r>
      <w:r w:rsidR="009D7DE0" w:rsidRPr="009D7DE0">
        <w:rPr>
          <w:rFonts w:cstheme="minorHAnsi"/>
        </w:rPr>
        <w:t>TDMs</w:t>
      </w:r>
      <w:r w:rsidR="00DB7EF5">
        <w:rPr>
          <w:rFonts w:cstheme="minorHAnsi"/>
        </w:rPr>
        <w:t>)</w:t>
      </w:r>
      <w:r w:rsidR="009D7DE0" w:rsidRPr="009D7DE0">
        <w:rPr>
          <w:rFonts w:cstheme="minorHAnsi"/>
        </w:rPr>
        <w:t xml:space="preserve"> may be used to generate estimates of traffic volumes associated with each plan. Estimated regional emissions are compared with the emissions budget defined in the regions SIP. Under some circumstances, the resulting MOVES emission forecasts are then used as inputs for other models that predict localized concentrations of pollution in the air.</w:t>
      </w:r>
    </w:p>
    <w:p w14:paraId="7FEA0A3E" w14:textId="45129015" w:rsidR="00BD27A2" w:rsidRPr="009D7DE0" w:rsidRDefault="00452B88" w:rsidP="00020D20">
      <w:pPr>
        <w:jc w:val="both"/>
        <w:rPr>
          <w:rFonts w:cstheme="minorHAnsi"/>
        </w:rPr>
      </w:pPr>
      <w:r>
        <w:rPr>
          <w:rFonts w:cstheme="minorHAnsi"/>
        </w:rPr>
        <w:t>MPOs and COGs</w:t>
      </w:r>
      <w:r w:rsidR="00BD27A2">
        <w:rPr>
          <w:rFonts w:cstheme="minorHAnsi"/>
        </w:rPr>
        <w:t xml:space="preserve"> not in nonattainment and maintenance areas must </w:t>
      </w:r>
      <w:r w:rsidR="007C203E">
        <w:rPr>
          <w:rFonts w:cstheme="minorHAnsi"/>
        </w:rPr>
        <w:t xml:space="preserve">at a minimum </w:t>
      </w:r>
      <w:r w:rsidR="00BD27A2">
        <w:rPr>
          <w:rFonts w:cstheme="minorHAnsi"/>
        </w:rPr>
        <w:t>ensure that RTPs and TIPs are in conformity with the Clean Air Act</w:t>
      </w:r>
      <w:r w:rsidR="007C203E">
        <w:rPr>
          <w:rFonts w:cstheme="minorHAnsi"/>
        </w:rPr>
        <w:t>.</w:t>
      </w:r>
    </w:p>
    <w:p w14:paraId="0F65A7A8" w14:textId="613564F7" w:rsidR="009D7DE0" w:rsidRPr="009D7DE0" w:rsidRDefault="009D7DE0" w:rsidP="00020D20">
      <w:pPr>
        <w:pStyle w:val="SubHeading3"/>
        <w:jc w:val="both"/>
      </w:pPr>
      <w:bookmarkStart w:id="607" w:name="_Ref50042275"/>
      <w:r w:rsidRPr="009D7DE0">
        <w:t>Project-Level Conformity</w:t>
      </w:r>
      <w:bookmarkEnd w:id="607"/>
    </w:p>
    <w:p w14:paraId="49DD82AA" w14:textId="2A14403D" w:rsidR="009D7DE0" w:rsidRPr="009D7DE0" w:rsidRDefault="00954116" w:rsidP="00020D20">
      <w:pPr>
        <w:jc w:val="both"/>
        <w:rPr>
          <w:rFonts w:cstheme="minorHAnsi"/>
        </w:rPr>
      </w:pPr>
      <w:r>
        <w:rPr>
          <w:rFonts w:cstheme="minorHAnsi"/>
          <w:noProof/>
        </w:rPr>
        <mc:AlternateContent>
          <mc:Choice Requires="wps">
            <w:drawing>
              <wp:anchor distT="0" distB="0" distL="114300" distR="114300" simplePos="0" relativeHeight="251618543" behindDoc="1" locked="0" layoutInCell="1" allowOverlap="1" wp14:anchorId="2BAAE07C" wp14:editId="5A290F77">
                <wp:simplePos x="0" y="0"/>
                <wp:positionH relativeFrom="column">
                  <wp:posOffset>1710690</wp:posOffset>
                </wp:positionH>
                <wp:positionV relativeFrom="paragraph">
                  <wp:posOffset>4445</wp:posOffset>
                </wp:positionV>
                <wp:extent cx="1003300" cy="1031240"/>
                <wp:effectExtent l="76200" t="76200" r="82550" b="73660"/>
                <wp:wrapTight wrapText="bothSides">
                  <wp:wrapPolygon edited="0">
                    <wp:start x="-1230" y="-1596"/>
                    <wp:lineTo x="-1641" y="-1197"/>
                    <wp:lineTo x="-1641" y="21148"/>
                    <wp:lineTo x="-1230" y="22744"/>
                    <wp:lineTo x="22967" y="22744"/>
                    <wp:lineTo x="22967" y="5187"/>
                    <wp:lineTo x="22557" y="-798"/>
                    <wp:lineTo x="22557" y="-1596"/>
                    <wp:lineTo x="-1230" y="-1596"/>
                  </wp:wrapPolygon>
                </wp:wrapTight>
                <wp:docPr id="1690911421" name="Text Box 1690911421"/>
                <wp:cNvGraphicFramePr/>
                <a:graphic xmlns:a="http://schemas.openxmlformats.org/drawingml/2006/main">
                  <a:graphicData uri="http://schemas.microsoft.com/office/word/2010/wordprocessingShape">
                    <wps:wsp>
                      <wps:cNvSpPr txBox="1"/>
                      <wps:spPr>
                        <a:xfrm>
                          <a:off x="0" y="0"/>
                          <a:ext cx="1003300" cy="10312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EA448AB" w14:textId="77777777" w:rsidR="00C6444C" w:rsidRDefault="00C6444C" w:rsidP="00020D20">
                            <w:pPr>
                              <w:jc w:val="center"/>
                            </w:pPr>
                            <w:r>
                              <w:rPr>
                                <w:noProof/>
                              </w:rPr>
                              <w:drawing>
                                <wp:inline distT="0" distB="0" distL="0" distR="0" wp14:anchorId="0FE4D749" wp14:editId="5F903828">
                                  <wp:extent cx="457200" cy="457200"/>
                                  <wp:effectExtent l="0" t="0" r="0" b="0"/>
                                  <wp:docPr id="816286266" name="Picture 816286266">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15408DE" w14:textId="3BC7F4D5" w:rsidR="00C6444C" w:rsidRPr="00020D20" w:rsidRDefault="00C6444C" w:rsidP="00020D20">
                            <w:pPr>
                              <w:pStyle w:val="Calloutboxes"/>
                            </w:pPr>
                            <w:r w:rsidRPr="00394A74">
                              <w:t xml:space="preserve">ADOT’s </w:t>
                            </w:r>
                            <w:hyperlink r:id="rId1002" w:history="1">
                              <w:r w:rsidRPr="00020D20">
                                <w:rPr>
                                  <w:rStyle w:val="TitleChar"/>
                                  <w:sz w:val="16"/>
                                  <w:szCs w:val="16"/>
                                </w:rPr>
                                <w:t xml:space="preserve">Air </w:t>
                              </w:r>
                              <w:r w:rsidRPr="0094140C">
                                <w:rPr>
                                  <w:rStyle w:val="TitleChar"/>
                                  <w:sz w:val="16"/>
                                  <w:szCs w:val="16"/>
                                </w:rPr>
                                <w:t xml:space="preserve"> </w:t>
                              </w:r>
                              <w:r w:rsidRPr="00020D20">
                                <w:rPr>
                                  <w:rStyle w:val="TitleChar"/>
                                  <w:sz w:val="16"/>
                                  <w:szCs w:val="16"/>
                                </w:rPr>
                                <w:t>Quality Processes Guidance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AAE07C" id="Text Box 1690911421" o:spid="_x0000_s1258" type="#_x0000_t202" style="position:absolute;left:0;text-align:left;margin-left:134.7pt;margin-top:.35pt;width:79pt;height:81.2pt;z-index:-251697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" fillcolor="#f7f7f7" stroked="f" strokeweight=".5pt">
                <v:shadow on="t" type="perspective" color="black" opacity="26214f" offset="0,0" matrix="66847f,,,66847f"/>
                <v:textbox>
                  <w:txbxContent>
                    <w:p w14:paraId="5EA448AB" w14:textId="77777777" w:rsidR="00C6444C" w:rsidRDefault="00C6444C" w:rsidP="00020D20">
                      <w:pPr>
                        <w:jc w:val="center"/>
                      </w:pPr>
                      <w:r>
                        <w:rPr>
                          <w:noProof/>
                        </w:rPr>
                        <w:drawing>
                          <wp:inline distT="0" distB="0" distL="0" distR="0" wp14:anchorId="0FE4D749" wp14:editId="5F903828">
                            <wp:extent cx="457200" cy="457200"/>
                            <wp:effectExtent l="0" t="0" r="0" b="0"/>
                            <wp:docPr id="816286266" name="Picture 816286266">
                              <a:hlinkClick xmlns:a="http://schemas.openxmlformats.org/drawingml/2006/main" r:id="rId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15408DE" w14:textId="3BC7F4D5" w:rsidR="00C6444C" w:rsidRPr="00020D20" w:rsidRDefault="00C6444C" w:rsidP="00020D20">
                      <w:pPr>
                        <w:pStyle w:val="Calloutboxes"/>
                      </w:pPr>
                      <w:r w:rsidRPr="00394A74">
                        <w:t xml:space="preserve">ADOT’s </w:t>
                      </w:r>
                      <w:hyperlink r:id="rId1003" w:history="1">
                        <w:r w:rsidRPr="00020D20">
                          <w:rPr>
                            <w:rStyle w:val="TitleChar"/>
                            <w:sz w:val="16"/>
                            <w:szCs w:val="16"/>
                          </w:rPr>
                          <w:t xml:space="preserve">Air </w:t>
                        </w:r>
                        <w:r w:rsidRPr="0094140C">
                          <w:rPr>
                            <w:rStyle w:val="TitleChar"/>
                            <w:sz w:val="16"/>
                            <w:szCs w:val="16"/>
                          </w:rPr>
                          <w:t xml:space="preserve"> </w:t>
                        </w:r>
                        <w:r w:rsidRPr="00020D20">
                          <w:rPr>
                            <w:rStyle w:val="TitleChar"/>
                            <w:sz w:val="16"/>
                            <w:szCs w:val="16"/>
                          </w:rPr>
                          <w:t>Quality Processes Guidance</w:t>
                        </w:r>
                      </w:hyperlink>
                    </w:p>
                  </w:txbxContent>
                </v:textbox>
                <w10:wrap type="tight"/>
              </v:shape>
            </w:pict>
          </mc:Fallback>
        </mc:AlternateContent>
      </w:r>
      <w:r w:rsidR="009D7DE0" w:rsidRPr="009D7DE0">
        <w:rPr>
          <w:rFonts w:cstheme="minorHAnsi"/>
        </w:rPr>
        <w:t>In addition to regional conformity determinations, project-level conformity determinations are required in CO, PM2.5 and PM10 nonattainment and maintenance areas (</w:t>
      </w:r>
      <w:hyperlink r:id="rId1004" w:history="1">
        <w:r w:rsidR="009D7DE0" w:rsidRPr="00332C96">
          <w:rPr>
            <w:rStyle w:val="TitleChar"/>
          </w:rPr>
          <w:t xml:space="preserve">40 </w:t>
        </w:r>
        <w:r w:rsidR="009628C0">
          <w:rPr>
            <w:rStyle w:val="TitleChar"/>
          </w:rPr>
          <w:t xml:space="preserve">C.F.R. </w:t>
        </w:r>
        <w:r w:rsidR="009D7DE0" w:rsidRPr="00332C96">
          <w:rPr>
            <w:rStyle w:val="TitleChar"/>
          </w:rPr>
          <w:t>§</w:t>
        </w:r>
        <w:r w:rsidR="008216A0">
          <w:rPr>
            <w:rStyle w:val="TitleChar"/>
          </w:rPr>
          <w:t xml:space="preserve"> </w:t>
        </w:r>
        <w:r w:rsidR="009D7DE0" w:rsidRPr="00332C96">
          <w:rPr>
            <w:rStyle w:val="TitleChar"/>
          </w:rPr>
          <w:t>93.109 (d)</w:t>
        </w:r>
      </w:hyperlink>
      <w:r w:rsidR="009D7DE0" w:rsidRPr="009D7DE0">
        <w:rPr>
          <w:rFonts w:cstheme="minorHAnsi"/>
        </w:rPr>
        <w:t xml:space="preserve">). For regionally significant nonfederal projects, the implementing agency is also responsible for meeting </w:t>
      </w:r>
      <w:r w:rsidR="009D7DE0" w:rsidRPr="00332C96">
        <w:t>applicable conformity and emissions analysis criteria required under federal regulations. ADOT will assist agencies in project-level conformity analyses for</w:t>
      </w:r>
      <w:r w:rsidR="009D7DE0" w:rsidRPr="009D7DE0">
        <w:rPr>
          <w:rFonts w:cstheme="minorHAnsi"/>
        </w:rPr>
        <w:t xml:space="preserve"> both federal and nonfederal projects by performing regional emissions analyses as appropriate. </w:t>
      </w:r>
      <w:r w:rsidR="007C203E">
        <w:rPr>
          <w:rFonts w:cstheme="minorHAnsi"/>
        </w:rPr>
        <w:t>T</w:t>
      </w:r>
      <w:r w:rsidR="009D7DE0" w:rsidRPr="009D7DE0">
        <w:rPr>
          <w:rFonts w:cstheme="minorHAnsi"/>
        </w:rPr>
        <w:t>o demonstrate project-level conformity</w:t>
      </w:r>
      <w:r w:rsidR="007C203E">
        <w:rPr>
          <w:rFonts w:cstheme="minorHAnsi"/>
        </w:rPr>
        <w:t xml:space="preserve"> must have</w:t>
      </w:r>
      <w:r w:rsidR="009D7DE0" w:rsidRPr="009D7DE0">
        <w:rPr>
          <w:rFonts w:cstheme="minorHAnsi"/>
        </w:rPr>
        <w:t>:</w:t>
      </w:r>
    </w:p>
    <w:p w14:paraId="51EA9B28" w14:textId="0409B06C" w:rsidR="009D7DE0" w:rsidRPr="009D7DE0" w:rsidRDefault="007C203E" w:rsidP="00020D20">
      <w:pPr>
        <w:pStyle w:val="Body-Bullets"/>
        <w:jc w:val="both"/>
      </w:pPr>
      <w:r>
        <w:t>C</w:t>
      </w:r>
      <w:r w:rsidR="009D7DE0" w:rsidRPr="009D7DE0">
        <w:t>ome from a conforming STIP or MPO TIP.</w:t>
      </w:r>
    </w:p>
    <w:p w14:paraId="304F40D9" w14:textId="60DFE03C" w:rsidR="009D7DE0" w:rsidRPr="009D7DE0" w:rsidRDefault="007C203E" w:rsidP="00020D20">
      <w:pPr>
        <w:pStyle w:val="Body-Bullets"/>
        <w:jc w:val="both"/>
      </w:pPr>
      <w:r>
        <w:t>No significant changes to t</w:t>
      </w:r>
      <w:r w:rsidR="009D7DE0" w:rsidRPr="009D7DE0">
        <w:t xml:space="preserve">he project’s design concept and scope </w:t>
      </w:r>
      <w:r>
        <w:t>f</w:t>
      </w:r>
      <w:r w:rsidR="009D7DE0" w:rsidRPr="009D7DE0">
        <w:t>rom that in the STIP or MPO planning documents.</w:t>
      </w:r>
    </w:p>
    <w:p w14:paraId="6B778D36" w14:textId="2C2A6298" w:rsidR="009D7DE0" w:rsidRPr="009D7DE0" w:rsidRDefault="007C203E" w:rsidP="00020D20">
      <w:pPr>
        <w:pStyle w:val="Body-Bullets"/>
        <w:jc w:val="both"/>
      </w:pPr>
      <w:r>
        <w:t xml:space="preserve">An </w:t>
      </w:r>
      <w:r w:rsidR="009D7DE0" w:rsidRPr="009D7DE0">
        <w:t xml:space="preserve">analysis </w:t>
      </w:r>
      <w:r>
        <w:t xml:space="preserve">that </w:t>
      </w:r>
      <w:r w:rsidR="009D7DE0" w:rsidRPr="009D7DE0">
        <w:t>used the latest planning assumptions and the latest emissions model.</w:t>
      </w:r>
    </w:p>
    <w:p w14:paraId="64713C4A" w14:textId="6A321375" w:rsidR="009D7DE0" w:rsidRPr="009D7DE0" w:rsidRDefault="009D7DE0" w:rsidP="00020D20">
      <w:pPr>
        <w:pStyle w:val="Body-Bullets"/>
        <w:jc w:val="both"/>
      </w:pPr>
      <w:r w:rsidRPr="009D7DE0">
        <w:t>In PM2.5/PM10 areas, there must be a demonstration of compliance with any control measures in the SIP.</w:t>
      </w:r>
    </w:p>
    <w:p w14:paraId="6722BD78" w14:textId="644344A0" w:rsidR="009D7DE0" w:rsidRPr="009D7DE0" w:rsidRDefault="009D7DE0" w:rsidP="00020D20">
      <w:pPr>
        <w:jc w:val="both"/>
        <w:rPr>
          <w:rFonts w:cstheme="minorHAnsi"/>
          <w:b/>
        </w:rPr>
      </w:pPr>
      <w:r w:rsidRPr="009D7DE0">
        <w:rPr>
          <w:rFonts w:cstheme="minorHAnsi"/>
        </w:rPr>
        <w:t>Additional analysis may be necessary to determine if a project has localized air quality impacts. This localized air analysis is referred to as a “hot-spot” analysis. A hot-spot analysis is defined as an estimation of likely future localized CO, PM10, and/or PM2.5 pollutant concentrations and a comparison of those concentrations to the NAAQS. A hot-spot analysis assesses impacts on a scale smaller than the entire nonattainment or maintenance area including</w:t>
      </w:r>
      <w:r w:rsidR="007C203E">
        <w:rPr>
          <w:rFonts w:cstheme="minorHAnsi"/>
        </w:rPr>
        <w:t>,</w:t>
      </w:r>
      <w:r w:rsidRPr="009D7DE0">
        <w:rPr>
          <w:rFonts w:cstheme="minorHAnsi"/>
        </w:rPr>
        <w:t xml:space="preserve"> congested roadway intersections and highways or transit terminals, and uses an air quality dispersion model to determine the effects of emissions on air quality (</w:t>
      </w:r>
      <w:hyperlink r:id="rId1005" w:history="1">
        <w:r w:rsidRPr="00E55D60">
          <w:rPr>
            <w:rStyle w:val="TitleChar"/>
          </w:rPr>
          <w:t xml:space="preserve">40 </w:t>
        </w:r>
        <w:r w:rsidR="009628C0">
          <w:rPr>
            <w:rStyle w:val="TitleChar"/>
          </w:rPr>
          <w:t xml:space="preserve">C.F.R. </w:t>
        </w:r>
        <w:r w:rsidRPr="00E55D60">
          <w:rPr>
            <w:rStyle w:val="TitleChar"/>
          </w:rPr>
          <w:t>§</w:t>
        </w:r>
        <w:r w:rsidR="008216A0">
          <w:rPr>
            <w:rStyle w:val="TitleChar"/>
          </w:rPr>
          <w:t xml:space="preserve"> </w:t>
        </w:r>
        <w:r w:rsidRPr="00E55D60">
          <w:rPr>
            <w:rStyle w:val="TitleChar"/>
          </w:rPr>
          <w:t>93.101</w:t>
        </w:r>
      </w:hyperlink>
      <w:r w:rsidRPr="009D7DE0">
        <w:rPr>
          <w:rFonts w:cstheme="minorHAnsi"/>
        </w:rPr>
        <w:t>).</w:t>
      </w:r>
    </w:p>
    <w:p w14:paraId="3ACB9596" w14:textId="77777777" w:rsidR="009D7DE0" w:rsidRPr="009D7DE0" w:rsidRDefault="009D7DE0" w:rsidP="00020D20">
      <w:pPr>
        <w:jc w:val="both"/>
        <w:rPr>
          <w:rFonts w:cstheme="minorHAnsi"/>
        </w:rPr>
      </w:pPr>
      <w:r w:rsidRPr="009D7DE0">
        <w:rPr>
          <w:rFonts w:cstheme="minorHAnsi"/>
        </w:rPr>
        <w:t>Note that there are three groups of transportation projects that are exempt from conformity:</w:t>
      </w:r>
    </w:p>
    <w:p w14:paraId="2F367209" w14:textId="100ADC53" w:rsidR="009D7DE0" w:rsidRPr="009D7DE0" w:rsidRDefault="009D7DE0" w:rsidP="00020D20">
      <w:pPr>
        <w:pStyle w:val="NumberedList"/>
        <w:numPr>
          <w:ilvl w:val="0"/>
          <w:numId w:val="317"/>
        </w:numPr>
        <w:jc w:val="both"/>
      </w:pPr>
      <w:r w:rsidRPr="009D7DE0">
        <w:t xml:space="preserve">Projects designated under the categories of safety, mass transit, air quality, and other, as listed in </w:t>
      </w:r>
      <w:r w:rsidR="007C203E">
        <w:t>T</w:t>
      </w:r>
      <w:r w:rsidRPr="009D7DE0">
        <w:t>able 17.1-3 are exempt from all conformity requirements.</w:t>
      </w:r>
    </w:p>
    <w:p w14:paraId="56C1953D" w14:textId="2C1CAA9D" w:rsidR="009D7DE0" w:rsidRPr="009D7DE0" w:rsidRDefault="009D7DE0" w:rsidP="00020D20">
      <w:pPr>
        <w:pStyle w:val="NumberedList"/>
        <w:jc w:val="both"/>
      </w:pPr>
      <w:r w:rsidRPr="009D7DE0">
        <w:t>Intersection channelization and interchange reconfiguration projects are exempt from regional emissions analysis.</w:t>
      </w:r>
    </w:p>
    <w:p w14:paraId="7BD07D3B" w14:textId="5B873A6C" w:rsidR="009D7DE0" w:rsidRPr="009D7DE0" w:rsidRDefault="009D7DE0" w:rsidP="00020D20">
      <w:pPr>
        <w:pStyle w:val="NumberedList"/>
        <w:jc w:val="both"/>
      </w:pPr>
      <w:r w:rsidRPr="009D7DE0">
        <w:t>Traffic signal synchronization projects do not require project level conformity however do need to be included in the regional emissions analysis required for an RTP or TIP.</w:t>
      </w:r>
    </w:p>
    <w:p w14:paraId="6F42E673" w14:textId="77777777" w:rsidR="00E55D60" w:rsidRDefault="00E55D60" w:rsidP="00020D20">
      <w:pPr>
        <w:pStyle w:val="Heading5"/>
        <w:jc w:val="both"/>
        <w:sectPr w:rsidR="00E55D60" w:rsidSect="00020D20">
          <w:type w:val="continuous"/>
          <w:pgSz w:w="12240" w:h="15840"/>
          <w:pgMar w:top="1440" w:right="1440" w:bottom="1440" w:left="1440" w:header="720" w:footer="720" w:gutter="0"/>
          <w:pgNumType w:chapStyle="1"/>
          <w:cols w:num="2" w:space="720"/>
          <w:docGrid w:linePitch="360"/>
        </w:sectPr>
      </w:pPr>
    </w:p>
    <w:p w14:paraId="69AE8B70" w14:textId="128401A5" w:rsidR="009D7DE0" w:rsidRDefault="009D7DE0" w:rsidP="00020D20">
      <w:pPr>
        <w:pStyle w:val="Heading4"/>
        <w:jc w:val="both"/>
      </w:pPr>
      <w:r w:rsidRPr="009D7DE0">
        <w:t>Table 17.1-3 |</w:t>
      </w:r>
      <w:r w:rsidR="004D572A">
        <w:t xml:space="preserve"> </w:t>
      </w:r>
      <w:r w:rsidRPr="009D7DE0">
        <w:t>Projects Exempt from Conformity Evaluation</w:t>
      </w:r>
    </w:p>
    <w:tbl>
      <w:tblPr>
        <w:tblW w:w="10620" w:type="dxa"/>
        <w:tblInd w:w="-725" w:type="dxa"/>
        <w:tblLayout w:type="fixed"/>
        <w:tblCellMar>
          <w:left w:w="0" w:type="dxa"/>
          <w:right w:w="0" w:type="dxa"/>
        </w:tblCellMar>
        <w:tblLook w:val="0000" w:firstRow="0" w:lastRow="0" w:firstColumn="0" w:lastColumn="0" w:noHBand="0" w:noVBand="0"/>
      </w:tblPr>
      <w:tblGrid>
        <w:gridCol w:w="360"/>
        <w:gridCol w:w="10260"/>
      </w:tblGrid>
      <w:tr w:rsidR="009D7DE0" w:rsidRPr="009D7DE0" w14:paraId="13BE80A5" w14:textId="77777777" w:rsidTr="00020D20">
        <w:trPr>
          <w:trHeight w:val="233"/>
        </w:trPr>
        <w:tc>
          <w:tcPr>
            <w:tcW w:w="10620" w:type="dxa"/>
            <w:gridSpan w:val="2"/>
            <w:tcBorders>
              <w:top w:val="single" w:sz="4" w:space="0" w:color="auto"/>
              <w:left w:val="single" w:sz="4" w:space="0" w:color="auto"/>
              <w:bottom w:val="single" w:sz="4" w:space="0" w:color="FFFFFF" w:themeColor="background1"/>
              <w:right w:val="single" w:sz="4" w:space="0" w:color="auto"/>
            </w:tcBorders>
            <w:shd w:val="clear" w:color="auto" w:fill="012768"/>
            <w:tcMar>
              <w:top w:w="90" w:type="dxa"/>
              <w:left w:w="90" w:type="dxa"/>
              <w:bottom w:w="90" w:type="dxa"/>
              <w:right w:w="90" w:type="dxa"/>
            </w:tcMar>
            <w:vAlign w:val="center"/>
          </w:tcPr>
          <w:p w14:paraId="44874067" w14:textId="77777777" w:rsidR="009D7DE0" w:rsidRPr="00020D20" w:rsidRDefault="009D7DE0" w:rsidP="00020D20">
            <w:pPr>
              <w:spacing w:before="0" w:after="0" w:line="240" w:lineRule="auto"/>
              <w:jc w:val="both"/>
              <w:rPr>
                <w:color w:val="58585B"/>
                <w:sz w:val="22"/>
              </w:rPr>
            </w:pPr>
            <w:r w:rsidRPr="00020D20">
              <w:rPr>
                <w:sz w:val="22"/>
              </w:rPr>
              <w:t>Projects</w:t>
            </w:r>
          </w:p>
        </w:tc>
      </w:tr>
      <w:tr w:rsidR="009D7DE0" w:rsidRPr="009D7DE0" w14:paraId="523F7292" w14:textId="77777777" w:rsidTr="00020D20">
        <w:trPr>
          <w:trHeight w:val="20"/>
        </w:trPr>
        <w:tc>
          <w:tcPr>
            <w:tcW w:w="360" w:type="dxa"/>
            <w:vMerge w:val="restart"/>
            <w:tcBorders>
              <w:top w:val="single" w:sz="4" w:space="0" w:color="FFFFFF" w:themeColor="background1"/>
              <w:left w:val="single" w:sz="4" w:space="0" w:color="auto"/>
              <w:right w:val="single" w:sz="4" w:space="0" w:color="auto"/>
            </w:tcBorders>
            <w:shd w:val="clear" w:color="auto" w:fill="012768"/>
            <w:tcMar>
              <w:top w:w="90" w:type="dxa"/>
              <w:left w:w="90" w:type="dxa"/>
              <w:bottom w:w="90" w:type="dxa"/>
              <w:right w:w="90" w:type="dxa"/>
            </w:tcMar>
            <w:textDirection w:val="btLr"/>
            <w:vAlign w:val="center"/>
          </w:tcPr>
          <w:p w14:paraId="0E59E986" w14:textId="77777777" w:rsidR="009D7DE0" w:rsidRPr="00020D20" w:rsidRDefault="009D7DE0" w:rsidP="00020D20">
            <w:pPr>
              <w:spacing w:before="0" w:after="0" w:line="240" w:lineRule="auto"/>
              <w:jc w:val="center"/>
              <w:rPr>
                <w:sz w:val="22"/>
              </w:rPr>
            </w:pPr>
            <w:r w:rsidRPr="00020D20">
              <w:rPr>
                <w:sz w:val="22"/>
              </w:rPr>
              <w:t>Safety</w:t>
            </w:r>
          </w:p>
        </w:tc>
        <w:tc>
          <w:tcPr>
            <w:tcW w:w="1026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tcPr>
          <w:p w14:paraId="2A607A45"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Railroad/highway crossing</w:t>
            </w:r>
          </w:p>
        </w:tc>
      </w:tr>
      <w:tr w:rsidR="009D7DE0" w:rsidRPr="009D7DE0" w14:paraId="05EBBDEF" w14:textId="77777777" w:rsidTr="00020D20">
        <w:trPr>
          <w:trHeight w:val="93"/>
        </w:trPr>
        <w:tc>
          <w:tcPr>
            <w:tcW w:w="360" w:type="dxa"/>
            <w:vMerge/>
            <w:tcBorders>
              <w:top w:val="single" w:sz="4" w:space="0" w:color="FFFFFF" w:themeColor="background1"/>
              <w:left w:val="single" w:sz="4" w:space="0" w:color="auto"/>
              <w:right w:val="single" w:sz="4" w:space="0" w:color="auto"/>
            </w:tcBorders>
            <w:shd w:val="clear" w:color="auto" w:fill="012768"/>
          </w:tcPr>
          <w:p w14:paraId="671B2C25"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187970DE"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Projects that correct, improve, or eliminate a hazardous location or feature</w:t>
            </w:r>
          </w:p>
        </w:tc>
      </w:tr>
      <w:tr w:rsidR="009D7DE0" w:rsidRPr="009D7DE0" w14:paraId="613FAF3A" w14:textId="77777777" w:rsidTr="00020D20">
        <w:trPr>
          <w:trHeight w:val="20"/>
        </w:trPr>
        <w:tc>
          <w:tcPr>
            <w:tcW w:w="360" w:type="dxa"/>
            <w:vMerge/>
            <w:tcBorders>
              <w:top w:val="single" w:sz="4" w:space="0" w:color="FFFFFF" w:themeColor="background1"/>
              <w:left w:val="single" w:sz="4" w:space="0" w:color="auto"/>
              <w:right w:val="single" w:sz="4" w:space="0" w:color="auto"/>
            </w:tcBorders>
            <w:shd w:val="clear" w:color="auto" w:fill="012768"/>
          </w:tcPr>
          <w:p w14:paraId="3FE21FAA"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60E58C2E"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Safer non-federal-aid system roads</w:t>
            </w:r>
          </w:p>
        </w:tc>
      </w:tr>
      <w:tr w:rsidR="009D7DE0" w:rsidRPr="009D7DE0" w14:paraId="79A6E050" w14:textId="77777777" w:rsidTr="00020D20">
        <w:trPr>
          <w:trHeight w:val="20"/>
        </w:trPr>
        <w:tc>
          <w:tcPr>
            <w:tcW w:w="360" w:type="dxa"/>
            <w:vMerge/>
            <w:tcBorders>
              <w:top w:val="single" w:sz="4" w:space="0" w:color="FFFFFF" w:themeColor="background1"/>
              <w:left w:val="single" w:sz="4" w:space="0" w:color="auto"/>
              <w:right w:val="single" w:sz="4" w:space="0" w:color="auto"/>
            </w:tcBorders>
            <w:shd w:val="clear" w:color="auto" w:fill="012768"/>
          </w:tcPr>
          <w:p w14:paraId="63324133"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19FC2868"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Shoulder improvements</w:t>
            </w:r>
          </w:p>
        </w:tc>
      </w:tr>
      <w:tr w:rsidR="009D7DE0" w:rsidRPr="009D7DE0" w14:paraId="323EBA84"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11F868A8"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1D3B7CC"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Increasing sight distance</w:t>
            </w:r>
          </w:p>
        </w:tc>
      </w:tr>
      <w:tr w:rsidR="009D7DE0" w:rsidRPr="009D7DE0" w14:paraId="13CB4668"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2B8636A5"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56EB1681"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Highway Safety Improvement Program implementation</w:t>
            </w:r>
          </w:p>
        </w:tc>
      </w:tr>
      <w:tr w:rsidR="009D7DE0" w:rsidRPr="009D7DE0" w14:paraId="27AD30AB"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7858BAB3"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7EFF6AB2"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Traffic control devices and operating assistance other than signalization projects</w:t>
            </w:r>
          </w:p>
        </w:tc>
      </w:tr>
      <w:tr w:rsidR="009D7DE0" w:rsidRPr="009D7DE0" w14:paraId="2F9484B2"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3A30C94B"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7CA70C6C"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Railroad/highway crossing warning devices</w:t>
            </w:r>
          </w:p>
        </w:tc>
      </w:tr>
      <w:tr w:rsidR="009D7DE0" w:rsidRPr="009D7DE0" w14:paraId="43C5AC6E"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6FB36512"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50395D86"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Guardrails, median barriers, crash cushions</w:t>
            </w:r>
          </w:p>
        </w:tc>
      </w:tr>
      <w:tr w:rsidR="009D7DE0" w:rsidRPr="009D7DE0" w14:paraId="36EA5B30"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1174CE22"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49149D7B"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Pavement resurfacing and/or rehabilitation</w:t>
            </w:r>
          </w:p>
        </w:tc>
      </w:tr>
      <w:tr w:rsidR="009D7DE0" w:rsidRPr="009D7DE0" w14:paraId="1B57ED60"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57B922AB"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7473D8FA"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Pavement marking</w:t>
            </w:r>
          </w:p>
        </w:tc>
      </w:tr>
      <w:tr w:rsidR="009D7DE0" w:rsidRPr="009D7DE0" w14:paraId="014B1C27"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173A4DC6"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32C66CDD"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Emergency relief (23 U.S.C. 125)</w:t>
            </w:r>
          </w:p>
        </w:tc>
      </w:tr>
      <w:tr w:rsidR="009D7DE0" w:rsidRPr="009D7DE0" w14:paraId="745A0ACD"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3983AAAF"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B37BCFE"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Fencing</w:t>
            </w:r>
          </w:p>
        </w:tc>
      </w:tr>
      <w:tr w:rsidR="009D7DE0" w:rsidRPr="009D7DE0" w14:paraId="19D0DCF8"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3D5D52F5"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40445DD7"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Skid treatments</w:t>
            </w:r>
          </w:p>
        </w:tc>
      </w:tr>
      <w:tr w:rsidR="009D7DE0" w:rsidRPr="009D7DE0" w14:paraId="28D107CE"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7CB9E417"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27049EF"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Safety roadside rest areas</w:t>
            </w:r>
          </w:p>
        </w:tc>
      </w:tr>
      <w:tr w:rsidR="009D7DE0" w:rsidRPr="009D7DE0" w14:paraId="7979C658"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7625233B"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9C58486"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Adding medians</w:t>
            </w:r>
          </w:p>
        </w:tc>
      </w:tr>
      <w:tr w:rsidR="009D7DE0" w:rsidRPr="009D7DE0" w14:paraId="061583B4"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4FBB0A9D"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5593118F"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Truck climbing lanes outside the urbanized area</w:t>
            </w:r>
          </w:p>
        </w:tc>
      </w:tr>
      <w:tr w:rsidR="009D7DE0" w:rsidRPr="009D7DE0" w14:paraId="02A6ABE7"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026A4153"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4158B1B8"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Lighting improvements</w:t>
            </w:r>
          </w:p>
        </w:tc>
      </w:tr>
      <w:tr w:rsidR="009D7DE0" w:rsidRPr="009D7DE0" w14:paraId="43540225"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4F1D6F0B"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3739E6B2"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Widening narrow pavements or reconstructing bridges (no additional travel lanes)</w:t>
            </w:r>
          </w:p>
        </w:tc>
      </w:tr>
      <w:tr w:rsidR="009D7DE0" w:rsidRPr="009D7DE0" w14:paraId="2120A872" w14:textId="77777777" w:rsidTr="00020D20">
        <w:trPr>
          <w:trHeight w:val="60"/>
        </w:trPr>
        <w:tc>
          <w:tcPr>
            <w:tcW w:w="360" w:type="dxa"/>
            <w:vMerge/>
            <w:tcBorders>
              <w:top w:val="single" w:sz="4" w:space="0" w:color="FFFFFF" w:themeColor="background1"/>
              <w:left w:val="single" w:sz="4" w:space="0" w:color="auto"/>
              <w:right w:val="single" w:sz="4" w:space="0" w:color="auto"/>
            </w:tcBorders>
            <w:shd w:val="clear" w:color="auto" w:fill="012768"/>
          </w:tcPr>
          <w:p w14:paraId="08E32A39"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DD78BF3"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Emergency truck pullovers</w:t>
            </w:r>
          </w:p>
        </w:tc>
      </w:tr>
      <w:tr w:rsidR="009D7DE0" w:rsidRPr="009D7DE0" w14:paraId="37DAF314" w14:textId="77777777" w:rsidTr="00020D20">
        <w:trPr>
          <w:trHeight w:val="197"/>
        </w:trPr>
        <w:tc>
          <w:tcPr>
            <w:tcW w:w="360" w:type="dxa"/>
            <w:vMerge w:val="restart"/>
            <w:tcBorders>
              <w:left w:val="single" w:sz="4" w:space="0" w:color="auto"/>
              <w:bottom w:val="single" w:sz="4" w:space="0" w:color="auto"/>
              <w:right w:val="single" w:sz="4" w:space="0" w:color="auto"/>
            </w:tcBorders>
            <w:shd w:val="clear" w:color="auto" w:fill="012768"/>
            <w:tcMar>
              <w:top w:w="90" w:type="dxa"/>
              <w:left w:w="90" w:type="dxa"/>
              <w:bottom w:w="90" w:type="dxa"/>
              <w:right w:w="90" w:type="dxa"/>
            </w:tcMar>
            <w:textDirection w:val="btLr"/>
            <w:vAlign w:val="center"/>
          </w:tcPr>
          <w:p w14:paraId="7CEAD59B" w14:textId="77777777" w:rsidR="009D7DE0" w:rsidRPr="00020D20" w:rsidRDefault="009D7DE0" w:rsidP="00020D20">
            <w:pPr>
              <w:spacing w:before="0" w:after="0" w:line="240" w:lineRule="auto"/>
              <w:jc w:val="center"/>
              <w:rPr>
                <w:sz w:val="22"/>
              </w:rPr>
            </w:pPr>
            <w:r w:rsidRPr="00020D20">
              <w:rPr>
                <w:sz w:val="22"/>
              </w:rPr>
              <w:t>Transit</w:t>
            </w: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5811A45A"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Operating assistance to transit agencies</w:t>
            </w:r>
          </w:p>
        </w:tc>
      </w:tr>
      <w:tr w:rsidR="009D7DE0" w:rsidRPr="009D7DE0" w14:paraId="27958F65"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65AC0CB2"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146FFEFB"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Purchase of support vehicles</w:t>
            </w:r>
          </w:p>
        </w:tc>
      </w:tr>
      <w:tr w:rsidR="009D7DE0" w:rsidRPr="009D7DE0" w14:paraId="532DD13B"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2FAACF9D"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46EB7D2C"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Rehabilitation of transit vehicles 1</w:t>
            </w:r>
          </w:p>
        </w:tc>
      </w:tr>
      <w:tr w:rsidR="009D7DE0" w:rsidRPr="009D7DE0" w14:paraId="62C83FC4"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1FC0B2E1"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3E9B318A"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Purchase of office, shop, and operating equipment for existing facilities</w:t>
            </w:r>
          </w:p>
        </w:tc>
      </w:tr>
      <w:tr w:rsidR="009D7DE0" w:rsidRPr="009D7DE0" w14:paraId="5657C314"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37432ABB"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26CB0A52"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Purchase of operating equipment for vehicles (e.g., radios, fareboxes, lifts, etc.)</w:t>
            </w:r>
          </w:p>
        </w:tc>
      </w:tr>
      <w:tr w:rsidR="009D7DE0" w:rsidRPr="009D7DE0" w14:paraId="17DA38EE"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7FE3C78E"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606B8500"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Construction or renovation of power, signal, and communications systems</w:t>
            </w:r>
          </w:p>
        </w:tc>
      </w:tr>
      <w:tr w:rsidR="009D7DE0" w:rsidRPr="009D7DE0" w14:paraId="0E27EFEC"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29C6B377"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46DFAE21"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Construction of small passenger shelters and information kiosks</w:t>
            </w:r>
          </w:p>
        </w:tc>
      </w:tr>
      <w:tr w:rsidR="009D7DE0" w:rsidRPr="009D7DE0" w14:paraId="3BE00448"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2D2BF299"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A06A476"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Reconstruction or renovation of transit buildings or structures (e.g., rail or bus buildings, storage and maintenance facilities, stations, terminals, and ancillary structures)</w:t>
            </w:r>
          </w:p>
        </w:tc>
      </w:tr>
      <w:tr w:rsidR="009D7DE0" w:rsidRPr="009D7DE0" w14:paraId="09FC1109"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1C110797"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545CDFA1"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Rehabilitation or reconstruction of track structures, track, and trackbed in existing right-of-way</w:t>
            </w:r>
          </w:p>
        </w:tc>
      </w:tr>
      <w:tr w:rsidR="009D7DE0" w:rsidRPr="009D7DE0" w14:paraId="05A53392"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26264F2D"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26B84113" w14:textId="77777777"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Purchase of new buses and rail cars to replace existing vehicles or for minor expansions of the fleet 1</w:t>
            </w:r>
          </w:p>
        </w:tc>
      </w:tr>
      <w:tr w:rsidR="009D7DE0" w:rsidRPr="009D7DE0" w14:paraId="62386E12" w14:textId="77777777" w:rsidTr="00020D20">
        <w:trPr>
          <w:trHeight w:val="60"/>
        </w:trPr>
        <w:tc>
          <w:tcPr>
            <w:tcW w:w="360"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2DB82E53" w14:textId="77777777" w:rsidR="009D7DE0" w:rsidRPr="00020D20" w:rsidRDefault="009D7DE0" w:rsidP="00020D20">
            <w:pPr>
              <w:spacing w:before="0" w:after="0" w:line="240" w:lineRule="auto"/>
              <w:jc w:val="both"/>
              <w:rPr>
                <w:sz w:val="22"/>
              </w:rPr>
            </w:pPr>
          </w:p>
        </w:tc>
        <w:tc>
          <w:tcPr>
            <w:tcW w:w="10260" w:type="dxa"/>
            <w:tcBorders>
              <w:top w:val="single" w:sz="8" w:space="0" w:color="58585B"/>
              <w:left w:val="single" w:sz="4" w:space="0" w:color="auto"/>
              <w:bottom w:val="single" w:sz="8" w:space="0" w:color="58585B"/>
              <w:right w:val="single" w:sz="8" w:space="0" w:color="58585B"/>
            </w:tcBorders>
            <w:tcMar>
              <w:top w:w="58" w:type="dxa"/>
              <w:left w:w="58" w:type="dxa"/>
              <w:bottom w:w="58" w:type="dxa"/>
              <w:right w:w="58" w:type="dxa"/>
            </w:tcMar>
          </w:tcPr>
          <w:p w14:paraId="0DD5E82B" w14:textId="0BB3104E" w:rsidR="009D7DE0" w:rsidRPr="00020D20" w:rsidRDefault="009D7DE0" w:rsidP="00020D20">
            <w:pPr>
              <w:pStyle w:val="Heading5"/>
              <w:spacing w:before="0" w:after="0" w:line="240" w:lineRule="auto"/>
              <w:jc w:val="both"/>
              <w:rPr>
                <w:i w:val="0"/>
                <w:color w:val="auto"/>
                <w:sz w:val="16"/>
                <w:szCs w:val="16"/>
              </w:rPr>
            </w:pPr>
            <w:r w:rsidRPr="00020D20">
              <w:rPr>
                <w:i w:val="0"/>
                <w:color w:val="auto"/>
                <w:sz w:val="16"/>
                <w:szCs w:val="16"/>
              </w:rPr>
              <w:t xml:space="preserve">Construction of new bus or rail storage/maintenance facilities categorically excluded in 23 </w:t>
            </w:r>
            <w:r w:rsidR="009628C0">
              <w:rPr>
                <w:i w:val="0"/>
                <w:color w:val="auto"/>
                <w:sz w:val="16"/>
                <w:szCs w:val="16"/>
              </w:rPr>
              <w:t xml:space="preserve">C.F.R. </w:t>
            </w:r>
            <w:r w:rsidRPr="00020D20">
              <w:rPr>
                <w:i w:val="0"/>
                <w:color w:val="auto"/>
                <w:sz w:val="16"/>
                <w:szCs w:val="16"/>
              </w:rPr>
              <w:t>part 771</w:t>
            </w:r>
          </w:p>
        </w:tc>
      </w:tr>
    </w:tbl>
    <w:p w14:paraId="475BD69E" w14:textId="69136605" w:rsidR="00954116" w:rsidRDefault="00954116" w:rsidP="00020D20">
      <w:pPr>
        <w:pStyle w:val="Heading4"/>
        <w:jc w:val="both"/>
      </w:pPr>
      <w:r w:rsidRPr="009D7DE0">
        <w:t>Table 17.1-</w:t>
      </w:r>
      <w:r w:rsidR="004D572A">
        <w:t>4</w:t>
      </w:r>
      <w:r w:rsidRPr="009D7DE0">
        <w:t xml:space="preserve"> |</w:t>
      </w:r>
      <w:r w:rsidR="004D572A">
        <w:t xml:space="preserve"> </w:t>
      </w:r>
      <w:r w:rsidRPr="009D7DE0">
        <w:t>Projects Exempt from Conformity Evaluation</w:t>
      </w:r>
      <w:r>
        <w:t xml:space="preserve"> (continued)</w:t>
      </w:r>
    </w:p>
    <w:tbl>
      <w:tblPr>
        <w:tblW w:w="10620" w:type="dxa"/>
        <w:tblInd w:w="-725" w:type="dxa"/>
        <w:tblLayout w:type="fixed"/>
        <w:tblCellMar>
          <w:left w:w="0" w:type="dxa"/>
          <w:right w:w="0" w:type="dxa"/>
        </w:tblCellMar>
        <w:tblLook w:val="0000" w:firstRow="0" w:lastRow="0" w:firstColumn="0" w:lastColumn="0" w:noHBand="0" w:noVBand="0"/>
      </w:tblPr>
      <w:tblGrid>
        <w:gridCol w:w="360"/>
        <w:gridCol w:w="10260"/>
      </w:tblGrid>
      <w:tr w:rsidR="00954116" w:rsidRPr="009D7DE0" w14:paraId="71D8D86E" w14:textId="77777777" w:rsidTr="00D61A51">
        <w:trPr>
          <w:trHeight w:val="233"/>
        </w:trPr>
        <w:tc>
          <w:tcPr>
            <w:tcW w:w="10620" w:type="dxa"/>
            <w:gridSpan w:val="2"/>
            <w:tcBorders>
              <w:top w:val="single" w:sz="4" w:space="0" w:color="auto"/>
              <w:left w:val="single" w:sz="4" w:space="0" w:color="auto"/>
              <w:bottom w:val="single" w:sz="4" w:space="0" w:color="FFFFFF" w:themeColor="background1"/>
              <w:right w:val="single" w:sz="4" w:space="0" w:color="auto"/>
            </w:tcBorders>
            <w:shd w:val="clear" w:color="auto" w:fill="012768"/>
            <w:tcMar>
              <w:top w:w="90" w:type="dxa"/>
              <w:left w:w="90" w:type="dxa"/>
              <w:bottom w:w="90" w:type="dxa"/>
              <w:right w:w="90" w:type="dxa"/>
            </w:tcMar>
            <w:vAlign w:val="center"/>
          </w:tcPr>
          <w:p w14:paraId="61D2DF99" w14:textId="77777777" w:rsidR="00954116" w:rsidRPr="00BD1F39" w:rsidRDefault="00954116">
            <w:pPr>
              <w:spacing w:before="0" w:after="0" w:line="240" w:lineRule="auto"/>
              <w:jc w:val="center"/>
              <w:rPr>
                <w:color w:val="58585B"/>
                <w:sz w:val="22"/>
              </w:rPr>
            </w:pPr>
            <w:r w:rsidRPr="00BD1F39">
              <w:rPr>
                <w:sz w:val="22"/>
              </w:rPr>
              <w:t>Projects</w:t>
            </w:r>
          </w:p>
        </w:tc>
      </w:tr>
      <w:tr w:rsidR="00954116" w:rsidRPr="009D7DE0" w14:paraId="3D53057F" w14:textId="77777777" w:rsidTr="00020D20">
        <w:trPr>
          <w:trHeight w:val="170"/>
        </w:trPr>
        <w:tc>
          <w:tcPr>
            <w:tcW w:w="360" w:type="dxa"/>
            <w:vMerge w:val="restart"/>
            <w:tcBorders>
              <w:top w:val="single" w:sz="4" w:space="0" w:color="FFFFFF" w:themeColor="background1"/>
              <w:left w:val="single" w:sz="4" w:space="0" w:color="auto"/>
              <w:right w:val="single" w:sz="8" w:space="0" w:color="auto"/>
            </w:tcBorders>
            <w:shd w:val="clear" w:color="auto" w:fill="012768"/>
            <w:tcMar>
              <w:top w:w="90" w:type="dxa"/>
              <w:left w:w="90" w:type="dxa"/>
              <w:bottom w:w="90" w:type="dxa"/>
              <w:right w:w="90" w:type="dxa"/>
            </w:tcMar>
            <w:textDirection w:val="btLr"/>
            <w:vAlign w:val="center"/>
          </w:tcPr>
          <w:p w14:paraId="26F3EAB9" w14:textId="77777777" w:rsidR="00954116" w:rsidRPr="00BD1F39" w:rsidRDefault="00954116" w:rsidP="00020D20">
            <w:pPr>
              <w:spacing w:before="0" w:after="0" w:line="240" w:lineRule="auto"/>
              <w:jc w:val="both"/>
              <w:rPr>
                <w:sz w:val="22"/>
              </w:rPr>
            </w:pPr>
            <w:r w:rsidRPr="00BD1F39">
              <w:rPr>
                <w:sz w:val="22"/>
              </w:rPr>
              <w:t>Air Q.</w:t>
            </w: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7680914C"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Continuation of ride-sharing and van-pooling promotion activities at current levels</w:t>
            </w:r>
          </w:p>
        </w:tc>
      </w:tr>
      <w:tr w:rsidR="00954116" w:rsidRPr="009D7DE0" w14:paraId="175BC10C" w14:textId="77777777" w:rsidTr="00954116">
        <w:trPr>
          <w:trHeight w:val="192"/>
        </w:trPr>
        <w:tc>
          <w:tcPr>
            <w:tcW w:w="360" w:type="dxa"/>
            <w:vMerge/>
            <w:tcBorders>
              <w:top w:val="single" w:sz="4" w:space="0" w:color="FFFFFF" w:themeColor="background1"/>
              <w:left w:val="single" w:sz="4" w:space="0" w:color="auto"/>
              <w:right w:val="single" w:sz="8" w:space="0" w:color="auto"/>
            </w:tcBorders>
            <w:shd w:val="clear" w:color="auto" w:fill="012768"/>
          </w:tcPr>
          <w:p w14:paraId="3506C0C3" w14:textId="77777777" w:rsidR="00954116" w:rsidRPr="00BD1F39" w:rsidRDefault="00954116" w:rsidP="00020D20">
            <w:pPr>
              <w:spacing w:before="0" w:after="0" w:line="240" w:lineRule="auto"/>
              <w:jc w:val="both"/>
              <w:rPr>
                <w:sz w:val="22"/>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5F1DDAB2"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Bicycles and pedestrian facilities</w:t>
            </w:r>
          </w:p>
        </w:tc>
      </w:tr>
      <w:tr w:rsidR="00954116" w:rsidRPr="009D7DE0" w14:paraId="096B553D" w14:textId="77777777" w:rsidTr="00954116">
        <w:trPr>
          <w:trHeight w:val="60"/>
        </w:trPr>
        <w:tc>
          <w:tcPr>
            <w:tcW w:w="360" w:type="dxa"/>
            <w:vMerge w:val="restart"/>
            <w:tcBorders>
              <w:left w:val="single" w:sz="4" w:space="0" w:color="auto"/>
              <w:bottom w:val="single" w:sz="4" w:space="0" w:color="auto"/>
              <w:right w:val="single" w:sz="8" w:space="0" w:color="auto"/>
            </w:tcBorders>
            <w:shd w:val="clear" w:color="auto" w:fill="012768"/>
            <w:tcMar>
              <w:top w:w="90" w:type="dxa"/>
              <w:left w:w="90" w:type="dxa"/>
              <w:bottom w:w="90" w:type="dxa"/>
              <w:right w:w="90" w:type="dxa"/>
            </w:tcMar>
            <w:textDirection w:val="btLr"/>
            <w:vAlign w:val="center"/>
          </w:tcPr>
          <w:p w14:paraId="3609AFCB" w14:textId="77777777" w:rsidR="00954116" w:rsidRPr="00BD1F39" w:rsidRDefault="00954116">
            <w:pPr>
              <w:spacing w:before="0" w:after="0" w:line="240" w:lineRule="auto"/>
              <w:jc w:val="center"/>
              <w:rPr>
                <w:sz w:val="22"/>
              </w:rPr>
            </w:pPr>
            <w:r w:rsidRPr="00BD1F39">
              <w:rPr>
                <w:sz w:val="22"/>
              </w:rPr>
              <w:t>Other</w:t>
            </w: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2CA9CEB2"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Specific activities which do not involve or lead directly to construction as planning and technical studies. Grants for training and research programs. Planning activities conducted pursuant to titles 23 and 49 U.S.C. Federal-aid system revisions</w:t>
            </w:r>
          </w:p>
        </w:tc>
      </w:tr>
      <w:tr w:rsidR="00954116" w:rsidRPr="009D7DE0" w14:paraId="6FF36E73"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75B1BF14"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3EFC4BC4"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Engineering to assess social, economic, and environmental effects of the proposed action or alternative to that action</w:t>
            </w:r>
          </w:p>
        </w:tc>
      </w:tr>
      <w:tr w:rsidR="00954116" w:rsidRPr="009D7DE0" w14:paraId="0AA5D19B" w14:textId="77777777" w:rsidTr="00020D20">
        <w:trPr>
          <w:trHeight w:val="2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68E12038"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1F9DFAA8"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Noise attenuation</w:t>
            </w:r>
          </w:p>
        </w:tc>
      </w:tr>
      <w:tr w:rsidR="00954116" w:rsidRPr="009D7DE0" w14:paraId="10BB4C4A"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1666E13B"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03DB5793" w14:textId="1B145FD0"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 xml:space="preserve">Emergency or hardship advance land acquisitions (23 </w:t>
            </w:r>
            <w:r w:rsidR="009628C0">
              <w:rPr>
                <w:i w:val="0"/>
                <w:color w:val="auto"/>
                <w:sz w:val="16"/>
                <w:szCs w:val="16"/>
              </w:rPr>
              <w:t xml:space="preserve">C.F.R. </w:t>
            </w:r>
            <w:r w:rsidRPr="00BD1F39">
              <w:rPr>
                <w:i w:val="0"/>
                <w:color w:val="auto"/>
                <w:sz w:val="16"/>
                <w:szCs w:val="16"/>
              </w:rPr>
              <w:t>710.503 )</w:t>
            </w:r>
          </w:p>
        </w:tc>
      </w:tr>
      <w:tr w:rsidR="00954116" w:rsidRPr="009D7DE0" w14:paraId="3338971E"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7C6A7AF6"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1BFC2588"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Acquisition of scenic easements</w:t>
            </w:r>
          </w:p>
        </w:tc>
      </w:tr>
      <w:tr w:rsidR="00954116" w:rsidRPr="009D7DE0" w14:paraId="66B677A6" w14:textId="77777777" w:rsidTr="00020D20">
        <w:trPr>
          <w:trHeight w:val="2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1D0A2308"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28EEA82C"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Plantings landscaping, etc.</w:t>
            </w:r>
          </w:p>
        </w:tc>
      </w:tr>
      <w:tr w:rsidR="00954116" w:rsidRPr="009D7DE0" w14:paraId="542E5ED7"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01190914"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387DFBB7"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Sign removal</w:t>
            </w:r>
          </w:p>
        </w:tc>
      </w:tr>
      <w:tr w:rsidR="00954116" w:rsidRPr="009D7DE0" w14:paraId="5BFAE2A4"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11F94EBA"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244DE946"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Directional and informational signs</w:t>
            </w:r>
          </w:p>
        </w:tc>
      </w:tr>
      <w:tr w:rsidR="00954116" w:rsidRPr="009D7DE0" w14:paraId="7815EB99"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42D5A0F8"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188D1972"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Transportation enhancement activities (except rehabilitation and operation of historic transportation buildings, structures, or facilities)</w:t>
            </w:r>
          </w:p>
        </w:tc>
      </w:tr>
      <w:tr w:rsidR="00954116" w:rsidRPr="009D7DE0" w14:paraId="3270E61B" w14:textId="77777777" w:rsidTr="00020D20">
        <w:trPr>
          <w:trHeight w:val="60"/>
        </w:trPr>
        <w:tc>
          <w:tcPr>
            <w:tcW w:w="360" w:type="dxa"/>
            <w:vMerge/>
            <w:tcBorders>
              <w:top w:val="single" w:sz="4" w:space="0" w:color="auto"/>
              <w:left w:val="single" w:sz="4" w:space="0" w:color="auto"/>
              <w:bottom w:val="single" w:sz="4" w:space="0" w:color="auto"/>
              <w:right w:val="single" w:sz="8" w:space="0" w:color="auto"/>
            </w:tcBorders>
            <w:shd w:val="clear" w:color="auto" w:fill="012768"/>
          </w:tcPr>
          <w:p w14:paraId="7BFC4DD4" w14:textId="77777777" w:rsidR="00954116" w:rsidRPr="009D7DE0" w:rsidRDefault="00954116" w:rsidP="00020D20">
            <w:pPr>
              <w:spacing w:before="0" w:after="0" w:line="240" w:lineRule="auto"/>
              <w:jc w:val="both"/>
              <w:rPr>
                <w:rFonts w:cstheme="minorHAnsi"/>
              </w:rPr>
            </w:pPr>
          </w:p>
        </w:tc>
        <w:tc>
          <w:tcPr>
            <w:tcW w:w="10260" w:type="dxa"/>
            <w:tcBorders>
              <w:top w:val="single" w:sz="8" w:space="0" w:color="auto"/>
              <w:left w:val="single" w:sz="8" w:space="0" w:color="auto"/>
              <w:bottom w:val="single" w:sz="8" w:space="0" w:color="auto"/>
              <w:right w:val="single" w:sz="8" w:space="0" w:color="auto"/>
            </w:tcBorders>
            <w:tcMar>
              <w:top w:w="58" w:type="dxa"/>
              <w:left w:w="58" w:type="dxa"/>
              <w:bottom w:w="58" w:type="dxa"/>
              <w:right w:w="58" w:type="dxa"/>
            </w:tcMar>
          </w:tcPr>
          <w:p w14:paraId="1942CAF5" w14:textId="77777777" w:rsidR="00954116" w:rsidRPr="00BD1F39" w:rsidRDefault="00954116" w:rsidP="00020D20">
            <w:pPr>
              <w:pStyle w:val="Heading5"/>
              <w:spacing w:before="0" w:after="0" w:line="240" w:lineRule="auto"/>
              <w:jc w:val="both"/>
              <w:rPr>
                <w:i w:val="0"/>
                <w:color w:val="auto"/>
                <w:sz w:val="16"/>
                <w:szCs w:val="16"/>
              </w:rPr>
            </w:pPr>
            <w:r w:rsidRPr="00BD1F39">
              <w:rPr>
                <w:i w:val="0"/>
                <w:color w:val="auto"/>
                <w:sz w:val="16"/>
                <w:szCs w:val="16"/>
              </w:rPr>
              <w:t>Repair of damage caused by natural disasters, civil unrest, or terrorist acts, except projects involving substantial function, location, or capacity changes</w:t>
            </w:r>
          </w:p>
        </w:tc>
      </w:tr>
    </w:tbl>
    <w:p w14:paraId="3AF207CD" w14:textId="6F8543FE" w:rsidR="009D7DE0" w:rsidRPr="006D608C" w:rsidRDefault="009D7DE0" w:rsidP="00020D20">
      <w:pPr>
        <w:pStyle w:val="Source-Graphic"/>
        <w:jc w:val="both"/>
      </w:pPr>
      <w:r w:rsidRPr="006D608C">
        <w:t xml:space="preserve">Source: </w:t>
      </w:r>
      <w:r w:rsidR="00B31713">
        <w:t>EPA</w:t>
      </w:r>
      <w:r w:rsidR="00B31713" w:rsidRPr="006D608C">
        <w:t xml:space="preserve"> </w:t>
      </w:r>
      <w:r w:rsidRPr="006D608C">
        <w:t>Transportation Conformity Regulations, Part 93-126</w:t>
      </w:r>
    </w:p>
    <w:p w14:paraId="0EE2FBA6" w14:textId="668E684C" w:rsidR="00E55D60" w:rsidRPr="006D608C" w:rsidRDefault="007C203E" w:rsidP="00020D20">
      <w:pPr>
        <w:pStyle w:val="Source-Graphic"/>
        <w:jc w:val="both"/>
        <w:rPr>
          <w:rFonts w:eastAsiaTheme="minorHAnsi" w:cstheme="minorBidi"/>
        </w:rPr>
        <w:sectPr w:rsidR="00E55D60" w:rsidRPr="006D608C" w:rsidSect="00020D20">
          <w:type w:val="continuous"/>
          <w:pgSz w:w="12240" w:h="15840"/>
          <w:pgMar w:top="1440" w:right="1440" w:bottom="1440" w:left="1440" w:header="720" w:footer="720" w:gutter="0"/>
          <w:pgNumType w:chapStyle="1"/>
          <w:cols w:space="720"/>
          <w:docGrid w:linePitch="360"/>
        </w:sectPr>
      </w:pPr>
      <w:r>
        <w:rPr>
          <w:rFonts w:cstheme="minorHAnsi"/>
          <w:noProof/>
          <w:lang w:val="en-US"/>
        </w:rPr>
        <mc:AlternateContent>
          <mc:Choice Requires="wps">
            <w:drawing>
              <wp:anchor distT="0" distB="0" distL="114300" distR="114300" simplePos="0" relativeHeight="251618393" behindDoc="1" locked="0" layoutInCell="1" allowOverlap="1" wp14:anchorId="3FD8C50E" wp14:editId="7443266A">
                <wp:simplePos x="0" y="0"/>
                <wp:positionH relativeFrom="column">
                  <wp:posOffset>4572000</wp:posOffset>
                </wp:positionH>
                <wp:positionV relativeFrom="paragraph">
                  <wp:posOffset>648970</wp:posOffset>
                </wp:positionV>
                <wp:extent cx="1371600" cy="1716405"/>
                <wp:effectExtent l="76200" t="95250" r="76200" b="93345"/>
                <wp:wrapTight wrapText="bothSides">
                  <wp:wrapPolygon edited="0">
                    <wp:start x="-1200" y="-1199"/>
                    <wp:lineTo x="-1200" y="22535"/>
                    <wp:lineTo x="22500" y="22535"/>
                    <wp:lineTo x="22500" y="-1199"/>
                    <wp:lineTo x="-1200" y="-1199"/>
                  </wp:wrapPolygon>
                </wp:wrapTight>
                <wp:docPr id="816286240" name="Text Box 816286240"/>
                <wp:cNvGraphicFramePr/>
                <a:graphic xmlns:a="http://schemas.openxmlformats.org/drawingml/2006/main">
                  <a:graphicData uri="http://schemas.microsoft.com/office/word/2010/wordprocessingShape">
                    <wps:wsp>
                      <wps:cNvSpPr txBox="1"/>
                      <wps:spPr>
                        <a:xfrm>
                          <a:off x="0" y="0"/>
                          <a:ext cx="1371600" cy="17164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885533B" w14:textId="77777777" w:rsidR="00C6444C" w:rsidRDefault="00C6444C" w:rsidP="00020D20">
                            <w:pPr>
                              <w:jc w:val="center"/>
                            </w:pPr>
                            <w:r>
                              <w:rPr>
                                <w:noProof/>
                              </w:rPr>
                              <w:drawing>
                                <wp:inline distT="0" distB="0" distL="0" distR="0" wp14:anchorId="51D75099" wp14:editId="4C3BE79B">
                                  <wp:extent cx="457200" cy="457200"/>
                                  <wp:effectExtent l="0" t="0" r="0" b="0"/>
                                  <wp:docPr id="816286291" name="Picture 81628629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1CD10CB" w14:textId="387CDDC1" w:rsidR="00C6444C" w:rsidRPr="00954116" w:rsidRDefault="00C6444C" w:rsidP="00020D20">
                            <w:pPr>
                              <w:pStyle w:val="Calloutboxes"/>
                            </w:pPr>
                            <w:r w:rsidRPr="00394A74">
                              <w:t>Transportation Control Measures: An Information Document for Developing and Implementing Emissions Reductions Programs can be found at:</w:t>
                            </w:r>
                          </w:p>
                          <w:p w14:paraId="29540045" w14:textId="54AA8A4B" w:rsidR="00C6444C" w:rsidRPr="00020D20" w:rsidRDefault="00202C92">
                            <w:pPr>
                              <w:pStyle w:val="Title"/>
                              <w:rPr>
                                <w:sz w:val="16"/>
                              </w:rPr>
                            </w:pPr>
                            <w:hyperlink r:id="rId1006" w:history="1">
                              <w:r w:rsidR="00C6444C" w:rsidRPr="00020D20">
                                <w:rPr>
                                  <w:rStyle w:val="Hyperlink"/>
                                  <w:rFonts w:ascii="Calibri" w:hAnsi="Calibri" w:cstheme="majorBidi"/>
                                  <w:i/>
                                  <w:iCs w:val="0"/>
                                  <w:color w:val="CE5B18"/>
                                  <w:szCs w:val="56"/>
                                  <w:u w:val="none"/>
                                </w:rPr>
                                <w:t>https://www.epa.gov/state-and-local-transportation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8C50E" id="Text Box 816286240" o:spid="_x0000_s1259" type="#_x0000_t202" style="position:absolute;left:0;text-align:left;margin-left:5in;margin-top:51.1pt;width:108pt;height:135.15pt;z-index:-251698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" fillcolor="#f7f7f7" stroked="f" strokeweight=".5pt">
                <v:shadow on="t" type="perspective" color="black" opacity="26214f" offset="0,0" matrix="66847f,,,66847f"/>
                <v:textbox>
                  <w:txbxContent>
                    <w:p w14:paraId="0885533B" w14:textId="77777777" w:rsidR="00C6444C" w:rsidRDefault="00C6444C" w:rsidP="00020D20">
                      <w:pPr>
                        <w:jc w:val="center"/>
                      </w:pPr>
                      <w:r>
                        <w:rPr>
                          <w:noProof/>
                        </w:rPr>
                        <w:drawing>
                          <wp:inline distT="0" distB="0" distL="0" distR="0" wp14:anchorId="51D75099" wp14:editId="4C3BE79B">
                            <wp:extent cx="457200" cy="457200"/>
                            <wp:effectExtent l="0" t="0" r="0" b="0"/>
                            <wp:docPr id="816286291" name="Picture 81628629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1CD10CB" w14:textId="387CDDC1" w:rsidR="00C6444C" w:rsidRPr="00954116" w:rsidRDefault="00C6444C" w:rsidP="00020D20">
                      <w:pPr>
                        <w:pStyle w:val="Calloutboxes"/>
                      </w:pPr>
                      <w:r w:rsidRPr="00394A74">
                        <w:t>Transportation Control Measures: An Information Document for Developing and Implementing Emissions Reductions Programs can be found at:</w:t>
                      </w:r>
                    </w:p>
                    <w:p w14:paraId="29540045" w14:textId="54AA8A4B" w:rsidR="00C6444C" w:rsidRPr="00020D20" w:rsidRDefault="00C6444C">
                      <w:pPr>
                        <w:pStyle w:val="Title"/>
                        <w:rPr>
                          <w:sz w:val="16"/>
                        </w:rPr>
                      </w:pPr>
                      <w:hyperlink r:id="rId1007" w:history="1">
                        <w:r w:rsidRPr="00020D20">
                          <w:rPr>
                            <w:rStyle w:val="Hyperlink"/>
                            <w:rFonts w:ascii="Calibri" w:hAnsi="Calibri" w:cstheme="majorBidi"/>
                            <w:i/>
                            <w:iCs w:val="0"/>
                            <w:color w:val="CE5B18"/>
                            <w:szCs w:val="56"/>
                            <w:u w:val="none"/>
                          </w:rPr>
                          <w:t>https://www.epa.gov/state-and-local-transportation</w:t>
                        </w:r>
                      </w:hyperlink>
                    </w:p>
                  </w:txbxContent>
                </v:textbox>
                <w10:wrap type="tight"/>
              </v:shape>
            </w:pict>
          </mc:Fallback>
        </mc:AlternateContent>
      </w:r>
      <w:r w:rsidR="009D7DE0" w:rsidRPr="006D608C">
        <w:rPr>
          <w:vertAlign w:val="superscript"/>
        </w:rPr>
        <w:t>a</w:t>
      </w:r>
      <w:r w:rsidR="009D7DE0" w:rsidRPr="006D608C">
        <w:t>In PM10 nonattainment or maintenance areas, such projects are exempt only if they are in compliance with control measures in the applicable implementation plan</w:t>
      </w:r>
    </w:p>
    <w:p w14:paraId="27BCEC35" w14:textId="77777777" w:rsidR="009D7DE0" w:rsidRPr="009D7DE0" w:rsidRDefault="009D7DE0" w:rsidP="00020D20">
      <w:pPr>
        <w:pStyle w:val="SubHeading3"/>
        <w:jc w:val="both"/>
      </w:pPr>
      <w:bookmarkStart w:id="608" w:name="_Ref50042464"/>
      <w:r w:rsidRPr="009D7DE0">
        <w:t>Transportation Control Measures</w:t>
      </w:r>
      <w:bookmarkEnd w:id="608"/>
    </w:p>
    <w:p w14:paraId="15BE84B3" w14:textId="079B9077" w:rsidR="009D7DE0" w:rsidRPr="009D7DE0" w:rsidRDefault="009D7DE0" w:rsidP="00020D20">
      <w:pPr>
        <w:jc w:val="both"/>
        <w:rPr>
          <w:rFonts w:cstheme="minorHAnsi"/>
        </w:rPr>
      </w:pPr>
      <w:r w:rsidRPr="009D7DE0">
        <w:rPr>
          <w:rFonts w:cstheme="minorHAnsi"/>
        </w:rPr>
        <w:t xml:space="preserve">Under the Transportation Conformity Rule, TCMs are strategies that are specifically identified and committed to in SIPs, and are either listed in Section 108(f) of the CAA or will reduce transportation-related emissions by reducing vehicle use or improving traffic flow. </w:t>
      </w:r>
    </w:p>
    <w:p w14:paraId="46BBD7F9" w14:textId="23E43EB1" w:rsidR="00AF5AC2" w:rsidRPr="009D7DE0" w:rsidRDefault="00145FF5" w:rsidP="00020D20">
      <w:pPr>
        <w:jc w:val="both"/>
        <w:rPr>
          <w:rFonts w:cstheme="minorHAnsi"/>
        </w:rPr>
      </w:pPr>
      <w:r>
        <w:rPr>
          <w:rFonts w:cstheme="minorHAnsi"/>
          <w:noProof/>
        </w:rPr>
        <mc:AlternateContent>
          <mc:Choice Requires="wps">
            <w:drawing>
              <wp:anchor distT="0" distB="0" distL="114300" distR="114300" simplePos="0" relativeHeight="251618394" behindDoc="1" locked="0" layoutInCell="1" allowOverlap="1" wp14:anchorId="646DE2D1" wp14:editId="4F2596B6">
                <wp:simplePos x="0" y="0"/>
                <wp:positionH relativeFrom="column">
                  <wp:posOffset>4562475</wp:posOffset>
                </wp:positionH>
                <wp:positionV relativeFrom="paragraph">
                  <wp:posOffset>695325</wp:posOffset>
                </wp:positionV>
                <wp:extent cx="1371600" cy="1638300"/>
                <wp:effectExtent l="76200" t="95250" r="76200" b="95250"/>
                <wp:wrapTight wrapText="bothSides">
                  <wp:wrapPolygon edited="0">
                    <wp:start x="-1200" y="-1256"/>
                    <wp:lineTo x="-1200" y="22605"/>
                    <wp:lineTo x="22500" y="22605"/>
                    <wp:lineTo x="22500" y="-1256"/>
                    <wp:lineTo x="-1200" y="-1256"/>
                  </wp:wrapPolygon>
                </wp:wrapTight>
                <wp:docPr id="816286244" name="Text Box 816286244"/>
                <wp:cNvGraphicFramePr/>
                <a:graphic xmlns:a="http://schemas.openxmlformats.org/drawingml/2006/main">
                  <a:graphicData uri="http://schemas.microsoft.com/office/word/2010/wordprocessingShape">
                    <wps:wsp>
                      <wps:cNvSpPr txBox="1"/>
                      <wps:spPr>
                        <a:xfrm>
                          <a:off x="0" y="0"/>
                          <a:ext cx="1371600" cy="1638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727AC4A" w14:textId="77777777" w:rsidR="00C6444C" w:rsidRDefault="00C6444C" w:rsidP="00020D20">
                            <w:pPr>
                              <w:jc w:val="center"/>
                            </w:pPr>
                            <w:r>
                              <w:rPr>
                                <w:noProof/>
                              </w:rPr>
                              <w:drawing>
                                <wp:inline distT="0" distB="0" distL="0" distR="0" wp14:anchorId="44E06CD9" wp14:editId="5E947695">
                                  <wp:extent cx="457200" cy="457200"/>
                                  <wp:effectExtent l="0" t="0" r="0" b="0"/>
                                  <wp:docPr id="816286293" name="Picture 816286293">
                                    <a:hlinkClick xmlns:a="http://schemas.openxmlformats.org/drawingml/2006/main" r:id="rId1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316E74" w14:textId="38356206" w:rsidR="00C6444C" w:rsidRPr="00977A9B" w:rsidRDefault="00C6444C" w:rsidP="00020D20">
                            <w:pPr>
                              <w:pStyle w:val="Calloutboxes"/>
                            </w:pPr>
                            <w:r w:rsidRPr="00394A74">
                              <w:t xml:space="preserve">Further CMAQ </w:t>
                            </w:r>
                            <w:r w:rsidRPr="00954116">
                              <w:t xml:space="preserve">and TCM </w:t>
                            </w:r>
                            <w:r w:rsidRPr="005A6734">
                              <w:t>Resources on ADOT’s website</w:t>
                            </w:r>
                          </w:p>
                          <w:p w14:paraId="28097B56" w14:textId="0F520962" w:rsidR="00C6444C" w:rsidRPr="00020D20" w:rsidRDefault="00202C92" w:rsidP="00020D20">
                            <w:pPr>
                              <w:pStyle w:val="Title"/>
                              <w:rPr>
                                <w:sz w:val="16"/>
                              </w:rPr>
                            </w:pPr>
                            <w:hyperlink r:id="rId1009" w:history="1">
                              <w:r w:rsidR="00C6444C" w:rsidRPr="00020D20">
                                <w:rPr>
                                  <w:rStyle w:val="Hyperlink"/>
                                  <w:rFonts w:ascii="Calibri" w:hAnsi="Calibri" w:cstheme="majorBidi"/>
                                  <w:i/>
                                  <w:iCs w:val="0"/>
                                  <w:color w:val="CE5B18"/>
                                  <w:szCs w:val="56"/>
                                  <w:u w:val="none"/>
                                </w:rPr>
                                <w:t>https://azdot.gov/business/environmental-planning/air-quality/congestion-mitigation-air-quality-transportation-control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6DE2D1" id="Text Box 816286244" o:spid="_x0000_s1260" type="#_x0000_t202" style="position:absolute;left:0;text-align:left;margin-left:359.25pt;margin-top:54.75pt;width:108pt;height:129pt;z-index:-251698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" fillcolor="#f7f7f7" stroked="f" strokeweight=".5pt">
                <v:shadow on="t" type="perspective" color="black" opacity="26214f" offset="0,0" matrix="66847f,,,66847f"/>
                <v:textbox>
                  <w:txbxContent>
                    <w:p w14:paraId="5727AC4A" w14:textId="77777777" w:rsidR="00C6444C" w:rsidRDefault="00C6444C" w:rsidP="00020D20">
                      <w:pPr>
                        <w:jc w:val="center"/>
                      </w:pPr>
                      <w:r>
                        <w:rPr>
                          <w:noProof/>
                        </w:rPr>
                        <w:drawing>
                          <wp:inline distT="0" distB="0" distL="0" distR="0" wp14:anchorId="44E06CD9" wp14:editId="5E947695">
                            <wp:extent cx="457200" cy="457200"/>
                            <wp:effectExtent l="0" t="0" r="0" b="0"/>
                            <wp:docPr id="816286293" name="Picture 816286293">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316E74" w14:textId="38356206" w:rsidR="00C6444C" w:rsidRPr="00977A9B" w:rsidRDefault="00C6444C" w:rsidP="00020D20">
                      <w:pPr>
                        <w:pStyle w:val="Calloutboxes"/>
                      </w:pPr>
                      <w:r w:rsidRPr="00394A74">
                        <w:t xml:space="preserve">Further CMAQ </w:t>
                      </w:r>
                      <w:r w:rsidRPr="00954116">
                        <w:t xml:space="preserve">and TCM </w:t>
                      </w:r>
                      <w:r w:rsidRPr="005A6734">
                        <w:t>Resources on ADOT’s website</w:t>
                      </w:r>
                    </w:p>
                    <w:p w14:paraId="28097B56" w14:textId="0F520962" w:rsidR="00C6444C" w:rsidRPr="00020D20" w:rsidRDefault="00C6444C" w:rsidP="00020D20">
                      <w:pPr>
                        <w:pStyle w:val="Title"/>
                        <w:rPr>
                          <w:sz w:val="16"/>
                        </w:rPr>
                      </w:pPr>
                      <w:hyperlink r:id="rId1011" w:history="1">
                        <w:r w:rsidRPr="00020D20">
                          <w:rPr>
                            <w:rStyle w:val="Hyperlink"/>
                            <w:rFonts w:ascii="Calibri" w:hAnsi="Calibri" w:cstheme="majorBidi"/>
                            <w:i/>
                            <w:iCs w:val="0"/>
                            <w:color w:val="CE5B18"/>
                            <w:szCs w:val="56"/>
                            <w:u w:val="none"/>
                          </w:rPr>
                          <w:t>https://azdot.gov/business/environmental-planning/air-quality/congestion-mitigation-air-quality-transportation-control</w:t>
                        </w:r>
                      </w:hyperlink>
                    </w:p>
                  </w:txbxContent>
                </v:textbox>
                <w10:wrap type="tight"/>
              </v:shape>
            </w:pict>
          </mc:Fallback>
        </mc:AlternateContent>
      </w:r>
      <w:r w:rsidR="009D7DE0" w:rsidRPr="009D7DE0">
        <w:rPr>
          <w:rFonts w:cstheme="minorHAnsi"/>
        </w:rPr>
        <w:t xml:space="preserve">Timely implementation of TCM’s criterion must be satisfied before conformity determinations can be made. CAA section 176(c)(2)(B) and section </w:t>
      </w:r>
      <w:hyperlink r:id="rId1012" w:history="1">
        <w:r w:rsidR="009D7DE0" w:rsidRPr="00020D20">
          <w:rPr>
            <w:rStyle w:val="TitleChar"/>
          </w:rPr>
          <w:t>40</w:t>
        </w:r>
        <w:r w:rsidR="000A4575" w:rsidRPr="00020D20">
          <w:rPr>
            <w:rStyle w:val="TitleChar"/>
          </w:rPr>
          <w:t xml:space="preserve"> </w:t>
        </w:r>
        <w:r w:rsidR="009628C0">
          <w:rPr>
            <w:rStyle w:val="TitleChar"/>
          </w:rPr>
          <w:t xml:space="preserve">C.F.R. </w:t>
        </w:r>
        <w:r w:rsidR="000A4575" w:rsidRPr="00020D20">
          <w:rPr>
            <w:rStyle w:val="TitleChar"/>
          </w:rPr>
          <w:t>§</w:t>
        </w:r>
        <w:r w:rsidR="008216A0" w:rsidRPr="00020D20">
          <w:rPr>
            <w:rStyle w:val="TitleChar"/>
          </w:rPr>
          <w:t xml:space="preserve"> </w:t>
        </w:r>
        <w:r w:rsidR="009D7DE0" w:rsidRPr="00020D20">
          <w:rPr>
            <w:rStyle w:val="TitleChar"/>
          </w:rPr>
          <w:t>93.113</w:t>
        </w:r>
      </w:hyperlink>
      <w:r w:rsidR="009D7DE0" w:rsidRPr="009D7DE0">
        <w:rPr>
          <w:rFonts w:cstheme="minorHAnsi"/>
        </w:rPr>
        <w:t xml:space="preserve"> of the transportation conformity rule require that TCMs in an approved SIP that are eligible for federal funding under title 23</w:t>
      </w:r>
      <w:r w:rsidR="000A4575">
        <w:rPr>
          <w:rFonts w:cstheme="minorHAnsi"/>
        </w:rPr>
        <w:t xml:space="preserve"> </w:t>
      </w:r>
      <w:r w:rsidR="009D7DE0" w:rsidRPr="009D7DE0">
        <w:rPr>
          <w:rFonts w:cstheme="minorHAnsi"/>
        </w:rPr>
        <w:t xml:space="preserve">U.S.C. or under the Federal Transit Laws (Title 49 U.S.C.) must be implemented on the schedule established in the SIP. If a TCM falls behind schedule and the area still intends to implement it, the MPO must demonstrate that past obstacles to implementation have been identified and have been overcome and that state and local agencies with funding authority are giving the delayed TCM maximum priority, according to </w:t>
      </w:r>
      <w:hyperlink r:id="rId1013" w:history="1">
        <w:r w:rsidR="009D7DE0" w:rsidRPr="00020D20">
          <w:rPr>
            <w:rStyle w:val="TitleChar"/>
          </w:rPr>
          <w:t xml:space="preserve">40 </w:t>
        </w:r>
        <w:r w:rsidR="009628C0">
          <w:rPr>
            <w:rStyle w:val="TitleChar"/>
          </w:rPr>
          <w:t xml:space="preserve">C.F.R. </w:t>
        </w:r>
        <w:r w:rsidR="000A4575" w:rsidRPr="00020D20">
          <w:rPr>
            <w:rStyle w:val="TitleChar"/>
          </w:rPr>
          <w:t>§</w:t>
        </w:r>
        <w:r w:rsidR="008216A0" w:rsidRPr="00020D20">
          <w:rPr>
            <w:rStyle w:val="TitleChar"/>
          </w:rPr>
          <w:t xml:space="preserve"> </w:t>
        </w:r>
        <w:r w:rsidR="009D7DE0" w:rsidRPr="00020D20">
          <w:rPr>
            <w:rStyle w:val="TitleChar"/>
          </w:rPr>
          <w:t>93.113(c)(1)</w:t>
        </w:r>
      </w:hyperlink>
      <w:r w:rsidR="009D7DE0" w:rsidRPr="009D7DE0">
        <w:rPr>
          <w:rFonts w:cstheme="minorHAnsi"/>
        </w:rPr>
        <w:t>.</w:t>
      </w:r>
    </w:p>
    <w:p w14:paraId="0C441A38" w14:textId="0A040227" w:rsidR="009D7DE0" w:rsidRPr="009D7DE0" w:rsidRDefault="009D7DE0" w:rsidP="00020D20">
      <w:pPr>
        <w:jc w:val="both"/>
        <w:rPr>
          <w:rFonts w:cstheme="minorHAnsi"/>
        </w:rPr>
      </w:pPr>
      <w:r w:rsidRPr="009D7DE0">
        <w:rPr>
          <w:rFonts w:cstheme="minorHAnsi"/>
        </w:rPr>
        <w:t xml:space="preserve">Many other measures, similar to the TCMs listed in the CAA, are being used throughout the country to manage traffic congestion on streets and highways, to reduce vehicle emissions, and to reduce fugitive dust emissions. Increasingly these control measures are being recognized for their benefits toward improving an area’s livability. These type of activities may also be eligible for CMAQ funding (see chapter 10), whether or not they are in approved SIPs, if they are documented to have emission reduction benefits in nonattainment and maintenance areas. Examples of Arizona specific TCMs and CMAQ funded projects can be found on ADOT’s </w:t>
      </w:r>
      <w:hyperlink r:id="rId1014" w:history="1">
        <w:r w:rsidRPr="002D09B5">
          <w:rPr>
            <w:rStyle w:val="TitleChar"/>
          </w:rPr>
          <w:t>Air Quality Planning website</w:t>
        </w:r>
      </w:hyperlink>
      <w:r w:rsidRPr="009D7DE0">
        <w:rPr>
          <w:rFonts w:cstheme="minorHAnsi"/>
        </w:rPr>
        <w:t xml:space="preserve">. </w:t>
      </w:r>
    </w:p>
    <w:p w14:paraId="2BAE9895" w14:textId="77777777" w:rsidR="009D7DE0" w:rsidRPr="009D7DE0" w:rsidRDefault="009D7DE0" w:rsidP="00020D20">
      <w:pPr>
        <w:pStyle w:val="SubHeading3"/>
        <w:jc w:val="both"/>
      </w:pPr>
      <w:bookmarkStart w:id="609" w:name="_Ref50042289"/>
      <w:r w:rsidRPr="009D7DE0">
        <w:t>Interagency &amp; Public Consultation</w:t>
      </w:r>
      <w:bookmarkEnd w:id="609"/>
    </w:p>
    <w:p w14:paraId="6420557B" w14:textId="7A7B600B" w:rsidR="009D7DE0" w:rsidRPr="009D7DE0" w:rsidRDefault="009D7DE0" w:rsidP="00020D20">
      <w:pPr>
        <w:jc w:val="both"/>
        <w:rPr>
          <w:rFonts w:cstheme="minorHAnsi"/>
        </w:rPr>
      </w:pPr>
      <w:r w:rsidRPr="009D7DE0">
        <w:rPr>
          <w:rFonts w:cstheme="minorHAnsi"/>
        </w:rPr>
        <w:t xml:space="preserve">A formal interagency consultation process is required in nonattainment and maintenance areas to address technical and procedural issues related to air quality planning. Public consultation includes a proactive public involvement process with access to technical and policy information and opportunities for review and comment. These activities are required to be consistent with the public involvement conducted under the FHWA and FTA’s </w:t>
      </w:r>
      <w:r w:rsidR="000A4575">
        <w:rPr>
          <w:rFonts w:cstheme="minorHAnsi"/>
        </w:rPr>
        <w:t>t</w:t>
      </w:r>
      <w:r w:rsidRPr="009D7DE0">
        <w:rPr>
          <w:rFonts w:cstheme="minorHAnsi"/>
        </w:rPr>
        <w:t xml:space="preserve">ransportation planning regulations. </w:t>
      </w:r>
    </w:p>
    <w:p w14:paraId="477C4938" w14:textId="6A207350" w:rsidR="009D7DE0" w:rsidRPr="009D7DE0" w:rsidRDefault="009D7DE0" w:rsidP="00020D20">
      <w:pPr>
        <w:jc w:val="both"/>
        <w:rPr>
          <w:rFonts w:cstheme="minorHAnsi"/>
        </w:rPr>
      </w:pPr>
      <w:r w:rsidRPr="009D7DE0">
        <w:rPr>
          <w:rFonts w:cstheme="minorHAnsi"/>
        </w:rPr>
        <w:t>Transportation conformity regulations (</w:t>
      </w:r>
      <w:hyperlink r:id="rId1015" w:history="1">
        <w:r w:rsidRPr="00020D20">
          <w:rPr>
            <w:rStyle w:val="TitleChar"/>
          </w:rPr>
          <w:t xml:space="preserve">40 </w:t>
        </w:r>
        <w:r w:rsidR="009628C0">
          <w:rPr>
            <w:rStyle w:val="TitleChar"/>
          </w:rPr>
          <w:t xml:space="preserve">C.F.R. </w:t>
        </w:r>
        <w:r w:rsidR="000A4575" w:rsidRPr="00020D20">
          <w:rPr>
            <w:rStyle w:val="TitleChar"/>
          </w:rPr>
          <w:t>§</w:t>
        </w:r>
        <w:r w:rsidR="008216A0" w:rsidRPr="00020D20">
          <w:rPr>
            <w:rStyle w:val="TitleChar"/>
          </w:rPr>
          <w:t xml:space="preserve"> </w:t>
        </w:r>
        <w:r w:rsidRPr="00020D20">
          <w:rPr>
            <w:rStyle w:val="TitleChar"/>
          </w:rPr>
          <w:t>93.105</w:t>
        </w:r>
      </w:hyperlink>
      <w:r w:rsidRPr="009D7DE0">
        <w:rPr>
          <w:rFonts w:cstheme="minorHAnsi"/>
        </w:rPr>
        <w:t xml:space="preserve">) require interagency consultation and outline general factors, specific procedures, resolution of conflicts, and public consultation procedures. Further, the regulations require the development of a state implementation plan (40 </w:t>
      </w:r>
      <w:r w:rsidR="009628C0">
        <w:rPr>
          <w:rFonts w:cstheme="minorHAnsi"/>
        </w:rPr>
        <w:t xml:space="preserve">C.F.R. </w:t>
      </w:r>
      <w:r w:rsidR="000A4575">
        <w:t>§</w:t>
      </w:r>
      <w:r w:rsidR="008216A0">
        <w:t xml:space="preserve"> </w:t>
      </w:r>
      <w:r w:rsidRPr="009D7DE0">
        <w:rPr>
          <w:rFonts w:cstheme="minorHAnsi"/>
        </w:rPr>
        <w:t>51.390) which must include procedures to be undertaken before making conformity determinations or developing implementation plans. Agencies involved should include MPOs, state departments of transportation, and FHWA / FTA, state and local air quality agencies, and EPA. Table 17.1-4 describes the General and Specific Interagency Consultation Requirements.</w:t>
      </w:r>
    </w:p>
    <w:p w14:paraId="6DE596C9" w14:textId="79F4C4DC" w:rsidR="009D7DE0" w:rsidRDefault="009D7DE0" w:rsidP="00020D20">
      <w:pPr>
        <w:jc w:val="both"/>
        <w:rPr>
          <w:rFonts w:cstheme="minorHAnsi"/>
        </w:rPr>
      </w:pPr>
      <w:r w:rsidRPr="009D7DE0">
        <w:rPr>
          <w:rFonts w:cstheme="minorHAnsi"/>
        </w:rPr>
        <w:t>Interagency consultation procedures for a nonattainment or maintenance area are formally integrated into the Conformity SIP, and are legally enforceable. A state’s Conformity SIP or the federal regulations (</w:t>
      </w:r>
      <w:hyperlink r:id="rId1016" w:history="1">
        <w:r w:rsidRPr="00020D20">
          <w:rPr>
            <w:rStyle w:val="TitleChar"/>
          </w:rPr>
          <w:t xml:space="preserve">40 </w:t>
        </w:r>
        <w:r w:rsidR="009628C0">
          <w:rPr>
            <w:rStyle w:val="TitleChar"/>
          </w:rPr>
          <w:t xml:space="preserve">C.F.R. </w:t>
        </w:r>
        <w:r w:rsidR="000A4575" w:rsidRPr="00020D20">
          <w:rPr>
            <w:rStyle w:val="TitleChar"/>
          </w:rPr>
          <w:t>§</w:t>
        </w:r>
        <w:r w:rsidR="008216A0" w:rsidRPr="00020D20">
          <w:rPr>
            <w:rStyle w:val="TitleChar"/>
          </w:rPr>
          <w:t xml:space="preserve"> </w:t>
        </w:r>
        <w:r w:rsidRPr="00020D20">
          <w:rPr>
            <w:rStyle w:val="TitleChar"/>
          </w:rPr>
          <w:t>93.105</w:t>
        </w:r>
      </w:hyperlink>
      <w:r w:rsidRPr="009D7DE0">
        <w:rPr>
          <w:rFonts w:cstheme="minorHAnsi"/>
        </w:rPr>
        <w:t>) govern the decision-making process and specifically require that a process be established to evaluate and choose a model, associated methods, and any assumptions that will be used in the regional emissions analysis.</w:t>
      </w:r>
    </w:p>
    <w:p w14:paraId="3E50BFA1" w14:textId="77777777" w:rsidR="00816627" w:rsidRDefault="00816627" w:rsidP="00020D20">
      <w:pPr>
        <w:pStyle w:val="Heading5"/>
        <w:jc w:val="both"/>
        <w:sectPr w:rsidR="00816627" w:rsidSect="00020D20">
          <w:type w:val="continuous"/>
          <w:pgSz w:w="12240" w:h="15840"/>
          <w:pgMar w:top="1440" w:right="1440" w:bottom="1440" w:left="1440" w:header="720" w:footer="720" w:gutter="0"/>
          <w:pgNumType w:chapStyle="1"/>
          <w:cols w:num="2" w:space="720"/>
          <w:docGrid w:linePitch="360"/>
        </w:sectPr>
      </w:pPr>
    </w:p>
    <w:p w14:paraId="154251F1" w14:textId="3E313557" w:rsidR="00946AAB" w:rsidRDefault="00946AAB" w:rsidP="00020D20">
      <w:pPr>
        <w:pStyle w:val="Heading4"/>
        <w:jc w:val="both"/>
      </w:pPr>
      <w:r w:rsidRPr="00946AAB">
        <w:t>Table 17.1-</w:t>
      </w:r>
      <w:r w:rsidR="004D572A">
        <w:t>5</w:t>
      </w:r>
      <w:r w:rsidRPr="00946AAB">
        <w:t xml:space="preserve"> | General and Specific Interagency Consultation Requirements</w:t>
      </w:r>
    </w:p>
    <w:tbl>
      <w:tblPr>
        <w:tblW w:w="9545" w:type="dxa"/>
        <w:tblInd w:w="-10" w:type="dxa"/>
        <w:tblLayout w:type="fixed"/>
        <w:tblCellMar>
          <w:left w:w="0" w:type="dxa"/>
          <w:right w:w="0" w:type="dxa"/>
        </w:tblCellMar>
        <w:tblLook w:val="0000" w:firstRow="0" w:lastRow="0" w:firstColumn="0" w:lastColumn="0" w:noHBand="0" w:noVBand="0"/>
      </w:tblPr>
      <w:tblGrid>
        <w:gridCol w:w="4023"/>
        <w:gridCol w:w="5522"/>
      </w:tblGrid>
      <w:tr w:rsidR="009C3812" w:rsidRPr="009C3812" w14:paraId="54924742" w14:textId="77777777" w:rsidTr="00020D20">
        <w:trPr>
          <w:trHeight w:val="351"/>
        </w:trPr>
        <w:tc>
          <w:tcPr>
            <w:tcW w:w="9545" w:type="dxa"/>
            <w:gridSpan w:val="2"/>
            <w:tcBorders>
              <w:top w:val="single" w:sz="4" w:space="0" w:color="auto"/>
              <w:left w:val="single" w:sz="4" w:space="0" w:color="auto"/>
              <w:bottom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2E3F7C5A" w14:textId="77777777" w:rsidR="00946AAB" w:rsidRPr="00020D20" w:rsidRDefault="00946AAB" w:rsidP="00020D20">
            <w:pPr>
              <w:spacing w:before="0" w:after="0" w:line="240" w:lineRule="auto"/>
              <w:jc w:val="center"/>
              <w:rPr>
                <w:sz w:val="22"/>
              </w:rPr>
            </w:pPr>
            <w:r w:rsidRPr="00020D20">
              <w:rPr>
                <w:sz w:val="22"/>
              </w:rPr>
              <w:t>Federal Conformity Rule General &amp; Specific Interagency Consultation Requirements</w:t>
            </w:r>
          </w:p>
        </w:tc>
      </w:tr>
      <w:tr w:rsidR="009C3812" w:rsidRPr="009C3812" w14:paraId="4C6D2678" w14:textId="77777777" w:rsidTr="00020D20">
        <w:trPr>
          <w:trHeight w:val="198"/>
        </w:trPr>
        <w:tc>
          <w:tcPr>
            <w:tcW w:w="4023" w:type="dxa"/>
            <w:tcBorders>
              <w:top w:val="single" w:sz="4" w:space="0" w:color="FFFFFF" w:themeColor="background1"/>
              <w:left w:val="single" w:sz="4" w:space="0" w:color="auto"/>
              <w:bottom w:val="single" w:sz="4" w:space="0" w:color="auto"/>
              <w:right w:val="single" w:sz="4" w:space="0" w:color="FFFFFF" w:themeColor="background1"/>
            </w:tcBorders>
            <w:shd w:val="clear" w:color="auto" w:fill="012768"/>
            <w:tcMar>
              <w:top w:w="80" w:type="dxa"/>
              <w:left w:w="80" w:type="dxa"/>
              <w:bottom w:w="80" w:type="dxa"/>
              <w:right w:w="80" w:type="dxa"/>
            </w:tcMar>
            <w:vAlign w:val="center"/>
          </w:tcPr>
          <w:p w14:paraId="0AC4A285" w14:textId="77777777" w:rsidR="00946AAB" w:rsidRPr="00020D20" w:rsidRDefault="00946AAB" w:rsidP="00020D20">
            <w:pPr>
              <w:spacing w:before="0" w:after="0" w:line="240" w:lineRule="auto"/>
              <w:jc w:val="center"/>
              <w:rPr>
                <w:color w:val="FFFFFF" w:themeColor="background1"/>
                <w:sz w:val="22"/>
              </w:rPr>
            </w:pPr>
            <w:r w:rsidRPr="00020D20">
              <w:rPr>
                <w:color w:val="FFFFFF" w:themeColor="background1"/>
                <w:sz w:val="22"/>
              </w:rPr>
              <w:t>General</w:t>
            </w:r>
          </w:p>
        </w:tc>
        <w:tc>
          <w:tcPr>
            <w:tcW w:w="5522" w:type="dxa"/>
            <w:tcBorders>
              <w:top w:val="single" w:sz="4" w:space="0" w:color="FFFFFF" w:themeColor="background1"/>
              <w:left w:val="single" w:sz="4" w:space="0" w:color="FFFFFF" w:themeColor="background1"/>
              <w:bottom w:val="single" w:sz="4" w:space="0" w:color="auto"/>
              <w:right w:val="single" w:sz="4" w:space="0" w:color="auto"/>
            </w:tcBorders>
            <w:shd w:val="clear" w:color="auto" w:fill="012768"/>
            <w:tcMar>
              <w:top w:w="80" w:type="dxa"/>
              <w:left w:w="80" w:type="dxa"/>
              <w:bottom w:w="80" w:type="dxa"/>
              <w:right w:w="80" w:type="dxa"/>
            </w:tcMar>
            <w:vAlign w:val="center"/>
          </w:tcPr>
          <w:p w14:paraId="349B7F3D" w14:textId="77777777" w:rsidR="00946AAB" w:rsidRPr="00020D20" w:rsidRDefault="00946AAB" w:rsidP="00020D20">
            <w:pPr>
              <w:spacing w:before="0" w:after="0" w:line="240" w:lineRule="auto"/>
              <w:jc w:val="center"/>
              <w:rPr>
                <w:color w:val="FFFFFF" w:themeColor="background1"/>
                <w:sz w:val="22"/>
              </w:rPr>
            </w:pPr>
            <w:r w:rsidRPr="00020D20">
              <w:rPr>
                <w:color w:val="FFFFFF" w:themeColor="background1"/>
                <w:sz w:val="22"/>
              </w:rPr>
              <w:t>Specific</w:t>
            </w:r>
          </w:p>
        </w:tc>
      </w:tr>
      <w:tr w:rsidR="00946AAB" w:rsidRPr="00946AAB" w14:paraId="0E416872" w14:textId="77777777" w:rsidTr="00020D20">
        <w:trPr>
          <w:trHeight w:val="60"/>
        </w:trPr>
        <w:tc>
          <w:tcPr>
            <w:tcW w:w="4023"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tcPr>
          <w:p w14:paraId="1269A53C" w14:textId="77777777" w:rsidR="00946AAB" w:rsidRPr="00977A9B" w:rsidRDefault="00946AAB" w:rsidP="00020D20">
            <w:pPr>
              <w:pStyle w:val="Body-Bullets"/>
              <w:jc w:val="both"/>
            </w:pPr>
            <w:r w:rsidRPr="00954116">
              <w:t xml:space="preserve">Agency roles and responsibilities for each stage </w:t>
            </w:r>
            <w:r w:rsidRPr="005A6734">
              <w:t>of the planning process</w:t>
            </w:r>
          </w:p>
          <w:p w14:paraId="79F4A7E4" w14:textId="77777777" w:rsidR="00946AAB" w:rsidRPr="000F230E" w:rsidRDefault="00946AAB" w:rsidP="00020D20">
            <w:pPr>
              <w:pStyle w:val="Body-Bullets"/>
              <w:jc w:val="both"/>
            </w:pPr>
            <w:r w:rsidRPr="001E4049">
              <w:t>The organizational level for regular consultation</w:t>
            </w:r>
          </w:p>
          <w:p w14:paraId="39D9BF67" w14:textId="77777777" w:rsidR="00946AAB" w:rsidRPr="00121C12" w:rsidRDefault="00946AAB" w:rsidP="00020D20">
            <w:pPr>
              <w:pStyle w:val="Body-Bullets"/>
              <w:jc w:val="both"/>
            </w:pPr>
            <w:r w:rsidRPr="00121C12">
              <w:t>A process for circulating documents</w:t>
            </w:r>
          </w:p>
          <w:p w14:paraId="7190A9B5" w14:textId="77777777" w:rsidR="00946AAB" w:rsidRPr="00957CC4" w:rsidRDefault="00946AAB" w:rsidP="00020D20">
            <w:pPr>
              <w:pStyle w:val="Body-Bullets"/>
              <w:jc w:val="both"/>
            </w:pPr>
            <w:r w:rsidRPr="006110AD">
              <w:t>Frequency of and process for convening meetings</w:t>
            </w:r>
          </w:p>
          <w:p w14:paraId="55CB760B" w14:textId="77777777" w:rsidR="00946AAB" w:rsidRPr="00BD48AE" w:rsidRDefault="00946AAB" w:rsidP="00020D20">
            <w:pPr>
              <w:pStyle w:val="Body-Bullets"/>
              <w:jc w:val="both"/>
            </w:pPr>
            <w:r w:rsidRPr="00957CC4">
              <w:t>A process for responding to comments of involved agencies</w:t>
            </w:r>
          </w:p>
          <w:p w14:paraId="797C7669" w14:textId="77777777" w:rsidR="00946AAB" w:rsidRPr="00020D20" w:rsidRDefault="00946AAB" w:rsidP="00020D20">
            <w:pPr>
              <w:pStyle w:val="Body-Bullets"/>
              <w:jc w:val="both"/>
            </w:pPr>
            <w:r w:rsidRPr="00020D20">
              <w:t>A process for the development of TCMs</w:t>
            </w:r>
          </w:p>
        </w:tc>
        <w:tc>
          <w:tcPr>
            <w:tcW w:w="5522" w:type="dxa"/>
            <w:tcBorders>
              <w:top w:val="single" w:sz="4" w:space="0" w:color="auto"/>
              <w:left w:val="single" w:sz="8" w:space="0" w:color="58585B"/>
              <w:bottom w:val="single" w:sz="8" w:space="0" w:color="58585B"/>
              <w:right w:val="single" w:sz="8" w:space="0" w:color="58585B"/>
            </w:tcBorders>
            <w:tcMar>
              <w:top w:w="80" w:type="dxa"/>
              <w:left w:w="80" w:type="dxa"/>
              <w:bottom w:w="80" w:type="dxa"/>
              <w:right w:w="80" w:type="dxa"/>
            </w:tcMar>
          </w:tcPr>
          <w:p w14:paraId="36D781FF" w14:textId="77777777" w:rsidR="00946AAB" w:rsidRPr="00020D20" w:rsidRDefault="00946AAB" w:rsidP="00020D20">
            <w:pPr>
              <w:pStyle w:val="Body-Bullets"/>
              <w:jc w:val="both"/>
            </w:pPr>
            <w:r w:rsidRPr="00020D20">
              <w:t>Evaluating and choosing a model and associated methods and assumptions for regional and project-level analyses</w:t>
            </w:r>
          </w:p>
          <w:p w14:paraId="04A2E430" w14:textId="77777777" w:rsidR="00946AAB" w:rsidRPr="00020D20" w:rsidRDefault="00946AAB" w:rsidP="00020D20">
            <w:pPr>
              <w:pStyle w:val="Body-Bullets"/>
              <w:jc w:val="both"/>
            </w:pPr>
            <w:r w:rsidRPr="00020D20">
              <w:t>Determining which minor arterials and other transportation projects should be considered “regionally significant”</w:t>
            </w:r>
          </w:p>
          <w:p w14:paraId="7818C307" w14:textId="77777777" w:rsidR="00946AAB" w:rsidRPr="00020D20" w:rsidRDefault="00946AAB" w:rsidP="00020D20">
            <w:pPr>
              <w:pStyle w:val="Body-Bullets"/>
              <w:jc w:val="both"/>
            </w:pPr>
            <w:r w:rsidRPr="00020D20">
              <w:t>Evaluating whether projects otherwise exempt should be treated as non-exempt</w:t>
            </w:r>
          </w:p>
          <w:p w14:paraId="68FEC938" w14:textId="77777777" w:rsidR="00946AAB" w:rsidRPr="00020D20" w:rsidRDefault="00946AAB" w:rsidP="00020D20">
            <w:pPr>
              <w:pStyle w:val="Body-Bullets"/>
              <w:jc w:val="both"/>
            </w:pPr>
            <w:r w:rsidRPr="00020D20">
              <w:t>Reevaluating TCMs with respect to delays</w:t>
            </w:r>
          </w:p>
          <w:p w14:paraId="117A55EB" w14:textId="77777777" w:rsidR="00946AAB" w:rsidRPr="00020D20" w:rsidRDefault="00946AAB" w:rsidP="00020D20">
            <w:pPr>
              <w:pStyle w:val="Body-Bullets"/>
              <w:jc w:val="both"/>
            </w:pPr>
            <w:r w:rsidRPr="00020D20">
              <w:t>Evaluating conformity triggers</w:t>
            </w:r>
          </w:p>
          <w:p w14:paraId="1D3ED36B" w14:textId="77777777" w:rsidR="00946AAB" w:rsidRPr="00020D20" w:rsidRDefault="00946AAB" w:rsidP="00020D20">
            <w:pPr>
              <w:pStyle w:val="Body-Bullets"/>
              <w:jc w:val="both"/>
            </w:pPr>
            <w:r w:rsidRPr="00020D20">
              <w:t>A process for providing final documents</w:t>
            </w:r>
          </w:p>
        </w:tc>
      </w:tr>
    </w:tbl>
    <w:p w14:paraId="3D6134DA" w14:textId="77777777" w:rsidR="00FF51A4" w:rsidRDefault="00FF51A4" w:rsidP="00020D20">
      <w:pPr>
        <w:jc w:val="both"/>
        <w:sectPr w:rsidR="00FF51A4" w:rsidSect="00816627">
          <w:type w:val="continuous"/>
          <w:pgSz w:w="12240" w:h="15840"/>
          <w:pgMar w:top="1440" w:right="1440" w:bottom="1440" w:left="1440" w:header="720" w:footer="720" w:gutter="0"/>
          <w:cols w:space="720"/>
          <w:docGrid w:linePitch="360"/>
        </w:sectPr>
      </w:pPr>
    </w:p>
    <w:p w14:paraId="04120206" w14:textId="41679238" w:rsidR="00FF51A4" w:rsidRDefault="00FF51A4" w:rsidP="00020D20">
      <w:pPr>
        <w:jc w:val="both"/>
        <w:sectPr w:rsidR="00FF51A4" w:rsidSect="008E695B">
          <w:type w:val="continuous"/>
          <w:pgSz w:w="12240" w:h="15840"/>
          <w:pgMar w:top="1440" w:right="1440" w:bottom="1440" w:left="1440" w:header="720" w:footer="720" w:gutter="0"/>
          <w:cols w:space="720"/>
          <w:docGrid w:linePitch="360"/>
        </w:sectPr>
      </w:pPr>
    </w:p>
    <w:p w14:paraId="239CD7BF" w14:textId="1603F2AD" w:rsidR="003C2DDF" w:rsidRDefault="0042637D" w:rsidP="00020D20">
      <w:pPr>
        <w:pStyle w:val="BodyTextTitle"/>
        <w:spacing w:before="0" w:after="0" w:line="240" w:lineRule="auto"/>
        <w:jc w:val="both"/>
      </w:pPr>
      <w:bookmarkStart w:id="610" w:name="_Ref50042765"/>
      <w:bookmarkStart w:id="611" w:name="_Toc49862246"/>
      <w:r>
        <w:t>17.2</w:t>
      </w:r>
      <w:r w:rsidR="0094140C">
        <w:t xml:space="preserve"> </w:t>
      </w:r>
      <w:r>
        <w:t>| CONGESTION MANAGEMENT PROCESS</w:t>
      </w:r>
    </w:p>
    <w:p w14:paraId="59A0985E" w14:textId="7FBE724A" w:rsidR="0042637D" w:rsidRPr="00020D20" w:rsidRDefault="0042637D" w:rsidP="00020D20">
      <w:pPr>
        <w:pStyle w:val="BodyTextTitle"/>
        <w:spacing w:before="0" w:line="240" w:lineRule="auto"/>
        <w:jc w:val="both"/>
        <w:rPr>
          <w:sz w:val="36"/>
        </w:rPr>
      </w:pPr>
      <w:r w:rsidRPr="00020D20">
        <w:rPr>
          <w:sz w:val="36"/>
        </w:rPr>
        <w:t>TABLE OF CONTENTS</w:t>
      </w:r>
      <w:bookmarkEnd w:id="610"/>
    </w:p>
    <w:p w14:paraId="019A8D05" w14:textId="237D2570" w:rsidR="0042637D" w:rsidRDefault="0042637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_Ref50042820 \h </w:instrText>
      </w:r>
      <w:r w:rsidR="002D38FC">
        <w:instrText xml:space="preserve"> \* MERGEFORMAT </w:instrText>
      </w:r>
      <w:r>
        <w:fldChar w:fldCharType="separate"/>
      </w:r>
      <w:r w:rsidR="00247D05">
        <w:t xml:space="preserve">17.2.1 | </w:t>
      </w:r>
      <w:r w:rsidRPr="00781262">
        <w:t>Introduction</w:t>
      </w:r>
      <w:r>
        <w:fldChar w:fldCharType="end"/>
      </w:r>
    </w:p>
    <w:p w14:paraId="23F770F1" w14:textId="1311EF44" w:rsidR="0042637D" w:rsidRDefault="0042637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_Ref50042825 \h </w:instrText>
      </w:r>
      <w:r w:rsidR="002D38FC">
        <w:instrText xml:space="preserve"> \* MERGEFORMAT </w:instrText>
      </w:r>
      <w:r>
        <w:fldChar w:fldCharType="separate"/>
      </w:r>
      <w:r w:rsidR="00247D05">
        <w:t xml:space="preserve">17.2.2 | </w:t>
      </w:r>
      <w:r w:rsidRPr="00781262">
        <w:t>CMP &amp; Metropolitan Planning Process</w:t>
      </w:r>
      <w:r>
        <w:fldChar w:fldCharType="end"/>
      </w:r>
    </w:p>
    <w:p w14:paraId="49B2EE32" w14:textId="3214B24F"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_Ref50043266 \h </w:instrText>
      </w:r>
      <w:r w:rsidR="002D38FC">
        <w:instrText xml:space="preserve"> \* MERGEFORMAT </w:instrText>
      </w:r>
      <w:r>
        <w:fldChar w:fldCharType="separate"/>
      </w:r>
      <w:r w:rsidRPr="00781262">
        <w:t>CMP Development Process</w:t>
      </w:r>
      <w:r>
        <w:fldChar w:fldCharType="end"/>
      </w:r>
    </w:p>
    <w:p w14:paraId="2D5EE651" w14:textId="5F0959CA"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_Ref50043270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1:</w:t>
      </w:r>
      <w:r w:rsidRPr="00394A74">
        <w:t xml:space="preserve"> </w:t>
      </w:r>
      <w:r w:rsidRPr="002F6B87">
        <w:t>Develop Regional Objectives for Congestion Management</w:t>
      </w:r>
      <w:r>
        <w:fldChar w:fldCharType="end"/>
      </w:r>
    </w:p>
    <w:p w14:paraId="18F984B1" w14:textId="04C6731A"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_Ref50043275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2:</w:t>
      </w:r>
      <w:r w:rsidRPr="00394A74">
        <w:t xml:space="preserve"> </w:t>
      </w:r>
      <w:r w:rsidRPr="002F6B87">
        <w:t>Define the CMP Network</w:t>
      </w:r>
      <w:r>
        <w:fldChar w:fldCharType="end"/>
      </w:r>
    </w:p>
    <w:p w14:paraId="5EEE8484" w14:textId="4C3A6251"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_Ref50043278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3:</w:t>
      </w:r>
      <w:r w:rsidRPr="00394A74">
        <w:t xml:space="preserve"> </w:t>
      </w:r>
      <w:r w:rsidRPr="002F6B87">
        <w:t>Develop Multimodal Performance Measures</w:t>
      </w:r>
      <w:r>
        <w:fldChar w:fldCharType="end"/>
      </w:r>
    </w:p>
    <w:p w14:paraId="6DB8F4EF" w14:textId="76DAAE44"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_Ref50043281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4:</w:t>
      </w:r>
      <w:r w:rsidRPr="00394A74">
        <w:t xml:space="preserve"> </w:t>
      </w:r>
      <w:r w:rsidRPr="002F6B87">
        <w:t>Data Collection &amp; Monitoring System Performance</w:t>
      </w:r>
      <w:r>
        <w:fldChar w:fldCharType="end"/>
      </w:r>
    </w:p>
    <w:p w14:paraId="4A268CCA" w14:textId="3E5C55AC"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_Ref50043285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5:</w:t>
      </w:r>
      <w:r w:rsidRPr="00394A74">
        <w:t xml:space="preserve"> </w:t>
      </w:r>
      <w:r w:rsidRPr="002F6B87">
        <w:t>Analyze Congestion Problems &amp; Needs</w:t>
      </w:r>
      <w:r>
        <w:fldChar w:fldCharType="end"/>
      </w:r>
    </w:p>
    <w:p w14:paraId="064ACFFF" w14:textId="774F81C5" w:rsidR="0042637D"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_Ref50043288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6:</w:t>
      </w:r>
      <w:r w:rsidRPr="00394A74">
        <w:t xml:space="preserve"> </w:t>
      </w:r>
      <w:r w:rsidRPr="002F6B87">
        <w:t>Identify &amp; Assess CMP Strategies</w:t>
      </w:r>
      <w:r>
        <w:fldChar w:fldCharType="end"/>
      </w:r>
    </w:p>
    <w:p w14:paraId="6F158E94" w14:textId="40325E0C" w:rsidR="002F6B87" w:rsidRDefault="002F6B87"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_Ref50043293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7:</w:t>
      </w:r>
      <w:r w:rsidRPr="002F6B87">
        <w:t xml:space="preserve"> Program &amp; Implement CMP Strategies</w:t>
      </w:r>
      <w:r>
        <w:fldChar w:fldCharType="end"/>
      </w:r>
    </w:p>
    <w:p w14:paraId="47FFD06E" w14:textId="674ED962" w:rsidR="001D35C4" w:rsidRDefault="001D35C4" w:rsidP="00020D20">
      <w:pPr>
        <w:tabs>
          <w:tab w:val="clear" w:pos="180"/>
          <w:tab w:val="clear" w:pos="360"/>
          <w:tab w:val="clear" w:pos="540"/>
          <w:tab w:val="clear" w:pos="720"/>
        </w:tabs>
        <w:suppressAutoHyphens w:val="0"/>
        <w:autoSpaceDE/>
        <w:autoSpaceDN/>
        <w:adjustRightInd/>
        <w:spacing w:before="0" w:after="40" w:line="240" w:lineRule="auto"/>
        <w:ind w:left="1440"/>
        <w:jc w:val="both"/>
        <w:textAlignment w:val="auto"/>
      </w:pPr>
      <w:r>
        <w:fldChar w:fldCharType="begin"/>
      </w:r>
      <w:r>
        <w:instrText xml:space="preserve"> REF _Ref50046564 \h </w:instrText>
      </w:r>
      <w:r w:rsidR="002D38FC">
        <w:instrText xml:space="preserve"> \* MERGEFORMAT </w:instrText>
      </w:r>
      <w:r>
        <w:fldChar w:fldCharType="separate"/>
      </w:r>
      <w:r w:rsidRPr="00020D20">
        <w:rPr>
          <w:rStyle w:val="SubHeading3Char"/>
          <w:rFonts w:asciiTheme="minorHAnsi" w:hAnsiTheme="minorHAnsi" w:cstheme="minorBidi"/>
          <w:b w:val="0"/>
          <w:color w:val="auto"/>
          <w:sz w:val="20"/>
        </w:rPr>
        <w:t>Step 8:</w:t>
      </w:r>
      <w:r w:rsidRPr="00394A74">
        <w:t xml:space="preserve"> Monitor</w:t>
      </w:r>
      <w:r w:rsidRPr="001D35C4">
        <w:t xml:space="preserve"> Strategy Effectiveness</w:t>
      </w:r>
      <w:r>
        <w:fldChar w:fldCharType="end"/>
      </w:r>
    </w:p>
    <w:p w14:paraId="7073C6F4" w14:textId="56F67B70" w:rsidR="0042637D" w:rsidRDefault="0042637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_Ref50042829 \h </w:instrText>
      </w:r>
      <w:r w:rsidR="002D38FC">
        <w:instrText xml:space="preserve"> \* MERGEFORMAT </w:instrText>
      </w:r>
      <w:r>
        <w:fldChar w:fldCharType="separate"/>
      </w:r>
      <w:r w:rsidR="00247D05">
        <w:t xml:space="preserve">17.2.3 | </w:t>
      </w:r>
      <w:r w:rsidRPr="007C7121">
        <w:t>CMP within the Regional Transportation Planning Process</w:t>
      </w:r>
      <w:r>
        <w:fldChar w:fldCharType="end"/>
      </w:r>
    </w:p>
    <w:p w14:paraId="4E28FEA6" w14:textId="48EA54AC" w:rsidR="001D35C4" w:rsidRDefault="001D35C4"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_Ref50046849 \h </w:instrText>
      </w:r>
      <w:r w:rsidR="002D38FC">
        <w:instrText xml:space="preserve"> \* MERGEFORMAT </w:instrText>
      </w:r>
      <w:r>
        <w:fldChar w:fldCharType="separate"/>
      </w:r>
      <w:r w:rsidRPr="007C7121">
        <w:t>Relationship to the RTP</w:t>
      </w:r>
      <w:r>
        <w:fldChar w:fldCharType="end"/>
      </w:r>
    </w:p>
    <w:p w14:paraId="3C1C2E48" w14:textId="60BF3448" w:rsidR="0042637D" w:rsidRDefault="001D35C4"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_Ref50046741 \h </w:instrText>
      </w:r>
      <w:r w:rsidR="002D38FC">
        <w:instrText xml:space="preserve"> \* MERGEFORMAT </w:instrText>
      </w:r>
      <w:r>
        <w:fldChar w:fldCharType="separate"/>
      </w:r>
      <w:r w:rsidRPr="007C7121">
        <w:t>Relationship to Air Quality Attainment/Nonattainment</w:t>
      </w:r>
      <w:r>
        <w:fldChar w:fldCharType="end"/>
      </w:r>
    </w:p>
    <w:p w14:paraId="285B180B" w14:textId="22459A48" w:rsidR="0042637D" w:rsidRDefault="001D35C4"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_Ref50046745 \h </w:instrText>
      </w:r>
      <w:r w:rsidR="002D38FC">
        <w:instrText xml:space="preserve"> \* MERGEFORMAT </w:instrText>
      </w:r>
      <w:r>
        <w:fldChar w:fldCharType="separate"/>
      </w:r>
      <w:r w:rsidRPr="007C7121">
        <w:t>Role of Demand Management, ITS/ Management, &amp; Operations Strategies</w:t>
      </w:r>
      <w:r>
        <w:fldChar w:fldCharType="end"/>
      </w:r>
    </w:p>
    <w:p w14:paraId="58949E7C" w14:textId="633C73C0" w:rsidR="0042637D" w:rsidRDefault="001D35C4"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_Ref50046878 \h </w:instrText>
      </w:r>
      <w:r w:rsidR="002D38FC">
        <w:instrText xml:space="preserve"> \* MERGEFORMAT </w:instrText>
      </w:r>
      <w:r>
        <w:fldChar w:fldCharType="separate"/>
      </w:r>
      <w:r w:rsidRPr="007C7121">
        <w:t>Linkage to NEPA &amp; the Project Development Process</w:t>
      </w:r>
      <w:r>
        <w:fldChar w:fldCharType="end"/>
      </w:r>
    </w:p>
    <w:p w14:paraId="5F80EA26" w14:textId="2131846A" w:rsidR="0042637D" w:rsidRDefault="0042637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_Ref50042834 \h </w:instrText>
      </w:r>
      <w:r w:rsidR="002D38FC">
        <w:instrText xml:space="preserve"> \* MERGEFORMAT </w:instrText>
      </w:r>
      <w:r>
        <w:fldChar w:fldCharType="separate"/>
      </w:r>
      <w:r w:rsidR="00247D05">
        <w:t xml:space="preserve">17.2.4 | </w:t>
      </w:r>
      <w:r w:rsidRPr="007C7121">
        <w:t>Documentation of the CMP</w:t>
      </w:r>
      <w:r>
        <w:fldChar w:fldCharType="end"/>
      </w:r>
    </w:p>
    <w:p w14:paraId="007A5ED1" w14:textId="03B18D0F" w:rsidR="0042637D" w:rsidRDefault="0042637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_Ref50042838 \h </w:instrText>
      </w:r>
      <w:r w:rsidR="002D38FC">
        <w:instrText xml:space="preserve"> \* MERGEFORMAT </w:instrText>
      </w:r>
      <w:r>
        <w:fldChar w:fldCharType="separate"/>
      </w:r>
      <w:r w:rsidR="00247D05">
        <w:t xml:space="preserve">17.2.5 | </w:t>
      </w:r>
      <w:r w:rsidRPr="007C7121">
        <w:t>Legislative Language</w:t>
      </w:r>
      <w:r>
        <w:fldChar w:fldCharType="end"/>
      </w:r>
    </w:p>
    <w:p w14:paraId="25FEA128" w14:textId="5DEA53B7" w:rsidR="0042637D" w:rsidRDefault="0042637D"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4706701A" w14:textId="2B4E7548" w:rsidR="00781262" w:rsidRPr="00BA3518" w:rsidRDefault="0094140C" w:rsidP="00020D20">
      <w:pPr>
        <w:pStyle w:val="Chapter17Heading"/>
      </w:pPr>
      <w:bookmarkStart w:id="612" w:name="_Toc50540246"/>
      <w:r>
        <w:t xml:space="preserve">17.2 </w:t>
      </w:r>
      <w:bookmarkStart w:id="613" w:name="_Toc49870640"/>
      <w:r w:rsidR="00781262" w:rsidRPr="00472679">
        <w:t>| Congestion Management Process</w:t>
      </w:r>
      <w:bookmarkEnd w:id="611"/>
      <w:bookmarkEnd w:id="612"/>
      <w:bookmarkEnd w:id="613"/>
    </w:p>
    <w:p w14:paraId="2DA774F9" w14:textId="77777777" w:rsidR="00FF51A4" w:rsidRDefault="00FF51A4" w:rsidP="00020D20">
      <w:pPr>
        <w:jc w:val="both"/>
        <w:rPr>
          <w:rFonts w:cstheme="minorHAnsi"/>
        </w:rPr>
        <w:sectPr w:rsidR="00FF51A4" w:rsidSect="00020D20">
          <w:pgSz w:w="12240" w:h="15840"/>
          <w:pgMar w:top="1440" w:right="1440" w:bottom="1440" w:left="1440" w:header="720" w:footer="720" w:gutter="0"/>
          <w:pgNumType w:chapStyle="1"/>
          <w:cols w:space="720"/>
          <w:docGrid w:linePitch="360"/>
        </w:sectPr>
      </w:pPr>
    </w:p>
    <w:p w14:paraId="069BA691" w14:textId="54ADE142" w:rsidR="00781262" w:rsidRPr="00781262" w:rsidRDefault="00781262" w:rsidP="00020D20">
      <w:pPr>
        <w:pStyle w:val="Heading3"/>
        <w:jc w:val="both"/>
      </w:pPr>
      <w:bookmarkStart w:id="614" w:name="_Ref50042820"/>
      <w:r w:rsidRPr="00781262">
        <w:t>17.2.1 | Introduction</w:t>
      </w:r>
      <w:bookmarkEnd w:id="614"/>
    </w:p>
    <w:p w14:paraId="1C51B75C" w14:textId="77777777" w:rsidR="00781262" w:rsidRPr="00781262" w:rsidRDefault="00781262" w:rsidP="00020D20">
      <w:pPr>
        <w:jc w:val="both"/>
      </w:pPr>
      <w:r w:rsidRPr="00781262">
        <w:t>Congestion Management Process (CMP) is a federally mandated program to help large urban areas analyze and better manage traffic congestion. It applies only to TMAs, as described in section 1.6. TMAs, which have a contiguous urban population of more than 200,000 people, are the areas most likely to experience significant traffic congestion. However, smaller areas may benefit from some of the techniques and process that are part of the CMP. Currently, in Arizona only MAG and PAG are designated as TMAs.</w:t>
      </w:r>
    </w:p>
    <w:p w14:paraId="05F3FE1F" w14:textId="44C2E26C" w:rsidR="00781262" w:rsidRPr="00781262" w:rsidRDefault="00781262" w:rsidP="00020D20">
      <w:pPr>
        <w:jc w:val="both"/>
      </w:pPr>
      <w:r w:rsidRPr="00781262">
        <w:t xml:space="preserve">Federal congestion management requirements were first mandated beginning in the early 1990s, along with a number of other management systems. Although originally referred to as a congestion management “system,” more recent federal legislation has renamed it a “process” to better reflect the ongoing nature of the planning requirement. The most recent federal transportation bill, </w:t>
      </w:r>
      <w:r w:rsidR="00B77660">
        <w:t>FAST Act</w:t>
      </w:r>
      <w:r w:rsidRPr="00781262">
        <w:t>, left the CMP requirements unchanged.</w:t>
      </w:r>
    </w:p>
    <w:p w14:paraId="7C68997D" w14:textId="1F4E7759" w:rsidR="00781262" w:rsidRPr="00781262" w:rsidRDefault="00673816" w:rsidP="00020D20">
      <w:pPr>
        <w:jc w:val="both"/>
        <w:rPr>
          <w:b/>
        </w:rPr>
      </w:pPr>
      <w:r>
        <w:rPr>
          <w:rFonts w:cstheme="minorHAnsi"/>
          <w:noProof/>
        </w:rPr>
        <mc:AlternateContent>
          <mc:Choice Requires="wps">
            <w:drawing>
              <wp:anchor distT="0" distB="0" distL="114300" distR="114300" simplePos="0" relativeHeight="251618397" behindDoc="1" locked="0" layoutInCell="1" allowOverlap="1" wp14:anchorId="790C6480" wp14:editId="701394AA">
                <wp:simplePos x="0" y="0"/>
                <wp:positionH relativeFrom="column">
                  <wp:posOffset>0</wp:posOffset>
                </wp:positionH>
                <wp:positionV relativeFrom="paragraph">
                  <wp:posOffset>1409065</wp:posOffset>
                </wp:positionV>
                <wp:extent cx="1371600" cy="1370965"/>
                <wp:effectExtent l="95250" t="95250" r="95250" b="95885"/>
                <wp:wrapTight wrapText="bothSides">
                  <wp:wrapPolygon edited="0">
                    <wp:start x="-900" y="-1501"/>
                    <wp:lineTo x="-1500" y="-900"/>
                    <wp:lineTo x="-1200" y="22811"/>
                    <wp:lineTo x="22500" y="22811"/>
                    <wp:lineTo x="22800" y="3902"/>
                    <wp:lineTo x="22200" y="-600"/>
                    <wp:lineTo x="22200" y="-1501"/>
                    <wp:lineTo x="-900" y="-1501"/>
                  </wp:wrapPolygon>
                </wp:wrapTight>
                <wp:docPr id="816286249" name="Text Box 816286249"/>
                <wp:cNvGraphicFramePr/>
                <a:graphic xmlns:a="http://schemas.openxmlformats.org/drawingml/2006/main">
                  <a:graphicData uri="http://schemas.microsoft.com/office/word/2010/wordprocessingShape">
                    <wps:wsp>
                      <wps:cNvSpPr txBox="1"/>
                      <wps:spPr>
                        <a:xfrm>
                          <a:off x="0" y="0"/>
                          <a:ext cx="1371600" cy="137096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302EBCF" w14:textId="77777777" w:rsidR="00C6444C" w:rsidRDefault="00C6444C" w:rsidP="00020D20">
                            <w:pPr>
                              <w:jc w:val="center"/>
                            </w:pPr>
                            <w:r>
                              <w:rPr>
                                <w:noProof/>
                              </w:rPr>
                              <w:drawing>
                                <wp:inline distT="0" distB="0" distL="0" distR="0" wp14:anchorId="4FC98ED4" wp14:editId="02794378">
                                  <wp:extent cx="457200" cy="457200"/>
                                  <wp:effectExtent l="0" t="0" r="0" b="0"/>
                                  <wp:docPr id="816286297" name="Picture 81628629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32A621C" w14:textId="218414FF" w:rsidR="00C6444C" w:rsidRPr="00954116" w:rsidRDefault="00C6444C" w:rsidP="00020D20">
                            <w:pPr>
                              <w:pStyle w:val="Calloutboxes"/>
                            </w:pPr>
                            <w:r w:rsidRPr="00394A74">
                              <w:t>For complete information on the CMP follow:</w:t>
                            </w:r>
                          </w:p>
                          <w:p w14:paraId="16B9A146" w14:textId="04D053D5" w:rsidR="00C6444C" w:rsidRPr="00020D20" w:rsidRDefault="00202C92">
                            <w:pPr>
                              <w:pStyle w:val="Title"/>
                              <w:rPr>
                                <w:rStyle w:val="SubtleReference"/>
                                <w:smallCaps w:val="0"/>
                                <w:color w:val="CE5B18"/>
                              </w:rPr>
                            </w:pPr>
                            <w:hyperlink r:id="rId1017" w:history="1">
                              <w:r w:rsidR="00C6444C" w:rsidRPr="00020D20">
                                <w:rPr>
                                  <w:rStyle w:val="Hyperlink"/>
                                  <w:rFonts w:ascii="Calibri" w:hAnsi="Calibri" w:cstheme="majorBidi"/>
                                  <w:i/>
                                  <w:iCs w:val="0"/>
                                  <w:color w:val="CE5B18"/>
                                  <w:szCs w:val="56"/>
                                  <w:u w:val="none"/>
                                </w:rPr>
                                <w:t>https://www.fhwa.dot.gov/planning/congestion_management_process/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0C6480" id="Text Box 816286249" o:spid="_x0000_s1261" type="#_x0000_t202" style="position:absolute;left:0;text-align:left;margin-left:0;margin-top:110.95pt;width:108pt;height:107.95pt;z-index:-251698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" fillcolor="#f7f7f7" stroked="f" strokeweight=".5pt">
                <v:shadow on="t" type="perspective" color="black" opacity="26214f" offset="0,0" matrix="66847f,,,66847f"/>
                <v:textbox>
                  <w:txbxContent>
                    <w:p w14:paraId="2302EBCF" w14:textId="77777777" w:rsidR="00C6444C" w:rsidRDefault="00C6444C" w:rsidP="00020D20">
                      <w:pPr>
                        <w:jc w:val="center"/>
                      </w:pPr>
                      <w:r>
                        <w:rPr>
                          <w:noProof/>
                        </w:rPr>
                        <w:drawing>
                          <wp:inline distT="0" distB="0" distL="0" distR="0" wp14:anchorId="4FC98ED4" wp14:editId="02794378">
                            <wp:extent cx="457200" cy="457200"/>
                            <wp:effectExtent l="0" t="0" r="0" b="0"/>
                            <wp:docPr id="816286297" name="Picture 81628629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32A621C" w14:textId="218414FF" w:rsidR="00C6444C" w:rsidRPr="00954116" w:rsidRDefault="00C6444C" w:rsidP="00020D20">
                      <w:pPr>
                        <w:pStyle w:val="Calloutboxes"/>
                      </w:pPr>
                      <w:r w:rsidRPr="00394A74">
                        <w:t>For complete information on the CMP follow:</w:t>
                      </w:r>
                    </w:p>
                    <w:p w14:paraId="16B9A146" w14:textId="04D053D5" w:rsidR="00C6444C" w:rsidRPr="00020D20" w:rsidRDefault="00C6444C">
                      <w:pPr>
                        <w:pStyle w:val="Title"/>
                        <w:rPr>
                          <w:rStyle w:val="SubtleReference"/>
                          <w:smallCaps w:val="0"/>
                          <w:color w:val="CE5B18"/>
                        </w:rPr>
                      </w:pPr>
                      <w:hyperlink r:id="rId1018" w:history="1">
                        <w:r w:rsidRPr="00020D20">
                          <w:rPr>
                            <w:rStyle w:val="Hyperlink"/>
                            <w:rFonts w:ascii="Calibri" w:hAnsi="Calibri" w:cstheme="majorBidi"/>
                            <w:i/>
                            <w:iCs w:val="0"/>
                            <w:color w:val="CE5B18"/>
                            <w:szCs w:val="56"/>
                            <w:u w:val="none"/>
                          </w:rPr>
                          <w:t>https://www.fhwa.dot.gov/planning/congestion_management_process/</w:t>
                        </w:r>
                      </w:hyperlink>
                    </w:p>
                  </w:txbxContent>
                </v:textbox>
                <w10:wrap type="tight"/>
              </v:shape>
            </w:pict>
          </mc:Fallback>
        </mc:AlternateContent>
      </w:r>
      <w:r w:rsidR="00781262" w:rsidRPr="00781262">
        <w:t>The purpose of the CMP is to provide for effective management and operation of the existing transportation system and identify areas where improvements are most needed. It is intended to provide an enhanced linkage to both the planning process and the environmental review process that is based on cooperatively developed travel demand reduction and operational management strategies and capacity increases. It retains the traditional role of the MPO in long-range transportation planning, but it also empowers the MPO and its partners in planning for the ongoing operations and management of the transportation system. This requires enhanced collaboration between the MPOs, ADOT, and local governments.</w:t>
      </w:r>
    </w:p>
    <w:p w14:paraId="53D55362" w14:textId="77777777" w:rsidR="00781262" w:rsidRPr="00781262" w:rsidRDefault="00781262" w:rsidP="00020D20">
      <w:pPr>
        <w:jc w:val="both"/>
      </w:pPr>
      <w:r w:rsidRPr="00781262">
        <w:t>This section briefly explains the requirements of the federal CMP and provides resources for additional information.</w:t>
      </w:r>
    </w:p>
    <w:p w14:paraId="4B250F19" w14:textId="649CE91D" w:rsidR="00781262" w:rsidRDefault="00781262" w:rsidP="00020D20">
      <w:pPr>
        <w:pStyle w:val="Heading4"/>
        <w:jc w:val="both"/>
      </w:pPr>
      <w:r w:rsidRPr="00781262">
        <w:t>Table 17.2-1 | CMP Clarification</w:t>
      </w:r>
    </w:p>
    <w:tbl>
      <w:tblPr>
        <w:tblW w:w="4325" w:type="dxa"/>
        <w:tblInd w:w="-10" w:type="dxa"/>
        <w:tblLayout w:type="fixed"/>
        <w:tblCellMar>
          <w:left w:w="0" w:type="dxa"/>
          <w:right w:w="0" w:type="dxa"/>
        </w:tblCellMar>
        <w:tblLook w:val="0000" w:firstRow="0" w:lastRow="0" w:firstColumn="0" w:lastColumn="0" w:noHBand="0" w:noVBand="0"/>
      </w:tblPr>
      <w:tblGrid>
        <w:gridCol w:w="4325"/>
      </w:tblGrid>
      <w:tr w:rsidR="00781262" w:rsidRPr="00781262" w14:paraId="48BCE492" w14:textId="77777777" w:rsidTr="00020D20">
        <w:trPr>
          <w:trHeight w:val="331"/>
        </w:trPr>
        <w:tc>
          <w:tcPr>
            <w:tcW w:w="4325" w:type="dxa"/>
            <w:tcBorders>
              <w:top w:val="single" w:sz="4" w:space="0" w:color="auto"/>
              <w:left w:val="single" w:sz="4" w:space="0" w:color="auto"/>
              <w:bottom w:val="single" w:sz="4" w:space="0" w:color="auto"/>
              <w:right w:val="single" w:sz="4" w:space="0" w:color="auto"/>
            </w:tcBorders>
            <w:shd w:val="clear" w:color="auto" w:fill="012768"/>
            <w:tcMar>
              <w:top w:w="80" w:type="dxa"/>
              <w:left w:w="80" w:type="dxa"/>
              <w:bottom w:w="80" w:type="dxa"/>
              <w:right w:w="80" w:type="dxa"/>
            </w:tcMar>
            <w:vAlign w:val="center"/>
          </w:tcPr>
          <w:p w14:paraId="15145992" w14:textId="31523B96" w:rsidR="00781262" w:rsidRPr="00020D20" w:rsidRDefault="00781262" w:rsidP="00020D20">
            <w:pPr>
              <w:spacing w:before="0" w:after="0" w:line="240" w:lineRule="auto"/>
              <w:jc w:val="both"/>
              <w:rPr>
                <w:color w:val="58585B"/>
                <w:sz w:val="22"/>
                <w:u w:color="ED1C24"/>
              </w:rPr>
            </w:pPr>
            <w:r w:rsidRPr="00020D20">
              <w:rPr>
                <w:color w:val="FFFFFF" w:themeColor="background1"/>
                <w:sz w:val="22"/>
                <w:u w:color="ED1C24"/>
              </w:rPr>
              <w:t>A CMP is</w:t>
            </w:r>
            <w:r w:rsidR="00CB6153">
              <w:rPr>
                <w:color w:val="FFFFFF" w:themeColor="background1"/>
                <w:sz w:val="22"/>
                <w:u w:color="ED1C24"/>
              </w:rPr>
              <w:t xml:space="preserve"> NOT</w:t>
            </w:r>
          </w:p>
        </w:tc>
      </w:tr>
      <w:tr w:rsidR="00781262" w:rsidRPr="00781262" w14:paraId="74D1CD48" w14:textId="77777777" w:rsidTr="00020D20">
        <w:trPr>
          <w:trHeight w:val="1710"/>
        </w:trPr>
        <w:tc>
          <w:tcPr>
            <w:tcW w:w="4325" w:type="dxa"/>
            <w:tcBorders>
              <w:top w:val="single" w:sz="4" w:space="0" w:color="auto"/>
              <w:left w:val="single" w:sz="8" w:space="0" w:color="58585B"/>
              <w:bottom w:val="single" w:sz="8" w:space="0" w:color="58585B"/>
              <w:right w:val="single" w:sz="8" w:space="0" w:color="58585B"/>
            </w:tcBorders>
            <w:tcMar>
              <w:top w:w="0" w:type="dxa"/>
              <w:left w:w="58" w:type="dxa"/>
              <w:bottom w:w="180" w:type="dxa"/>
              <w:right w:w="0" w:type="dxa"/>
            </w:tcMar>
            <w:vAlign w:val="center"/>
          </w:tcPr>
          <w:p w14:paraId="49E30CBB" w14:textId="77777777" w:rsidR="00781262" w:rsidRPr="009740CB" w:rsidRDefault="00781262" w:rsidP="00020D20">
            <w:pPr>
              <w:pStyle w:val="Body-Bullets"/>
              <w:jc w:val="both"/>
            </w:pPr>
            <w:r w:rsidRPr="009740CB">
              <w:t>A massive data collection effort.</w:t>
            </w:r>
          </w:p>
          <w:p w14:paraId="081F36D5" w14:textId="77777777" w:rsidR="009740CB" w:rsidRDefault="00781262" w:rsidP="00020D20">
            <w:pPr>
              <w:pStyle w:val="Body-Bullets"/>
              <w:jc w:val="both"/>
            </w:pPr>
            <w:r w:rsidRPr="009740CB">
              <w:t>A database management system.</w:t>
            </w:r>
          </w:p>
          <w:p w14:paraId="08CA570F" w14:textId="77777777" w:rsidR="009740CB" w:rsidRDefault="00781262" w:rsidP="00020D20">
            <w:pPr>
              <w:pStyle w:val="Body-Bullets"/>
              <w:jc w:val="both"/>
            </w:pPr>
            <w:r w:rsidRPr="009740CB">
              <w:t>A separate or parallel process to the established planning process.</w:t>
            </w:r>
          </w:p>
          <w:p w14:paraId="0FA8AF63" w14:textId="77777777" w:rsidR="009740CB" w:rsidRDefault="00781262" w:rsidP="00020D20">
            <w:pPr>
              <w:pStyle w:val="Body-Bullets"/>
              <w:jc w:val="both"/>
            </w:pPr>
            <w:r w:rsidRPr="009740CB">
              <w:t>A system to eliminate all congestion.</w:t>
            </w:r>
          </w:p>
          <w:p w14:paraId="036FF36C" w14:textId="002B1A1E" w:rsidR="009740CB" w:rsidRDefault="00193A11" w:rsidP="00020D20">
            <w:pPr>
              <w:pStyle w:val="Body-Bullets"/>
              <w:jc w:val="both"/>
            </w:pPr>
            <w:r>
              <w:t xml:space="preserve"> </w:t>
            </w:r>
            <w:r w:rsidR="00781262" w:rsidRPr="009740CB">
              <w:t xml:space="preserve">A system to prevent capacity expansion </w:t>
            </w:r>
            <w:r>
              <w:t xml:space="preserve">projects from being </w:t>
            </w:r>
            <w:r w:rsidR="009740CB">
              <w:t>implemented.</w:t>
            </w:r>
          </w:p>
          <w:p w14:paraId="29747C50" w14:textId="5B58AFF4" w:rsidR="00781262" w:rsidRPr="009740CB" w:rsidRDefault="00193A11" w:rsidP="00020D20">
            <w:pPr>
              <w:pStyle w:val="Body-Bullets"/>
              <w:jc w:val="both"/>
            </w:pPr>
            <w:r>
              <w:t xml:space="preserve"> </w:t>
            </w:r>
            <w:r w:rsidR="00781262" w:rsidRPr="009740CB">
              <w:t>A detailed operations plan. (FDOT 1994)</w:t>
            </w:r>
          </w:p>
        </w:tc>
      </w:tr>
    </w:tbl>
    <w:p w14:paraId="6D1D6A63" w14:textId="77777777" w:rsidR="002762B7" w:rsidRDefault="002762B7" w:rsidP="002762B7">
      <w:pPr>
        <w:pStyle w:val="Heading3"/>
        <w:jc w:val="both"/>
      </w:pPr>
      <w:r w:rsidRPr="00781262">
        <w:t>17.2.2 | CMP &amp; Metropolitan Planning Process</w:t>
      </w:r>
    </w:p>
    <w:p w14:paraId="1C874823" w14:textId="77777777" w:rsidR="002762B7" w:rsidRPr="00781262" w:rsidRDefault="002762B7" w:rsidP="002762B7">
      <w:pPr>
        <w:pStyle w:val="SubHeading3"/>
        <w:jc w:val="both"/>
      </w:pPr>
      <w:r w:rsidRPr="00781262">
        <w:t>CMP Development Process</w:t>
      </w:r>
    </w:p>
    <w:p w14:paraId="74496A86" w14:textId="1CA041CF" w:rsidR="00781262" w:rsidRPr="00781262" w:rsidRDefault="00013245" w:rsidP="00020D20">
      <w:pPr>
        <w:jc w:val="both"/>
        <w:rPr>
          <w:rFonts w:cstheme="minorHAnsi"/>
        </w:rPr>
      </w:pPr>
      <w:r>
        <w:rPr>
          <w:rFonts w:cstheme="minorHAnsi"/>
          <w:noProof/>
        </w:rPr>
        <mc:AlternateContent>
          <mc:Choice Requires="wps">
            <w:drawing>
              <wp:anchor distT="0" distB="0" distL="114300" distR="114300" simplePos="0" relativeHeight="251618398" behindDoc="1" locked="0" layoutInCell="1" allowOverlap="1" wp14:anchorId="1B8F1CE4" wp14:editId="3A3B21B6">
                <wp:simplePos x="0" y="0"/>
                <wp:positionH relativeFrom="column">
                  <wp:posOffset>1359535</wp:posOffset>
                </wp:positionH>
                <wp:positionV relativeFrom="paragraph">
                  <wp:posOffset>447813</wp:posOffset>
                </wp:positionV>
                <wp:extent cx="1371600" cy="1627505"/>
                <wp:effectExtent l="76200" t="95250" r="76200" b="86995"/>
                <wp:wrapTight wrapText="bothSides">
                  <wp:wrapPolygon edited="0">
                    <wp:start x="-1200" y="-1264"/>
                    <wp:lineTo x="-1200" y="22502"/>
                    <wp:lineTo x="22500" y="22502"/>
                    <wp:lineTo x="22500" y="-1264"/>
                    <wp:lineTo x="-1200" y="-1264"/>
                  </wp:wrapPolygon>
                </wp:wrapTight>
                <wp:docPr id="816286251" name="Text Box 816286251"/>
                <wp:cNvGraphicFramePr/>
                <a:graphic xmlns:a="http://schemas.openxmlformats.org/drawingml/2006/main">
                  <a:graphicData uri="http://schemas.microsoft.com/office/word/2010/wordprocessingShape">
                    <wps:wsp>
                      <wps:cNvSpPr txBox="1"/>
                      <wps:spPr>
                        <a:xfrm>
                          <a:off x="0" y="0"/>
                          <a:ext cx="1371600" cy="16275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6073C6A" w14:textId="77777777" w:rsidR="00C6444C" w:rsidRDefault="00C6444C" w:rsidP="00020D20">
                            <w:pPr>
                              <w:jc w:val="center"/>
                            </w:pPr>
                            <w:r>
                              <w:rPr>
                                <w:noProof/>
                              </w:rPr>
                              <w:drawing>
                                <wp:inline distT="0" distB="0" distL="0" distR="0" wp14:anchorId="6C0A27B2" wp14:editId="5CA1CC53">
                                  <wp:extent cx="457200" cy="457200"/>
                                  <wp:effectExtent l="0" t="0" r="0" b="0"/>
                                  <wp:docPr id="816286340" name="Picture 81628634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0E23F31" w14:textId="0136EC50" w:rsidR="00C6444C" w:rsidRPr="00954116" w:rsidRDefault="00C6444C" w:rsidP="00020D20">
                            <w:pPr>
                              <w:pStyle w:val="Calloutboxes"/>
                            </w:pPr>
                            <w:r w:rsidRPr="00394A74">
                              <w:t>The complete CMP 8 step process can also be found at:</w:t>
                            </w:r>
                          </w:p>
                          <w:p w14:paraId="5F4B17B8" w14:textId="3C609099" w:rsidR="00C6444C" w:rsidRPr="00020D20" w:rsidRDefault="00202C92">
                            <w:pPr>
                              <w:pStyle w:val="Title"/>
                              <w:rPr>
                                <w:rStyle w:val="SubtleReference"/>
                                <w:smallCaps w:val="0"/>
                                <w:color w:val="CE5B18"/>
                              </w:rPr>
                            </w:pPr>
                            <w:hyperlink r:id="rId1019" w:history="1">
                              <w:r w:rsidR="00C6444C" w:rsidRPr="00020D20">
                                <w:rPr>
                                  <w:rStyle w:val="Hyperlink"/>
                                  <w:rFonts w:ascii="Calibri" w:hAnsi="Calibri" w:cstheme="majorBidi"/>
                                  <w:i/>
                                  <w:iCs w:val="0"/>
                                  <w:color w:val="CE5B18"/>
                                  <w:szCs w:val="56"/>
                                  <w:u w:val="none"/>
                                </w:rPr>
                                <w:t>https://www.fhwa.dot.gov/planning/congestion_management_process/cmp_guidebook/cmpguidebk.pdf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8F1CE4" id="Text Box 816286251" o:spid="_x0000_s1262" type="#_x0000_t202" style="position:absolute;left:0;text-align:left;margin-left:107.05pt;margin-top:35.25pt;width:108pt;height:128.15pt;z-index:-251698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" fillcolor="#f7f7f7" stroked="f" strokeweight=".5pt">
                <v:shadow on="t" type="perspective" color="black" opacity="26214f" offset="0,0" matrix="66847f,,,66847f"/>
                <v:textbox>
                  <w:txbxContent>
                    <w:p w14:paraId="36073C6A" w14:textId="77777777" w:rsidR="00C6444C" w:rsidRDefault="00C6444C" w:rsidP="00020D20">
                      <w:pPr>
                        <w:jc w:val="center"/>
                      </w:pPr>
                      <w:r>
                        <w:rPr>
                          <w:noProof/>
                        </w:rPr>
                        <w:drawing>
                          <wp:inline distT="0" distB="0" distL="0" distR="0" wp14:anchorId="6C0A27B2" wp14:editId="5CA1CC53">
                            <wp:extent cx="457200" cy="457200"/>
                            <wp:effectExtent l="0" t="0" r="0" b="0"/>
                            <wp:docPr id="816286340" name="Picture 81628634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0E23F31" w14:textId="0136EC50" w:rsidR="00C6444C" w:rsidRPr="00954116" w:rsidRDefault="00C6444C" w:rsidP="00020D20">
                      <w:pPr>
                        <w:pStyle w:val="Calloutboxes"/>
                      </w:pPr>
                      <w:r w:rsidRPr="00394A74">
                        <w:t>The complete CMP 8 step process can also be found at:</w:t>
                      </w:r>
                    </w:p>
                    <w:p w14:paraId="5F4B17B8" w14:textId="3C609099" w:rsidR="00C6444C" w:rsidRPr="00020D20" w:rsidRDefault="00C6444C">
                      <w:pPr>
                        <w:pStyle w:val="Title"/>
                        <w:rPr>
                          <w:rStyle w:val="SubtleReference"/>
                          <w:smallCaps w:val="0"/>
                          <w:color w:val="CE5B18"/>
                        </w:rPr>
                      </w:pPr>
                      <w:hyperlink r:id="rId1020" w:history="1">
                        <w:r w:rsidRPr="00020D20">
                          <w:rPr>
                            <w:rStyle w:val="Hyperlink"/>
                            <w:rFonts w:ascii="Calibri" w:hAnsi="Calibri" w:cstheme="majorBidi"/>
                            <w:i/>
                            <w:iCs w:val="0"/>
                            <w:color w:val="CE5B18"/>
                            <w:szCs w:val="56"/>
                            <w:u w:val="none"/>
                          </w:rPr>
                          <w:t>https://www.fhwa.dot.gov/planning/congestion_management_process/cmp_guidebook/cmpguidebk.pdf</w:t>
                        </w:r>
                      </w:hyperlink>
                    </w:p>
                  </w:txbxContent>
                </v:textbox>
                <w10:wrap type="tight"/>
              </v:shape>
            </w:pict>
          </mc:Fallback>
        </mc:AlternateContent>
      </w:r>
      <w:r w:rsidR="00781262" w:rsidRPr="00781262">
        <w:rPr>
          <w:rFonts w:cstheme="minorHAnsi"/>
        </w:rPr>
        <w:t xml:space="preserve">It is important to avoid misconceptions about what the CMP is and is not. Table 17.2-1 shows what a CMP is not. </w:t>
      </w:r>
    </w:p>
    <w:p w14:paraId="68B8EC06" w14:textId="2D2D94A1" w:rsidR="007C7121" w:rsidRPr="007C7121" w:rsidRDefault="00781262" w:rsidP="00020D20">
      <w:pPr>
        <w:jc w:val="both"/>
        <w:rPr>
          <w:rFonts w:cstheme="minorHAnsi"/>
        </w:rPr>
      </w:pPr>
      <w:r w:rsidRPr="00781262">
        <w:rPr>
          <w:rFonts w:cstheme="minorHAnsi"/>
        </w:rPr>
        <w:t xml:space="preserve">The CMP consists of the following eight steps as defined in the </w:t>
      </w:r>
      <w:hyperlink r:id="rId1021" w:history="1">
        <w:r w:rsidRPr="00B767C4">
          <w:rPr>
            <w:rStyle w:val="TitleChar"/>
          </w:rPr>
          <w:t>FHWA’s CMP guidebook</w:t>
        </w:r>
      </w:hyperlink>
      <w:r w:rsidRPr="00781262">
        <w:rPr>
          <w:rFonts w:cstheme="minorHAnsi"/>
        </w:rPr>
        <w:t xml:space="preserve"> (FHWA 2011, 8). Many of these steps include </w:t>
      </w:r>
      <w:r w:rsidR="00452B88">
        <w:rPr>
          <w:rFonts w:cstheme="minorHAnsi"/>
        </w:rPr>
        <w:t>acquiring</w:t>
      </w:r>
      <w:r w:rsidRPr="00781262">
        <w:rPr>
          <w:rFonts w:cstheme="minorHAnsi"/>
        </w:rPr>
        <w:t xml:space="preserve"> information that has been developed, at least in part, for other purposes in regional transportation planning, so that the resource requirements are modest; in other words, not all the information needs to be produced</w:t>
      </w:r>
      <w:r w:rsidR="007C7121">
        <w:rPr>
          <w:rFonts w:cstheme="minorHAnsi"/>
        </w:rPr>
        <w:t xml:space="preserve"> </w:t>
      </w:r>
      <w:r w:rsidR="007C7121" w:rsidRPr="007C7121">
        <w:rPr>
          <w:rFonts w:cstheme="minorHAnsi"/>
        </w:rPr>
        <w:t>from scratch but instead can be repurposed for the CMP.</w:t>
      </w:r>
    </w:p>
    <w:p w14:paraId="19438FBA" w14:textId="77777777" w:rsidR="007C7121" w:rsidRPr="001B4F45" w:rsidRDefault="007C7121" w:rsidP="00020D20">
      <w:pPr>
        <w:pStyle w:val="zNumbered"/>
        <w:numPr>
          <w:ilvl w:val="0"/>
          <w:numId w:val="329"/>
        </w:numPr>
      </w:pPr>
      <w:r w:rsidRPr="001B4F45">
        <w:t>Develop regional objectives for congestion management.</w:t>
      </w:r>
    </w:p>
    <w:p w14:paraId="4FED9B7A" w14:textId="77777777" w:rsidR="007C7121" w:rsidRPr="001B4F45" w:rsidRDefault="007C7121" w:rsidP="00020D20">
      <w:pPr>
        <w:pStyle w:val="zNumbered"/>
        <w:numPr>
          <w:ilvl w:val="0"/>
          <w:numId w:val="329"/>
        </w:numPr>
      </w:pPr>
      <w:r w:rsidRPr="001B4F45">
        <w:t>Define CMP network.</w:t>
      </w:r>
    </w:p>
    <w:p w14:paraId="6972670B" w14:textId="77777777" w:rsidR="007C7121" w:rsidRPr="001B4F45" w:rsidRDefault="007C7121" w:rsidP="00020D20">
      <w:pPr>
        <w:pStyle w:val="zNumbered"/>
        <w:numPr>
          <w:ilvl w:val="0"/>
          <w:numId w:val="329"/>
        </w:numPr>
      </w:pPr>
      <w:r w:rsidRPr="001B4F45">
        <w:t>Develop multimodal performance measures.</w:t>
      </w:r>
    </w:p>
    <w:p w14:paraId="64E7F506" w14:textId="77777777" w:rsidR="007C7121" w:rsidRPr="001B4F45" w:rsidRDefault="007C7121" w:rsidP="00020D20">
      <w:pPr>
        <w:pStyle w:val="zNumbered"/>
        <w:numPr>
          <w:ilvl w:val="0"/>
          <w:numId w:val="329"/>
        </w:numPr>
      </w:pPr>
      <w:r w:rsidRPr="001B4F45">
        <w:t>Data collection/monitoring system performance.</w:t>
      </w:r>
    </w:p>
    <w:p w14:paraId="31AFD3D4" w14:textId="77777777" w:rsidR="007C7121" w:rsidRPr="001B4F45" w:rsidRDefault="007C7121" w:rsidP="00020D20">
      <w:pPr>
        <w:pStyle w:val="zNumbered"/>
        <w:numPr>
          <w:ilvl w:val="0"/>
          <w:numId w:val="329"/>
        </w:numPr>
      </w:pPr>
      <w:r w:rsidRPr="001B4F45">
        <w:t>Analyze congestion problems and needs.</w:t>
      </w:r>
    </w:p>
    <w:p w14:paraId="415E2E07" w14:textId="77777777" w:rsidR="007C7121" w:rsidRPr="001B4F45" w:rsidRDefault="007C7121" w:rsidP="00020D20">
      <w:pPr>
        <w:pStyle w:val="zNumbered"/>
        <w:numPr>
          <w:ilvl w:val="0"/>
          <w:numId w:val="329"/>
        </w:numPr>
      </w:pPr>
      <w:r w:rsidRPr="001B4F45">
        <w:t>Identify and assess strategies.</w:t>
      </w:r>
    </w:p>
    <w:p w14:paraId="55189D5B" w14:textId="77777777" w:rsidR="007C7121" w:rsidRPr="001B4F45" w:rsidRDefault="007C7121" w:rsidP="00020D20">
      <w:pPr>
        <w:pStyle w:val="zNumbered"/>
        <w:numPr>
          <w:ilvl w:val="0"/>
          <w:numId w:val="329"/>
        </w:numPr>
      </w:pPr>
      <w:r w:rsidRPr="001B4F45">
        <w:t>Program and implement strategies.</w:t>
      </w:r>
    </w:p>
    <w:p w14:paraId="2C598B98" w14:textId="77777777" w:rsidR="007C7121" w:rsidRPr="001B4F45" w:rsidRDefault="007C7121" w:rsidP="00020D20">
      <w:pPr>
        <w:pStyle w:val="zNumbered"/>
        <w:numPr>
          <w:ilvl w:val="0"/>
          <w:numId w:val="329"/>
        </w:numPr>
      </w:pPr>
      <w:r w:rsidRPr="001B4F45">
        <w:t>Evaluate strategy effectiveness.</w:t>
      </w:r>
    </w:p>
    <w:p w14:paraId="024D1067" w14:textId="48BEE3B0" w:rsidR="007C7121" w:rsidRPr="00394A74" w:rsidRDefault="007C7121" w:rsidP="00020D20">
      <w:pPr>
        <w:jc w:val="both"/>
      </w:pPr>
      <w:bookmarkStart w:id="615" w:name="_Ref50043270"/>
      <w:r w:rsidRPr="002F6B87">
        <w:rPr>
          <w:rStyle w:val="SubHeading3Char"/>
        </w:rPr>
        <w:t>Step 1:</w:t>
      </w:r>
      <w:r w:rsidRPr="00394A74">
        <w:t xml:space="preserve"> </w:t>
      </w:r>
      <w:r w:rsidRPr="002F6B87">
        <w:t>Develop Regional Objectives for Congestion Management</w:t>
      </w:r>
      <w:bookmarkEnd w:id="615"/>
    </w:p>
    <w:p w14:paraId="617AEC26" w14:textId="77777777" w:rsidR="007C7121" w:rsidRPr="007C7121" w:rsidRDefault="007C7121" w:rsidP="00020D20">
      <w:pPr>
        <w:jc w:val="both"/>
        <w:rPr>
          <w:rFonts w:cstheme="minorHAnsi"/>
        </w:rPr>
      </w:pPr>
      <w:r w:rsidRPr="007C7121">
        <w:rPr>
          <w:rFonts w:cstheme="minorHAnsi"/>
        </w:rPr>
        <w:t>This is the starting point for development of the CMP. Usually these objectives can be adapted easily from the goals and objectives in the RTP or RTP. In some cases, MPOs develop objectives specifically for the CMP. The FHWA guidebook suggests that these objectives be specific, measurable, agreed upon by stakeholders, realistic, and time-bound (the so-called SMART characteristics). (FHWA 2011, 11)</w:t>
      </w:r>
    </w:p>
    <w:p w14:paraId="43C25881" w14:textId="77777777" w:rsidR="007C7121" w:rsidRPr="00394A74" w:rsidRDefault="007C7121" w:rsidP="00020D20">
      <w:pPr>
        <w:jc w:val="both"/>
      </w:pPr>
      <w:bookmarkStart w:id="616" w:name="_Ref50043275"/>
      <w:r w:rsidRPr="002F6B87">
        <w:rPr>
          <w:rStyle w:val="SubHeading3Char"/>
        </w:rPr>
        <w:t>Step 2:</w:t>
      </w:r>
      <w:r w:rsidRPr="00394A74">
        <w:t xml:space="preserve"> </w:t>
      </w:r>
      <w:r w:rsidRPr="002F6B87">
        <w:t>Define the CMP Network</w:t>
      </w:r>
      <w:bookmarkEnd w:id="616"/>
    </w:p>
    <w:p w14:paraId="11CA3085" w14:textId="77777777" w:rsidR="007C7121" w:rsidRPr="007C7121" w:rsidRDefault="007C7121" w:rsidP="00020D20">
      <w:pPr>
        <w:jc w:val="both"/>
        <w:rPr>
          <w:rFonts w:cstheme="minorHAnsi"/>
        </w:rPr>
      </w:pPr>
      <w:r w:rsidRPr="007C7121">
        <w:rPr>
          <w:rFonts w:cstheme="minorHAnsi"/>
        </w:rPr>
        <w:t>The CMP network involves both the geographic boundaries and the system components/network of surface transportation facilities. The MPO TDM is usually a starting point for this process. The rules for determining the network itself are fairly flexible and often include functional classification, traffic volumes, high demand/congested corridors, routes that serve important transit or goods movement functions, access to major transportation terminals (such as airports), and professional judgment. The CPM network should include transit networks, especially when they play a significant role in a corridor, as well as routes that serve a large volume of through trucks and freight/warehousing facilities. Likewise, bicycle and pedestrian networks should be included when they play a regional role.</w:t>
      </w:r>
    </w:p>
    <w:p w14:paraId="14B42820" w14:textId="32C1E83C" w:rsidR="007C7121" w:rsidRPr="00954116" w:rsidRDefault="00961614" w:rsidP="00020D20">
      <w:pPr>
        <w:jc w:val="both"/>
      </w:pPr>
      <w:bookmarkStart w:id="617" w:name="_Ref50043278"/>
      <w:r>
        <w:rPr>
          <w:rStyle w:val="SubHeading3Char"/>
        </w:rPr>
        <w:br w:type="column"/>
      </w:r>
      <w:r w:rsidR="007C7121" w:rsidRPr="002F6B87">
        <w:rPr>
          <w:rStyle w:val="SubHeading3Char"/>
        </w:rPr>
        <w:t>Step 3:</w:t>
      </w:r>
      <w:r w:rsidR="007C7121" w:rsidRPr="00394A74">
        <w:t xml:space="preserve"> Develop Multimodal Performance Measures</w:t>
      </w:r>
      <w:bookmarkEnd w:id="617"/>
    </w:p>
    <w:p w14:paraId="5E7403E1" w14:textId="77777777" w:rsidR="007C7121" w:rsidRPr="007C7121" w:rsidRDefault="007C7121" w:rsidP="00020D20">
      <w:pPr>
        <w:jc w:val="both"/>
        <w:rPr>
          <w:rFonts w:cstheme="minorHAnsi"/>
        </w:rPr>
      </w:pPr>
      <w:r w:rsidRPr="007C7121">
        <w:rPr>
          <w:rFonts w:cstheme="minorHAnsi"/>
        </w:rPr>
        <w:t>There are a wide range of measures that can be considered for use in the CMP. These have been described in other publications (e.g., FHWA 2011, 15–26), but generally should relate to the intensity, duration, extent, and variability of congestion. In many cases, the MPO may want to use measures that it has developed for other planning and operations purposes.</w:t>
      </w:r>
    </w:p>
    <w:p w14:paraId="23C5A7AE" w14:textId="77777777" w:rsidR="007C7121" w:rsidRPr="005A6734" w:rsidRDefault="007C7121" w:rsidP="00020D20">
      <w:pPr>
        <w:jc w:val="both"/>
      </w:pPr>
      <w:bookmarkStart w:id="618" w:name="_Ref50043281"/>
      <w:r w:rsidRPr="002F6B87">
        <w:rPr>
          <w:rStyle w:val="SubHeading3Char"/>
        </w:rPr>
        <w:t>Step 4:</w:t>
      </w:r>
      <w:r w:rsidRPr="00394A74">
        <w:t xml:space="preserve"> Data Collection &amp; Moni</w:t>
      </w:r>
      <w:r w:rsidRPr="00954116">
        <w:t>toring System Performance</w:t>
      </w:r>
      <w:bookmarkEnd w:id="618"/>
    </w:p>
    <w:p w14:paraId="70BE88FD" w14:textId="77777777" w:rsidR="007C7121" w:rsidRPr="007C7121" w:rsidRDefault="007C7121" w:rsidP="00020D20">
      <w:pPr>
        <w:pStyle w:val="TableSub-HeaderADOTTable"/>
        <w:numPr>
          <w:ilvl w:val="0"/>
          <w:numId w:val="200"/>
        </w:numPr>
        <w:tabs>
          <w:tab w:val="clear" w:pos="540"/>
          <w:tab w:val="left" w:pos="450"/>
        </w:tabs>
        <w:jc w:val="both"/>
        <w:rPr>
          <w:rFonts w:cstheme="minorHAnsi"/>
        </w:rPr>
      </w:pPr>
      <w:r w:rsidRPr="007C7121">
        <w:rPr>
          <w:rFonts w:cstheme="minorHAnsi"/>
        </w:rPr>
        <w:t>Once again, MPOs already collect considerable amounts of information that can be used for CMP purposes, including the following data:</w:t>
      </w:r>
    </w:p>
    <w:p w14:paraId="589A3663" w14:textId="48ABBC87"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T</w:t>
      </w:r>
      <w:r w:rsidR="007C7121" w:rsidRPr="007C7121">
        <w:rPr>
          <w:rFonts w:cstheme="minorHAnsi"/>
        </w:rPr>
        <w:t>raffic volume counts;</w:t>
      </w:r>
    </w:p>
    <w:p w14:paraId="2F256422" w14:textId="7F6C714A"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S</w:t>
      </w:r>
      <w:r w:rsidR="007C7121" w:rsidRPr="007C7121">
        <w:rPr>
          <w:rFonts w:cstheme="minorHAnsi"/>
        </w:rPr>
        <w:t>peed and travel time data;</w:t>
      </w:r>
    </w:p>
    <w:p w14:paraId="487F42F8" w14:textId="77777777" w:rsidR="007C7121" w:rsidRPr="007C7121" w:rsidRDefault="007C7121" w:rsidP="00020D20">
      <w:pPr>
        <w:pStyle w:val="ListParagraph"/>
        <w:numPr>
          <w:ilvl w:val="0"/>
          <w:numId w:val="200"/>
        </w:numPr>
        <w:tabs>
          <w:tab w:val="clear" w:pos="540"/>
          <w:tab w:val="left" w:pos="450"/>
        </w:tabs>
        <w:jc w:val="both"/>
        <w:rPr>
          <w:rFonts w:cstheme="minorHAnsi"/>
        </w:rPr>
      </w:pPr>
      <w:r w:rsidRPr="007C7121">
        <w:rPr>
          <w:rFonts w:cstheme="minorHAnsi"/>
        </w:rPr>
        <w:t>Archived Intelligent Transportation System (ITS) and operations data;</w:t>
      </w:r>
    </w:p>
    <w:p w14:paraId="5538FD08" w14:textId="7E431373"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O</w:t>
      </w:r>
      <w:r w:rsidR="007C7121" w:rsidRPr="007C7121">
        <w:rPr>
          <w:rFonts w:cstheme="minorHAnsi"/>
        </w:rPr>
        <w:t>ther electronic datasets (some available from private vendors);</w:t>
      </w:r>
    </w:p>
    <w:p w14:paraId="06500D0D" w14:textId="6E4E0E72"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A</w:t>
      </w:r>
      <w:r w:rsidR="007C7121" w:rsidRPr="007C7121">
        <w:rPr>
          <w:rFonts w:cstheme="minorHAnsi"/>
        </w:rPr>
        <w:t>erial photography-based congestion data;</w:t>
      </w:r>
    </w:p>
    <w:p w14:paraId="481169D7" w14:textId="438D2C5E"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T</w:t>
      </w:r>
      <w:r w:rsidR="007C7121" w:rsidRPr="007C7121">
        <w:rPr>
          <w:rFonts w:cstheme="minorHAnsi"/>
        </w:rPr>
        <w:t>ransit data (on/off, load factor, transit pass sales, etc.);</w:t>
      </w:r>
    </w:p>
    <w:p w14:paraId="5F1626D5" w14:textId="19EBDCDB"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B</w:t>
      </w:r>
      <w:r w:rsidR="007C7121" w:rsidRPr="007C7121">
        <w:rPr>
          <w:rFonts w:cstheme="minorHAnsi"/>
        </w:rPr>
        <w:t>icycle/pedestrian usage data;</w:t>
      </w:r>
    </w:p>
    <w:p w14:paraId="6FDCAF63" w14:textId="088474B6"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S</w:t>
      </w:r>
      <w:r w:rsidR="007C7121" w:rsidRPr="007C7121">
        <w:rPr>
          <w:rFonts w:cstheme="minorHAnsi"/>
        </w:rPr>
        <w:t>afety data (crash records); and</w:t>
      </w:r>
    </w:p>
    <w:p w14:paraId="00416C65" w14:textId="5C7E119A" w:rsidR="007C7121" w:rsidRPr="007C7121" w:rsidRDefault="0014412A" w:rsidP="00020D20">
      <w:pPr>
        <w:pStyle w:val="ListParagraph"/>
        <w:numPr>
          <w:ilvl w:val="0"/>
          <w:numId w:val="200"/>
        </w:numPr>
        <w:tabs>
          <w:tab w:val="clear" w:pos="540"/>
          <w:tab w:val="left" w:pos="450"/>
        </w:tabs>
        <w:jc w:val="both"/>
        <w:rPr>
          <w:rFonts w:cstheme="minorHAnsi"/>
        </w:rPr>
      </w:pPr>
      <w:r>
        <w:rPr>
          <w:rFonts w:cstheme="minorHAnsi"/>
        </w:rPr>
        <w:t>T</w:t>
      </w:r>
      <w:r w:rsidR="007C7121" w:rsidRPr="007C7121">
        <w:rPr>
          <w:rFonts w:cstheme="minorHAnsi"/>
        </w:rPr>
        <w:t>ravel survey data.</w:t>
      </w:r>
    </w:p>
    <w:p w14:paraId="06CD4697" w14:textId="6B763695" w:rsidR="007C7121" w:rsidRPr="00954116" w:rsidRDefault="007C7121" w:rsidP="00020D20">
      <w:pPr>
        <w:jc w:val="both"/>
      </w:pPr>
      <w:r w:rsidRPr="007C7121">
        <w:rPr>
          <w:rFonts w:cstheme="minorHAnsi"/>
        </w:rPr>
        <w:t>While data collection for the purposes of the CMP is not a massive effort, this part of the CMP is often the most resource consuming portion of</w:t>
      </w:r>
      <w:r>
        <w:rPr>
          <w:rFonts w:cstheme="minorHAnsi"/>
        </w:rPr>
        <w:t xml:space="preserve"> </w:t>
      </w:r>
      <w:r w:rsidRPr="007C7121">
        <w:rPr>
          <w:rFonts w:cstheme="minorHAnsi"/>
        </w:rPr>
        <w:t xml:space="preserve">the work, but it also has the highest benefit and provides information that can be used in other planning and operational analyses of facilities in the MPO region. The data collected should, of course, relate to the performance measures chosen in Step 3. The </w:t>
      </w:r>
      <w:hyperlink r:id="rId1022" w:history="1">
        <w:r w:rsidRPr="00B767C4">
          <w:rPr>
            <w:rStyle w:val="TitleChar"/>
          </w:rPr>
          <w:t>ADOT Multimodal Planning Division</w:t>
        </w:r>
      </w:hyperlink>
      <w:r w:rsidRPr="007C7121">
        <w:rPr>
          <w:rFonts w:cstheme="minorHAnsi"/>
        </w:rPr>
        <w:t xml:space="preserve"> can provide available data related to state highways.</w:t>
      </w:r>
      <w:r w:rsidR="007C203E">
        <w:rPr>
          <w:rFonts w:cstheme="minorHAnsi"/>
        </w:rPr>
        <w:br w:type="column"/>
      </w:r>
      <w:bookmarkStart w:id="619" w:name="_Ref50043285"/>
      <w:r w:rsidRPr="002F6B87">
        <w:rPr>
          <w:rStyle w:val="SubHeading3Char"/>
        </w:rPr>
        <w:t>Step 5:</w:t>
      </w:r>
      <w:r w:rsidRPr="00394A74">
        <w:t xml:space="preserve"> Analyze Congestion Problems &amp; Needs</w:t>
      </w:r>
      <w:bookmarkEnd w:id="619"/>
    </w:p>
    <w:p w14:paraId="0C19C748" w14:textId="77777777" w:rsidR="007C7121" w:rsidRPr="007C7121" w:rsidRDefault="007C7121" w:rsidP="00020D20">
      <w:pPr>
        <w:jc w:val="both"/>
        <w:rPr>
          <w:rFonts w:cstheme="minorHAnsi"/>
        </w:rPr>
      </w:pPr>
      <w:r w:rsidRPr="007C7121">
        <w:rPr>
          <w:rFonts w:cstheme="minorHAnsi"/>
        </w:rPr>
        <w:t>The purpose of this step is to identify specific locations with congestion problems, identify the sources of the problems, and facilitate the development of remedial strategies in step 6. There are several issues that MPOs should take into account when analyzing data for the purpose of defining or locating congestion problems, including:</w:t>
      </w:r>
    </w:p>
    <w:p w14:paraId="53FEC004" w14:textId="77777777" w:rsidR="007C7121" w:rsidRPr="007C7121" w:rsidRDefault="007C7121" w:rsidP="00020D20">
      <w:pPr>
        <w:pStyle w:val="Body-Bullets"/>
        <w:jc w:val="both"/>
      </w:pPr>
      <w:r w:rsidRPr="007C7121">
        <w:t>locations of major trip generators;</w:t>
      </w:r>
    </w:p>
    <w:p w14:paraId="6F192F65" w14:textId="77777777" w:rsidR="007C7121" w:rsidRPr="007C7121" w:rsidRDefault="007C7121" w:rsidP="00020D20">
      <w:pPr>
        <w:pStyle w:val="Body-Bullets"/>
        <w:jc w:val="both"/>
      </w:pPr>
      <w:r w:rsidRPr="007C7121">
        <w:t>seasonal traffic variations;</w:t>
      </w:r>
    </w:p>
    <w:p w14:paraId="343C1CA5" w14:textId="77777777" w:rsidR="007C7121" w:rsidRPr="007C7121" w:rsidRDefault="007C7121" w:rsidP="00020D20">
      <w:pPr>
        <w:pStyle w:val="Body-Bullets"/>
        <w:jc w:val="both"/>
      </w:pPr>
      <w:r w:rsidRPr="007C7121">
        <w:t>time-of-day traffic variations; and</w:t>
      </w:r>
    </w:p>
    <w:p w14:paraId="0123AF9A" w14:textId="77777777" w:rsidR="007C7121" w:rsidRPr="007C7121" w:rsidRDefault="007C7121" w:rsidP="00020D20">
      <w:pPr>
        <w:pStyle w:val="Body-Bullets"/>
        <w:jc w:val="both"/>
      </w:pPr>
      <w:r w:rsidRPr="007C7121">
        <w:t>work (commute) vs. non-work trips.</w:t>
      </w:r>
    </w:p>
    <w:p w14:paraId="51144943" w14:textId="77777777" w:rsidR="007C7121" w:rsidRPr="007C7121" w:rsidRDefault="007C7121" w:rsidP="00020D20">
      <w:pPr>
        <w:jc w:val="both"/>
        <w:rPr>
          <w:rFonts w:cstheme="minorHAnsi"/>
        </w:rPr>
      </w:pPr>
      <w:r w:rsidRPr="007C7121">
        <w:rPr>
          <w:rFonts w:cstheme="minorHAnsi"/>
        </w:rPr>
        <w:t>This step should create three products:</w:t>
      </w:r>
    </w:p>
    <w:p w14:paraId="124B7087" w14:textId="77777777" w:rsidR="007C7121" w:rsidRPr="007C7121" w:rsidRDefault="007C7121" w:rsidP="00020D20">
      <w:pPr>
        <w:pStyle w:val="Body-Bullets"/>
        <w:jc w:val="both"/>
      </w:pPr>
      <w:r w:rsidRPr="007C7121">
        <w:t>an identification of the areas or corridors defined as congested based on the performance measures;</w:t>
      </w:r>
    </w:p>
    <w:p w14:paraId="73289A2C" w14:textId="77777777" w:rsidR="007C7121" w:rsidRPr="007C7121" w:rsidRDefault="007C7121" w:rsidP="00020D20">
      <w:pPr>
        <w:pStyle w:val="Body-Bullets"/>
        <w:jc w:val="both"/>
      </w:pPr>
      <w:r w:rsidRPr="007C7121">
        <w:t>A ranking of corridors throughout the region from most to least congested; and</w:t>
      </w:r>
    </w:p>
    <w:p w14:paraId="77AF6D7C" w14:textId="77777777" w:rsidR="007C7121" w:rsidRPr="007C7121" w:rsidRDefault="007C7121" w:rsidP="00020D20">
      <w:pPr>
        <w:pStyle w:val="Body-Bullets"/>
        <w:jc w:val="both"/>
      </w:pPr>
      <w:r w:rsidRPr="007C7121">
        <w:t>an analysis of how well the region is meeting its congestion management objectives.</w:t>
      </w:r>
    </w:p>
    <w:p w14:paraId="200836A5" w14:textId="77777777" w:rsidR="007C7121" w:rsidRPr="00954116" w:rsidRDefault="007C7121" w:rsidP="00020D20">
      <w:pPr>
        <w:jc w:val="both"/>
      </w:pPr>
      <w:bookmarkStart w:id="620" w:name="_Ref50043288"/>
      <w:r w:rsidRPr="002F6B87">
        <w:rPr>
          <w:rStyle w:val="SubHeading3Char"/>
        </w:rPr>
        <w:t>Step 6:</w:t>
      </w:r>
      <w:r w:rsidRPr="00394A74">
        <w:t xml:space="preserve"> Identify &amp; Assess CMP Strategies</w:t>
      </w:r>
      <w:bookmarkEnd w:id="620"/>
    </w:p>
    <w:p w14:paraId="76251082" w14:textId="77777777" w:rsidR="007C7121" w:rsidRPr="007C7121" w:rsidRDefault="007C7121" w:rsidP="00020D20">
      <w:pPr>
        <w:pStyle w:val="Body-Bullets"/>
        <w:jc w:val="both"/>
      </w:pPr>
      <w:r w:rsidRPr="007C7121">
        <w:t>The identification and assessment of appropriate congestion mitigation strategies is a key component of the CMP. There are several important considerations that facilitate the selection of strategies in step 7:</w:t>
      </w:r>
    </w:p>
    <w:p w14:paraId="06F750C1" w14:textId="77777777" w:rsidR="007C7121" w:rsidRPr="007C7121" w:rsidRDefault="007C7121" w:rsidP="00020D20">
      <w:pPr>
        <w:pStyle w:val="Body-Bullets"/>
        <w:jc w:val="both"/>
      </w:pPr>
      <w:r w:rsidRPr="007C7121">
        <w:t>the strategy’s contribution toward meeting regional congestion management objectives;</w:t>
      </w:r>
    </w:p>
    <w:p w14:paraId="58E1A399" w14:textId="77777777" w:rsidR="007C7121" w:rsidRPr="007C7121" w:rsidRDefault="007C7121" w:rsidP="00020D20">
      <w:pPr>
        <w:pStyle w:val="Body-Bullets"/>
        <w:jc w:val="both"/>
      </w:pPr>
      <w:r w:rsidRPr="007C7121">
        <w:t>local context;</w:t>
      </w:r>
    </w:p>
    <w:p w14:paraId="634E1A38" w14:textId="77777777" w:rsidR="007C7121" w:rsidRPr="007C7121" w:rsidRDefault="007C7121" w:rsidP="00020D20">
      <w:pPr>
        <w:pStyle w:val="Body-Bullets"/>
        <w:jc w:val="both"/>
      </w:pPr>
      <w:r w:rsidRPr="007C7121">
        <w:t>contribution to other goals and objectives; and</w:t>
      </w:r>
    </w:p>
    <w:p w14:paraId="4650B6ED" w14:textId="77777777" w:rsidR="007C7121" w:rsidRPr="007C7121" w:rsidRDefault="007C7121" w:rsidP="00020D20">
      <w:pPr>
        <w:pStyle w:val="Body-Bullets"/>
        <w:jc w:val="both"/>
      </w:pPr>
      <w:r w:rsidRPr="007C7121">
        <w:t>jurisdiction over CMP strategies.</w:t>
      </w:r>
    </w:p>
    <w:p w14:paraId="2DC1B2F1" w14:textId="77777777" w:rsidR="002F6B87" w:rsidRDefault="007C7121" w:rsidP="00020D20">
      <w:pPr>
        <w:jc w:val="both"/>
        <w:rPr>
          <w:rFonts w:cstheme="minorHAnsi"/>
        </w:rPr>
      </w:pPr>
      <w:r w:rsidRPr="007C7121">
        <w:rPr>
          <w:rFonts w:cstheme="minorHAnsi"/>
        </w:rPr>
        <w:t>Although the number of strategies is too numerous to mention here (see FHWA 2011a, 33–36), many are probably already part of the MTP and RTIP. There is considerable flexibility and strategies can be tailored to each region’s specific needs.</w:t>
      </w:r>
    </w:p>
    <w:p w14:paraId="28C185A0" w14:textId="7BAEE49F" w:rsidR="002D4F69" w:rsidRPr="00ED5BD4" w:rsidRDefault="001D35C4" w:rsidP="00020D20">
      <w:pPr>
        <w:jc w:val="both"/>
      </w:pPr>
      <w:bookmarkStart w:id="621" w:name="_Ref50043293"/>
      <w:r w:rsidRPr="00020D20">
        <w:rPr>
          <w:rStyle w:val="SubHeading3Char"/>
        </w:rPr>
        <w:t>Step7:</w:t>
      </w:r>
      <w:r>
        <w:t xml:space="preserve"> </w:t>
      </w:r>
      <w:r w:rsidR="002D4F69" w:rsidRPr="00020D20">
        <w:t>Program &amp; Implement CMP Strategies</w:t>
      </w:r>
    </w:p>
    <w:bookmarkEnd w:id="621"/>
    <w:p w14:paraId="52F696C4" w14:textId="427BA3A7" w:rsidR="007C7121" w:rsidRPr="007C7121" w:rsidRDefault="007C7121" w:rsidP="00020D20">
      <w:pPr>
        <w:jc w:val="both"/>
        <w:rPr>
          <w:rFonts w:cstheme="minorHAnsi"/>
        </w:rPr>
      </w:pPr>
      <w:r w:rsidRPr="007C7121">
        <w:rPr>
          <w:rFonts w:cstheme="minorHAnsi"/>
        </w:rPr>
        <w:t xml:space="preserve">Implementation of CMP strategies occurs at three levels: system/regional, corridor, and project. Regional-level implementation occurs through inclusion of strategies in the fiscally constrained MTP and TIP. At the corridor level, more specific detailed strategies, such as bicycle and pedestrian improvements and operational improvements, can be assessed in studies and implemented using several funding sources, including </w:t>
      </w:r>
      <w:hyperlink r:id="rId1023" w:history="1">
        <w:r w:rsidRPr="007A1665">
          <w:rPr>
            <w:rStyle w:val="TitleChar"/>
          </w:rPr>
          <w:t>Surface Transportation</w:t>
        </w:r>
        <w:r w:rsidR="007A1665" w:rsidRPr="007A1665">
          <w:rPr>
            <w:rStyle w:val="TitleChar"/>
          </w:rPr>
          <w:t xml:space="preserve"> Block Gr</w:t>
        </w:r>
        <w:r w:rsidR="00114BA9">
          <w:rPr>
            <w:rStyle w:val="TitleChar"/>
          </w:rPr>
          <w:t>ant</w:t>
        </w:r>
        <w:r w:rsidRPr="007A1665">
          <w:rPr>
            <w:rStyle w:val="TitleChar"/>
          </w:rPr>
          <w:t xml:space="preserve"> Program</w:t>
        </w:r>
      </w:hyperlink>
      <w:r w:rsidRPr="007C7121">
        <w:rPr>
          <w:rFonts w:cstheme="minorHAnsi"/>
        </w:rPr>
        <w:t xml:space="preserve"> (ST</w:t>
      </w:r>
      <w:r w:rsidR="007A1665">
        <w:rPr>
          <w:rFonts w:cstheme="minorHAnsi"/>
        </w:rPr>
        <w:t>BG</w:t>
      </w:r>
      <w:r w:rsidRPr="007C7121">
        <w:rPr>
          <w:rFonts w:cstheme="minorHAnsi"/>
        </w:rPr>
        <w:t xml:space="preserve">P), NHS, and CMAQ, as well as through state or local funding. For larger projects, particularly capacity-adding projects, demand management and operational strategies should also be analyzed for incorporation in the project as part of the project development process. </w:t>
      </w:r>
    </w:p>
    <w:p w14:paraId="5902C547" w14:textId="77777777" w:rsidR="007C7121" w:rsidRPr="00954116" w:rsidRDefault="007C7121" w:rsidP="00020D20">
      <w:pPr>
        <w:jc w:val="both"/>
      </w:pPr>
      <w:bookmarkStart w:id="622" w:name="_Ref50046564"/>
      <w:r w:rsidRPr="001D35C4">
        <w:rPr>
          <w:rStyle w:val="SubHeading3Char"/>
        </w:rPr>
        <w:t>Step 8:</w:t>
      </w:r>
      <w:r w:rsidRPr="00394A74">
        <w:t xml:space="preserve"> Monitor Strategy Effectiveness</w:t>
      </w:r>
      <w:bookmarkEnd w:id="622"/>
    </w:p>
    <w:p w14:paraId="44AC312B" w14:textId="77777777" w:rsidR="007C7121" w:rsidRPr="007C7121" w:rsidRDefault="007C7121" w:rsidP="00020D20">
      <w:pPr>
        <w:jc w:val="both"/>
        <w:rPr>
          <w:rFonts w:cstheme="minorHAnsi"/>
        </w:rPr>
      </w:pPr>
      <w:r w:rsidRPr="007C7121">
        <w:rPr>
          <w:rFonts w:cstheme="minorHAnsi"/>
        </w:rPr>
        <w:t>MPOs may choose to evaluate strategy effectiveness either as the final step of the CMP or as an ongoing activity. The lessons learned from evaluation should be used to inform the TIP and MTP as well as other steps within the CMP, especially the identification and assessment of strategies. Approaches may include before and after or with-and without- studies, or</w:t>
      </w:r>
      <w:r>
        <w:rPr>
          <w:rFonts w:cstheme="minorHAnsi"/>
        </w:rPr>
        <w:t xml:space="preserve"> </w:t>
      </w:r>
      <w:r w:rsidRPr="007C7121">
        <w:rPr>
          <w:rFonts w:cstheme="minorHAnsi"/>
        </w:rPr>
        <w:t>comparisons with control locations. In some cases, responsibility for these activities can be devolved to implementing agencies, such as local governments, that benefit from the strategy.</w:t>
      </w:r>
    </w:p>
    <w:p w14:paraId="1CE724E7" w14:textId="77777777" w:rsidR="007C7121" w:rsidRPr="007C7121" w:rsidRDefault="007C7121" w:rsidP="00020D20">
      <w:pPr>
        <w:pStyle w:val="Heading3"/>
        <w:jc w:val="both"/>
      </w:pPr>
      <w:bookmarkStart w:id="623" w:name="_Ref50042829"/>
      <w:r w:rsidRPr="007C7121">
        <w:t>17.2.3 | CMP within the Regional Transportation Planning Process</w:t>
      </w:r>
      <w:bookmarkEnd w:id="623"/>
    </w:p>
    <w:p w14:paraId="6A7F6312" w14:textId="77777777" w:rsidR="007C7121" w:rsidRPr="007C7121" w:rsidRDefault="007C7121" w:rsidP="00020D20">
      <w:pPr>
        <w:pStyle w:val="SubHeading3"/>
        <w:jc w:val="both"/>
      </w:pPr>
      <w:bookmarkStart w:id="624" w:name="_Ref50046849"/>
      <w:r w:rsidRPr="007C7121">
        <w:t>Relationship to the RTP</w:t>
      </w:r>
      <w:bookmarkEnd w:id="624"/>
    </w:p>
    <w:p w14:paraId="44C435C9" w14:textId="77777777" w:rsidR="00961614" w:rsidRDefault="007C7121" w:rsidP="00020D20">
      <w:pPr>
        <w:rPr>
          <w:rFonts w:cstheme="minorHAnsi"/>
        </w:rPr>
      </w:pPr>
      <w:r w:rsidRPr="007C7121">
        <w:rPr>
          <w:rFonts w:cstheme="minorHAnsi"/>
        </w:rPr>
        <w:t>The CMP fits under the RTP and in many cases can share information with the RTP update process. Like the RTP, the CMP requires a collaborative process among stakeholders, including MPO planners, ADOT staff, transit agencies, local governments, special districts, and the private sector.</w:t>
      </w:r>
    </w:p>
    <w:p w14:paraId="468AE790" w14:textId="1C42267F" w:rsidR="007C7121" w:rsidRPr="007C7121" w:rsidRDefault="007C203E">
      <w:pPr>
        <w:pStyle w:val="SubHeading3"/>
      </w:pPr>
      <w:r>
        <w:rPr>
          <w:rFonts w:cstheme="minorHAnsi"/>
        </w:rPr>
        <w:br w:type="column"/>
      </w:r>
      <w:bookmarkStart w:id="625" w:name="_Ref50046741"/>
      <w:r w:rsidR="007C7121" w:rsidRPr="007C7121">
        <w:t>Relationship to Air Quality Attainment/Nonattainment</w:t>
      </w:r>
      <w:bookmarkEnd w:id="625"/>
    </w:p>
    <w:p w14:paraId="59E26849" w14:textId="77777777" w:rsidR="007C7121" w:rsidRPr="007C7121" w:rsidRDefault="007C7121" w:rsidP="00020D20">
      <w:pPr>
        <w:jc w:val="both"/>
        <w:rPr>
          <w:rFonts w:cstheme="minorHAnsi"/>
        </w:rPr>
      </w:pPr>
      <w:r w:rsidRPr="007C7121">
        <w:rPr>
          <w:rFonts w:cstheme="minorHAnsi"/>
        </w:rPr>
        <w:t xml:space="preserve">In a TMA designated as a nonattainment area for ozone or CO pursuant to the CAA, there are two major requirements: </w:t>
      </w:r>
    </w:p>
    <w:p w14:paraId="5DC7A4B7" w14:textId="510EEFDE" w:rsidR="007C7121" w:rsidRPr="007C7121" w:rsidRDefault="007C7121" w:rsidP="00020D20">
      <w:pPr>
        <w:pStyle w:val="NumberedList"/>
        <w:numPr>
          <w:ilvl w:val="0"/>
          <w:numId w:val="318"/>
        </w:numPr>
        <w:jc w:val="both"/>
      </w:pPr>
      <w:r w:rsidRPr="007C7121">
        <w:t>Federal funds cannot be programmed for any project that will result in significant increases in the carrying capacity of single occupant vehicles (SOVs), except for safety improvements or the elimination of bottlenecks, unless the project is addressed through a process meeting the requirements of federal law (</w:t>
      </w:r>
      <w:hyperlink r:id="rId1024" w:history="1">
        <w:r w:rsidRPr="00020D20">
          <w:rPr>
            <w:rStyle w:val="TitleChar"/>
          </w:rPr>
          <w:t>23 U.S.C. § 450.320</w:t>
        </w:r>
      </w:hyperlink>
      <w:r w:rsidRPr="007C7121">
        <w:t>).</w:t>
      </w:r>
    </w:p>
    <w:p w14:paraId="4F06E569" w14:textId="2C8B5B8D" w:rsidR="007C7121" w:rsidRPr="007C7121" w:rsidRDefault="007C7121" w:rsidP="00020D20">
      <w:pPr>
        <w:pStyle w:val="NumberedList"/>
        <w:jc w:val="both"/>
      </w:pPr>
      <w:r w:rsidRPr="007C7121">
        <w:t>The CMP shall provide an appropriate analysis of reasonable (including multimodal) travel demand and reduction and operational management strategies for the corridor in which a project resulting in significant increase of capacity for SOVs is proposed to advance with federal funds. All identified reasonable travel demand reduction and operational management strategies shall be incorporated in the SOV project or committed to by the state and MPO for implementation. (</w:t>
      </w:r>
      <w:hyperlink r:id="rId1025" w:history="1">
        <w:r w:rsidRPr="00020D20">
          <w:rPr>
            <w:rStyle w:val="TitleChar"/>
          </w:rPr>
          <w:t>23 U.S.C. § 450.320</w:t>
        </w:r>
      </w:hyperlink>
      <w:r w:rsidRPr="007C7121">
        <w:t>).</w:t>
      </w:r>
    </w:p>
    <w:p w14:paraId="569BBA52" w14:textId="77777777" w:rsidR="007C7121" w:rsidRPr="007C7121" w:rsidRDefault="007C7121" w:rsidP="00020D20">
      <w:pPr>
        <w:pStyle w:val="SubHeading3"/>
        <w:jc w:val="both"/>
      </w:pPr>
      <w:bookmarkStart w:id="626" w:name="_Ref50046745"/>
      <w:r w:rsidRPr="007C7121">
        <w:t xml:space="preserve">Role of </w:t>
      </w:r>
      <w:r w:rsidRPr="001D35C4">
        <w:t>Demand</w:t>
      </w:r>
      <w:r w:rsidRPr="007C7121">
        <w:t xml:space="preserve"> Management, ITS/ Management, &amp; Operations Strategies</w:t>
      </w:r>
      <w:bookmarkEnd w:id="626"/>
    </w:p>
    <w:p w14:paraId="02B63E4C" w14:textId="77777777" w:rsidR="00961614" w:rsidRDefault="007C7121">
      <w:r w:rsidRPr="007C7121">
        <w:t>The CMP can play an important role in determining the effectiveness of demand management strategies by providing feedback as these strategies are deployed. Knowledge regarding current congestion problem areas can inform decisions about where ITS detection equipment (detector loops, closed-circuit television (CCTV), etc.) should be deployed. The ITS equipment, once installed, can provide ongoing information about the congestion in the region and provide some of the data required in the CMP process.</w:t>
      </w:r>
      <w:r>
        <w:t xml:space="preserve"> </w:t>
      </w:r>
    </w:p>
    <w:p w14:paraId="6D93ED35" w14:textId="30CB8E09" w:rsidR="007C7121" w:rsidRPr="007C7121" w:rsidRDefault="0014412A" w:rsidP="00020D20">
      <w:pPr>
        <w:pStyle w:val="SubHeading3"/>
      </w:pPr>
      <w:r>
        <w:br w:type="column"/>
      </w:r>
      <w:bookmarkStart w:id="627" w:name="_Ref50046878"/>
      <w:r w:rsidR="007C7121" w:rsidRPr="007C7121">
        <w:t>Linkage to NEPA &amp; the Project Development Process</w:t>
      </w:r>
      <w:bookmarkEnd w:id="627"/>
    </w:p>
    <w:p w14:paraId="5F000C41" w14:textId="013FAD9F" w:rsidR="007C7121" w:rsidRDefault="00B53F39" w:rsidP="00020D20">
      <w:pPr>
        <w:jc w:val="both"/>
        <w:rPr>
          <w:rFonts w:cstheme="minorHAnsi"/>
        </w:rPr>
      </w:pPr>
      <w:r>
        <w:rPr>
          <w:rFonts w:cstheme="minorHAnsi"/>
          <w:noProof/>
        </w:rPr>
        <mc:AlternateContent>
          <mc:Choice Requires="wps">
            <w:drawing>
              <wp:anchor distT="0" distB="0" distL="114300" distR="114300" simplePos="0" relativeHeight="251618399" behindDoc="1" locked="0" layoutInCell="1" allowOverlap="1" wp14:anchorId="022003B8" wp14:editId="098928F3">
                <wp:simplePos x="0" y="0"/>
                <wp:positionH relativeFrom="column">
                  <wp:posOffset>1371600</wp:posOffset>
                </wp:positionH>
                <wp:positionV relativeFrom="paragraph">
                  <wp:posOffset>522605</wp:posOffset>
                </wp:positionV>
                <wp:extent cx="1371600" cy="1362075"/>
                <wp:effectExtent l="95250" t="95250" r="95250" b="104775"/>
                <wp:wrapTight wrapText="bothSides">
                  <wp:wrapPolygon edited="0">
                    <wp:start x="-900" y="-1510"/>
                    <wp:lineTo x="-1500" y="-906"/>
                    <wp:lineTo x="-1200" y="22959"/>
                    <wp:lineTo x="22500" y="22959"/>
                    <wp:lineTo x="22800" y="3927"/>
                    <wp:lineTo x="22200" y="-604"/>
                    <wp:lineTo x="22200" y="-1510"/>
                    <wp:lineTo x="-900" y="-1510"/>
                  </wp:wrapPolygon>
                </wp:wrapTight>
                <wp:docPr id="816286253" name="Text Box 816286253"/>
                <wp:cNvGraphicFramePr/>
                <a:graphic xmlns:a="http://schemas.openxmlformats.org/drawingml/2006/main">
                  <a:graphicData uri="http://schemas.microsoft.com/office/word/2010/wordprocessingShape">
                    <wps:wsp>
                      <wps:cNvSpPr txBox="1"/>
                      <wps:spPr>
                        <a:xfrm>
                          <a:off x="0" y="0"/>
                          <a:ext cx="1371600" cy="13620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A3AEC9F" w14:textId="77777777" w:rsidR="00C6444C" w:rsidRDefault="00C6444C" w:rsidP="00020D20">
                            <w:pPr>
                              <w:jc w:val="center"/>
                            </w:pPr>
                            <w:r>
                              <w:rPr>
                                <w:noProof/>
                              </w:rPr>
                              <w:drawing>
                                <wp:inline distT="0" distB="0" distL="0" distR="0" wp14:anchorId="3690CA9D" wp14:editId="6BB9BCBA">
                                  <wp:extent cx="457200" cy="457200"/>
                                  <wp:effectExtent l="0" t="0" r="0" b="0"/>
                                  <wp:docPr id="1690912960" name="Picture 169091296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78C10C" w14:textId="2E220C9F" w:rsidR="00C6444C" w:rsidRPr="00954116" w:rsidRDefault="00C6444C" w:rsidP="00020D20">
                            <w:pPr>
                              <w:pStyle w:val="Calloutboxes"/>
                            </w:pPr>
                            <w:r w:rsidRPr="00394A74">
                              <w:t>The FHWA provides more information online at:</w:t>
                            </w:r>
                          </w:p>
                          <w:p w14:paraId="0EE98AEE" w14:textId="555F6406" w:rsidR="00C6444C" w:rsidRPr="00020D20" w:rsidRDefault="00202C92" w:rsidP="00020D20">
                            <w:pPr>
                              <w:pStyle w:val="BalloonText"/>
                              <w:spacing w:before="0" w:after="0"/>
                              <w:jc w:val="center"/>
                              <w:rPr>
                                <w:rStyle w:val="SubtleReference"/>
                                <w:rFonts w:cstheme="minorHAnsi"/>
                              </w:rPr>
                            </w:pPr>
                            <w:hyperlink r:id="rId1026" w:history="1">
                              <w:r w:rsidR="00C6444C" w:rsidRPr="00020D20">
                                <w:rPr>
                                  <w:rFonts w:asciiTheme="minorHAnsi" w:hAnsiTheme="minorHAnsi" w:cstheme="minorHAnsi"/>
                                  <w:color w:val="CE5B18"/>
                                  <w:sz w:val="16"/>
                                  <w:szCs w:val="16"/>
                                </w:rPr>
                                <w:t>https://www.environment.fhwa.dot.gov/nepa/nepa_projDev.aspx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2003B8" id="Text Box 816286253" o:spid="_x0000_s1263" type="#_x0000_t202" style="position:absolute;left:0;text-align:left;margin-left:108pt;margin-top:41.15pt;width:108pt;height:107.25pt;z-index:-251698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" fillcolor="#f7f7f7" stroked="f" strokeweight=".5pt">
                <v:shadow on="t" type="perspective" color="black" opacity="26214f" offset="0,0" matrix="66847f,,,66847f"/>
                <v:textbox>
                  <w:txbxContent>
                    <w:p w14:paraId="6A3AEC9F" w14:textId="77777777" w:rsidR="00C6444C" w:rsidRDefault="00C6444C" w:rsidP="00020D20">
                      <w:pPr>
                        <w:jc w:val="center"/>
                      </w:pPr>
                      <w:r>
                        <w:rPr>
                          <w:noProof/>
                        </w:rPr>
                        <w:drawing>
                          <wp:inline distT="0" distB="0" distL="0" distR="0" wp14:anchorId="3690CA9D" wp14:editId="6BB9BCBA">
                            <wp:extent cx="457200" cy="457200"/>
                            <wp:effectExtent l="0" t="0" r="0" b="0"/>
                            <wp:docPr id="1690912960" name="Picture 169091296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78C10C" w14:textId="2E220C9F" w:rsidR="00C6444C" w:rsidRPr="00954116" w:rsidRDefault="00C6444C" w:rsidP="00020D20">
                      <w:pPr>
                        <w:pStyle w:val="Calloutboxes"/>
                      </w:pPr>
                      <w:r w:rsidRPr="00394A74">
                        <w:t>The FHWA provides more information online at:</w:t>
                      </w:r>
                    </w:p>
                    <w:p w14:paraId="0EE98AEE" w14:textId="555F6406" w:rsidR="00C6444C" w:rsidRPr="00020D20" w:rsidRDefault="00C6444C" w:rsidP="00020D20">
                      <w:pPr>
                        <w:pStyle w:val="BalloonText"/>
                        <w:spacing w:before="0" w:after="0"/>
                        <w:jc w:val="center"/>
                        <w:rPr>
                          <w:rStyle w:val="SubtleReference"/>
                          <w:rFonts w:cstheme="minorHAnsi"/>
                        </w:rPr>
                      </w:pPr>
                      <w:hyperlink r:id="rId1027" w:history="1">
                        <w:r w:rsidRPr="00020D20">
                          <w:rPr>
                            <w:rFonts w:asciiTheme="minorHAnsi" w:hAnsiTheme="minorHAnsi" w:cstheme="minorHAnsi"/>
                            <w:color w:val="CE5B18"/>
                            <w:sz w:val="16"/>
                            <w:szCs w:val="16"/>
                          </w:rPr>
                          <w:t>https://www.environment.fhwa.dot.gov/nepa/nepa_projDev.aspx</w:t>
                        </w:r>
                      </w:hyperlink>
                    </w:p>
                  </w:txbxContent>
                </v:textbox>
                <w10:wrap type="tight"/>
              </v:shape>
            </w:pict>
          </mc:Fallback>
        </mc:AlternateContent>
      </w:r>
      <w:r w:rsidR="007C7121" w:rsidRPr="007C7121">
        <w:rPr>
          <w:rFonts w:cstheme="minorHAnsi"/>
        </w:rPr>
        <w:t xml:space="preserve">As part of the efforts to streamline and simplify the NEPA process, the CMP offers opportunities to link planning and NEPA. A CMP that is structured to focus on data, analysis, and performance measures supports the linkage between an environmental review and the CMP. </w:t>
      </w:r>
    </w:p>
    <w:p w14:paraId="1FE2F926" w14:textId="77777777" w:rsidR="007C7121" w:rsidRPr="00C764C2" w:rsidRDefault="007C7121" w:rsidP="00020D20">
      <w:pPr>
        <w:jc w:val="both"/>
        <w:rPr>
          <w:rFonts w:cstheme="minorHAnsi"/>
        </w:rPr>
      </w:pPr>
      <w:r w:rsidRPr="00C764C2">
        <w:rPr>
          <w:rFonts w:cstheme="minorHAnsi"/>
        </w:rPr>
        <w:t>Some ways the CMP can inform and reduce efforts in the NEPA process include:</w:t>
      </w:r>
    </w:p>
    <w:p w14:paraId="617CF0FB" w14:textId="77777777" w:rsidR="007C7121" w:rsidRPr="007C7121" w:rsidRDefault="007C7121" w:rsidP="00020D20">
      <w:pPr>
        <w:pStyle w:val="Body-Bullets"/>
        <w:jc w:val="both"/>
      </w:pPr>
      <w:r w:rsidRPr="007C7121">
        <w:t>documenting the purpose and need for capacity enhancement;</w:t>
      </w:r>
    </w:p>
    <w:p w14:paraId="1135C6A5" w14:textId="17C0531E" w:rsidR="007C7121" w:rsidRPr="007C7121" w:rsidRDefault="007C7121" w:rsidP="00020D20">
      <w:pPr>
        <w:pStyle w:val="Body-Bullets"/>
        <w:jc w:val="both"/>
      </w:pPr>
      <w:r w:rsidRPr="007C7121">
        <w:t>developing project alternatives to be studied in NEPA;</w:t>
      </w:r>
    </w:p>
    <w:p w14:paraId="57126C46" w14:textId="3B307276" w:rsidR="007C7121" w:rsidRPr="007C7121" w:rsidRDefault="007C7121" w:rsidP="00020D20">
      <w:pPr>
        <w:pStyle w:val="Body-Bullets"/>
        <w:jc w:val="both"/>
      </w:pPr>
      <w:r w:rsidRPr="007C7121">
        <w:t>collecting and analyzing before and after data; and</w:t>
      </w:r>
    </w:p>
    <w:p w14:paraId="78D0AC71" w14:textId="2CA76007" w:rsidR="007C7121" w:rsidRPr="007C7121" w:rsidRDefault="007C7121" w:rsidP="00020D20">
      <w:pPr>
        <w:pStyle w:val="Body-Bullets"/>
        <w:jc w:val="both"/>
      </w:pPr>
      <w:r w:rsidRPr="007C7121">
        <w:t xml:space="preserve">providing part of the existing conditions documentation for the NEPA project. </w:t>
      </w:r>
    </w:p>
    <w:p w14:paraId="78746448" w14:textId="77777777" w:rsidR="007C7121" w:rsidRPr="007C7121" w:rsidRDefault="007C7121" w:rsidP="00020D20">
      <w:pPr>
        <w:pStyle w:val="Heading3"/>
        <w:jc w:val="both"/>
      </w:pPr>
      <w:bookmarkStart w:id="628" w:name="_Ref50042834"/>
      <w:r w:rsidRPr="007C7121">
        <w:t>17.2.4 | Documentation of the CMP</w:t>
      </w:r>
      <w:bookmarkEnd w:id="628"/>
    </w:p>
    <w:p w14:paraId="6662B33C" w14:textId="182112D6" w:rsidR="007C7121" w:rsidRPr="007C7121" w:rsidRDefault="00197078" w:rsidP="00020D20">
      <w:pPr>
        <w:jc w:val="both"/>
        <w:rPr>
          <w:rFonts w:cstheme="minorHAnsi"/>
          <w:b/>
        </w:rPr>
      </w:pPr>
      <w:r>
        <w:rPr>
          <w:rFonts w:cstheme="minorHAnsi"/>
          <w:noProof/>
        </w:rPr>
        <mc:AlternateContent>
          <mc:Choice Requires="wps">
            <w:drawing>
              <wp:anchor distT="0" distB="0" distL="114300" distR="114300" simplePos="0" relativeHeight="251618400" behindDoc="1" locked="0" layoutInCell="1" allowOverlap="1" wp14:anchorId="01F82459" wp14:editId="6DF49FFB">
                <wp:simplePos x="0" y="0"/>
                <wp:positionH relativeFrom="column">
                  <wp:posOffset>1374140</wp:posOffset>
                </wp:positionH>
                <wp:positionV relativeFrom="paragraph">
                  <wp:posOffset>107861</wp:posOffset>
                </wp:positionV>
                <wp:extent cx="1371600" cy="1370965"/>
                <wp:effectExtent l="95250" t="95250" r="95250" b="95885"/>
                <wp:wrapTight wrapText="bothSides">
                  <wp:wrapPolygon edited="0">
                    <wp:start x="-900" y="-1501"/>
                    <wp:lineTo x="-1500" y="-900"/>
                    <wp:lineTo x="-1200" y="22811"/>
                    <wp:lineTo x="22500" y="22811"/>
                    <wp:lineTo x="22800" y="3902"/>
                    <wp:lineTo x="22200" y="-600"/>
                    <wp:lineTo x="22200" y="-1501"/>
                    <wp:lineTo x="-900" y="-1501"/>
                  </wp:wrapPolygon>
                </wp:wrapTight>
                <wp:docPr id="816286255" name="Text Box 816286255"/>
                <wp:cNvGraphicFramePr/>
                <a:graphic xmlns:a="http://schemas.openxmlformats.org/drawingml/2006/main">
                  <a:graphicData uri="http://schemas.microsoft.com/office/word/2010/wordprocessingShape">
                    <wps:wsp>
                      <wps:cNvSpPr txBox="1"/>
                      <wps:spPr>
                        <a:xfrm>
                          <a:off x="0" y="0"/>
                          <a:ext cx="1371600" cy="137096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6F6066D" w14:textId="77777777" w:rsidR="00C6444C" w:rsidRDefault="00C6444C" w:rsidP="00020D20">
                            <w:pPr>
                              <w:jc w:val="center"/>
                            </w:pPr>
                            <w:r>
                              <w:rPr>
                                <w:noProof/>
                              </w:rPr>
                              <w:drawing>
                                <wp:inline distT="0" distB="0" distL="0" distR="0" wp14:anchorId="42596DAA" wp14:editId="7BD0E9AC">
                                  <wp:extent cx="457200" cy="457200"/>
                                  <wp:effectExtent l="0" t="0" r="0" b="0"/>
                                  <wp:docPr id="1690912961" name="Picture 169091296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1A8910E" w14:textId="1D738761" w:rsidR="00C6444C" w:rsidRPr="00020D20" w:rsidRDefault="00C6444C">
                            <w:pPr>
                              <w:pStyle w:val="Calloutboxes"/>
                              <w:rPr>
                                <w:rStyle w:val="SubtleReference"/>
                              </w:rPr>
                            </w:pPr>
                            <w:r w:rsidRPr="001B4F45">
                              <w:t xml:space="preserve">Useful visualization and communication tools can be found in FHWA’s </w:t>
                            </w:r>
                            <w:hyperlink r:id="rId1028" w:history="1">
                              <w:r w:rsidRPr="00020D20">
                                <w:rPr>
                                  <w:rStyle w:val="TitleChar"/>
                                  <w:sz w:val="16"/>
                                  <w:szCs w:val="16"/>
                                </w:rPr>
                                <w:t>Congestion Management Process: A Guidebook</w:t>
                              </w:r>
                            </w:hyperlink>
                            <w:r w:rsidRPr="001B4F45">
                              <w:t xml:space="preserve"> (2011a, 50–61).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F82459" id="Text Box 816286255" o:spid="_x0000_s1264" type="#_x0000_t202" style="position:absolute;left:0;text-align:left;margin-left:108.2pt;margin-top:8.5pt;width:108pt;height:107.95pt;z-index:-2516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" fillcolor="#f7f7f7" stroked="f" strokeweight=".5pt">
                <v:shadow on="t" type="perspective" color="black" opacity="26214f" offset="0,0" matrix="66847f,,,66847f"/>
                <v:textbox>
                  <w:txbxContent>
                    <w:p w14:paraId="56F6066D" w14:textId="77777777" w:rsidR="00C6444C" w:rsidRDefault="00C6444C" w:rsidP="00020D20">
                      <w:pPr>
                        <w:jc w:val="center"/>
                      </w:pPr>
                      <w:r>
                        <w:rPr>
                          <w:noProof/>
                        </w:rPr>
                        <w:drawing>
                          <wp:inline distT="0" distB="0" distL="0" distR="0" wp14:anchorId="42596DAA" wp14:editId="7BD0E9AC">
                            <wp:extent cx="457200" cy="457200"/>
                            <wp:effectExtent l="0" t="0" r="0" b="0"/>
                            <wp:docPr id="1690912961" name="Picture 169091296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1A8910E" w14:textId="1D738761" w:rsidR="00C6444C" w:rsidRPr="00020D20" w:rsidRDefault="00C6444C">
                      <w:pPr>
                        <w:pStyle w:val="Calloutboxes"/>
                        <w:rPr>
                          <w:rStyle w:val="SubtleReference"/>
                        </w:rPr>
                      </w:pPr>
                      <w:r w:rsidRPr="001B4F45">
                        <w:t xml:space="preserve">Useful visualization and communication tools can be found in FHWA’s </w:t>
                      </w:r>
                      <w:hyperlink r:id="rId1029" w:history="1">
                        <w:r w:rsidRPr="00020D20">
                          <w:rPr>
                            <w:rStyle w:val="TitleChar"/>
                            <w:sz w:val="16"/>
                            <w:szCs w:val="16"/>
                          </w:rPr>
                          <w:t>Congestion Management Process: A Guidebook</w:t>
                        </w:r>
                      </w:hyperlink>
                      <w:r w:rsidRPr="001B4F45">
                        <w:t xml:space="preserve"> (2011a, 50–61).</w:t>
                      </w:r>
                    </w:p>
                  </w:txbxContent>
                </v:textbox>
                <w10:wrap type="tight"/>
              </v:shape>
            </w:pict>
          </mc:Fallback>
        </mc:AlternateContent>
      </w:r>
      <w:r w:rsidR="007C7121" w:rsidRPr="007C7121">
        <w:rPr>
          <w:rFonts w:cstheme="minorHAnsi"/>
        </w:rPr>
        <w:t>Documenting the results of the CMP provides</w:t>
      </w:r>
      <w:r w:rsidR="007C7121">
        <w:rPr>
          <w:rFonts w:cstheme="minorHAnsi"/>
        </w:rPr>
        <w:t xml:space="preserve"> </w:t>
      </w:r>
      <w:r w:rsidR="007C7121" w:rsidRPr="007C7121">
        <w:rPr>
          <w:rFonts w:cstheme="minorHAnsi"/>
        </w:rPr>
        <w:t>important information to stakeholders, including the public. The CMP can be incorporated directly into the MTP, usually in a summary format. CMP information, including data, can be placed on the MPO’s website. Some MPOs produce annual or periodic reports with maps and charts for the public and decision makers. Others have developed detailed technical reports and guidebooks on congestion management for use in the MPO and with partnering agencies.</w:t>
      </w:r>
    </w:p>
    <w:bookmarkStart w:id="629" w:name="_Ref50042838"/>
    <w:p w14:paraId="7382FEDA" w14:textId="1A87DE0D" w:rsidR="007C7121" w:rsidRPr="007C7121" w:rsidRDefault="00341969" w:rsidP="00020D20">
      <w:pPr>
        <w:pStyle w:val="Heading3"/>
        <w:jc w:val="both"/>
      </w:pPr>
      <w:r>
        <w:rPr>
          <w:rFonts w:cstheme="minorHAnsi"/>
          <w:noProof/>
        </w:rPr>
        <mc:AlternateContent>
          <mc:Choice Requires="wps">
            <w:drawing>
              <wp:anchor distT="0" distB="0" distL="114300" distR="114300" simplePos="0" relativeHeight="251618401" behindDoc="1" locked="0" layoutInCell="1" allowOverlap="1" wp14:anchorId="12A9FC0C" wp14:editId="5CAA58BE">
                <wp:simplePos x="0" y="0"/>
                <wp:positionH relativeFrom="column">
                  <wp:posOffset>3155315</wp:posOffset>
                </wp:positionH>
                <wp:positionV relativeFrom="paragraph">
                  <wp:posOffset>95250</wp:posOffset>
                </wp:positionV>
                <wp:extent cx="1485900" cy="1485900"/>
                <wp:effectExtent l="76200" t="95250" r="76200" b="95250"/>
                <wp:wrapTight wrapText="bothSides">
                  <wp:wrapPolygon edited="0">
                    <wp:start x="-1108" y="-1385"/>
                    <wp:lineTo x="-1108" y="22708"/>
                    <wp:lineTo x="22431" y="22708"/>
                    <wp:lineTo x="22431" y="-1385"/>
                    <wp:lineTo x="-1108" y="-1385"/>
                  </wp:wrapPolygon>
                </wp:wrapTight>
                <wp:docPr id="816286257" name="Text Box 816286257"/>
                <wp:cNvGraphicFramePr/>
                <a:graphic xmlns:a="http://schemas.openxmlformats.org/drawingml/2006/main">
                  <a:graphicData uri="http://schemas.microsoft.com/office/word/2010/wordprocessingShape">
                    <wps:wsp>
                      <wps:cNvSpPr txBox="1"/>
                      <wps:spPr>
                        <a:xfrm>
                          <a:off x="0" y="0"/>
                          <a:ext cx="148590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3B21DED" w14:textId="77777777" w:rsidR="00C6444C" w:rsidRDefault="00C6444C" w:rsidP="00020D20">
                            <w:pPr>
                              <w:jc w:val="center"/>
                            </w:pPr>
                            <w:r>
                              <w:rPr>
                                <w:noProof/>
                              </w:rPr>
                              <w:drawing>
                                <wp:inline distT="0" distB="0" distL="0" distR="0" wp14:anchorId="2EEB3CA1" wp14:editId="1181C163">
                                  <wp:extent cx="457200" cy="457200"/>
                                  <wp:effectExtent l="0" t="0" r="0" b="0"/>
                                  <wp:docPr id="1690912962" name="Picture 169091296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0F52C53" w14:textId="4A254A8D" w:rsidR="00C6444C" w:rsidRPr="005A6734" w:rsidRDefault="00C6444C" w:rsidP="00020D20">
                            <w:pPr>
                              <w:pStyle w:val="Calloutboxes"/>
                            </w:pPr>
                            <w:r w:rsidRPr="00394A74">
                              <w:t xml:space="preserve">A full copy of SAFETEALU, in PDF format, </w:t>
                            </w:r>
                            <w:r w:rsidRPr="00954116">
                              <w:t>can be downloaded at:</w:t>
                            </w:r>
                          </w:p>
                          <w:p w14:paraId="07AEF427" w14:textId="5DE8F2F2" w:rsidR="00C6444C" w:rsidRPr="00020D20" w:rsidRDefault="00202C92">
                            <w:pPr>
                              <w:pStyle w:val="Title"/>
                              <w:rPr>
                                <w:rStyle w:val="SubtleReference"/>
                                <w:smallCaps w:val="0"/>
                                <w:color w:val="CE5B18"/>
                              </w:rPr>
                            </w:pPr>
                            <w:hyperlink r:id="rId1030" w:history="1">
                              <w:r w:rsidR="00C6444C" w:rsidRPr="00020D20">
                                <w:rPr>
                                  <w:rStyle w:val="Hyperlink"/>
                                  <w:rFonts w:ascii="Calibri" w:hAnsi="Calibri" w:cstheme="majorBidi"/>
                                  <w:i/>
                                  <w:iCs w:val="0"/>
                                  <w:color w:val="CE5B18"/>
                                  <w:szCs w:val="56"/>
                                  <w:u w:val="none"/>
                                </w:rPr>
                                <w:t>https://www.govinfo.gov/content/pkg/PLAW-109publ59/pdf/PLAW-109publ59.pdf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A9FC0C" id="Text Box 816286257" o:spid="_x0000_s1265" type="#_x0000_t202" style="position:absolute;left:0;text-align:left;margin-left:248.45pt;margin-top:7.5pt;width:117pt;height:117pt;z-index:-251698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" fillcolor="#f7f7f7" stroked="f" strokeweight=".5pt">
                <v:shadow on="t" type="perspective" color="black" opacity="26214f" offset="0,0" matrix="66847f,,,66847f"/>
                <v:textbox>
                  <w:txbxContent>
                    <w:p w14:paraId="33B21DED" w14:textId="77777777" w:rsidR="00C6444C" w:rsidRDefault="00C6444C" w:rsidP="00020D20">
                      <w:pPr>
                        <w:jc w:val="center"/>
                      </w:pPr>
                      <w:r>
                        <w:rPr>
                          <w:noProof/>
                        </w:rPr>
                        <w:drawing>
                          <wp:inline distT="0" distB="0" distL="0" distR="0" wp14:anchorId="2EEB3CA1" wp14:editId="1181C163">
                            <wp:extent cx="457200" cy="457200"/>
                            <wp:effectExtent l="0" t="0" r="0" b="0"/>
                            <wp:docPr id="1690912962" name="Picture 169091296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0F52C53" w14:textId="4A254A8D" w:rsidR="00C6444C" w:rsidRPr="005A6734" w:rsidRDefault="00C6444C" w:rsidP="00020D20">
                      <w:pPr>
                        <w:pStyle w:val="Calloutboxes"/>
                      </w:pPr>
                      <w:r w:rsidRPr="00394A74">
                        <w:t xml:space="preserve">A full copy of SAFETEALU, in PDF format, </w:t>
                      </w:r>
                      <w:r w:rsidRPr="00954116">
                        <w:t>can be downloaded at:</w:t>
                      </w:r>
                    </w:p>
                    <w:p w14:paraId="07AEF427" w14:textId="5DE8F2F2" w:rsidR="00C6444C" w:rsidRPr="00020D20" w:rsidRDefault="00C6444C">
                      <w:pPr>
                        <w:pStyle w:val="Title"/>
                        <w:rPr>
                          <w:rStyle w:val="SubtleReference"/>
                          <w:smallCaps w:val="0"/>
                          <w:color w:val="CE5B18"/>
                        </w:rPr>
                      </w:pPr>
                      <w:hyperlink r:id="rId1031" w:history="1">
                        <w:r w:rsidRPr="00020D20">
                          <w:rPr>
                            <w:rStyle w:val="Hyperlink"/>
                            <w:rFonts w:ascii="Calibri" w:hAnsi="Calibri" w:cstheme="majorBidi"/>
                            <w:i/>
                            <w:iCs w:val="0"/>
                            <w:color w:val="CE5B18"/>
                            <w:szCs w:val="56"/>
                            <w:u w:val="none"/>
                          </w:rPr>
                          <w:t>https://www.govinfo.gov/content/pkg/PLAW-109publ59/pdf/PLAW-109publ59.pdf</w:t>
                        </w:r>
                      </w:hyperlink>
                    </w:p>
                  </w:txbxContent>
                </v:textbox>
                <w10:wrap type="tight"/>
              </v:shape>
            </w:pict>
          </mc:Fallback>
        </mc:AlternateContent>
      </w:r>
      <w:r w:rsidR="007C7121" w:rsidRPr="007C7121">
        <w:t>17.2.5 | Legislative Language</w:t>
      </w:r>
      <w:bookmarkEnd w:id="629"/>
    </w:p>
    <w:p w14:paraId="1B5AEB4B" w14:textId="335CDE63" w:rsidR="00946AAB" w:rsidRDefault="007C7121" w:rsidP="00020D20">
      <w:pPr>
        <w:jc w:val="both"/>
        <w:rPr>
          <w:rFonts w:cstheme="minorHAnsi"/>
        </w:rPr>
      </w:pPr>
      <w:r w:rsidRPr="007C7121">
        <w:rPr>
          <w:rFonts w:cstheme="minorHAnsi"/>
        </w:rPr>
        <w:t xml:space="preserve">Although </w:t>
      </w:r>
      <w:r w:rsidR="00B77660">
        <w:rPr>
          <w:rFonts w:cstheme="minorHAnsi"/>
        </w:rPr>
        <w:t>the FAST Act</w:t>
      </w:r>
      <w:r w:rsidRPr="007C7121">
        <w:rPr>
          <w:rFonts w:cstheme="minorHAnsi"/>
        </w:rPr>
        <w:t xml:space="preserve"> is the most recent federal surface transportation act,  </w:t>
      </w:r>
      <w:r w:rsidR="00B77660">
        <w:rPr>
          <w:rFonts w:cstheme="minorHAnsi"/>
        </w:rPr>
        <w:t xml:space="preserve">a </w:t>
      </w:r>
      <w:r w:rsidRPr="007C7121">
        <w:rPr>
          <w:rFonts w:cstheme="minorHAnsi"/>
        </w:rPr>
        <w:t>prior act, known as SAFETEA-LU, still contains current language regarding federal congestion management requirements. Title III Section 3005 and Title VI Section 600 mandate the incorporation of a CMP within the metropolitan planning process.</w:t>
      </w:r>
    </w:p>
    <w:p w14:paraId="717B047F" w14:textId="77777777" w:rsidR="00FF51A4" w:rsidRDefault="00FF51A4" w:rsidP="00020D20">
      <w:pPr>
        <w:jc w:val="both"/>
        <w:rPr>
          <w:rFonts w:cstheme="minorHAnsi"/>
        </w:rPr>
        <w:sectPr w:rsidR="00FF51A4" w:rsidSect="00020D20">
          <w:type w:val="continuous"/>
          <w:pgSz w:w="12240" w:h="15840"/>
          <w:pgMar w:top="1440" w:right="1440" w:bottom="1440" w:left="1440" w:header="720" w:footer="720" w:gutter="0"/>
          <w:pgNumType w:chapStyle="1"/>
          <w:cols w:num="2" w:space="720"/>
          <w:docGrid w:linePitch="360"/>
        </w:sectPr>
      </w:pPr>
    </w:p>
    <w:p w14:paraId="59E547ED" w14:textId="4A0A664D" w:rsidR="00FF51A4" w:rsidRDefault="00FF51A4" w:rsidP="00020D20">
      <w:pPr>
        <w:jc w:val="both"/>
        <w:rPr>
          <w:rFonts w:cstheme="minorHAnsi"/>
        </w:rPr>
        <w:sectPr w:rsidR="00FF51A4" w:rsidSect="008E695B">
          <w:type w:val="continuous"/>
          <w:pgSz w:w="12240" w:h="15840"/>
          <w:pgMar w:top="1440" w:right="1440" w:bottom="1440" w:left="1440" w:header="720" w:footer="720" w:gutter="0"/>
          <w:cols w:space="720"/>
          <w:docGrid w:linePitch="360"/>
        </w:sectPr>
      </w:pPr>
    </w:p>
    <w:p w14:paraId="636243FD" w14:textId="72AF3DC1" w:rsidR="003C2DDF" w:rsidRDefault="004C6C24" w:rsidP="00020D20">
      <w:pPr>
        <w:pStyle w:val="BodyTextTitle"/>
        <w:spacing w:before="0" w:after="0" w:line="240" w:lineRule="auto"/>
        <w:jc w:val="both"/>
      </w:pPr>
      <w:bookmarkStart w:id="630" w:name="_Ref50047282"/>
      <w:bookmarkStart w:id="631" w:name="_Toc49862247"/>
      <w:r>
        <w:t>17.3</w:t>
      </w:r>
      <w:r w:rsidR="003C2DDF">
        <w:t xml:space="preserve"> </w:t>
      </w:r>
      <w:r>
        <w:t>| TRANSPORTATION DATA &amp; FUNCTIONAL CLASS</w:t>
      </w:r>
    </w:p>
    <w:p w14:paraId="6A5F5B53" w14:textId="567909CF" w:rsidR="004C6C24" w:rsidRPr="00020D20" w:rsidRDefault="004C6C24" w:rsidP="00020D20">
      <w:pPr>
        <w:pStyle w:val="BodyTextTitle"/>
        <w:spacing w:before="0" w:line="240" w:lineRule="auto"/>
        <w:jc w:val="both"/>
        <w:rPr>
          <w:sz w:val="36"/>
        </w:rPr>
      </w:pPr>
      <w:r w:rsidRPr="00020D20">
        <w:rPr>
          <w:sz w:val="36"/>
        </w:rPr>
        <w:t>TABLE OF CONTENTS</w:t>
      </w:r>
      <w:bookmarkEnd w:id="630"/>
    </w:p>
    <w:p w14:paraId="14C3D56C" w14:textId="4D7D34EA" w:rsidR="004C6C24" w:rsidRDefault="00426B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_Ref50047302 \h </w:instrText>
      </w:r>
      <w:r w:rsidR="002D38FC">
        <w:instrText xml:space="preserve"> \* MERGEFORMAT </w:instrText>
      </w:r>
      <w:r>
        <w:fldChar w:fldCharType="separate"/>
      </w:r>
      <w:r w:rsidRPr="000D4F9E">
        <w:t>17.3.1 | Purpose</w:t>
      </w:r>
      <w:r>
        <w:fldChar w:fldCharType="end"/>
      </w:r>
    </w:p>
    <w:p w14:paraId="7E5CB913" w14:textId="5763E540" w:rsidR="00426BFA" w:rsidRDefault="00426B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_Ref50047309 \h </w:instrText>
      </w:r>
      <w:r w:rsidR="002D38FC">
        <w:instrText xml:space="preserve"> \* MERGEFORMAT </w:instrText>
      </w:r>
      <w:r>
        <w:fldChar w:fldCharType="separate"/>
      </w:r>
      <w:r w:rsidRPr="000D4F9E">
        <w:t xml:space="preserve">17.3.2 | HPMS </w:t>
      </w:r>
      <w:r>
        <w:t xml:space="preserve">Traffic </w:t>
      </w:r>
      <w:r w:rsidRPr="000D4F9E">
        <w:t>Data Collection</w:t>
      </w:r>
      <w:r>
        <w:t xml:space="preserve"> and Reporting</w:t>
      </w:r>
      <w:r>
        <w:fldChar w:fldCharType="end"/>
      </w:r>
    </w:p>
    <w:p w14:paraId="2E682954" w14:textId="2E5EA5D6" w:rsidR="00426BFA" w:rsidRDefault="00426B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_Ref50047313 \h </w:instrText>
      </w:r>
      <w:r w:rsidR="002D38FC">
        <w:instrText xml:space="preserve"> \* MERGEFORMAT </w:instrText>
      </w:r>
      <w:r>
        <w:fldChar w:fldCharType="separate"/>
      </w:r>
      <w:r w:rsidRPr="000D4F9E">
        <w:t>17.3.</w:t>
      </w:r>
      <w:r>
        <w:t>3</w:t>
      </w:r>
      <w:r w:rsidRPr="000D4F9E">
        <w:t xml:space="preserve"> | </w:t>
      </w:r>
      <w:r>
        <w:t xml:space="preserve">ADOT </w:t>
      </w:r>
      <w:r w:rsidRPr="000D4F9E">
        <w:t xml:space="preserve">HPMS </w:t>
      </w:r>
      <w:r>
        <w:t xml:space="preserve">Traffic </w:t>
      </w:r>
      <w:r w:rsidRPr="000D4F9E">
        <w:t>Data Collection</w:t>
      </w:r>
      <w:r>
        <w:t xml:space="preserve"> Process</w:t>
      </w:r>
      <w:r>
        <w:fldChar w:fldCharType="end"/>
      </w:r>
    </w:p>
    <w:p w14:paraId="1DA67C89" w14:textId="000CD791" w:rsidR="00426BFA" w:rsidRDefault="00426B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_Ref50047316 \h </w:instrText>
      </w:r>
      <w:r w:rsidR="002D38FC">
        <w:instrText xml:space="preserve"> \* MERGEFORMAT </w:instrText>
      </w:r>
      <w:r>
        <w:fldChar w:fldCharType="separate"/>
      </w:r>
      <w:r>
        <w:t>17.3.4 | Traffic Reporting Requirements Using the MS2 TCDS Module</w:t>
      </w:r>
      <w:r>
        <w:fldChar w:fldCharType="end"/>
      </w:r>
    </w:p>
    <w:p w14:paraId="48B02930" w14:textId="07B67A78" w:rsidR="00426BFA" w:rsidRDefault="00426B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_Ref50047320 \h </w:instrText>
      </w:r>
      <w:r w:rsidR="002D38FC">
        <w:instrText xml:space="preserve"> \* MERGEFORMAT </w:instrText>
      </w:r>
      <w:r>
        <w:fldChar w:fldCharType="separate"/>
      </w:r>
      <w:r w:rsidRPr="000D4F9E">
        <w:t>17.3.</w:t>
      </w:r>
      <w:r>
        <w:t>5</w:t>
      </w:r>
      <w:r w:rsidRPr="000D4F9E">
        <w:t xml:space="preserve"> | Functional Classification</w:t>
      </w:r>
      <w:r>
        <w:fldChar w:fldCharType="end"/>
      </w:r>
    </w:p>
    <w:p w14:paraId="13BAA13B" w14:textId="7E850830" w:rsidR="00426BFA" w:rsidRDefault="00426BF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_Ref50047323 \h </w:instrText>
      </w:r>
      <w:r w:rsidR="002D38FC">
        <w:instrText xml:space="preserve"> \* MERGEFORMAT </w:instrText>
      </w:r>
      <w:r>
        <w:fldChar w:fldCharType="separate"/>
      </w:r>
      <w:r w:rsidRPr="000D4F9E">
        <w:t>17.3.</w:t>
      </w:r>
      <w:r>
        <w:t>6</w:t>
      </w:r>
      <w:r w:rsidRPr="000D4F9E">
        <w:t xml:space="preserve"> | Changing Functional Classification</w:t>
      </w:r>
      <w:r>
        <w:fldChar w:fldCharType="end"/>
      </w:r>
    </w:p>
    <w:p w14:paraId="713889F5" w14:textId="6A929750" w:rsidR="004C6C24" w:rsidRDefault="004C6C24"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216F1A2C" w14:textId="1DAF7829" w:rsidR="000D4F9E" w:rsidRPr="000D4F9E" w:rsidRDefault="001B4F45" w:rsidP="00020D20">
      <w:pPr>
        <w:pStyle w:val="Chapter17Heading"/>
      </w:pPr>
      <w:bookmarkStart w:id="632" w:name="_Toc50540247"/>
      <w:r>
        <w:t xml:space="preserve">17.3 </w:t>
      </w:r>
      <w:bookmarkStart w:id="633" w:name="_Toc49870641"/>
      <w:r w:rsidR="000D4F9E" w:rsidRPr="000D4F9E">
        <w:t>|</w:t>
      </w:r>
      <w:r w:rsidR="000E518A">
        <w:t xml:space="preserve"> </w:t>
      </w:r>
      <w:r w:rsidR="000D4F9E" w:rsidRPr="000D4F9E">
        <w:t xml:space="preserve">Transportation Data </w:t>
      </w:r>
      <w:r w:rsidR="004D572A">
        <w:t>and</w:t>
      </w:r>
      <w:r w:rsidR="000D4F9E" w:rsidRPr="000D4F9E">
        <w:t xml:space="preserve"> Functional Class</w:t>
      </w:r>
      <w:bookmarkEnd w:id="631"/>
      <w:bookmarkEnd w:id="632"/>
      <w:bookmarkEnd w:id="633"/>
    </w:p>
    <w:p w14:paraId="08444BA7" w14:textId="77777777" w:rsidR="00FF51A4" w:rsidRDefault="00FF51A4" w:rsidP="00020D20">
      <w:pPr>
        <w:pStyle w:val="SectionHeadersADOTText"/>
        <w:jc w:val="both"/>
        <w:sectPr w:rsidR="00FF51A4" w:rsidSect="00020D20">
          <w:pgSz w:w="12240" w:h="15840"/>
          <w:pgMar w:top="1440" w:right="1440" w:bottom="1440" w:left="1440" w:header="720" w:footer="720" w:gutter="0"/>
          <w:pgNumType w:chapStyle="1"/>
          <w:cols w:space="720"/>
          <w:docGrid w:linePitch="360"/>
        </w:sectPr>
      </w:pPr>
    </w:p>
    <w:p w14:paraId="4364062E" w14:textId="4656BAAD" w:rsidR="000D4F9E" w:rsidRPr="000D4F9E" w:rsidRDefault="000D4F9E" w:rsidP="00020D20">
      <w:pPr>
        <w:pStyle w:val="Heading3"/>
        <w:jc w:val="both"/>
      </w:pPr>
      <w:bookmarkStart w:id="634" w:name="_Ref50047302"/>
      <w:r w:rsidRPr="000D4F9E">
        <w:t>17.3.1 | Purpose</w:t>
      </w:r>
      <w:bookmarkEnd w:id="634"/>
    </w:p>
    <w:p w14:paraId="6F4DFA56" w14:textId="111FFF78" w:rsidR="000D4F9E" w:rsidRDefault="000D4F9E" w:rsidP="00020D20">
      <w:pPr>
        <w:jc w:val="both"/>
      </w:pPr>
      <w:r w:rsidRPr="000D4F9E">
        <w:t>This section serves as a reference for understanding functional classification of roadways and the role functional classification</w:t>
      </w:r>
      <w:r w:rsidR="00452B88">
        <w:t xml:space="preserve"> and traffic volume</w:t>
      </w:r>
      <w:r w:rsidRPr="000D4F9E">
        <w:t xml:space="preserve"> play in planning and funding opportunities. It explains the role ADOT has with the FHWA and MPOs within the state of Arizona. The authority to collect transportation data and functional class is listed in table 17.3-1. </w:t>
      </w:r>
    </w:p>
    <w:p w14:paraId="77EF93C0" w14:textId="5F5F1353" w:rsidR="0059577A" w:rsidRDefault="0059577A" w:rsidP="00020D20">
      <w:pPr>
        <w:pStyle w:val="Heading4"/>
        <w:jc w:val="both"/>
      </w:pPr>
      <w:r w:rsidRPr="0059577A">
        <w:t>Table 17.3-</w:t>
      </w:r>
      <w:r>
        <w:t>1</w:t>
      </w:r>
      <w:r w:rsidRPr="0059577A">
        <w:t xml:space="preserve"> | Authority</w:t>
      </w:r>
    </w:p>
    <w:tbl>
      <w:tblPr>
        <w:tblW w:w="9365" w:type="dxa"/>
        <w:tblInd w:w="-10" w:type="dxa"/>
        <w:tblLayout w:type="fixed"/>
        <w:tblCellMar>
          <w:left w:w="0" w:type="dxa"/>
          <w:right w:w="0" w:type="dxa"/>
        </w:tblCellMar>
        <w:tblLook w:val="0000" w:firstRow="0" w:lastRow="0" w:firstColumn="0" w:lastColumn="0" w:noHBand="0" w:noVBand="0"/>
      </w:tblPr>
      <w:tblGrid>
        <w:gridCol w:w="545"/>
        <w:gridCol w:w="2061"/>
        <w:gridCol w:w="6759"/>
      </w:tblGrid>
      <w:tr w:rsidR="0059577A" w:rsidRPr="000D4F9E" w14:paraId="0E99A0A4" w14:textId="77777777" w:rsidTr="00020D20">
        <w:trPr>
          <w:cantSplit/>
          <w:trHeight w:val="20"/>
        </w:trPr>
        <w:tc>
          <w:tcPr>
            <w:tcW w:w="545"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Mar>
              <w:top w:w="80" w:type="dxa"/>
              <w:left w:w="80" w:type="dxa"/>
              <w:bottom w:w="80" w:type="dxa"/>
              <w:right w:w="80" w:type="dxa"/>
            </w:tcMar>
            <w:textDirection w:val="btLr"/>
            <w:vAlign w:val="center"/>
          </w:tcPr>
          <w:p w14:paraId="7A474195" w14:textId="77777777" w:rsidR="0059577A" w:rsidRPr="00020D20" w:rsidRDefault="0059577A" w:rsidP="00020D20">
            <w:pPr>
              <w:jc w:val="center"/>
              <w:rPr>
                <w:color w:val="58585B"/>
                <w:sz w:val="22"/>
              </w:rPr>
            </w:pPr>
            <w:r w:rsidRPr="00020D20">
              <w:rPr>
                <w:sz w:val="22"/>
              </w:rPr>
              <w:t>Federal</w:t>
            </w:r>
          </w:p>
        </w:tc>
        <w:tc>
          <w:tcPr>
            <w:tcW w:w="20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1AABEB44" w14:textId="77777777" w:rsidR="0059577A" w:rsidRPr="00020D20" w:rsidRDefault="0059577A" w:rsidP="00020D20">
            <w:pPr>
              <w:spacing w:before="0" w:after="0" w:line="240" w:lineRule="auto"/>
              <w:jc w:val="center"/>
              <w:rPr>
                <w:sz w:val="22"/>
              </w:rPr>
            </w:pPr>
            <w:r w:rsidRPr="00020D20">
              <w:rPr>
                <w:sz w:val="22"/>
              </w:rPr>
              <w:t>Code</w:t>
            </w:r>
          </w:p>
        </w:tc>
        <w:tc>
          <w:tcPr>
            <w:tcW w:w="6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506D5D1A" w14:textId="77777777" w:rsidR="0059577A" w:rsidRPr="00020D20" w:rsidRDefault="0059577A" w:rsidP="00020D20">
            <w:pPr>
              <w:spacing w:before="0" w:after="0" w:line="240" w:lineRule="auto"/>
              <w:jc w:val="center"/>
              <w:rPr>
                <w:sz w:val="22"/>
              </w:rPr>
            </w:pPr>
            <w:r w:rsidRPr="00020D20">
              <w:rPr>
                <w:sz w:val="22"/>
              </w:rPr>
              <w:t>Description</w:t>
            </w:r>
          </w:p>
        </w:tc>
      </w:tr>
      <w:tr w:rsidR="0059577A" w:rsidRPr="000D4F9E" w14:paraId="41535C38"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36B46029" w14:textId="77777777" w:rsidR="0059577A" w:rsidRPr="000D4F9E" w:rsidRDefault="0059577A" w:rsidP="00020D20">
            <w:pPr>
              <w:jc w:val="both"/>
              <w:rPr>
                <w:rFonts w:cstheme="minorHAnsi"/>
              </w:rPr>
            </w:pPr>
          </w:p>
        </w:tc>
        <w:tc>
          <w:tcPr>
            <w:tcW w:w="2061" w:type="dxa"/>
            <w:tcBorders>
              <w:top w:val="single" w:sz="4" w:space="0" w:color="FFFFFF" w:themeColor="background1"/>
              <w:left w:val="single" w:sz="4" w:space="0" w:color="FFFFFF" w:themeColor="background1"/>
              <w:bottom w:val="single" w:sz="8" w:space="0" w:color="58585B"/>
              <w:right w:val="single" w:sz="8" w:space="0" w:color="58585B"/>
            </w:tcBorders>
            <w:tcMar>
              <w:top w:w="80" w:type="dxa"/>
              <w:left w:w="80" w:type="dxa"/>
              <w:bottom w:w="80" w:type="dxa"/>
              <w:right w:w="80" w:type="dxa"/>
            </w:tcMar>
          </w:tcPr>
          <w:p w14:paraId="40D9E1A8" w14:textId="77777777" w:rsidR="0059577A" w:rsidRPr="000D4F9E" w:rsidRDefault="0059577A" w:rsidP="00020D20">
            <w:pPr>
              <w:spacing w:before="0" w:after="0" w:line="240" w:lineRule="auto"/>
              <w:jc w:val="center"/>
              <w:rPr>
                <w:rFonts w:cstheme="minorHAnsi"/>
              </w:rPr>
            </w:pPr>
          </w:p>
        </w:tc>
        <w:tc>
          <w:tcPr>
            <w:tcW w:w="6759" w:type="dxa"/>
            <w:tcBorders>
              <w:top w:val="single" w:sz="4" w:space="0" w:color="FFFFFF" w:themeColor="background1"/>
              <w:left w:val="single" w:sz="8" w:space="0" w:color="58585B"/>
              <w:bottom w:val="single" w:sz="8" w:space="0" w:color="58585B"/>
              <w:right w:val="single" w:sz="8" w:space="0" w:color="58585B"/>
            </w:tcBorders>
            <w:tcMar>
              <w:top w:w="80" w:type="dxa"/>
              <w:left w:w="80" w:type="dxa"/>
              <w:bottom w:w="80" w:type="dxa"/>
              <w:right w:w="80" w:type="dxa"/>
            </w:tcMar>
            <w:vAlign w:val="center"/>
          </w:tcPr>
          <w:p w14:paraId="01B2BEEE" w14:textId="77777777" w:rsidR="0059577A" w:rsidRPr="00020D20" w:rsidRDefault="0059577A" w:rsidP="00020D20">
            <w:pPr>
              <w:pStyle w:val="Heading5"/>
              <w:spacing w:before="0" w:after="0" w:line="240" w:lineRule="auto"/>
              <w:jc w:val="both"/>
              <w:rPr>
                <w:i w:val="0"/>
                <w:color w:val="auto"/>
              </w:rPr>
            </w:pPr>
            <w:r w:rsidRPr="00020D20">
              <w:rPr>
                <w:i w:val="0"/>
                <w:color w:val="auto"/>
              </w:rPr>
              <w:t>ISTEA of 1991</w:t>
            </w:r>
          </w:p>
        </w:tc>
      </w:tr>
      <w:tr w:rsidR="0059577A" w:rsidRPr="000D4F9E" w14:paraId="0C58CB11"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3605AD2F"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shd w:val="clear" w:color="auto" w:fill="E7E6E6" w:themeFill="background2"/>
            <w:tcMar>
              <w:top w:w="80" w:type="dxa"/>
              <w:left w:w="80" w:type="dxa"/>
              <w:bottom w:w="80" w:type="dxa"/>
              <w:right w:w="80" w:type="dxa"/>
            </w:tcMar>
          </w:tcPr>
          <w:p w14:paraId="12D1B094" w14:textId="77777777" w:rsidR="0059577A" w:rsidRPr="000D4F9E" w:rsidRDefault="0059577A" w:rsidP="00020D20">
            <w:pPr>
              <w:spacing w:before="0" w:after="0" w:line="240" w:lineRule="auto"/>
              <w:jc w:val="center"/>
              <w:rPr>
                <w:rFonts w:cstheme="minorHAnsi"/>
              </w:rPr>
            </w:pPr>
          </w:p>
        </w:tc>
        <w:tc>
          <w:tcPr>
            <w:tcW w:w="675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116FE2B4" w14:textId="77777777" w:rsidR="0059577A" w:rsidRPr="00020D20" w:rsidRDefault="0059577A" w:rsidP="00020D20">
            <w:pPr>
              <w:pStyle w:val="Heading5"/>
              <w:spacing w:before="0" w:after="0" w:line="240" w:lineRule="auto"/>
              <w:jc w:val="both"/>
              <w:rPr>
                <w:i w:val="0"/>
                <w:color w:val="auto"/>
              </w:rPr>
            </w:pPr>
            <w:r w:rsidRPr="00020D20">
              <w:rPr>
                <w:i w:val="0"/>
                <w:color w:val="auto"/>
              </w:rPr>
              <w:t>TEA-21 of 1998</w:t>
            </w:r>
          </w:p>
        </w:tc>
      </w:tr>
      <w:tr w:rsidR="0059577A" w:rsidRPr="000D4F9E" w14:paraId="7AC1189A"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4572FD14"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tcMar>
              <w:top w:w="80" w:type="dxa"/>
              <w:left w:w="80" w:type="dxa"/>
              <w:bottom w:w="80" w:type="dxa"/>
              <w:right w:w="80" w:type="dxa"/>
            </w:tcMar>
          </w:tcPr>
          <w:p w14:paraId="6763C10E" w14:textId="77777777" w:rsidR="0059577A" w:rsidRPr="000D4F9E" w:rsidRDefault="0059577A" w:rsidP="00020D20">
            <w:pPr>
              <w:spacing w:before="0" w:after="0" w:line="240" w:lineRule="auto"/>
              <w:jc w:val="center"/>
              <w:rPr>
                <w:rFonts w:cstheme="minorHAnsi"/>
              </w:rPr>
            </w:pPr>
          </w:p>
        </w:tc>
        <w:tc>
          <w:tcPr>
            <w:tcW w:w="6759"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8F2194A" w14:textId="77777777" w:rsidR="0059577A" w:rsidRPr="00020D20" w:rsidRDefault="0059577A" w:rsidP="00020D20">
            <w:pPr>
              <w:pStyle w:val="Heading5"/>
              <w:spacing w:before="0" w:after="0" w:line="240" w:lineRule="auto"/>
              <w:jc w:val="both"/>
              <w:rPr>
                <w:i w:val="0"/>
                <w:color w:val="auto"/>
              </w:rPr>
            </w:pPr>
            <w:r w:rsidRPr="00020D20">
              <w:rPr>
                <w:i w:val="0"/>
                <w:color w:val="auto"/>
              </w:rPr>
              <w:t>SAFETEA-LU of 2005</w:t>
            </w:r>
          </w:p>
        </w:tc>
      </w:tr>
      <w:tr w:rsidR="0059577A" w:rsidRPr="000D4F9E" w14:paraId="64BE24D0"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5CD9BB5D"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27F5BC86" w14:textId="2A35E8E3" w:rsidR="0059577A" w:rsidRPr="008C5046" w:rsidRDefault="00202C92">
            <w:pPr>
              <w:pStyle w:val="Title"/>
            </w:pPr>
            <w:hyperlink r:id="rId1032" w:history="1">
              <w:r w:rsidR="0059577A" w:rsidRPr="008C5046">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8C5046">
                <w:rPr>
                  <w:rStyle w:val="Hyperlink"/>
                  <w:rFonts w:asciiTheme="minorHAnsi" w:hAnsiTheme="minorHAnsi" w:cstheme="majorBidi"/>
                  <w:i/>
                  <w:iCs w:val="0"/>
                  <w:color w:val="CE5B18"/>
                  <w:sz w:val="20"/>
                  <w:szCs w:val="56"/>
                  <w:u w:val="none"/>
                </w:rPr>
                <w:t>§ 1.5</w:t>
              </w:r>
            </w:hyperlink>
          </w:p>
        </w:tc>
        <w:tc>
          <w:tcPr>
            <w:tcW w:w="675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194E1D13" w14:textId="77777777" w:rsidR="0059577A" w:rsidRPr="00020D20" w:rsidRDefault="0059577A" w:rsidP="00020D20">
            <w:pPr>
              <w:pStyle w:val="Heading5"/>
              <w:spacing w:before="0" w:after="0" w:line="240" w:lineRule="auto"/>
              <w:jc w:val="both"/>
              <w:rPr>
                <w:i w:val="0"/>
                <w:color w:val="auto"/>
              </w:rPr>
            </w:pPr>
            <w:r w:rsidRPr="00020D20">
              <w:rPr>
                <w:i w:val="0"/>
                <w:color w:val="auto"/>
              </w:rPr>
              <w:t>Provides FHWA authority to request such information deemed necessary to administer the Federal-Aid Highway Program</w:t>
            </w:r>
          </w:p>
        </w:tc>
      </w:tr>
      <w:tr w:rsidR="0059577A" w:rsidRPr="000D4F9E" w14:paraId="242DF7C6"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6D972144"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tcMar>
              <w:top w:w="80" w:type="dxa"/>
              <w:left w:w="80" w:type="dxa"/>
              <w:bottom w:w="80" w:type="dxa"/>
              <w:right w:w="80" w:type="dxa"/>
            </w:tcMar>
            <w:vAlign w:val="center"/>
          </w:tcPr>
          <w:p w14:paraId="59E42882" w14:textId="77777777" w:rsidR="0059577A" w:rsidRPr="008C5046" w:rsidRDefault="00202C92">
            <w:pPr>
              <w:pStyle w:val="Title"/>
            </w:pPr>
            <w:hyperlink r:id="rId1033" w:history="1">
              <w:r w:rsidR="0059577A" w:rsidRPr="008C5046">
                <w:rPr>
                  <w:rStyle w:val="Hyperlink"/>
                  <w:rFonts w:asciiTheme="minorHAnsi" w:hAnsiTheme="minorHAnsi" w:cstheme="majorBidi"/>
                  <w:i/>
                  <w:iCs w:val="0"/>
                  <w:color w:val="CE5B18"/>
                  <w:sz w:val="20"/>
                  <w:szCs w:val="56"/>
                  <w:u w:val="none"/>
                </w:rPr>
                <w:t>23 U.S.C. § 104</w:t>
              </w:r>
            </w:hyperlink>
          </w:p>
        </w:tc>
        <w:tc>
          <w:tcPr>
            <w:tcW w:w="6759"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0F2F857" w14:textId="77777777" w:rsidR="0059577A" w:rsidRPr="00020D20" w:rsidRDefault="0059577A" w:rsidP="00020D20">
            <w:pPr>
              <w:pStyle w:val="Heading5"/>
              <w:spacing w:before="0" w:after="0" w:line="240" w:lineRule="auto"/>
              <w:jc w:val="both"/>
              <w:rPr>
                <w:i w:val="0"/>
                <w:color w:val="auto"/>
              </w:rPr>
            </w:pPr>
            <w:r w:rsidRPr="00020D20">
              <w:rPr>
                <w:i w:val="0"/>
                <w:color w:val="auto"/>
              </w:rPr>
              <w:t>Apportionment of Federal-Aid Highway Program funds</w:t>
            </w:r>
          </w:p>
        </w:tc>
      </w:tr>
      <w:tr w:rsidR="0059577A" w:rsidRPr="000D4F9E" w14:paraId="1E7EA748" w14:textId="77777777" w:rsidTr="00020D20">
        <w:trPr>
          <w:cantSplit/>
          <w:trHeight w:val="20"/>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12873C6D"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6CDEDAE4" w14:textId="754A3710" w:rsidR="0059577A" w:rsidRPr="003A0C87" w:rsidRDefault="00202C92">
            <w:pPr>
              <w:pStyle w:val="Title"/>
            </w:pPr>
            <w:hyperlink r:id="rId1034" w:anchor="23:1.0.1.5.10.1.1.3" w:history="1">
              <w:r w:rsidR="0059577A" w:rsidRPr="003A0C87">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420.105</w:t>
              </w:r>
            </w:hyperlink>
          </w:p>
        </w:tc>
        <w:tc>
          <w:tcPr>
            <w:tcW w:w="675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3C803BB0" w14:textId="77777777" w:rsidR="0059577A" w:rsidRPr="00020D20" w:rsidRDefault="0059577A" w:rsidP="00020D20">
            <w:pPr>
              <w:pStyle w:val="Heading5"/>
              <w:spacing w:before="0" w:after="0" w:line="240" w:lineRule="auto"/>
              <w:jc w:val="both"/>
              <w:rPr>
                <w:i w:val="0"/>
                <w:color w:val="auto"/>
              </w:rPr>
            </w:pPr>
            <w:r w:rsidRPr="00020D20">
              <w:rPr>
                <w:i w:val="0"/>
                <w:color w:val="auto"/>
              </w:rPr>
              <w:t>HPMS annual data submittal from State and field verification review and report (including traffic volume monthly automatic traffic recorder data and annual truck weight data)</w:t>
            </w:r>
          </w:p>
        </w:tc>
      </w:tr>
      <w:tr w:rsidR="0059577A" w:rsidRPr="000D4F9E" w14:paraId="1B7636BB" w14:textId="77777777" w:rsidTr="00020D20">
        <w:trPr>
          <w:cantSplit/>
          <w:trHeight w:val="20"/>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7BE42E8C"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tcMar>
              <w:top w:w="80" w:type="dxa"/>
              <w:left w:w="80" w:type="dxa"/>
              <w:bottom w:w="80" w:type="dxa"/>
              <w:right w:w="80" w:type="dxa"/>
            </w:tcMar>
            <w:vAlign w:val="center"/>
          </w:tcPr>
          <w:p w14:paraId="7BDAB64E" w14:textId="20624DF7" w:rsidR="0059577A" w:rsidRPr="003A0C87" w:rsidRDefault="00202C92">
            <w:pPr>
              <w:pStyle w:val="Title"/>
            </w:pPr>
            <w:hyperlink r:id="rId1035" w:history="1">
              <w:r w:rsidR="0059577A" w:rsidRPr="003A0C87">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420.105(b)</w:t>
              </w:r>
            </w:hyperlink>
          </w:p>
        </w:tc>
        <w:tc>
          <w:tcPr>
            <w:tcW w:w="6759"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090BB82" w14:textId="77777777" w:rsidR="0059577A" w:rsidRPr="00020D20" w:rsidRDefault="0059577A" w:rsidP="00020D20">
            <w:pPr>
              <w:pStyle w:val="Heading5"/>
              <w:spacing w:before="0" w:after="0" w:line="240" w:lineRule="auto"/>
              <w:jc w:val="both"/>
              <w:rPr>
                <w:i w:val="0"/>
                <w:color w:val="auto"/>
              </w:rPr>
            </w:pPr>
            <w:r w:rsidRPr="00020D20">
              <w:rPr>
                <w:i w:val="0"/>
                <w:color w:val="auto"/>
              </w:rPr>
              <w:t>Requires states to provide data that supports FHWA’s responsibilities to Congress and the public</w:t>
            </w:r>
          </w:p>
        </w:tc>
      </w:tr>
      <w:tr w:rsidR="0059577A" w:rsidRPr="000D4F9E" w14:paraId="6148EF65" w14:textId="77777777" w:rsidTr="00020D20">
        <w:trPr>
          <w:cantSplit/>
          <w:trHeight w:val="20"/>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211E68DF"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5F9D13D7" w14:textId="536C2F5C" w:rsidR="0059577A" w:rsidRPr="003A0C87" w:rsidRDefault="00202C92">
            <w:pPr>
              <w:pStyle w:val="Title"/>
            </w:pPr>
            <w:hyperlink r:id="rId1036" w:anchor="23:1.0.1.5.11.2.1.9" w:history="1">
              <w:r w:rsidR="0059577A" w:rsidRPr="003A0C87">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450.216 (m)</w:t>
              </w:r>
            </w:hyperlink>
          </w:p>
        </w:tc>
        <w:tc>
          <w:tcPr>
            <w:tcW w:w="675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280EF7E6" w14:textId="77777777" w:rsidR="0059577A" w:rsidRPr="00020D20" w:rsidRDefault="0059577A" w:rsidP="00020D20">
            <w:pPr>
              <w:pStyle w:val="Heading5"/>
              <w:spacing w:before="0" w:after="0" w:line="240" w:lineRule="auto"/>
              <w:jc w:val="both"/>
              <w:rPr>
                <w:i w:val="0"/>
                <w:color w:val="auto"/>
              </w:rPr>
            </w:pPr>
            <w:r w:rsidRPr="00020D20">
              <w:rPr>
                <w:i w:val="0"/>
                <w:color w:val="auto"/>
              </w:rPr>
              <w:t>STIP includes financial plan to demonstrate adequate operations and maintenance of federal-aid highways</w:t>
            </w:r>
          </w:p>
        </w:tc>
      </w:tr>
      <w:tr w:rsidR="0059577A" w:rsidRPr="000D4F9E" w14:paraId="22EE7C5B"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4614E26A"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tcMar>
              <w:top w:w="80" w:type="dxa"/>
              <w:left w:w="80" w:type="dxa"/>
              <w:bottom w:w="80" w:type="dxa"/>
              <w:right w:w="80" w:type="dxa"/>
            </w:tcMar>
            <w:vAlign w:val="center"/>
          </w:tcPr>
          <w:p w14:paraId="2A3EC57D" w14:textId="5A2F1C44" w:rsidR="0059577A" w:rsidRPr="003A0C87" w:rsidRDefault="00202C92">
            <w:pPr>
              <w:pStyle w:val="Title"/>
            </w:pPr>
            <w:hyperlink r:id="rId1037" w:history="1">
              <w:r w:rsidR="0059577A" w:rsidRPr="003A0C87">
                <w:rPr>
                  <w:rStyle w:val="Hyperlink"/>
                  <w:rFonts w:asciiTheme="minorHAnsi" w:hAnsiTheme="minorHAnsi" w:cstheme="majorBidi"/>
                  <w:i/>
                  <w:iCs w:val="0"/>
                  <w:color w:val="CE5B18"/>
                  <w:sz w:val="20"/>
                  <w:szCs w:val="56"/>
                  <w:u w:val="none"/>
                </w:rPr>
                <w:t xml:space="preserve"> 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460.3</w:t>
              </w:r>
            </w:hyperlink>
          </w:p>
        </w:tc>
        <w:tc>
          <w:tcPr>
            <w:tcW w:w="6759"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52B231A" w14:textId="77777777" w:rsidR="0059577A" w:rsidRPr="00020D20" w:rsidRDefault="0059577A" w:rsidP="00020D20">
            <w:pPr>
              <w:pStyle w:val="Heading5"/>
              <w:spacing w:before="0" w:after="0" w:line="240" w:lineRule="auto"/>
              <w:jc w:val="both"/>
              <w:rPr>
                <w:i w:val="0"/>
                <w:color w:val="auto"/>
              </w:rPr>
            </w:pPr>
            <w:r w:rsidRPr="00020D20">
              <w:rPr>
                <w:i w:val="0"/>
                <w:color w:val="auto"/>
              </w:rPr>
              <w:t>Certification of public road mileage</w:t>
            </w:r>
          </w:p>
        </w:tc>
      </w:tr>
      <w:tr w:rsidR="0059577A" w:rsidRPr="000D4F9E" w14:paraId="751E642E"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322575B8"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6221D255" w14:textId="5A43318B" w:rsidR="0059577A" w:rsidRPr="003A0C87" w:rsidRDefault="00202C92">
            <w:pPr>
              <w:pStyle w:val="Title"/>
            </w:pPr>
            <w:hyperlink r:id="rId1038" w:history="1">
              <w:r w:rsidR="0059577A" w:rsidRPr="003A0C87">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500</w:t>
              </w:r>
            </w:hyperlink>
          </w:p>
        </w:tc>
        <w:tc>
          <w:tcPr>
            <w:tcW w:w="675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468EF373" w14:textId="77777777" w:rsidR="0059577A" w:rsidRPr="00020D20" w:rsidRDefault="0059577A" w:rsidP="00020D20">
            <w:pPr>
              <w:pStyle w:val="Heading5"/>
              <w:spacing w:before="0" w:after="0" w:line="240" w:lineRule="auto"/>
              <w:jc w:val="both"/>
              <w:rPr>
                <w:i w:val="0"/>
                <w:color w:val="auto"/>
              </w:rPr>
            </w:pPr>
            <w:r w:rsidRPr="00020D20">
              <w:rPr>
                <w:i w:val="0"/>
                <w:color w:val="auto"/>
              </w:rPr>
              <w:t>Program that supports: Traffic data collection-Traffic monitoring</w:t>
            </w:r>
          </w:p>
        </w:tc>
      </w:tr>
      <w:tr w:rsidR="0059577A" w:rsidRPr="000D4F9E" w14:paraId="3B847108"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29F63E03"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tcMar>
              <w:top w:w="80" w:type="dxa"/>
              <w:left w:w="80" w:type="dxa"/>
              <w:bottom w:w="80" w:type="dxa"/>
              <w:right w:w="80" w:type="dxa"/>
            </w:tcMar>
            <w:vAlign w:val="center"/>
          </w:tcPr>
          <w:p w14:paraId="6378FF09" w14:textId="02150184" w:rsidR="0059577A" w:rsidRPr="003A0C87" w:rsidRDefault="00202C92">
            <w:pPr>
              <w:pStyle w:val="Title"/>
            </w:pPr>
            <w:hyperlink r:id="rId1039" w:anchor="23:1.0.1.6.14.1.1.6" w:history="1">
              <w:r w:rsidR="0059577A" w:rsidRPr="003A0C87">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500.106</w:t>
              </w:r>
            </w:hyperlink>
          </w:p>
        </w:tc>
        <w:tc>
          <w:tcPr>
            <w:tcW w:w="6759"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3DCDFDA" w14:textId="77777777" w:rsidR="0059577A" w:rsidRPr="00020D20" w:rsidRDefault="0059577A" w:rsidP="00020D20">
            <w:pPr>
              <w:pStyle w:val="Heading5"/>
              <w:spacing w:before="0" w:after="0" w:line="240" w:lineRule="auto"/>
              <w:jc w:val="both"/>
              <w:rPr>
                <w:i w:val="0"/>
                <w:color w:val="auto"/>
              </w:rPr>
            </w:pPr>
            <w:r w:rsidRPr="00020D20">
              <w:rPr>
                <w:i w:val="0"/>
                <w:color w:val="auto"/>
              </w:rPr>
              <w:t>Pavement Management System (PMS)</w:t>
            </w:r>
          </w:p>
        </w:tc>
      </w:tr>
      <w:tr w:rsidR="0059577A" w:rsidRPr="000D4F9E" w14:paraId="7500B6C3"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62F11AA5"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56980481" w14:textId="2DC82A38" w:rsidR="0059577A" w:rsidRPr="003A0C87" w:rsidRDefault="00202C92">
            <w:pPr>
              <w:pStyle w:val="Title"/>
            </w:pPr>
            <w:hyperlink r:id="rId1040" w:history="1">
              <w:r w:rsidR="0059577A" w:rsidRPr="003A0C87">
                <w:rPr>
                  <w:rStyle w:val="Hyperlink"/>
                  <w:rFonts w:asciiTheme="minorHAnsi" w:hAnsiTheme="minorHAnsi" w:cstheme="majorBidi"/>
                  <w:i/>
                  <w:iCs w:val="0"/>
                  <w:color w:val="CE5B18"/>
                  <w:sz w:val="20"/>
                  <w:szCs w:val="56"/>
                  <w:u w:val="none"/>
                </w:rPr>
                <w:t xml:space="preserve">23 </w:t>
              </w:r>
              <w:r w:rsidR="009628C0">
                <w:rPr>
                  <w:rStyle w:val="Hyperlink"/>
                  <w:rFonts w:asciiTheme="minorHAnsi" w:hAnsiTheme="minorHAnsi" w:cstheme="majorBidi"/>
                  <w:i/>
                  <w:iCs w:val="0"/>
                  <w:color w:val="CE5B18"/>
                  <w:sz w:val="20"/>
                  <w:szCs w:val="56"/>
                  <w:u w:val="none"/>
                </w:rPr>
                <w:t xml:space="preserve">C.F.R. </w:t>
              </w:r>
              <w:r w:rsidR="0059577A" w:rsidRPr="003A0C87">
                <w:rPr>
                  <w:rStyle w:val="Hyperlink"/>
                  <w:rFonts w:asciiTheme="minorHAnsi" w:hAnsiTheme="minorHAnsi" w:cstheme="majorBidi"/>
                  <w:i/>
                  <w:iCs w:val="0"/>
                  <w:color w:val="CE5B18"/>
                  <w:sz w:val="20"/>
                  <w:szCs w:val="56"/>
                  <w:u w:val="none"/>
                </w:rPr>
                <w:t>§ 924.5 (b)</w:t>
              </w:r>
            </w:hyperlink>
          </w:p>
        </w:tc>
        <w:tc>
          <w:tcPr>
            <w:tcW w:w="675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vAlign w:val="center"/>
          </w:tcPr>
          <w:p w14:paraId="20F1BD87" w14:textId="77777777" w:rsidR="0059577A" w:rsidRPr="00020D20" w:rsidRDefault="0059577A" w:rsidP="00020D20">
            <w:pPr>
              <w:pStyle w:val="Heading5"/>
              <w:spacing w:before="0" w:after="0" w:line="240" w:lineRule="auto"/>
              <w:jc w:val="both"/>
              <w:rPr>
                <w:i w:val="0"/>
                <w:color w:val="auto"/>
              </w:rPr>
            </w:pPr>
            <w:r w:rsidRPr="00020D20">
              <w:rPr>
                <w:i w:val="0"/>
                <w:color w:val="auto"/>
              </w:rPr>
              <w:t>HSIP project/program eligibility</w:t>
            </w:r>
          </w:p>
        </w:tc>
      </w:tr>
      <w:tr w:rsidR="0059577A" w:rsidRPr="000D4F9E" w14:paraId="482BC00B" w14:textId="77777777" w:rsidTr="00020D20">
        <w:trPr>
          <w:cantSplit/>
          <w:trHeight w:val="432"/>
        </w:trPr>
        <w:tc>
          <w:tcPr>
            <w:tcW w:w="545"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12768"/>
          </w:tcPr>
          <w:p w14:paraId="3770450F" w14:textId="77777777" w:rsidR="0059577A" w:rsidRPr="000D4F9E" w:rsidRDefault="0059577A" w:rsidP="00020D20">
            <w:pPr>
              <w:jc w:val="both"/>
              <w:rPr>
                <w:rFonts w:cstheme="minorHAnsi"/>
              </w:rPr>
            </w:pPr>
          </w:p>
        </w:tc>
        <w:tc>
          <w:tcPr>
            <w:tcW w:w="2061" w:type="dxa"/>
            <w:tcBorders>
              <w:top w:val="single" w:sz="8" w:space="0" w:color="58585B"/>
              <w:left w:val="single" w:sz="4" w:space="0" w:color="FFFFFF" w:themeColor="background1"/>
              <w:bottom w:val="single" w:sz="8" w:space="0" w:color="58585B"/>
              <w:right w:val="single" w:sz="8" w:space="0" w:color="58585B"/>
            </w:tcBorders>
            <w:tcMar>
              <w:top w:w="80" w:type="dxa"/>
              <w:left w:w="80" w:type="dxa"/>
              <w:bottom w:w="80" w:type="dxa"/>
              <w:right w:w="80" w:type="dxa"/>
            </w:tcMar>
            <w:vAlign w:val="center"/>
          </w:tcPr>
          <w:p w14:paraId="691631C7" w14:textId="77777777" w:rsidR="0059577A" w:rsidRPr="003A0C87" w:rsidRDefault="00202C92">
            <w:pPr>
              <w:pStyle w:val="Title"/>
            </w:pPr>
            <w:hyperlink r:id="rId1041" w:history="1">
              <w:r w:rsidR="0059577A" w:rsidRPr="003A0C87">
                <w:rPr>
                  <w:rStyle w:val="Hyperlink"/>
                  <w:rFonts w:asciiTheme="minorHAnsi" w:hAnsiTheme="minorHAnsi" w:cstheme="majorBidi"/>
                  <w:i/>
                  <w:iCs w:val="0"/>
                  <w:color w:val="CE5B18"/>
                  <w:sz w:val="20"/>
                  <w:szCs w:val="56"/>
                  <w:u w:val="none"/>
                </w:rPr>
                <w:t>23 U.S.C. § 502(h)</w:t>
              </w:r>
            </w:hyperlink>
          </w:p>
        </w:tc>
        <w:tc>
          <w:tcPr>
            <w:tcW w:w="6759"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3809DA0" w14:textId="77777777" w:rsidR="0059577A" w:rsidRPr="00020D20" w:rsidRDefault="0059577A" w:rsidP="00020D20">
            <w:pPr>
              <w:pStyle w:val="Heading5"/>
              <w:spacing w:before="0" w:after="0" w:line="240" w:lineRule="auto"/>
              <w:jc w:val="both"/>
              <w:rPr>
                <w:i w:val="0"/>
                <w:color w:val="auto"/>
              </w:rPr>
            </w:pPr>
            <w:r w:rsidRPr="00020D20">
              <w:rPr>
                <w:i w:val="0"/>
                <w:color w:val="auto"/>
              </w:rPr>
              <w:t>Biennial conditions and performance estimate</w:t>
            </w:r>
          </w:p>
        </w:tc>
      </w:tr>
    </w:tbl>
    <w:p w14:paraId="4BEEE674" w14:textId="77777777" w:rsidR="0059577A" w:rsidRDefault="0059577A" w:rsidP="00020D20">
      <w:pPr>
        <w:pStyle w:val="SectionHeadersADOTText"/>
        <w:jc w:val="both"/>
        <w:sectPr w:rsidR="0059577A" w:rsidSect="00020D20">
          <w:type w:val="continuous"/>
          <w:pgSz w:w="12240" w:h="15840"/>
          <w:pgMar w:top="1440" w:right="1440" w:bottom="1440" w:left="1440" w:header="720" w:footer="720" w:gutter="0"/>
          <w:cols w:space="720"/>
          <w:docGrid w:linePitch="360"/>
        </w:sectPr>
      </w:pPr>
    </w:p>
    <w:p w14:paraId="1D89971A" w14:textId="24092744" w:rsidR="000D4F9E" w:rsidRPr="000D4F9E" w:rsidRDefault="000D4F9E" w:rsidP="00020D20">
      <w:pPr>
        <w:pStyle w:val="Heading3"/>
        <w:jc w:val="both"/>
      </w:pPr>
      <w:bookmarkStart w:id="635" w:name="_Ref50047309"/>
      <w:r w:rsidRPr="000D4F9E">
        <w:t xml:space="preserve">17.3.2 | HPMS </w:t>
      </w:r>
      <w:r w:rsidR="00DD3378">
        <w:t xml:space="preserve">Traffic </w:t>
      </w:r>
      <w:r w:rsidRPr="000D4F9E">
        <w:t>Data Collection</w:t>
      </w:r>
      <w:r w:rsidR="00DD3378">
        <w:t xml:space="preserve"> and Reporting</w:t>
      </w:r>
      <w:bookmarkEnd w:id="635"/>
    </w:p>
    <w:p w14:paraId="42767C9D" w14:textId="39E11920" w:rsidR="000D4F9E" w:rsidRPr="000D4F9E" w:rsidRDefault="000D4F9E" w:rsidP="00020D20">
      <w:pPr>
        <w:jc w:val="both"/>
      </w:pPr>
      <w:r w:rsidRPr="000D4F9E">
        <w:t xml:space="preserve">As part of the COG and MPO </w:t>
      </w:r>
      <w:r w:rsidR="00BD216C">
        <w:t>GRT</w:t>
      </w:r>
      <w:r w:rsidRPr="000D4F9E">
        <w:t>s, HPMS data collection is a critical element of the WP that is to be performed on an annual basis. HPMS</w:t>
      </w:r>
      <w:r w:rsidR="00547FD7">
        <w:t xml:space="preserve"> data</w:t>
      </w:r>
      <w:r w:rsidRPr="000D4F9E">
        <w:t xml:space="preserve"> is</w:t>
      </w:r>
      <w:r w:rsidR="00547FD7">
        <w:t xml:space="preserve"> integral to </w:t>
      </w:r>
      <w:r w:rsidRPr="000D4F9E">
        <w:t>support the data-driven process within ADOT, FHWA, and Congress. This data is also very important for the COGs and MPOs as it can be an excellent resource for performance-based planning activities. The HPMS database includes information regarding the extent, condition, performance, use, and operating characteristics of the nation’s highways. HPMS is used extensively in the analysis of the highway system’s condition, performance, and investment needs, which make up the biennial Conditions and Performance (C &amp; P) reports to Congress. Congress uses these reports to establish both authorization and appropriation legislation</w:t>
      </w:r>
      <w:r w:rsidR="00547FD7" w:rsidRPr="000D4F9E">
        <w:t xml:space="preserve">. </w:t>
      </w:r>
    </w:p>
    <w:p w14:paraId="56976767" w14:textId="3EF3BF35" w:rsidR="000D4F9E" w:rsidRPr="000D4F9E" w:rsidRDefault="000D4F9E" w:rsidP="00020D20">
      <w:pPr>
        <w:jc w:val="both"/>
      </w:pPr>
      <w:r w:rsidRPr="000D4F9E">
        <w:t>These activities ultimately determine the scope and size of the Federal-Aid Highway Program and the level of federal highway taxation.</w:t>
      </w:r>
    </w:p>
    <w:p w14:paraId="716E6B72" w14:textId="0B8DC2C9" w:rsidR="000D4F9E" w:rsidRDefault="000D4F9E" w:rsidP="00020D20">
      <w:pPr>
        <w:jc w:val="both"/>
        <w:rPr>
          <w:rFonts w:cstheme="minorHAnsi"/>
        </w:rPr>
      </w:pPr>
      <w:r w:rsidRPr="000D4F9E">
        <w:rPr>
          <w:rFonts w:cstheme="minorHAnsi"/>
        </w:rPr>
        <w:t>In August 2012, the FHWA issued a requirement for states to provide extensive coverage of the geospatial network for all highways in their state. This coverage applies to all public non-federally owned highways; FHWA works with federal agencies for federally owned highways. The state is required to report all public road mileage data; this also includes non-state-owned public roads and roads on tribal lands.</w:t>
      </w:r>
    </w:p>
    <w:p w14:paraId="6FE2B5FA" w14:textId="58764A8C" w:rsidR="00DD3378" w:rsidRDefault="00B643E7" w:rsidP="00020D20">
      <w:pPr>
        <w:jc w:val="both"/>
        <w:rPr>
          <w:rFonts w:cstheme="minorHAnsi"/>
        </w:rPr>
      </w:pPr>
      <w:r>
        <w:rPr>
          <w:rFonts w:cstheme="minorHAnsi"/>
          <w:noProof/>
        </w:rPr>
        <mc:AlternateContent>
          <mc:Choice Requires="wps">
            <w:drawing>
              <wp:anchor distT="0" distB="0" distL="114300" distR="114300" simplePos="0" relativeHeight="251618333" behindDoc="1" locked="0" layoutInCell="1" allowOverlap="1" wp14:anchorId="59D4E7D8" wp14:editId="0E1B54E8">
                <wp:simplePos x="0" y="0"/>
                <wp:positionH relativeFrom="column">
                  <wp:posOffset>1215390</wp:posOffset>
                </wp:positionH>
                <wp:positionV relativeFrom="paragraph">
                  <wp:posOffset>629920</wp:posOffset>
                </wp:positionV>
                <wp:extent cx="1371600" cy="1343025"/>
                <wp:effectExtent l="95250" t="95250" r="95250" b="104775"/>
                <wp:wrapTight wrapText="bothSides">
                  <wp:wrapPolygon edited="0">
                    <wp:start x="-900" y="-1532"/>
                    <wp:lineTo x="-1500" y="-919"/>
                    <wp:lineTo x="-1200" y="22979"/>
                    <wp:lineTo x="22500" y="22979"/>
                    <wp:lineTo x="22800" y="3983"/>
                    <wp:lineTo x="22200" y="-613"/>
                    <wp:lineTo x="22200" y="-1532"/>
                    <wp:lineTo x="-900" y="-1532"/>
                  </wp:wrapPolygon>
                </wp:wrapTight>
                <wp:docPr id="816286020" name="Text Box 816286020"/>
                <wp:cNvGraphicFramePr/>
                <a:graphic xmlns:a="http://schemas.openxmlformats.org/drawingml/2006/main">
                  <a:graphicData uri="http://schemas.microsoft.com/office/word/2010/wordprocessingShape">
                    <wps:wsp>
                      <wps:cNvSpPr txBox="1"/>
                      <wps:spPr>
                        <a:xfrm>
                          <a:off x="0" y="0"/>
                          <a:ext cx="1371600" cy="13430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FE9E588" w14:textId="77777777" w:rsidR="00C6444C" w:rsidRDefault="00C6444C" w:rsidP="00020D20">
                            <w:pPr>
                              <w:jc w:val="center"/>
                            </w:pPr>
                            <w:r>
                              <w:rPr>
                                <w:noProof/>
                              </w:rPr>
                              <w:drawing>
                                <wp:inline distT="0" distB="0" distL="0" distR="0" wp14:anchorId="117A1B82" wp14:editId="147E0160">
                                  <wp:extent cx="457200" cy="457200"/>
                                  <wp:effectExtent l="0" t="0" r="0" b="0"/>
                                  <wp:docPr id="1690912963" name="Picture 1690912963"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D9DAEE2" w14:textId="26E18180" w:rsidR="00C6444C" w:rsidRPr="00977A9B" w:rsidRDefault="00C6444C" w:rsidP="00020D20">
                            <w:pPr>
                              <w:pStyle w:val="Calloutboxes"/>
                            </w:pPr>
                            <w:r w:rsidRPr="00394A74">
                              <w:t>F</w:t>
                            </w:r>
                            <w:r w:rsidRPr="00954116">
                              <w:t xml:space="preserve">HWA </w:t>
                            </w:r>
                            <w:r w:rsidRPr="005A6734">
                              <w:t>Highway Performance Monitoring System Field Manual:</w:t>
                            </w:r>
                          </w:p>
                          <w:p w14:paraId="636B9051" w14:textId="45D7D64B" w:rsidR="00C6444C" w:rsidRPr="00020D20" w:rsidRDefault="00202C92">
                            <w:pPr>
                              <w:pStyle w:val="Title"/>
                              <w:rPr>
                                <w:sz w:val="16"/>
                                <w:szCs w:val="16"/>
                              </w:rPr>
                            </w:pPr>
                            <w:hyperlink r:id="rId1042" w:history="1">
                              <w:r w:rsidR="00C6444C" w:rsidRPr="00883AF5">
                                <w:rPr>
                                  <w:rStyle w:val="Hyperlink"/>
                                  <w:rFonts w:asciiTheme="minorHAnsi" w:hAnsiTheme="minorHAnsi" w:cstheme="majorBidi"/>
                                  <w:i/>
                                  <w:color w:val="CE5B18"/>
                                  <w:u w:val="none"/>
                                </w:rPr>
                                <w:t>https://www.fhwa.dot.gov/policyinformation/hpms/fieldmanual/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D4E7D8" id="Text Box 816286020" o:spid="_x0000_s1266" type="#_x0000_t202" style="position:absolute;left:0;text-align:left;margin-left:95.7pt;margin-top:49.6pt;width:108pt;height:105.75pt;z-index:-251698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" fillcolor="#f7f7f7" stroked="f" strokeweight=".5pt">
                <v:shadow on="t" type="perspective" color="black" opacity="26214f" offset="0,0" matrix="66847f,,,66847f"/>
                <v:textbox>
                  <w:txbxContent>
                    <w:p w14:paraId="7FE9E588" w14:textId="77777777" w:rsidR="00C6444C" w:rsidRDefault="00C6444C" w:rsidP="00020D20">
                      <w:pPr>
                        <w:jc w:val="center"/>
                      </w:pPr>
                      <w:r>
                        <w:rPr>
                          <w:noProof/>
                        </w:rPr>
                        <w:drawing>
                          <wp:inline distT="0" distB="0" distL="0" distR="0" wp14:anchorId="117A1B82" wp14:editId="147E0160">
                            <wp:extent cx="457200" cy="457200"/>
                            <wp:effectExtent l="0" t="0" r="0" b="0"/>
                            <wp:docPr id="1690912963" name="Picture 1690912963"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D9DAEE2" w14:textId="26E18180" w:rsidR="00C6444C" w:rsidRPr="00977A9B" w:rsidRDefault="00C6444C" w:rsidP="00020D20">
                      <w:pPr>
                        <w:pStyle w:val="Calloutboxes"/>
                      </w:pPr>
                      <w:r w:rsidRPr="00394A74">
                        <w:t>F</w:t>
                      </w:r>
                      <w:r w:rsidRPr="00954116">
                        <w:t xml:space="preserve">HWA </w:t>
                      </w:r>
                      <w:r w:rsidRPr="005A6734">
                        <w:t>Highway Performance Monitoring System Field Manual:</w:t>
                      </w:r>
                    </w:p>
                    <w:p w14:paraId="636B9051" w14:textId="45D7D64B" w:rsidR="00C6444C" w:rsidRPr="00020D20" w:rsidRDefault="00C6444C">
                      <w:pPr>
                        <w:pStyle w:val="Title"/>
                        <w:rPr>
                          <w:sz w:val="16"/>
                          <w:szCs w:val="16"/>
                        </w:rPr>
                      </w:pPr>
                      <w:hyperlink r:id="rId1043" w:history="1">
                        <w:r w:rsidRPr="00883AF5">
                          <w:rPr>
                            <w:rStyle w:val="Hyperlink"/>
                            <w:rFonts w:asciiTheme="minorHAnsi" w:hAnsiTheme="minorHAnsi" w:cstheme="majorBidi"/>
                            <w:i/>
                            <w:color w:val="CE5B18"/>
                            <w:u w:val="none"/>
                          </w:rPr>
                          <w:t>https://www.fhwa.dot.gov/policyinformation/hpms/fieldmanual/</w:t>
                        </w:r>
                      </w:hyperlink>
                    </w:p>
                  </w:txbxContent>
                </v:textbox>
                <w10:wrap type="tight"/>
              </v:shape>
            </w:pict>
          </mc:Fallback>
        </mc:AlternateContent>
      </w:r>
      <w:r w:rsidR="00DD3378" w:rsidRPr="000D4F9E">
        <w:rPr>
          <w:rFonts w:cstheme="minorHAnsi"/>
        </w:rPr>
        <w:t xml:space="preserve">The </w:t>
      </w:r>
      <w:hyperlink r:id="rId1044" w:history="1">
        <w:r w:rsidR="00DD3378" w:rsidRPr="00020D20">
          <w:rPr>
            <w:rStyle w:val="TitleChar"/>
          </w:rPr>
          <w:t>Highway Performance Monitoring System Field Manual</w:t>
        </w:r>
      </w:hyperlink>
      <w:r w:rsidR="00DD3378" w:rsidRPr="000D4F9E">
        <w:rPr>
          <w:rFonts w:cstheme="minorHAnsi"/>
        </w:rPr>
        <w:t xml:space="preserve"> details the HMPS core components, data model requirements, special guidance, sampling, workflow, and the submittal process. This manual serves as the primary guide to the ins and outs of how to prepare the datasets, delegate the workload, and submit the HMPS data.</w:t>
      </w:r>
      <w:r w:rsidR="00174E9B" w:rsidRPr="00174E9B">
        <w:rPr>
          <w:rFonts w:cstheme="minorHAnsi"/>
        </w:rPr>
        <w:t xml:space="preserve"> </w:t>
      </w:r>
    </w:p>
    <w:p w14:paraId="7A5401EB" w14:textId="2C615CD1" w:rsidR="00B643E7" w:rsidRDefault="00341969" w:rsidP="00020D20">
      <w:pPr>
        <w:jc w:val="both"/>
      </w:pPr>
      <w:r>
        <w:rPr>
          <w:rFonts w:asciiTheme="majorHAnsi" w:hAnsiTheme="majorHAnsi" w:cstheme="minorHAnsi"/>
          <w:iCs/>
          <w:noProof/>
        </w:rPr>
        <mc:AlternateContent>
          <mc:Choice Requires="wps">
            <w:drawing>
              <wp:anchor distT="0" distB="0" distL="114300" distR="114300" simplePos="0" relativeHeight="251618332" behindDoc="1" locked="0" layoutInCell="1" allowOverlap="1" wp14:anchorId="0ED40B74" wp14:editId="499500A1">
                <wp:simplePos x="0" y="0"/>
                <wp:positionH relativeFrom="column">
                  <wp:posOffset>1228090</wp:posOffset>
                </wp:positionH>
                <wp:positionV relativeFrom="paragraph">
                  <wp:posOffset>-300990</wp:posOffset>
                </wp:positionV>
                <wp:extent cx="1360805" cy="1343025"/>
                <wp:effectExtent l="95250" t="95250" r="86995" b="104775"/>
                <wp:wrapTight wrapText="bothSides">
                  <wp:wrapPolygon edited="0">
                    <wp:start x="-907" y="-1532"/>
                    <wp:lineTo x="-1512" y="-919"/>
                    <wp:lineTo x="-1210" y="22979"/>
                    <wp:lineTo x="22376" y="22979"/>
                    <wp:lineTo x="22678" y="3983"/>
                    <wp:lineTo x="22074" y="-613"/>
                    <wp:lineTo x="22074" y="-1532"/>
                    <wp:lineTo x="-907" y="-1532"/>
                  </wp:wrapPolygon>
                </wp:wrapTight>
                <wp:docPr id="816286015" name="Text Box 816286015"/>
                <wp:cNvGraphicFramePr/>
                <a:graphic xmlns:a="http://schemas.openxmlformats.org/drawingml/2006/main">
                  <a:graphicData uri="http://schemas.microsoft.com/office/word/2010/wordprocessingShape">
                    <wps:wsp>
                      <wps:cNvSpPr txBox="1"/>
                      <wps:spPr>
                        <a:xfrm>
                          <a:off x="0" y="0"/>
                          <a:ext cx="1360805" cy="13430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1542751" w14:textId="77777777" w:rsidR="00C6444C" w:rsidRDefault="00C6444C" w:rsidP="00020D20">
                            <w:pPr>
                              <w:jc w:val="center"/>
                            </w:pPr>
                            <w:r>
                              <w:rPr>
                                <w:noProof/>
                              </w:rPr>
                              <w:drawing>
                                <wp:inline distT="0" distB="0" distL="0" distR="0" wp14:anchorId="16F9995B" wp14:editId="007CF9ED">
                                  <wp:extent cx="457200" cy="457200"/>
                                  <wp:effectExtent l="0" t="0" r="0" b="0"/>
                                  <wp:docPr id="1690912964" name="Picture 1690912964"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276123F" w14:textId="05047735" w:rsidR="00C6444C" w:rsidRPr="005A6734" w:rsidRDefault="00C6444C" w:rsidP="00020D20">
                            <w:pPr>
                              <w:pStyle w:val="Calloutboxes"/>
                            </w:pPr>
                            <w:r w:rsidRPr="00394A74">
                              <w:t>F</w:t>
                            </w:r>
                            <w:r w:rsidRPr="00954116">
                              <w:t>HWA HPMS</w:t>
                            </w:r>
                          </w:p>
                          <w:p w14:paraId="1B581CEE" w14:textId="29A46754" w:rsidR="00C6444C" w:rsidRPr="00020D20" w:rsidRDefault="00202C92">
                            <w:pPr>
                              <w:pStyle w:val="Title"/>
                              <w:rPr>
                                <w:sz w:val="16"/>
                                <w:szCs w:val="16"/>
                              </w:rPr>
                            </w:pPr>
                            <w:hyperlink r:id="rId1045" w:history="1">
                              <w:r w:rsidR="00C6444C" w:rsidRPr="00883AF5">
                                <w:rPr>
                                  <w:rStyle w:val="Hyperlink"/>
                                  <w:rFonts w:asciiTheme="minorHAnsi" w:hAnsiTheme="minorHAnsi" w:cstheme="majorBidi"/>
                                  <w:i/>
                                  <w:color w:val="CE5B18"/>
                                  <w:u w:val="none"/>
                                </w:rPr>
                                <w:t>https://www.fhwa.dot.gov/policyinformation/hpms.cfm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D40B74" id="Text Box 816286015" o:spid="_x0000_s1267" type="#_x0000_t202" style="position:absolute;left:0;text-align:left;margin-left:96.7pt;margin-top:-23.7pt;width:107.15pt;height:105.75pt;z-index:-251698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" fillcolor="#f7f7f7" stroked="f" strokeweight=".5pt">
                <v:shadow on="t" type="perspective" color="black" opacity="26214f" offset="0,0" matrix="66847f,,,66847f"/>
                <v:textbox>
                  <w:txbxContent>
                    <w:p w14:paraId="61542751" w14:textId="77777777" w:rsidR="00C6444C" w:rsidRDefault="00C6444C" w:rsidP="00020D20">
                      <w:pPr>
                        <w:jc w:val="center"/>
                      </w:pPr>
                      <w:r>
                        <w:rPr>
                          <w:noProof/>
                        </w:rPr>
                        <w:drawing>
                          <wp:inline distT="0" distB="0" distL="0" distR="0" wp14:anchorId="16F9995B" wp14:editId="007CF9ED">
                            <wp:extent cx="457200" cy="457200"/>
                            <wp:effectExtent l="0" t="0" r="0" b="0"/>
                            <wp:docPr id="1690912964" name="Picture 1690912964" descr="A close u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276123F" w14:textId="05047735" w:rsidR="00C6444C" w:rsidRPr="005A6734" w:rsidRDefault="00C6444C" w:rsidP="00020D20">
                      <w:pPr>
                        <w:pStyle w:val="Calloutboxes"/>
                      </w:pPr>
                      <w:r w:rsidRPr="00394A74">
                        <w:t>F</w:t>
                      </w:r>
                      <w:r w:rsidRPr="00954116">
                        <w:t>HWA HPMS</w:t>
                      </w:r>
                    </w:p>
                    <w:p w14:paraId="1B581CEE" w14:textId="29A46754" w:rsidR="00C6444C" w:rsidRPr="00020D20" w:rsidRDefault="00C6444C">
                      <w:pPr>
                        <w:pStyle w:val="Title"/>
                        <w:rPr>
                          <w:sz w:val="16"/>
                          <w:szCs w:val="16"/>
                        </w:rPr>
                      </w:pPr>
                      <w:hyperlink r:id="rId1046" w:history="1">
                        <w:r w:rsidRPr="00883AF5">
                          <w:rPr>
                            <w:rStyle w:val="Hyperlink"/>
                            <w:rFonts w:asciiTheme="minorHAnsi" w:hAnsiTheme="minorHAnsi" w:cstheme="majorBidi"/>
                            <w:i/>
                            <w:color w:val="CE5B18"/>
                            <w:u w:val="none"/>
                          </w:rPr>
                          <w:t>https://www.fhwa.dot.gov/policyinformation/hpms.cfm</w:t>
                        </w:r>
                      </w:hyperlink>
                    </w:p>
                  </w:txbxContent>
                </v:textbox>
                <w10:wrap type="tight"/>
              </v:shape>
            </w:pict>
          </mc:Fallback>
        </mc:AlternateContent>
      </w:r>
      <w:r w:rsidR="00DD3378">
        <w:t xml:space="preserve">The ADOT HPMS program requires updated traffic counts at minimum cycles as </w:t>
      </w:r>
      <w:r w:rsidR="0059577A">
        <w:t>detailed in Table 17.3-2</w:t>
      </w:r>
      <w:r w:rsidR="00B643E7">
        <w:t>.</w:t>
      </w:r>
    </w:p>
    <w:p w14:paraId="238CA670" w14:textId="77777777" w:rsidR="00B643E7" w:rsidRDefault="00B643E7" w:rsidP="00020D20">
      <w:pPr>
        <w:jc w:val="both"/>
        <w:sectPr w:rsidR="00B643E7" w:rsidSect="009372E3">
          <w:type w:val="continuous"/>
          <w:pgSz w:w="12240" w:h="15840"/>
          <w:pgMar w:top="1440" w:right="1440" w:bottom="1440" w:left="1440" w:header="720" w:footer="720" w:gutter="0"/>
          <w:pgNumType w:chapStyle="1"/>
          <w:cols w:num="2" w:space="720"/>
          <w:docGrid w:linePitch="360"/>
        </w:sectPr>
      </w:pPr>
    </w:p>
    <w:p w14:paraId="4830A446" w14:textId="77777777" w:rsidR="00B643E7" w:rsidRDefault="00B643E7" w:rsidP="00020D20">
      <w:pPr>
        <w:jc w:val="both"/>
      </w:pPr>
      <w:r>
        <w:br w:type="page"/>
      </w:r>
    </w:p>
    <w:tbl>
      <w:tblPr>
        <w:tblpPr w:leftFromText="180" w:rightFromText="180" w:vertAnchor="page" w:horzAnchor="margin" w:tblpY="2351"/>
        <w:tblW w:w="9360" w:type="dxa"/>
        <w:tblCellMar>
          <w:left w:w="0" w:type="dxa"/>
          <w:right w:w="0" w:type="dxa"/>
        </w:tblCellMar>
        <w:tblLook w:val="04A0" w:firstRow="1" w:lastRow="0" w:firstColumn="1" w:lastColumn="0" w:noHBand="0" w:noVBand="1"/>
      </w:tblPr>
      <w:tblGrid>
        <w:gridCol w:w="2430"/>
        <w:gridCol w:w="2638"/>
        <w:gridCol w:w="1322"/>
        <w:gridCol w:w="2970"/>
      </w:tblGrid>
      <w:tr w:rsidR="00702BFA" w14:paraId="16673320" w14:textId="77777777" w:rsidTr="00020D20">
        <w:trPr>
          <w:trHeight w:val="377"/>
        </w:trPr>
        <w:tc>
          <w:tcPr>
            <w:tcW w:w="2430" w:type="dxa"/>
            <w:tcBorders>
              <w:top w:val="single" w:sz="8" w:space="0" w:color="auto"/>
              <w:left w:val="single" w:sz="8" w:space="0" w:color="auto"/>
              <w:bottom w:val="single" w:sz="8" w:space="0" w:color="auto"/>
              <w:right w:val="single" w:sz="8" w:space="0" w:color="FFFFFF" w:themeColor="background1"/>
            </w:tcBorders>
            <w:shd w:val="clear" w:color="auto" w:fill="012768"/>
            <w:tcMar>
              <w:top w:w="0" w:type="dxa"/>
              <w:left w:w="108" w:type="dxa"/>
              <w:bottom w:w="0" w:type="dxa"/>
              <w:right w:w="108" w:type="dxa"/>
            </w:tcMar>
            <w:vAlign w:val="center"/>
            <w:hideMark/>
          </w:tcPr>
          <w:p w14:paraId="21C30463" w14:textId="44661BD7" w:rsidR="00702BFA" w:rsidRPr="00C73A6F" w:rsidRDefault="00702BFA" w:rsidP="00020D20">
            <w:pPr>
              <w:spacing w:before="0" w:after="0" w:line="240" w:lineRule="auto"/>
              <w:jc w:val="center"/>
              <w:rPr>
                <w:sz w:val="22"/>
              </w:rPr>
            </w:pPr>
            <w:r w:rsidRPr="00C73A6F">
              <w:rPr>
                <w:sz w:val="22"/>
              </w:rPr>
              <w:t>Functional System</w:t>
            </w:r>
          </w:p>
        </w:tc>
        <w:tc>
          <w:tcPr>
            <w:tcW w:w="2638"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0" w:type="dxa"/>
              <w:left w:w="108" w:type="dxa"/>
              <w:bottom w:w="0" w:type="dxa"/>
              <w:right w:w="108" w:type="dxa"/>
            </w:tcMar>
            <w:vAlign w:val="center"/>
            <w:hideMark/>
          </w:tcPr>
          <w:p w14:paraId="518C1C93" w14:textId="77777777" w:rsidR="00702BFA" w:rsidRPr="00C73A6F" w:rsidRDefault="00702BFA" w:rsidP="00020D20">
            <w:pPr>
              <w:spacing w:before="0" w:after="0" w:line="240" w:lineRule="auto"/>
              <w:jc w:val="center"/>
              <w:rPr>
                <w:sz w:val="22"/>
              </w:rPr>
            </w:pPr>
            <w:r w:rsidRPr="00C73A6F">
              <w:rPr>
                <w:sz w:val="22"/>
              </w:rPr>
              <w:t>Current Minimum Count Cycle</w:t>
            </w:r>
            <w:r w:rsidRPr="00C73A6F">
              <w:rPr>
                <w:sz w:val="22"/>
                <w:vertAlign w:val="superscript"/>
              </w:rPr>
              <w:t>1</w:t>
            </w:r>
          </w:p>
        </w:tc>
        <w:tc>
          <w:tcPr>
            <w:tcW w:w="1322" w:type="dxa"/>
            <w:tcBorders>
              <w:top w:val="single" w:sz="8" w:space="0" w:color="auto"/>
              <w:left w:val="single" w:sz="8" w:space="0" w:color="FFFFFF" w:themeColor="background1"/>
              <w:bottom w:val="single" w:sz="8" w:space="0" w:color="auto"/>
              <w:right w:val="single" w:sz="8" w:space="0" w:color="FFFFFF" w:themeColor="background1"/>
            </w:tcBorders>
            <w:shd w:val="clear" w:color="auto" w:fill="012768"/>
            <w:tcMar>
              <w:top w:w="0" w:type="dxa"/>
              <w:left w:w="108" w:type="dxa"/>
              <w:bottom w:w="0" w:type="dxa"/>
              <w:right w:w="108" w:type="dxa"/>
            </w:tcMar>
            <w:vAlign w:val="center"/>
            <w:hideMark/>
          </w:tcPr>
          <w:p w14:paraId="073103FE" w14:textId="77777777" w:rsidR="00702BFA" w:rsidRPr="00C73A6F" w:rsidRDefault="00702BFA" w:rsidP="00020D20">
            <w:pPr>
              <w:spacing w:before="0" w:after="0" w:line="240" w:lineRule="auto"/>
              <w:jc w:val="center"/>
              <w:rPr>
                <w:sz w:val="22"/>
              </w:rPr>
            </w:pPr>
            <w:r w:rsidRPr="00C73A6F">
              <w:rPr>
                <w:sz w:val="22"/>
              </w:rPr>
              <w:t>Volume</w:t>
            </w:r>
            <w:r w:rsidRPr="00C73A6F">
              <w:rPr>
                <w:sz w:val="22"/>
                <w:vertAlign w:val="superscript"/>
              </w:rPr>
              <w:t>2</w:t>
            </w:r>
            <w:r w:rsidRPr="00C73A6F">
              <w:rPr>
                <w:sz w:val="22"/>
              </w:rPr>
              <w:t xml:space="preserve"> Counts?</w:t>
            </w:r>
          </w:p>
        </w:tc>
        <w:tc>
          <w:tcPr>
            <w:tcW w:w="2970" w:type="dxa"/>
            <w:tcBorders>
              <w:top w:val="single" w:sz="8" w:space="0" w:color="auto"/>
              <w:left w:val="single" w:sz="8" w:space="0" w:color="FFFFFF" w:themeColor="background1"/>
              <w:bottom w:val="single" w:sz="8" w:space="0" w:color="auto"/>
              <w:right w:val="single" w:sz="8" w:space="0" w:color="auto"/>
            </w:tcBorders>
            <w:shd w:val="clear" w:color="auto" w:fill="012768"/>
            <w:tcMar>
              <w:top w:w="0" w:type="dxa"/>
              <w:left w:w="108" w:type="dxa"/>
              <w:bottom w:w="0" w:type="dxa"/>
              <w:right w:w="108" w:type="dxa"/>
            </w:tcMar>
            <w:vAlign w:val="center"/>
            <w:hideMark/>
          </w:tcPr>
          <w:p w14:paraId="7E72D520" w14:textId="77777777" w:rsidR="00702BFA" w:rsidRPr="00C73A6F" w:rsidRDefault="00702BFA" w:rsidP="00020D20">
            <w:pPr>
              <w:spacing w:before="0" w:after="0" w:line="240" w:lineRule="auto"/>
              <w:jc w:val="center"/>
              <w:rPr>
                <w:sz w:val="22"/>
              </w:rPr>
            </w:pPr>
            <w:r w:rsidRPr="00C73A6F">
              <w:rPr>
                <w:sz w:val="22"/>
              </w:rPr>
              <w:t>Vehicle Classification</w:t>
            </w:r>
            <w:r w:rsidRPr="00C73A6F">
              <w:rPr>
                <w:sz w:val="22"/>
                <w:vertAlign w:val="superscript"/>
              </w:rPr>
              <w:t>3</w:t>
            </w:r>
            <w:r w:rsidRPr="00C73A6F">
              <w:rPr>
                <w:sz w:val="22"/>
              </w:rPr>
              <w:t xml:space="preserve"> Count?</w:t>
            </w:r>
          </w:p>
        </w:tc>
      </w:tr>
      <w:tr w:rsidR="00702BFA" w14:paraId="7412F0C7" w14:textId="77777777" w:rsidTr="00020D20">
        <w:trPr>
          <w:trHeight w:val="350"/>
        </w:trPr>
        <w:tc>
          <w:tcPr>
            <w:tcW w:w="243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2107E7" w14:textId="77777777" w:rsidR="00702BFA" w:rsidRPr="00C73A6F" w:rsidRDefault="00702BFA" w:rsidP="00020D20">
            <w:pPr>
              <w:spacing w:before="0" w:after="0" w:line="240" w:lineRule="auto"/>
              <w:jc w:val="center"/>
              <w:rPr>
                <w:sz w:val="18"/>
              </w:rPr>
            </w:pPr>
            <w:r w:rsidRPr="00C73A6F">
              <w:rPr>
                <w:sz w:val="18"/>
              </w:rPr>
              <w:t>Interstates and Other Freeways/Expressways</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E38E203" w14:textId="77777777" w:rsidR="00702BFA" w:rsidRPr="00C73A6F" w:rsidRDefault="00702BFA" w:rsidP="00020D20">
            <w:pPr>
              <w:spacing w:before="0" w:after="0" w:line="240" w:lineRule="auto"/>
              <w:jc w:val="center"/>
              <w:rPr>
                <w:sz w:val="18"/>
              </w:rPr>
            </w:pPr>
            <w:r w:rsidRPr="00C73A6F">
              <w:rPr>
                <w:sz w:val="18"/>
              </w:rPr>
              <w:t>3-year</w:t>
            </w:r>
          </w:p>
        </w:tc>
        <w:tc>
          <w:tcPr>
            <w:tcW w:w="132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74376AA"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22C2EFA" w14:textId="77777777" w:rsidR="00702BFA" w:rsidRPr="00C73A6F" w:rsidRDefault="00702BFA" w:rsidP="00020D20">
            <w:pPr>
              <w:spacing w:before="0" w:after="0" w:line="240" w:lineRule="auto"/>
              <w:jc w:val="center"/>
              <w:rPr>
                <w:sz w:val="18"/>
              </w:rPr>
            </w:pPr>
            <w:r w:rsidRPr="00C73A6F">
              <w:rPr>
                <w:sz w:val="18"/>
              </w:rPr>
              <w:t>Yes</w:t>
            </w:r>
          </w:p>
        </w:tc>
      </w:tr>
      <w:tr w:rsidR="00702BFA" w14:paraId="30762B73" w14:textId="77777777" w:rsidTr="00020D20">
        <w:trPr>
          <w:trHeight w:val="432"/>
        </w:trPr>
        <w:tc>
          <w:tcPr>
            <w:tcW w:w="2430" w:type="dxa"/>
            <w:tcBorders>
              <w:top w:val="nil"/>
              <w:left w:val="single" w:sz="8" w:space="0" w:color="auto"/>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15ABF8D6" w14:textId="1C46DD6D" w:rsidR="00702BFA" w:rsidRPr="00C73A6F" w:rsidRDefault="00702BFA" w:rsidP="00020D20">
            <w:pPr>
              <w:spacing w:before="0" w:after="0" w:line="240" w:lineRule="auto"/>
              <w:jc w:val="center"/>
              <w:rPr>
                <w:sz w:val="18"/>
              </w:rPr>
            </w:pPr>
            <w:r w:rsidRPr="00C73A6F">
              <w:rPr>
                <w:sz w:val="18"/>
              </w:rPr>
              <w:t>Ramps</w:t>
            </w:r>
          </w:p>
          <w:p w14:paraId="0175DB93" w14:textId="77777777" w:rsidR="00702BFA" w:rsidRPr="00C73A6F" w:rsidRDefault="00702BFA" w:rsidP="00020D20">
            <w:pPr>
              <w:spacing w:before="0" w:after="0" w:line="240" w:lineRule="auto"/>
              <w:jc w:val="center"/>
              <w:rPr>
                <w:sz w:val="18"/>
              </w:rPr>
            </w:pPr>
            <w:r w:rsidRPr="00C73A6F">
              <w:rPr>
                <w:sz w:val="18"/>
              </w:rPr>
              <w:t>(on- and off-ramps)</w:t>
            </w:r>
          </w:p>
        </w:tc>
        <w:tc>
          <w:tcPr>
            <w:tcW w:w="2638" w:type="dxa"/>
            <w:tcBorders>
              <w:top w:val="nil"/>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217541DD" w14:textId="77777777" w:rsidR="00702BFA" w:rsidRPr="00C73A6F" w:rsidRDefault="00702BFA" w:rsidP="00020D20">
            <w:pPr>
              <w:spacing w:before="0" w:after="0" w:line="240" w:lineRule="auto"/>
              <w:jc w:val="center"/>
              <w:rPr>
                <w:sz w:val="18"/>
              </w:rPr>
            </w:pPr>
            <w:r w:rsidRPr="00C73A6F">
              <w:rPr>
                <w:sz w:val="18"/>
              </w:rPr>
              <w:t>6-year</w:t>
            </w:r>
          </w:p>
        </w:tc>
        <w:tc>
          <w:tcPr>
            <w:tcW w:w="1322" w:type="dxa"/>
            <w:tcBorders>
              <w:top w:val="nil"/>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2A6C7C40"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nil"/>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1EE774BD" w14:textId="65A95BAA" w:rsidR="00702BFA" w:rsidRPr="00C73A6F" w:rsidRDefault="00702BFA" w:rsidP="00020D20">
            <w:pPr>
              <w:spacing w:before="0" w:after="0" w:line="240" w:lineRule="auto"/>
              <w:jc w:val="center"/>
              <w:rPr>
                <w:sz w:val="18"/>
              </w:rPr>
            </w:pPr>
            <w:r w:rsidRPr="00C73A6F">
              <w:rPr>
                <w:sz w:val="18"/>
              </w:rPr>
              <w:t>Not required</w:t>
            </w:r>
          </w:p>
        </w:tc>
      </w:tr>
      <w:tr w:rsidR="00702BFA" w14:paraId="329D734B" w14:textId="77777777" w:rsidTr="00020D20">
        <w:trPr>
          <w:trHeight w:val="368"/>
        </w:trPr>
        <w:tc>
          <w:tcPr>
            <w:tcW w:w="24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6DA020" w14:textId="2D2E6406" w:rsidR="00702BFA" w:rsidRPr="00C73A6F" w:rsidRDefault="00702BFA" w:rsidP="00020D20">
            <w:pPr>
              <w:spacing w:before="0" w:after="0" w:line="240" w:lineRule="auto"/>
              <w:jc w:val="center"/>
              <w:rPr>
                <w:sz w:val="18"/>
              </w:rPr>
            </w:pPr>
            <w:r w:rsidRPr="00C73A6F">
              <w:rPr>
                <w:sz w:val="18"/>
              </w:rPr>
              <w:t>Other Principal Arterials</w:t>
            </w:r>
          </w:p>
        </w:tc>
        <w:tc>
          <w:tcPr>
            <w:tcW w:w="26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A4B671" w14:textId="77777777" w:rsidR="00702BFA" w:rsidRPr="00C73A6F" w:rsidRDefault="00702BFA" w:rsidP="00020D20">
            <w:pPr>
              <w:spacing w:before="0" w:after="0" w:line="240" w:lineRule="auto"/>
              <w:jc w:val="center"/>
              <w:rPr>
                <w:sz w:val="18"/>
              </w:rPr>
            </w:pPr>
            <w:r w:rsidRPr="00C73A6F">
              <w:rPr>
                <w:sz w:val="18"/>
              </w:rPr>
              <w:t>3-year</w:t>
            </w:r>
          </w:p>
        </w:tc>
        <w:tc>
          <w:tcPr>
            <w:tcW w:w="132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F7E1DE"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A0F32A" w14:textId="77777777" w:rsidR="00702BFA" w:rsidRPr="00C73A6F" w:rsidRDefault="00702BFA" w:rsidP="00020D20">
            <w:pPr>
              <w:spacing w:before="0" w:after="0" w:line="240" w:lineRule="auto"/>
              <w:jc w:val="center"/>
              <w:rPr>
                <w:sz w:val="18"/>
              </w:rPr>
            </w:pPr>
            <w:r w:rsidRPr="00C73A6F">
              <w:rPr>
                <w:sz w:val="18"/>
              </w:rPr>
              <w:t>Yes</w:t>
            </w:r>
          </w:p>
        </w:tc>
      </w:tr>
      <w:tr w:rsidR="00702BFA" w14:paraId="41CBF584" w14:textId="77777777" w:rsidTr="00020D20">
        <w:trPr>
          <w:trHeight w:val="350"/>
        </w:trPr>
        <w:tc>
          <w:tcPr>
            <w:tcW w:w="2430" w:type="dxa"/>
            <w:tcBorders>
              <w:top w:val="nil"/>
              <w:left w:val="single" w:sz="8" w:space="0" w:color="auto"/>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5D5CC056" w14:textId="67BFF6CB" w:rsidR="00702BFA" w:rsidRPr="00C73A6F" w:rsidRDefault="00702BFA" w:rsidP="00020D20">
            <w:pPr>
              <w:spacing w:before="0" w:after="0" w:line="240" w:lineRule="auto"/>
              <w:jc w:val="center"/>
              <w:rPr>
                <w:sz w:val="18"/>
              </w:rPr>
            </w:pPr>
            <w:r w:rsidRPr="00C73A6F">
              <w:rPr>
                <w:sz w:val="18"/>
              </w:rPr>
              <w:t>Minor Arterials</w:t>
            </w:r>
          </w:p>
          <w:p w14:paraId="4A4B9702" w14:textId="4A6BC7ED" w:rsidR="00702BFA" w:rsidRPr="00C73A6F" w:rsidRDefault="00702BFA" w:rsidP="00020D20">
            <w:pPr>
              <w:spacing w:before="0" w:after="0" w:line="240" w:lineRule="auto"/>
              <w:jc w:val="center"/>
              <w:rPr>
                <w:sz w:val="18"/>
              </w:rPr>
            </w:pPr>
          </w:p>
        </w:tc>
        <w:tc>
          <w:tcPr>
            <w:tcW w:w="2638" w:type="dxa"/>
            <w:tcBorders>
              <w:top w:val="nil"/>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50ECF38E" w14:textId="77777777" w:rsidR="00702BFA" w:rsidRPr="00C73A6F" w:rsidRDefault="00702BFA" w:rsidP="00020D20">
            <w:pPr>
              <w:spacing w:before="0" w:after="0" w:line="240" w:lineRule="auto"/>
              <w:jc w:val="center"/>
              <w:rPr>
                <w:sz w:val="18"/>
              </w:rPr>
            </w:pPr>
            <w:r w:rsidRPr="00C73A6F">
              <w:rPr>
                <w:sz w:val="18"/>
              </w:rPr>
              <w:t>6-year</w:t>
            </w:r>
          </w:p>
        </w:tc>
        <w:tc>
          <w:tcPr>
            <w:tcW w:w="1322" w:type="dxa"/>
            <w:tcBorders>
              <w:top w:val="nil"/>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2D486188"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nil"/>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4CD27B2B" w14:textId="77777777" w:rsidR="00702BFA" w:rsidRPr="00C73A6F" w:rsidRDefault="00702BFA" w:rsidP="00020D20">
            <w:pPr>
              <w:spacing w:before="0" w:after="0" w:line="240" w:lineRule="auto"/>
              <w:jc w:val="center"/>
              <w:rPr>
                <w:sz w:val="18"/>
              </w:rPr>
            </w:pPr>
            <w:r w:rsidRPr="00C73A6F">
              <w:rPr>
                <w:sz w:val="18"/>
              </w:rPr>
              <w:t>Needed on NHS Connectors</w:t>
            </w:r>
            <w:r w:rsidRPr="00C73A6F">
              <w:rPr>
                <w:sz w:val="18"/>
                <w:vertAlign w:val="superscript"/>
              </w:rPr>
              <w:t>4</w:t>
            </w:r>
            <w:r w:rsidRPr="00C73A6F">
              <w:rPr>
                <w:sz w:val="18"/>
              </w:rPr>
              <w:t xml:space="preserve"> and Sample Panels</w:t>
            </w:r>
          </w:p>
        </w:tc>
      </w:tr>
      <w:tr w:rsidR="00702BFA" w14:paraId="4032D393" w14:textId="77777777" w:rsidTr="00020D20">
        <w:trPr>
          <w:trHeight w:val="350"/>
        </w:trPr>
        <w:tc>
          <w:tcPr>
            <w:tcW w:w="24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969B13" w14:textId="23E1A471" w:rsidR="00702BFA" w:rsidRPr="00C73A6F" w:rsidRDefault="00702BFA" w:rsidP="00020D20">
            <w:pPr>
              <w:spacing w:before="0" w:after="0" w:line="240" w:lineRule="auto"/>
              <w:jc w:val="center"/>
              <w:rPr>
                <w:sz w:val="18"/>
              </w:rPr>
            </w:pPr>
            <w:r w:rsidRPr="00C73A6F">
              <w:rPr>
                <w:sz w:val="18"/>
              </w:rPr>
              <w:t>Major Collectors</w:t>
            </w:r>
          </w:p>
          <w:p w14:paraId="54C804BD" w14:textId="226E589F" w:rsidR="00702BFA" w:rsidRPr="00C73A6F" w:rsidRDefault="00702BFA" w:rsidP="00020D20">
            <w:pPr>
              <w:spacing w:before="0" w:after="0" w:line="240" w:lineRule="auto"/>
              <w:jc w:val="center"/>
              <w:rPr>
                <w:sz w:val="18"/>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6AA286" w14:textId="77777777" w:rsidR="00702BFA" w:rsidRPr="00C73A6F" w:rsidRDefault="00702BFA" w:rsidP="00020D20">
            <w:pPr>
              <w:spacing w:before="0" w:after="0" w:line="240" w:lineRule="auto"/>
              <w:jc w:val="center"/>
              <w:rPr>
                <w:sz w:val="18"/>
              </w:rPr>
            </w:pPr>
            <w:r w:rsidRPr="00C73A6F">
              <w:rPr>
                <w:sz w:val="18"/>
              </w:rPr>
              <w:t>6-year</w:t>
            </w:r>
          </w:p>
        </w:tc>
        <w:tc>
          <w:tcPr>
            <w:tcW w:w="132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E9BCAE"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nil"/>
              <w:left w:val="nil"/>
              <w:bottom w:val="single" w:sz="8" w:space="0" w:color="auto"/>
              <w:right w:val="single" w:sz="8" w:space="0" w:color="auto"/>
            </w:tcBorders>
            <w:tcMar>
              <w:top w:w="0" w:type="dxa"/>
              <w:left w:w="108" w:type="dxa"/>
              <w:bottom w:w="0" w:type="dxa"/>
              <w:right w:w="108" w:type="dxa"/>
            </w:tcMar>
            <w:hideMark/>
          </w:tcPr>
          <w:p w14:paraId="1AF83C6D" w14:textId="77777777" w:rsidR="00702BFA" w:rsidRPr="00C73A6F" w:rsidRDefault="00702BFA" w:rsidP="00020D20">
            <w:pPr>
              <w:spacing w:before="0" w:after="0" w:line="240" w:lineRule="auto"/>
              <w:jc w:val="center"/>
              <w:rPr>
                <w:sz w:val="18"/>
              </w:rPr>
            </w:pPr>
            <w:r w:rsidRPr="00C73A6F">
              <w:rPr>
                <w:sz w:val="18"/>
              </w:rPr>
              <w:t>Needed on NHS Connectors and Sample Panels</w:t>
            </w:r>
          </w:p>
        </w:tc>
      </w:tr>
      <w:tr w:rsidR="00702BFA" w14:paraId="0D1B3B3B" w14:textId="77777777" w:rsidTr="00020D20">
        <w:trPr>
          <w:trHeight w:val="350"/>
        </w:trPr>
        <w:tc>
          <w:tcPr>
            <w:tcW w:w="2430" w:type="dxa"/>
            <w:tcBorders>
              <w:top w:val="nil"/>
              <w:left w:val="single" w:sz="8" w:space="0" w:color="auto"/>
              <w:bottom w:val="single" w:sz="4" w:space="0" w:color="auto"/>
              <w:right w:val="single" w:sz="8" w:space="0" w:color="auto"/>
            </w:tcBorders>
            <w:shd w:val="clear" w:color="auto" w:fill="E7E6E6" w:themeFill="background2"/>
            <w:tcMar>
              <w:top w:w="0" w:type="dxa"/>
              <w:left w:w="108" w:type="dxa"/>
              <w:bottom w:w="0" w:type="dxa"/>
              <w:right w:w="108" w:type="dxa"/>
            </w:tcMar>
            <w:vAlign w:val="center"/>
            <w:hideMark/>
          </w:tcPr>
          <w:p w14:paraId="78EB8E28" w14:textId="7E4A8FDE" w:rsidR="00702BFA" w:rsidRPr="00C73A6F" w:rsidRDefault="00702BFA" w:rsidP="00020D20">
            <w:pPr>
              <w:spacing w:before="0" w:after="0" w:line="240" w:lineRule="auto"/>
              <w:jc w:val="center"/>
              <w:rPr>
                <w:sz w:val="18"/>
              </w:rPr>
            </w:pPr>
            <w:r w:rsidRPr="00C73A6F">
              <w:rPr>
                <w:sz w:val="18"/>
              </w:rPr>
              <w:t>Urban Minor Collectors</w:t>
            </w:r>
          </w:p>
        </w:tc>
        <w:tc>
          <w:tcPr>
            <w:tcW w:w="2638" w:type="dxa"/>
            <w:tcBorders>
              <w:top w:val="nil"/>
              <w:left w:val="nil"/>
              <w:bottom w:val="single" w:sz="4" w:space="0" w:color="auto"/>
              <w:right w:val="single" w:sz="8" w:space="0" w:color="auto"/>
            </w:tcBorders>
            <w:shd w:val="clear" w:color="auto" w:fill="E7E6E6" w:themeFill="background2"/>
            <w:tcMar>
              <w:top w:w="0" w:type="dxa"/>
              <w:left w:w="108" w:type="dxa"/>
              <w:bottom w:w="0" w:type="dxa"/>
              <w:right w:w="108" w:type="dxa"/>
            </w:tcMar>
            <w:vAlign w:val="center"/>
            <w:hideMark/>
          </w:tcPr>
          <w:p w14:paraId="7FB999FA" w14:textId="77777777" w:rsidR="00702BFA" w:rsidRPr="00C73A6F" w:rsidRDefault="00702BFA" w:rsidP="00020D20">
            <w:pPr>
              <w:spacing w:before="0" w:after="0" w:line="240" w:lineRule="auto"/>
              <w:jc w:val="center"/>
              <w:rPr>
                <w:sz w:val="18"/>
              </w:rPr>
            </w:pPr>
            <w:r w:rsidRPr="00C73A6F">
              <w:rPr>
                <w:sz w:val="18"/>
              </w:rPr>
              <w:t>6-year</w:t>
            </w:r>
          </w:p>
        </w:tc>
        <w:tc>
          <w:tcPr>
            <w:tcW w:w="1322" w:type="dxa"/>
            <w:tcBorders>
              <w:top w:val="nil"/>
              <w:left w:val="nil"/>
              <w:bottom w:val="single" w:sz="4" w:space="0" w:color="auto"/>
              <w:right w:val="single" w:sz="8" w:space="0" w:color="auto"/>
            </w:tcBorders>
            <w:shd w:val="clear" w:color="auto" w:fill="E7E6E6" w:themeFill="background2"/>
            <w:tcMar>
              <w:top w:w="0" w:type="dxa"/>
              <w:left w:w="108" w:type="dxa"/>
              <w:bottom w:w="0" w:type="dxa"/>
              <w:right w:w="108" w:type="dxa"/>
            </w:tcMar>
            <w:vAlign w:val="center"/>
            <w:hideMark/>
          </w:tcPr>
          <w:p w14:paraId="0E54F8FF"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nil"/>
              <w:left w:val="nil"/>
              <w:bottom w:val="single" w:sz="4" w:space="0" w:color="auto"/>
              <w:right w:val="single" w:sz="8" w:space="0" w:color="auto"/>
            </w:tcBorders>
            <w:shd w:val="clear" w:color="auto" w:fill="E7E6E6" w:themeFill="background2"/>
            <w:tcMar>
              <w:top w:w="0" w:type="dxa"/>
              <w:left w:w="108" w:type="dxa"/>
              <w:bottom w:w="0" w:type="dxa"/>
              <w:right w:w="108" w:type="dxa"/>
            </w:tcMar>
            <w:hideMark/>
          </w:tcPr>
          <w:p w14:paraId="6CE0F4C6" w14:textId="77777777" w:rsidR="00702BFA" w:rsidRPr="00C73A6F" w:rsidRDefault="00702BFA" w:rsidP="00020D20">
            <w:pPr>
              <w:spacing w:before="0" w:after="0" w:line="240" w:lineRule="auto"/>
              <w:jc w:val="center"/>
              <w:rPr>
                <w:sz w:val="18"/>
              </w:rPr>
            </w:pPr>
            <w:r w:rsidRPr="00C73A6F">
              <w:rPr>
                <w:sz w:val="18"/>
              </w:rPr>
              <w:t>Needed on NHS Connectors and Sample Panels</w:t>
            </w:r>
          </w:p>
        </w:tc>
      </w:tr>
      <w:tr w:rsidR="00702BFA" w14:paraId="40273196" w14:textId="77777777" w:rsidTr="00020D20">
        <w:trPr>
          <w:trHeight w:val="350"/>
        </w:trPr>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BBFE1A" w14:textId="77777777" w:rsidR="00702BFA" w:rsidRPr="00C73A6F" w:rsidRDefault="00702BFA" w:rsidP="00020D20">
            <w:pPr>
              <w:spacing w:before="0" w:after="0" w:line="240" w:lineRule="auto"/>
              <w:jc w:val="center"/>
              <w:rPr>
                <w:sz w:val="18"/>
              </w:rPr>
            </w:pPr>
            <w:r w:rsidRPr="00C73A6F">
              <w:rPr>
                <w:sz w:val="18"/>
              </w:rPr>
              <w:t>Local and Rural Minor Collectors</w:t>
            </w:r>
          </w:p>
        </w:tc>
        <w:tc>
          <w:tcPr>
            <w:tcW w:w="2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102A14" w14:textId="77777777" w:rsidR="00702BFA" w:rsidRPr="00C73A6F" w:rsidRDefault="00702BFA" w:rsidP="00020D20">
            <w:pPr>
              <w:spacing w:before="0" w:after="0" w:line="240" w:lineRule="auto"/>
              <w:jc w:val="center"/>
              <w:rPr>
                <w:sz w:val="18"/>
              </w:rPr>
            </w:pPr>
            <w:r w:rsidRPr="00C73A6F">
              <w:rPr>
                <w:sz w:val="18"/>
              </w:rPr>
              <w:t>Not required</w:t>
            </w:r>
          </w:p>
        </w:tc>
        <w:tc>
          <w:tcPr>
            <w:tcW w:w="13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2AF3B0" w14:textId="77777777" w:rsidR="00702BFA" w:rsidRPr="00C73A6F" w:rsidRDefault="00702BFA" w:rsidP="00020D20">
            <w:pPr>
              <w:spacing w:before="0" w:after="0" w:line="240" w:lineRule="auto"/>
              <w:jc w:val="center"/>
              <w:rPr>
                <w:sz w:val="18"/>
              </w:rPr>
            </w:pPr>
            <w:r w:rsidRPr="00C73A6F">
              <w:rPr>
                <w:sz w:val="18"/>
              </w:rPr>
              <w:t>Not required</w:t>
            </w:r>
          </w:p>
        </w:tc>
        <w:tc>
          <w:tcPr>
            <w:tcW w:w="29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D3B081" w14:textId="77777777" w:rsidR="00702BFA" w:rsidRPr="00C73A6F" w:rsidRDefault="00702BFA" w:rsidP="00020D20">
            <w:pPr>
              <w:spacing w:before="0" w:after="0" w:line="240" w:lineRule="auto"/>
              <w:jc w:val="center"/>
              <w:rPr>
                <w:sz w:val="18"/>
              </w:rPr>
            </w:pPr>
            <w:r w:rsidRPr="00C73A6F">
              <w:rPr>
                <w:sz w:val="18"/>
              </w:rPr>
              <w:t>Not required</w:t>
            </w:r>
          </w:p>
        </w:tc>
      </w:tr>
      <w:tr w:rsidR="00702BFA" w14:paraId="53216E11" w14:textId="77777777" w:rsidTr="00020D20">
        <w:trPr>
          <w:trHeight w:val="350"/>
        </w:trPr>
        <w:tc>
          <w:tcPr>
            <w:tcW w:w="2430" w:type="dxa"/>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108" w:type="dxa"/>
              <w:bottom w:w="0" w:type="dxa"/>
              <w:right w:w="108" w:type="dxa"/>
            </w:tcMar>
            <w:vAlign w:val="center"/>
          </w:tcPr>
          <w:p w14:paraId="3AA61079" w14:textId="77777777" w:rsidR="00702BFA" w:rsidRPr="00C73A6F" w:rsidRDefault="00702BFA" w:rsidP="00020D20">
            <w:pPr>
              <w:spacing w:before="0" w:after="0" w:line="240" w:lineRule="auto"/>
              <w:jc w:val="center"/>
              <w:rPr>
                <w:sz w:val="18"/>
              </w:rPr>
            </w:pPr>
            <w:r w:rsidRPr="00C73A6F">
              <w:rPr>
                <w:sz w:val="18"/>
              </w:rPr>
              <w:t>Sample Panels</w:t>
            </w:r>
            <w:r w:rsidRPr="00C73A6F">
              <w:rPr>
                <w:sz w:val="18"/>
                <w:vertAlign w:val="superscript"/>
              </w:rPr>
              <w:t>5</w:t>
            </w:r>
          </w:p>
        </w:tc>
        <w:tc>
          <w:tcPr>
            <w:tcW w:w="2638" w:type="dxa"/>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108" w:type="dxa"/>
              <w:bottom w:w="0" w:type="dxa"/>
              <w:right w:w="108" w:type="dxa"/>
            </w:tcMar>
            <w:vAlign w:val="center"/>
          </w:tcPr>
          <w:p w14:paraId="0FD2C8A7" w14:textId="77777777" w:rsidR="00702BFA" w:rsidRPr="00C73A6F" w:rsidRDefault="00702BFA" w:rsidP="00020D20">
            <w:pPr>
              <w:spacing w:before="0" w:after="0" w:line="240" w:lineRule="auto"/>
              <w:jc w:val="center"/>
              <w:rPr>
                <w:sz w:val="18"/>
              </w:rPr>
            </w:pPr>
            <w:r w:rsidRPr="00C73A6F">
              <w:rPr>
                <w:sz w:val="18"/>
              </w:rPr>
              <w:t>Based on roadway functional classification</w:t>
            </w:r>
          </w:p>
        </w:tc>
        <w:tc>
          <w:tcPr>
            <w:tcW w:w="1322" w:type="dxa"/>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108" w:type="dxa"/>
              <w:bottom w:w="0" w:type="dxa"/>
              <w:right w:w="108" w:type="dxa"/>
            </w:tcMar>
            <w:vAlign w:val="center"/>
          </w:tcPr>
          <w:p w14:paraId="24686837" w14:textId="77777777" w:rsidR="00702BFA" w:rsidRPr="00C73A6F" w:rsidRDefault="00702BFA" w:rsidP="00020D20">
            <w:pPr>
              <w:spacing w:before="0" w:after="0" w:line="240" w:lineRule="auto"/>
              <w:jc w:val="center"/>
              <w:rPr>
                <w:sz w:val="18"/>
              </w:rPr>
            </w:pPr>
            <w:r w:rsidRPr="00C73A6F">
              <w:rPr>
                <w:sz w:val="18"/>
              </w:rPr>
              <w:t>Yes</w:t>
            </w:r>
          </w:p>
        </w:tc>
        <w:tc>
          <w:tcPr>
            <w:tcW w:w="2970" w:type="dxa"/>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108" w:type="dxa"/>
              <w:bottom w:w="0" w:type="dxa"/>
              <w:right w:w="108" w:type="dxa"/>
            </w:tcMar>
            <w:vAlign w:val="center"/>
          </w:tcPr>
          <w:p w14:paraId="5472CCA3" w14:textId="0D7E3C20" w:rsidR="00702BFA" w:rsidRPr="00C73A6F" w:rsidRDefault="00702BFA" w:rsidP="00020D20">
            <w:pPr>
              <w:spacing w:before="0" w:after="0" w:line="240" w:lineRule="auto"/>
              <w:jc w:val="center"/>
              <w:rPr>
                <w:sz w:val="18"/>
              </w:rPr>
            </w:pPr>
            <w:r w:rsidRPr="00C73A6F">
              <w:rPr>
                <w:sz w:val="18"/>
              </w:rPr>
              <w:t>Yes</w:t>
            </w:r>
          </w:p>
        </w:tc>
      </w:tr>
    </w:tbl>
    <w:p w14:paraId="3B8BECFE" w14:textId="2E327C1E" w:rsidR="00B643E7" w:rsidRDefault="00B643E7" w:rsidP="00020D20">
      <w:pPr>
        <w:pStyle w:val="Heading4"/>
        <w:jc w:val="both"/>
      </w:pPr>
      <w:r w:rsidRPr="000D4F9E">
        <w:t>Table 17.3-</w:t>
      </w:r>
      <w:r>
        <w:t>2</w:t>
      </w:r>
      <w:r w:rsidRPr="000D4F9E">
        <w:t xml:space="preserve"> | </w:t>
      </w:r>
      <w:r>
        <w:t>Traffic Count Minimum Cycles</w:t>
      </w:r>
    </w:p>
    <w:p w14:paraId="6E356A5D" w14:textId="0567F841" w:rsidR="00A22681" w:rsidRPr="00A22681" w:rsidRDefault="00A22681" w:rsidP="00020D20">
      <w:pPr>
        <w:pStyle w:val="Source-Graphic"/>
        <w:jc w:val="both"/>
      </w:pPr>
      <w:r w:rsidRPr="00020D20">
        <w:t>Source: This table has been</w:t>
      </w:r>
      <w:r w:rsidRPr="00A22681">
        <w:t xml:space="preserve"> developed from ADOT traffic monitoring policy and guidance in the HPMS Field Manual, December 2016.</w:t>
      </w:r>
    </w:p>
    <w:p w14:paraId="123E5E82" w14:textId="77777777" w:rsidR="00A22681" w:rsidRPr="00A22681" w:rsidRDefault="00A22681" w:rsidP="00020D20">
      <w:pPr>
        <w:pStyle w:val="Source-Graphic"/>
        <w:jc w:val="both"/>
      </w:pPr>
      <w:r w:rsidRPr="00A22681">
        <w:t xml:space="preserve">Notes: </w:t>
      </w:r>
    </w:p>
    <w:p w14:paraId="7DBC6A47" w14:textId="77777777" w:rsidR="00A22681" w:rsidRPr="00A22681" w:rsidRDefault="00A22681" w:rsidP="00020D20">
      <w:pPr>
        <w:pStyle w:val="Source-Graphic"/>
        <w:jc w:val="both"/>
      </w:pPr>
      <w:r w:rsidRPr="00A22681">
        <w:rPr>
          <w:vertAlign w:val="superscript"/>
        </w:rPr>
        <w:t>1</w:t>
      </w:r>
      <w:r w:rsidRPr="00A22681">
        <w:t xml:space="preserve">Performing Volume and Classification counts more frequently than the above stated minimum count cycle requirements is permissible and even encouraged—particularly in high growth areas. </w:t>
      </w:r>
    </w:p>
    <w:p w14:paraId="404629D1" w14:textId="77777777" w:rsidR="00A22681" w:rsidRPr="00A22681" w:rsidRDefault="00A22681" w:rsidP="00020D20">
      <w:pPr>
        <w:pStyle w:val="Source-Graphic"/>
        <w:jc w:val="both"/>
      </w:pPr>
      <w:r w:rsidRPr="00A22681">
        <w:rPr>
          <w:vertAlign w:val="superscript"/>
        </w:rPr>
        <w:t>2</w:t>
      </w:r>
      <w:r w:rsidRPr="00A22681">
        <w:t xml:space="preserve">Volume Counts are performed to count the total number of vehicles, and often do not identify vehicle classification types. Total volumes are used by ADOT to develop Annual Average Daily Traffic (AADT) estimates. </w:t>
      </w:r>
    </w:p>
    <w:p w14:paraId="5EBF12DC" w14:textId="77777777" w:rsidR="00A22681" w:rsidRPr="00A22681" w:rsidRDefault="00A22681" w:rsidP="00020D20">
      <w:pPr>
        <w:pStyle w:val="Source-Graphic"/>
        <w:jc w:val="both"/>
      </w:pPr>
      <w:r w:rsidRPr="00A22681">
        <w:rPr>
          <w:vertAlign w:val="superscript"/>
        </w:rPr>
        <w:t>3</w:t>
      </w:r>
      <w:r w:rsidRPr="00A22681">
        <w:t xml:space="preserve">Vehicle Classification Counts for HPMS are traffic counts grouped into FHWA’s 13 vehicle classification categories. Vehicle classification counts are volume counts but provide more detail by distributing total traffic volumes into vehicle type categories. Note that FHWA and ADOT encourage collection of the more detailed vehicle classification counts wherever possible. </w:t>
      </w:r>
    </w:p>
    <w:p w14:paraId="63437D41" w14:textId="77777777" w:rsidR="00A22681" w:rsidRPr="00A22681" w:rsidRDefault="00A22681" w:rsidP="00020D20">
      <w:pPr>
        <w:pStyle w:val="Source-Graphic"/>
        <w:jc w:val="both"/>
      </w:pPr>
      <w:r w:rsidRPr="00A22681">
        <w:rPr>
          <w:vertAlign w:val="superscript"/>
        </w:rPr>
        <w:t>4</w:t>
      </w:r>
      <w:r w:rsidRPr="00A22681">
        <w:t xml:space="preserve">In Arizona, all Principle Arterials are on the National Highways System (NHS). NHS </w:t>
      </w:r>
      <w:r w:rsidRPr="00A22681">
        <w:rPr>
          <w:i/>
        </w:rPr>
        <w:t>Connectors</w:t>
      </w:r>
      <w:r w:rsidRPr="00A22681">
        <w:t xml:space="preserve"> can exist off the Principle Arterial network to connect the primary NHS to other nationally significant intermodal facilities. A listing or map of NHS Connector locations can be provided upon request to ADOT. </w:t>
      </w:r>
    </w:p>
    <w:p w14:paraId="009664CA" w14:textId="3FD81A4A" w:rsidR="00E34BF3" w:rsidRDefault="00A22681" w:rsidP="00020D20">
      <w:pPr>
        <w:pStyle w:val="Source-Graphic"/>
        <w:jc w:val="both"/>
      </w:pPr>
      <w:r w:rsidRPr="00A22681">
        <w:rPr>
          <w:vertAlign w:val="superscript"/>
        </w:rPr>
        <w:t>5</w:t>
      </w:r>
      <w:r w:rsidRPr="00A22681">
        <w:t>HPMS Sample Panels are a representative selection of road sections from the total network of functionally classified roads where more detailed data reporting is required for HPMS.  Total traffic volume counts are required on all functionally classified roads and inform annual changes/additions to the selection of Sample Panels. Full bidirectional 15-minute bin vehicle classification traffic counts are required at Sample Panel locations which then facilitates reporting of peak hour and directional factors, as well as truck traffic statistics. A listing or map of Sample Panel locations can be provided upon request to ADOT.</w:t>
      </w:r>
    </w:p>
    <w:p w14:paraId="607550BD" w14:textId="77777777" w:rsidR="00E34BF3" w:rsidRDefault="00E34BF3" w:rsidP="00020D20">
      <w:pPr>
        <w:pStyle w:val="Source-Graphic"/>
        <w:jc w:val="both"/>
      </w:pPr>
    </w:p>
    <w:p w14:paraId="4D6B1B72" w14:textId="3E3D0CDA" w:rsidR="00E34BF3" w:rsidRDefault="00E34BF3" w:rsidP="00020D20">
      <w:pPr>
        <w:pStyle w:val="Heading3"/>
        <w:jc w:val="both"/>
      </w:pPr>
      <w:r>
        <w:br w:type="page"/>
      </w:r>
    </w:p>
    <w:p w14:paraId="4722CF34" w14:textId="77777777" w:rsidR="00E34BF3" w:rsidRDefault="00E34BF3" w:rsidP="00020D20">
      <w:pPr>
        <w:pStyle w:val="Heading3"/>
        <w:jc w:val="both"/>
        <w:sectPr w:rsidR="00E34BF3" w:rsidSect="00020D20">
          <w:type w:val="continuous"/>
          <w:pgSz w:w="12240" w:h="15840"/>
          <w:pgMar w:top="1440" w:right="1440" w:bottom="1440" w:left="1440" w:header="720" w:footer="720" w:gutter="0"/>
          <w:pgNumType w:chapStyle="1"/>
          <w:cols w:space="720"/>
          <w:docGrid w:linePitch="360"/>
        </w:sectPr>
      </w:pPr>
    </w:p>
    <w:p w14:paraId="25E5D219" w14:textId="3BDC5DAE" w:rsidR="000D5CB2" w:rsidRPr="000D4F9E" w:rsidRDefault="000D5CB2" w:rsidP="00020D20">
      <w:pPr>
        <w:pStyle w:val="Heading3"/>
        <w:jc w:val="both"/>
      </w:pPr>
      <w:bookmarkStart w:id="636" w:name="_Ref50047313"/>
      <w:r w:rsidRPr="000D4F9E">
        <w:t>17.3.</w:t>
      </w:r>
      <w:r>
        <w:t>3</w:t>
      </w:r>
      <w:r w:rsidRPr="000D4F9E">
        <w:t xml:space="preserve"> | </w:t>
      </w:r>
      <w:r>
        <w:t xml:space="preserve">ADOT </w:t>
      </w:r>
      <w:r w:rsidRPr="000D4F9E">
        <w:t xml:space="preserve">HPMS </w:t>
      </w:r>
      <w:r>
        <w:t xml:space="preserve">Traffic </w:t>
      </w:r>
      <w:r w:rsidRPr="000D4F9E">
        <w:t>Data Collection</w:t>
      </w:r>
      <w:r>
        <w:t xml:space="preserve"> Process</w:t>
      </w:r>
      <w:bookmarkEnd w:id="636"/>
    </w:p>
    <w:p w14:paraId="2004E0CB" w14:textId="324D8433" w:rsidR="00A22681" w:rsidRDefault="00155B41" w:rsidP="00020D20">
      <w:pPr>
        <w:jc w:val="both"/>
      </w:pPr>
      <w:r>
        <w:rPr>
          <w:rFonts w:cstheme="minorHAnsi"/>
          <w:noProof/>
        </w:rPr>
        <mc:AlternateContent>
          <mc:Choice Requires="wps">
            <w:drawing>
              <wp:anchor distT="0" distB="0" distL="114300" distR="114300" simplePos="0" relativeHeight="251618338" behindDoc="1" locked="0" layoutInCell="1" allowOverlap="1" wp14:anchorId="49CDE85F" wp14:editId="7445EABD">
                <wp:simplePos x="0" y="0"/>
                <wp:positionH relativeFrom="column">
                  <wp:posOffset>1371600</wp:posOffset>
                </wp:positionH>
                <wp:positionV relativeFrom="paragraph">
                  <wp:posOffset>111760</wp:posOffset>
                </wp:positionV>
                <wp:extent cx="1257300" cy="1252220"/>
                <wp:effectExtent l="76200" t="76200" r="76200" b="81280"/>
                <wp:wrapTight wrapText="bothSides">
                  <wp:wrapPolygon edited="0">
                    <wp:start x="-982" y="-1314"/>
                    <wp:lineTo x="-1309" y="-986"/>
                    <wp:lineTo x="-1309" y="22673"/>
                    <wp:lineTo x="22582" y="22673"/>
                    <wp:lineTo x="22582" y="4272"/>
                    <wp:lineTo x="22255" y="-657"/>
                    <wp:lineTo x="22255" y="-1314"/>
                    <wp:lineTo x="-982" y="-1314"/>
                  </wp:wrapPolygon>
                </wp:wrapTight>
                <wp:docPr id="816286030" name="Text Box 816286030"/>
                <wp:cNvGraphicFramePr/>
                <a:graphic xmlns:a="http://schemas.openxmlformats.org/drawingml/2006/main">
                  <a:graphicData uri="http://schemas.microsoft.com/office/word/2010/wordprocessingShape">
                    <wps:wsp>
                      <wps:cNvSpPr txBox="1"/>
                      <wps:spPr>
                        <a:xfrm>
                          <a:off x="0" y="0"/>
                          <a:ext cx="1257300" cy="125222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372D426" w14:textId="77777777" w:rsidR="00C6444C" w:rsidRDefault="00C6444C" w:rsidP="00020D20">
                            <w:pPr>
                              <w:jc w:val="center"/>
                            </w:pPr>
                            <w:r>
                              <w:rPr>
                                <w:noProof/>
                              </w:rPr>
                              <w:drawing>
                                <wp:inline distT="0" distB="0" distL="0" distR="0" wp14:anchorId="2D8D69A4" wp14:editId="251A780B">
                                  <wp:extent cx="457200" cy="457200"/>
                                  <wp:effectExtent l="0" t="0" r="0" b="0"/>
                                  <wp:docPr id="1690912758" name="Picture 169091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4174F8" w14:textId="1029B694" w:rsidR="00C6444C" w:rsidRPr="00954116" w:rsidRDefault="00C6444C" w:rsidP="00020D20">
                            <w:pPr>
                              <w:pStyle w:val="Calloutboxes"/>
                            </w:pPr>
                            <w:r w:rsidRPr="00394A74">
                              <w:t>HPMS Overview:</w:t>
                            </w:r>
                          </w:p>
                          <w:p w14:paraId="65312CA7" w14:textId="1C8447B2" w:rsidR="00C6444C" w:rsidRPr="00020D20" w:rsidRDefault="00202C92">
                            <w:pPr>
                              <w:pStyle w:val="Title"/>
                              <w:rPr>
                                <w:sz w:val="16"/>
                                <w:szCs w:val="16"/>
                              </w:rPr>
                            </w:pPr>
                            <w:hyperlink r:id="rId1047" w:history="1">
                              <w:r w:rsidR="00C6444C" w:rsidRPr="00883AF5">
                                <w:rPr>
                                  <w:rStyle w:val="Hyperlink"/>
                                  <w:rFonts w:asciiTheme="minorHAnsi" w:hAnsiTheme="minorHAnsi" w:cstheme="majorBidi"/>
                                  <w:i/>
                                  <w:color w:val="CE5B18"/>
                                  <w:u w:val="none"/>
                                </w:rPr>
                                <w:t>https://storymaps.arcgis.com/stories/5278a189882148b79d7422ef94a3c4be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CDE85F" id="Text Box 816286030" o:spid="_x0000_s1268" type="#_x0000_t202" style="position:absolute;left:0;text-align:left;margin-left:108pt;margin-top:8.8pt;width:99pt;height:98.6pt;z-index:-251698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" fillcolor="#f7f7f7" stroked="f" strokeweight=".5pt">
                <v:shadow on="t" type="perspective" color="black" opacity="26214f" offset="0,0" matrix="66847f,,,66847f"/>
                <v:textbox>
                  <w:txbxContent>
                    <w:p w14:paraId="1372D426" w14:textId="77777777" w:rsidR="00C6444C" w:rsidRDefault="00C6444C" w:rsidP="00020D20">
                      <w:pPr>
                        <w:jc w:val="center"/>
                      </w:pPr>
                      <w:r>
                        <w:rPr>
                          <w:noProof/>
                        </w:rPr>
                        <w:drawing>
                          <wp:inline distT="0" distB="0" distL="0" distR="0" wp14:anchorId="2D8D69A4" wp14:editId="251A780B">
                            <wp:extent cx="457200" cy="457200"/>
                            <wp:effectExtent l="0" t="0" r="0" b="0"/>
                            <wp:docPr id="1690912758" name="Picture 169091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4174F8" w14:textId="1029B694" w:rsidR="00C6444C" w:rsidRPr="00954116" w:rsidRDefault="00C6444C" w:rsidP="00020D20">
                      <w:pPr>
                        <w:pStyle w:val="Calloutboxes"/>
                      </w:pPr>
                      <w:r w:rsidRPr="00394A74">
                        <w:t>HPMS Overview:</w:t>
                      </w:r>
                    </w:p>
                    <w:p w14:paraId="65312CA7" w14:textId="1C8447B2" w:rsidR="00C6444C" w:rsidRPr="00020D20" w:rsidRDefault="00C6444C">
                      <w:pPr>
                        <w:pStyle w:val="Title"/>
                        <w:rPr>
                          <w:sz w:val="16"/>
                          <w:szCs w:val="16"/>
                        </w:rPr>
                      </w:pPr>
                      <w:hyperlink r:id="rId1048" w:history="1">
                        <w:r w:rsidRPr="00883AF5">
                          <w:rPr>
                            <w:rStyle w:val="Hyperlink"/>
                            <w:rFonts w:asciiTheme="minorHAnsi" w:hAnsiTheme="minorHAnsi" w:cstheme="majorBidi"/>
                            <w:i/>
                            <w:color w:val="CE5B18"/>
                            <w:u w:val="none"/>
                          </w:rPr>
                          <w:t>https://storymaps.arcgis.com/stories/5278a189882148b79d7422ef94a3c4be</w:t>
                        </w:r>
                      </w:hyperlink>
                    </w:p>
                  </w:txbxContent>
                </v:textbox>
                <w10:wrap type="tight"/>
              </v:shape>
            </w:pict>
          </mc:Fallback>
        </mc:AlternateContent>
      </w:r>
      <w:r w:rsidR="00A22681">
        <w:t>ADOT encourages all</w:t>
      </w:r>
      <w:r w:rsidR="00385F35">
        <w:t xml:space="preserve"> MPOS,</w:t>
      </w:r>
      <w:r w:rsidR="00A22681">
        <w:t xml:space="preserve"> COGs</w:t>
      </w:r>
      <w:r w:rsidR="00385F35">
        <w:t>,</w:t>
      </w:r>
      <w:r w:rsidR="00A22681">
        <w:t xml:space="preserve"> and</w:t>
      </w:r>
      <w:r w:rsidR="0059577A">
        <w:t xml:space="preserve"> any</w:t>
      </w:r>
      <w:r w:rsidR="00A22681">
        <w:t xml:space="preserve"> </w:t>
      </w:r>
      <w:r w:rsidR="0059577A">
        <w:t xml:space="preserve">local </w:t>
      </w:r>
      <w:r w:rsidR="00121C12">
        <w:t>public agency</w:t>
      </w:r>
      <w:r w:rsidR="0059577A">
        <w:t xml:space="preserve"> (LPA)</w:t>
      </w:r>
      <w:r w:rsidR="00A22681">
        <w:t xml:space="preserve"> to continue traffic data collection for their own purposes and to supplement the State’s needs on a voluntary basis.</w:t>
      </w:r>
      <w:r w:rsidR="00441996">
        <w:t xml:space="preserve"> There is currently no penalty if a TMA, MPO, COG, or LPA does not participate in performing traffic counts for HPMS compliance purposes, but ADOT heavily relies on local and regional participation to meet federal compliance, particularly on roadways  functionally classified as Minor Arterials, Major Collectors, and Urban Minor Collectors.</w:t>
      </w:r>
    </w:p>
    <w:p w14:paraId="76309446" w14:textId="258D8E64" w:rsidR="00A22681" w:rsidRDefault="00A22681" w:rsidP="00020D20">
      <w:pPr>
        <w:jc w:val="both"/>
      </w:pPr>
      <w:r>
        <w:t>Any</w:t>
      </w:r>
      <w:r w:rsidR="00121C12">
        <w:t xml:space="preserve"> MPO,</w:t>
      </w:r>
      <w:r>
        <w:t xml:space="preserve"> COG</w:t>
      </w:r>
      <w:r w:rsidR="00121C12">
        <w:t>,</w:t>
      </w:r>
      <w:r>
        <w:t xml:space="preserve"> or LPA-collected traffic data for purposes of uploading to our Traffic Count Data System (TCDS) database, must meet the following requirements: </w:t>
      </w:r>
    </w:p>
    <w:p w14:paraId="40B53B0A" w14:textId="319FB12D" w:rsidR="00A22681" w:rsidRDefault="00A22681" w:rsidP="00020D20">
      <w:pPr>
        <w:pStyle w:val="Body-Bullets"/>
        <w:jc w:val="both"/>
      </w:pPr>
      <w:r>
        <w:t xml:space="preserve">Traffic volumes should be collected directionally and aggregated to 15-minute bins that allow for calculation of peak hour and directional factors. </w:t>
      </w:r>
    </w:p>
    <w:p w14:paraId="03A6C0FC" w14:textId="1D7EB44A" w:rsidR="00A22681" w:rsidRDefault="00A22681" w:rsidP="00020D20">
      <w:pPr>
        <w:pStyle w:val="Body-Bullets"/>
        <w:jc w:val="both"/>
      </w:pPr>
      <w:r>
        <w:t xml:space="preserve">All short-term traffic counts must be at least 48-hour duration. Traffic counts must also be collected on days that are representative of typical traffic volumes so counts can effectively be calculated to an accurate estimate of annualized </w:t>
      </w:r>
      <w:r w:rsidR="00A55177">
        <w:t>A</w:t>
      </w:r>
      <w:r w:rsidR="00480452">
        <w:t>DT</w:t>
      </w:r>
      <w:r>
        <w:t xml:space="preserve"> volumes during the year-end traffic data processing and HPMS assembly. </w:t>
      </w:r>
    </w:p>
    <w:p w14:paraId="2F462890" w14:textId="79D55432" w:rsidR="00A22681" w:rsidRDefault="00A22681" w:rsidP="00020D20">
      <w:pPr>
        <w:pStyle w:val="Body-Bullets"/>
        <w:jc w:val="both"/>
      </w:pPr>
      <w:r>
        <w:t xml:space="preserve">A comprehensive set of updated traffic count data shall be collected at a frequency no less than the minimum count cycle stated in the above table (i.e., a 3-year cycle for principal arterials and a 6-year cycle for minor arterials and collectors). </w:t>
      </w:r>
    </w:p>
    <w:p w14:paraId="52F959B0" w14:textId="5A10E009" w:rsidR="00A22681" w:rsidRDefault="00A22681" w:rsidP="00020D20">
      <w:pPr>
        <w:pStyle w:val="Body-Bullets"/>
        <w:jc w:val="both"/>
      </w:pPr>
      <w:r>
        <w:t xml:space="preserve">Local traffic counting programs already in existence at the COG or local level are urged to continue.  Where updated traffic count results are already available or planned to be available, this provision strongly encourages the COG to share that data so ADOT can minimize the potential for redundant costs/efforts.   </w:t>
      </w:r>
    </w:p>
    <w:p w14:paraId="42F28795" w14:textId="0566CEB8" w:rsidR="00A22681" w:rsidRDefault="00385F35" w:rsidP="00020D20">
      <w:pPr>
        <w:pStyle w:val="Body-Bullets"/>
        <w:jc w:val="both"/>
      </w:pPr>
      <w:r>
        <w:t>MPOs and C</w:t>
      </w:r>
      <w:r w:rsidR="00A22681">
        <w:t xml:space="preserve">OGs shall encourage LPAs to submit traffic count field notes or other information about the collected traffic counts and shall be maintained and provided to ADOT staff or its contractors when requested by ADOT or its contractors. </w:t>
      </w:r>
    </w:p>
    <w:p w14:paraId="45912E3D" w14:textId="541523BD" w:rsidR="00A22681" w:rsidRDefault="00A22681" w:rsidP="00020D20">
      <w:pPr>
        <w:pStyle w:val="Heading3"/>
        <w:jc w:val="both"/>
      </w:pPr>
      <w:bookmarkStart w:id="637" w:name="_Ref50047316"/>
      <w:r>
        <w:t>17.3.</w:t>
      </w:r>
      <w:r w:rsidR="000D5CB2">
        <w:t>4</w:t>
      </w:r>
      <w:r>
        <w:t xml:space="preserve"> | Traffic Reporting Requirements Using the MS2 TCDS Module</w:t>
      </w:r>
      <w:bookmarkEnd w:id="637"/>
    </w:p>
    <w:p w14:paraId="2528C978" w14:textId="64963F45" w:rsidR="00A22681" w:rsidRDefault="00A22681" w:rsidP="00020D20">
      <w:pPr>
        <w:jc w:val="both"/>
        <w:rPr>
          <w:rFonts w:ascii="Helvetica Neue" w:hAnsi="Helvetica Neue"/>
        </w:rPr>
      </w:pPr>
      <w:r>
        <w:t xml:space="preserve">Since 2010, ADOT has provided each </w:t>
      </w:r>
      <w:r w:rsidR="00385F35">
        <w:t xml:space="preserve">MPO and </w:t>
      </w:r>
      <w:r>
        <w:t xml:space="preserve">COG with a publicly viewable web-based Traffic Count Data System (TCDS) module to support improved data sharing and management of HPMS traffic data items. The ADOT TCDS portal is viewable at </w:t>
      </w:r>
      <w:hyperlink r:id="rId1049" w:tgtFrame="_blank" w:history="1">
        <w:r w:rsidRPr="00020D20">
          <w:rPr>
            <w:rStyle w:val="TitleChar"/>
          </w:rPr>
          <w:t>https://adot.ms2soft.com</w:t>
        </w:r>
      </w:hyperlink>
      <w:r>
        <w:t xml:space="preserve">.  Corresponding local agency sites are viewable from a similar web address where “adot” is replaced with the abbreviated </w:t>
      </w:r>
      <w:r w:rsidR="00385F35">
        <w:t xml:space="preserve">MPO or </w:t>
      </w:r>
      <w:r>
        <w:t xml:space="preserve">COG name (i.e., </w:t>
      </w:r>
      <w:hyperlink r:id="rId1050" w:tgtFrame="_blank" w:history="1">
        <w:r w:rsidRPr="00020D20">
          <w:rPr>
            <w:rStyle w:val="TitleChar"/>
          </w:rPr>
          <w:t>https://nacog.ms2soft.com</w:t>
        </w:r>
      </w:hyperlink>
      <w:r>
        <w:t>). Raw traffic counts are processed by ADOT inside the TCDS application to derive and/or apply seasonal factors to compute annualized ADTs, vehicle class </w:t>
      </w:r>
      <w:r>
        <w:rPr>
          <w:color w:val="222222"/>
        </w:rPr>
        <w:t>distribution, and other traffic statistics. Traffic information is used for the annual HPMS submittal by ADOT to FHWA, as well as for statewide traffic analysis and planning.</w:t>
      </w:r>
    </w:p>
    <w:p w14:paraId="44911D17" w14:textId="1D01F2AA" w:rsidR="00A22681" w:rsidRDefault="00A22681" w:rsidP="00020D20">
      <w:pPr>
        <w:jc w:val="both"/>
      </w:pPr>
      <w:r>
        <w:t> If a</w:t>
      </w:r>
      <w:r w:rsidR="00385F35">
        <w:t xml:space="preserve">n MPO, </w:t>
      </w:r>
      <w:r>
        <w:t>COG</w:t>
      </w:r>
      <w:r w:rsidR="00385F35">
        <w:t>,</w:t>
      </w:r>
      <w:r>
        <w:t xml:space="preserve"> or LPA collects traffic data for use by ADOT, </w:t>
      </w:r>
      <w:r w:rsidR="00385F35">
        <w:t>it</w:t>
      </w:r>
      <w:r>
        <w:t xml:space="preserve"> will agree to perform the following tasks related to reporting of traffic count data using the respective COG TCDS module:  </w:t>
      </w:r>
    </w:p>
    <w:p w14:paraId="7530C163" w14:textId="1848C346" w:rsidR="00A22681" w:rsidRDefault="00A22681" w:rsidP="00020D20">
      <w:pPr>
        <w:pStyle w:val="Body-Bullets"/>
        <w:jc w:val="both"/>
      </w:pPr>
      <w:r>
        <w:t xml:space="preserve">Ensure that traffic data collected by or for its member agencies is completely and successfully posted to the web-based TCDS application where it can be reviewed, processed, and analyzed by ADOT. </w:t>
      </w:r>
    </w:p>
    <w:p w14:paraId="6A77E920" w14:textId="2B582F7F" w:rsidR="00A22681" w:rsidRDefault="00A22681" w:rsidP="00020D20">
      <w:pPr>
        <w:pStyle w:val="Body-Bullets"/>
        <w:jc w:val="both"/>
      </w:pPr>
      <w:r>
        <w:t>Tools inside the TCDS application shall be used to update and maintain traffic count station locations and site identifiers employed by the agency.</w:t>
      </w:r>
    </w:p>
    <w:p w14:paraId="15375BB3" w14:textId="5752ADFE" w:rsidR="00A22681" w:rsidRDefault="00A22681" w:rsidP="00020D20">
      <w:pPr>
        <w:pStyle w:val="Body-Bullets"/>
        <w:jc w:val="both"/>
      </w:pPr>
      <w:r>
        <w:t xml:space="preserve">Member agency raw traffic counts and vehicle classification counts shall be uploaded using the Multi-file Upload tool in the TCDS module. The Count Group Assign List interface </w:t>
      </w:r>
      <w:r w:rsidR="00480452">
        <w:t>must</w:t>
      </w:r>
      <w:r>
        <w:t xml:space="preserve"> be used following upload for review and quality control. </w:t>
      </w:r>
    </w:p>
    <w:p w14:paraId="07C5AB29" w14:textId="39B80CA5" w:rsidR="00A22681" w:rsidRDefault="00A22681" w:rsidP="00020D20">
      <w:pPr>
        <w:pStyle w:val="Body-Bullets"/>
        <w:jc w:val="both"/>
      </w:pPr>
      <w:r>
        <w:t xml:space="preserve">Traffic counts should be uploaded in directional raw 15-minute bins where possible. </w:t>
      </w:r>
    </w:p>
    <w:p w14:paraId="45440229" w14:textId="31798368" w:rsidR="00A22681" w:rsidRDefault="00A22681" w:rsidP="00020D20">
      <w:pPr>
        <w:pStyle w:val="Body-Bullets"/>
        <w:jc w:val="both"/>
      </w:pPr>
      <w:r>
        <w:t xml:space="preserve">All collected traffic data is strongly encouraged to be reported to TCDS. </w:t>
      </w:r>
    </w:p>
    <w:p w14:paraId="5D13B68F" w14:textId="6F8F888E" w:rsidR="00A22681" w:rsidRDefault="00A22681" w:rsidP="00020D20">
      <w:pPr>
        <w:pStyle w:val="Body-Bullets"/>
        <w:jc w:val="both"/>
      </w:pPr>
      <w:r>
        <w:t>Short-term traffic counts should be loaded continuously throughout the calendar year as the counts are collected. The previous calendar year’s traffic collection efforts shall be uploaded no later than by February 1st of the next year. For example: by February 1st, 202</w:t>
      </w:r>
      <w:r w:rsidR="00A55177">
        <w:t>1</w:t>
      </w:r>
      <w:r>
        <w:t xml:space="preserve">, all the traffic data collected within the </w:t>
      </w:r>
      <w:r w:rsidR="00385F35">
        <w:t xml:space="preserve">MPO or </w:t>
      </w:r>
      <w:r>
        <w:t>COG in the calendar year 20</w:t>
      </w:r>
      <w:r w:rsidR="00A55177">
        <w:t>20</w:t>
      </w:r>
      <w:r>
        <w:t xml:space="preserve"> shall be uploaded onto TCDS and be available for ADOT to process into the HPMS Submittal.</w:t>
      </w:r>
    </w:p>
    <w:p w14:paraId="584F79B8" w14:textId="4EDAE086" w:rsidR="00A22681" w:rsidRDefault="00A22681" w:rsidP="00020D20">
      <w:pPr>
        <w:pStyle w:val="Body-Bullets"/>
        <w:jc w:val="both"/>
      </w:pPr>
      <w:r>
        <w:t>If permanent/continuous count station data is available on non-state system roadways within the COG, the local agency will work with ADOT to connect the permanent/continuous count station data to the TCDS module where it can assist in development of local seasonal factors.</w:t>
      </w:r>
    </w:p>
    <w:p w14:paraId="337859F7" w14:textId="63BB64D2" w:rsidR="00A22681" w:rsidRPr="007A426B" w:rsidRDefault="00A22681" w:rsidP="00020D20">
      <w:pPr>
        <w:jc w:val="both"/>
      </w:pPr>
      <w:r>
        <w:t xml:space="preserve">Where helpful to agencies, </w:t>
      </w:r>
      <w:r w:rsidR="00385F35">
        <w:t xml:space="preserve">MPOs and </w:t>
      </w:r>
      <w:r>
        <w:t>COGs may coordinate with the ADOT Transportation Analysis Group to receive training on traffic data collection and application of the TCDS web tools.  Training workshops may be provided by ADOT staff and/or its contractor in person or through internet webinars as needed. </w:t>
      </w:r>
    </w:p>
    <w:p w14:paraId="0AF163AA" w14:textId="1B8C09F6" w:rsidR="000D4F9E" w:rsidRPr="000D4F9E" w:rsidRDefault="000D4F9E" w:rsidP="00020D20">
      <w:pPr>
        <w:pStyle w:val="Heading3"/>
        <w:jc w:val="both"/>
      </w:pPr>
      <w:bookmarkStart w:id="638" w:name="_Ref50047320"/>
      <w:r w:rsidRPr="000D4F9E">
        <w:t>17.3.</w:t>
      </w:r>
      <w:r w:rsidR="000D5CB2">
        <w:t>5</w:t>
      </w:r>
      <w:r w:rsidRPr="000D4F9E">
        <w:t xml:space="preserve"> | Functional Classification</w:t>
      </w:r>
      <w:bookmarkEnd w:id="638"/>
    </w:p>
    <w:p w14:paraId="73C5475F" w14:textId="4E5FF703" w:rsidR="00514AF4" w:rsidRDefault="000A263F" w:rsidP="00020D20">
      <w:pPr>
        <w:jc w:val="both"/>
        <w:rPr>
          <w:rFonts w:cstheme="minorHAnsi"/>
        </w:rPr>
        <w:sectPr w:rsidR="00514AF4" w:rsidSect="00020D20">
          <w:type w:val="continuous"/>
          <w:pgSz w:w="12240" w:h="15840"/>
          <w:pgMar w:top="1440" w:right="1440" w:bottom="1440" w:left="1440" w:header="720" w:footer="720" w:gutter="0"/>
          <w:pgNumType w:chapStyle="1"/>
          <w:cols w:num="2" w:space="720"/>
          <w:docGrid w:linePitch="360"/>
        </w:sectPr>
      </w:pPr>
      <w:r>
        <w:rPr>
          <w:rFonts w:cstheme="minorHAnsi"/>
          <w:noProof/>
        </w:rPr>
        <mc:AlternateContent>
          <mc:Choice Requires="wps">
            <w:drawing>
              <wp:anchor distT="0" distB="0" distL="114300" distR="114300" simplePos="0" relativeHeight="251618610" behindDoc="1" locked="0" layoutInCell="1" allowOverlap="1" wp14:anchorId="1E4E7C96" wp14:editId="394B5517">
                <wp:simplePos x="0" y="0"/>
                <wp:positionH relativeFrom="column">
                  <wp:posOffset>1447800</wp:posOffset>
                </wp:positionH>
                <wp:positionV relativeFrom="paragraph">
                  <wp:posOffset>248920</wp:posOffset>
                </wp:positionV>
                <wp:extent cx="1365250" cy="1506220"/>
                <wp:effectExtent l="76200" t="95250" r="82550" b="93980"/>
                <wp:wrapTight wrapText="bothSides">
                  <wp:wrapPolygon edited="0">
                    <wp:start x="-1206" y="-1366"/>
                    <wp:lineTo x="-1206" y="22675"/>
                    <wp:lineTo x="22605" y="22675"/>
                    <wp:lineTo x="22605" y="-1366"/>
                    <wp:lineTo x="-1206" y="-1366"/>
                  </wp:wrapPolygon>
                </wp:wrapTight>
                <wp:docPr id="1690912820" name="Text Box 1690912820"/>
                <wp:cNvGraphicFramePr/>
                <a:graphic xmlns:a="http://schemas.openxmlformats.org/drawingml/2006/main">
                  <a:graphicData uri="http://schemas.microsoft.com/office/word/2010/wordprocessingShape">
                    <wps:wsp>
                      <wps:cNvSpPr txBox="1"/>
                      <wps:spPr>
                        <a:xfrm>
                          <a:off x="0" y="0"/>
                          <a:ext cx="1365250" cy="150622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FF2744C" w14:textId="77777777" w:rsidR="00C6444C" w:rsidRDefault="00C6444C" w:rsidP="00020D20">
                            <w:pPr>
                              <w:jc w:val="center"/>
                            </w:pPr>
                            <w:r>
                              <w:rPr>
                                <w:noProof/>
                              </w:rPr>
                              <w:drawing>
                                <wp:inline distT="0" distB="0" distL="0" distR="0" wp14:anchorId="6C3BBD21" wp14:editId="4AD389CF">
                                  <wp:extent cx="457200" cy="457200"/>
                                  <wp:effectExtent l="0" t="0" r="0" b="0"/>
                                  <wp:docPr id="1690912821" name="Picture 169091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36432FE" w14:textId="77777777" w:rsidR="00C6444C" w:rsidRPr="00977A9B" w:rsidRDefault="00C6444C" w:rsidP="00020D20">
                            <w:pPr>
                              <w:pStyle w:val="Calloutboxes"/>
                            </w:pPr>
                            <w:r w:rsidRPr="00394A74">
                              <w:t xml:space="preserve">Federal </w:t>
                            </w:r>
                            <w:r w:rsidRPr="00954116">
                              <w:t xml:space="preserve">Functional Classification </w:t>
                            </w:r>
                            <w:r w:rsidRPr="005A6734">
                              <w:t>Overview</w:t>
                            </w:r>
                          </w:p>
                          <w:p w14:paraId="16051AA2" w14:textId="77777777" w:rsidR="00C6444C" w:rsidRPr="00020D20" w:rsidRDefault="00202C92">
                            <w:pPr>
                              <w:pStyle w:val="Title"/>
                              <w:rPr>
                                <w:sz w:val="16"/>
                                <w:szCs w:val="16"/>
                              </w:rPr>
                            </w:pPr>
                            <w:hyperlink r:id="rId1051" w:history="1">
                              <w:r w:rsidR="00C6444C" w:rsidRPr="00883AF5">
                                <w:rPr>
                                  <w:rStyle w:val="Hyperlink"/>
                                  <w:rFonts w:asciiTheme="minorHAnsi" w:hAnsiTheme="minorHAnsi" w:cstheme="majorBidi"/>
                                  <w:i/>
                                  <w:color w:val="CE5B18"/>
                                  <w:u w:val="none"/>
                                </w:rPr>
                                <w:t>https://adot.maps.arcgis.com/apps/MapJournal/index.html?appid=32bd9c6bf7634a29ae8997c15c88771a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4E7C96" id="Text Box 1690912820" o:spid="_x0000_s1269" type="#_x0000_t202" style="position:absolute;left:0;text-align:left;margin-left:114pt;margin-top:19.6pt;width:107.5pt;height:118.6pt;z-index:-251697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" fillcolor="#f7f7f7" stroked="f" strokeweight=".5pt">
                <v:shadow on="t" type="perspective" color="black" opacity="26214f" offset="0,0" matrix="66847f,,,66847f"/>
                <v:textbox>
                  <w:txbxContent>
                    <w:p w14:paraId="0FF2744C" w14:textId="77777777" w:rsidR="00C6444C" w:rsidRDefault="00C6444C" w:rsidP="00020D20">
                      <w:pPr>
                        <w:jc w:val="center"/>
                      </w:pPr>
                      <w:r>
                        <w:rPr>
                          <w:noProof/>
                        </w:rPr>
                        <w:drawing>
                          <wp:inline distT="0" distB="0" distL="0" distR="0" wp14:anchorId="6C3BBD21" wp14:editId="4AD389CF">
                            <wp:extent cx="457200" cy="457200"/>
                            <wp:effectExtent l="0" t="0" r="0" b="0"/>
                            <wp:docPr id="1690912821" name="Picture 169091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36432FE" w14:textId="77777777" w:rsidR="00C6444C" w:rsidRPr="00977A9B" w:rsidRDefault="00C6444C" w:rsidP="00020D20">
                      <w:pPr>
                        <w:pStyle w:val="Calloutboxes"/>
                      </w:pPr>
                      <w:r w:rsidRPr="00394A74">
                        <w:t xml:space="preserve">Federal </w:t>
                      </w:r>
                      <w:r w:rsidRPr="00954116">
                        <w:t xml:space="preserve">Functional Classification </w:t>
                      </w:r>
                      <w:r w:rsidRPr="005A6734">
                        <w:t>Overview</w:t>
                      </w:r>
                    </w:p>
                    <w:p w14:paraId="16051AA2" w14:textId="77777777" w:rsidR="00C6444C" w:rsidRPr="00020D20" w:rsidRDefault="00C6444C">
                      <w:pPr>
                        <w:pStyle w:val="Title"/>
                        <w:rPr>
                          <w:sz w:val="16"/>
                          <w:szCs w:val="16"/>
                        </w:rPr>
                      </w:pPr>
                      <w:hyperlink r:id="rId1052" w:history="1">
                        <w:r w:rsidRPr="00883AF5">
                          <w:rPr>
                            <w:rStyle w:val="Hyperlink"/>
                            <w:rFonts w:asciiTheme="minorHAnsi" w:hAnsiTheme="minorHAnsi" w:cstheme="majorBidi"/>
                            <w:i/>
                            <w:color w:val="CE5B18"/>
                            <w:u w:val="none"/>
                          </w:rPr>
                          <w:t>https://adot.maps.arcgis.com/apps/MapJournal/index.html?appid=32bd9c6bf7634a29ae8997c15c88771a</w:t>
                        </w:r>
                      </w:hyperlink>
                    </w:p>
                  </w:txbxContent>
                </v:textbox>
                <w10:wrap type="tight"/>
              </v:shape>
            </w:pict>
          </mc:Fallback>
        </mc:AlternateContent>
      </w:r>
      <w:r w:rsidR="000D4F9E" w:rsidRPr="000D4F9E">
        <w:rPr>
          <w:rFonts w:cstheme="minorHAnsi"/>
        </w:rPr>
        <w:t xml:space="preserve">Functional classification is used to group roadways into classes according to their </w:t>
      </w:r>
      <w:r w:rsidR="00817EB3">
        <w:rPr>
          <w:rFonts w:cstheme="minorHAnsi"/>
        </w:rPr>
        <w:t>capacity</w:t>
      </w:r>
      <w:r w:rsidR="00817EB3" w:rsidRPr="000D4F9E">
        <w:rPr>
          <w:rFonts w:cstheme="minorHAnsi"/>
        </w:rPr>
        <w:t xml:space="preserve"> </w:t>
      </w:r>
      <w:r w:rsidR="000D4F9E" w:rsidRPr="000D4F9E">
        <w:rPr>
          <w:rFonts w:cstheme="minorHAnsi"/>
        </w:rPr>
        <w:t>to accommodate travel. It is necessary to understand that travel involves movement through a network of roadways. This network is made up of multiple roads of varying functional classification. The Functional Classification System provides a uniform evaluation of different levels of service provided by each facility. The roadway network is a hierarchical structure compris</w:t>
      </w:r>
      <w:r w:rsidR="00480452">
        <w:rPr>
          <w:rFonts w:cstheme="minorHAnsi"/>
        </w:rPr>
        <w:t>ed</w:t>
      </w:r>
      <w:r w:rsidR="000D4F9E" w:rsidRPr="000D4F9E">
        <w:rPr>
          <w:rFonts w:cstheme="minorHAnsi"/>
        </w:rPr>
        <w:t xml:space="preserve"> interstates, other freeways and </w:t>
      </w:r>
      <w:r w:rsidR="00480452">
        <w:rPr>
          <w:rFonts w:cstheme="minorHAnsi"/>
        </w:rPr>
        <w:t xml:space="preserve"> of</w:t>
      </w:r>
      <w:r w:rsidR="000D4F9E" w:rsidRPr="000D4F9E">
        <w:rPr>
          <w:rFonts w:cstheme="minorHAnsi"/>
        </w:rPr>
        <w:t>expressways, other principal arterials, minor arterials, major collectors, minor collectors, and local roadways. The classification of roadways varies between and among communities according to the design and function of its roadway network.</w:t>
      </w:r>
      <w:r w:rsidR="00514AF4">
        <w:rPr>
          <w:rFonts w:cstheme="minorHAnsi"/>
        </w:rPr>
        <w:t xml:space="preserve"> Figure 17.3-1 illustrates the federal functional classification </w:t>
      </w:r>
      <w:r w:rsidR="002A4ADD">
        <w:rPr>
          <w:rFonts w:cstheme="minorHAnsi"/>
        </w:rPr>
        <w:t xml:space="preserve">system </w:t>
      </w:r>
      <w:r w:rsidR="00514AF4">
        <w:rPr>
          <w:rFonts w:cstheme="minorHAnsi"/>
        </w:rPr>
        <w:t>hierarchy.</w:t>
      </w:r>
      <w:r w:rsidR="000D4F9E" w:rsidRPr="000D4F9E">
        <w:rPr>
          <w:rFonts w:cstheme="minorHAnsi"/>
        </w:rPr>
        <w:t xml:space="preserve"> </w:t>
      </w:r>
    </w:p>
    <w:p w14:paraId="17B7B644" w14:textId="643C5D49" w:rsidR="00514AF4" w:rsidRDefault="00514AF4" w:rsidP="00020D20">
      <w:pPr>
        <w:pStyle w:val="Heading4"/>
        <w:jc w:val="both"/>
      </w:pPr>
      <w:r>
        <w:t>Figure 17.3</w:t>
      </w:r>
      <w:r w:rsidRPr="00D43BA3">
        <w:t>-1</w:t>
      </w:r>
      <w:r>
        <w:t xml:space="preserve"> | Federal Functional Classification System Hierarchy </w:t>
      </w:r>
    </w:p>
    <w:p w14:paraId="13B9012F" w14:textId="529413D7" w:rsidR="00514AF4" w:rsidRDefault="00514AF4" w:rsidP="00020D20">
      <w:pPr>
        <w:jc w:val="both"/>
        <w:rPr>
          <w:rFonts w:cstheme="minorHAnsi"/>
        </w:rPr>
        <w:sectPr w:rsidR="00514AF4" w:rsidSect="00020D20">
          <w:type w:val="continuous"/>
          <w:pgSz w:w="12240" w:h="15840"/>
          <w:pgMar w:top="1440" w:right="1440" w:bottom="1440" w:left="1440" w:header="720" w:footer="720" w:gutter="0"/>
          <w:pgNumType w:chapStyle="1"/>
          <w:cols w:space="720"/>
          <w:docGrid w:linePitch="360"/>
        </w:sectPr>
      </w:pPr>
      <w:r>
        <w:rPr>
          <w:noProof/>
        </w:rPr>
        <w:drawing>
          <wp:inline distT="0" distB="0" distL="0" distR="0" wp14:anchorId="35173A03" wp14:editId="5C5D54CE">
            <wp:extent cx="5751367" cy="3514725"/>
            <wp:effectExtent l="0" t="0" r="1905" b="0"/>
            <wp:docPr id="196" name="Picture 196" descr="C:\Users\siffermanst\AppData\Local\Microsoft\Windows\INetCacheContent.Word\Functional_Class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ffermanst\AppData\Local\Microsoft\Windows\INetCacheContent.Word\Functional_Classification.jpg"/>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5771642" cy="3527115"/>
                    </a:xfrm>
                    <a:prstGeom prst="rect">
                      <a:avLst/>
                    </a:prstGeom>
                    <a:noFill/>
                    <a:ln>
                      <a:noFill/>
                    </a:ln>
                  </pic:spPr>
                </pic:pic>
              </a:graphicData>
            </a:graphic>
          </wp:inline>
        </w:drawing>
      </w:r>
    </w:p>
    <w:p w14:paraId="1E399F31" w14:textId="58668BB0" w:rsidR="008E72C6" w:rsidRDefault="000D4F9E" w:rsidP="00020D20">
      <w:pPr>
        <w:jc w:val="both"/>
        <w:rPr>
          <w:rFonts w:cstheme="minorHAnsi"/>
        </w:rPr>
      </w:pPr>
      <w:r w:rsidRPr="000D4F9E">
        <w:rPr>
          <w:rFonts w:cstheme="minorHAnsi"/>
        </w:rPr>
        <w:t>A roadway’s functional classification is based on the</w:t>
      </w:r>
      <w:r w:rsidR="008E72C6">
        <w:rPr>
          <w:rFonts w:cstheme="minorHAnsi"/>
        </w:rPr>
        <w:t xml:space="preserve"> following</w:t>
      </w:r>
      <w:r w:rsidRPr="000D4F9E">
        <w:rPr>
          <w:rFonts w:cstheme="minorHAnsi"/>
        </w:rPr>
        <w:t xml:space="preserve"> factors or criteria: </w:t>
      </w:r>
    </w:p>
    <w:p w14:paraId="3F269052" w14:textId="2350CA36" w:rsidR="008E72C6" w:rsidRPr="00C32A42" w:rsidRDefault="008E72C6" w:rsidP="00020D20">
      <w:pPr>
        <w:pStyle w:val="Body-Bullets"/>
      </w:pPr>
      <w:r w:rsidRPr="00C32A42">
        <w:t>Function (Provides mobility vs land access)</w:t>
      </w:r>
    </w:p>
    <w:p w14:paraId="457B761A" w14:textId="37FD29F7" w:rsidR="008E72C6" w:rsidRPr="00C32A42" w:rsidRDefault="008E72C6" w:rsidP="00020D20">
      <w:pPr>
        <w:pStyle w:val="Body-Bullets"/>
      </w:pPr>
      <w:r w:rsidRPr="00C32A42">
        <w:t>Destination (city centers, terminals, schools, commerce, industry, residential, etc.)</w:t>
      </w:r>
    </w:p>
    <w:p w14:paraId="2C6E94E5" w14:textId="79895021" w:rsidR="008E72C6" w:rsidRPr="00C32A42" w:rsidRDefault="008E72C6" w:rsidP="00020D20">
      <w:pPr>
        <w:pStyle w:val="Body-Bullets"/>
      </w:pPr>
      <w:r w:rsidRPr="00C32A42">
        <w:t>Design (lanes, medians, ingress/egress, etc.)</w:t>
      </w:r>
    </w:p>
    <w:p w14:paraId="2952D9AD" w14:textId="6BEF90F5" w:rsidR="008E72C6" w:rsidRPr="00C32A42" w:rsidRDefault="008E72C6" w:rsidP="00020D20">
      <w:pPr>
        <w:pStyle w:val="Body-Bullets"/>
      </w:pPr>
      <w:r w:rsidRPr="00C32A42">
        <w:t>Context (Urban, Rural, Adjacent Land Uses)</w:t>
      </w:r>
    </w:p>
    <w:p w14:paraId="6A759C6F" w14:textId="17FB73CE" w:rsidR="008E72C6" w:rsidRPr="00C32A42" w:rsidRDefault="008E72C6" w:rsidP="00020D20">
      <w:pPr>
        <w:pStyle w:val="Body-Bullets"/>
      </w:pPr>
      <w:r w:rsidRPr="00C32A42">
        <w:t>Topology (Hierarchical connectivity)</w:t>
      </w:r>
    </w:p>
    <w:p w14:paraId="500A8333" w14:textId="6C142057" w:rsidR="008E72C6" w:rsidRDefault="008E72C6" w:rsidP="00020D20">
      <w:pPr>
        <w:pStyle w:val="Body-Bullets"/>
      </w:pPr>
      <w:r w:rsidRPr="00C32A42">
        <w:t>Quantitative (mileage range quotas)</w:t>
      </w:r>
    </w:p>
    <w:p w14:paraId="4F620AE5" w14:textId="1D037882" w:rsidR="000D4F9E" w:rsidRPr="000D4F9E" w:rsidRDefault="000D4F9E" w:rsidP="00020D20">
      <w:pPr>
        <w:jc w:val="both"/>
        <w:rPr>
          <w:rFonts w:cstheme="minorHAnsi"/>
          <w:b/>
        </w:rPr>
      </w:pPr>
      <w:r w:rsidRPr="000D4F9E">
        <w:rPr>
          <w:rFonts w:cstheme="minorHAnsi"/>
        </w:rPr>
        <w:t>For example, arterial roadways provide a network of continuous routes that typically accommodate long trips and heavy travel demand and primarily serve interregional travel. Collectors basically serve a dual purpose, whereby they provide a significant amount of relatively long-distance travel and also provide more frequent access to abutting properties.</w:t>
      </w:r>
    </w:p>
    <w:p w14:paraId="7F48E335" w14:textId="662A5FEF" w:rsidR="000D4F9E" w:rsidRPr="000D4F9E" w:rsidRDefault="000D4F9E" w:rsidP="00020D20">
      <w:pPr>
        <w:jc w:val="both"/>
        <w:rPr>
          <w:rFonts w:cstheme="minorHAnsi"/>
        </w:rPr>
      </w:pPr>
      <w:r w:rsidRPr="000D4F9E">
        <w:rPr>
          <w:rFonts w:cstheme="minorHAnsi"/>
        </w:rPr>
        <w:t xml:space="preserve">The </w:t>
      </w:r>
      <w:hyperlink r:id="rId1054" w:history="1">
        <w:r w:rsidRPr="009F0727">
          <w:rPr>
            <w:rStyle w:val="TitleChar"/>
          </w:rPr>
          <w:t>HPMS reassessment</w:t>
        </w:r>
      </w:hyperlink>
      <w:r w:rsidRPr="000D4F9E">
        <w:rPr>
          <w:rFonts w:cstheme="minorHAnsi"/>
        </w:rPr>
        <w:t xml:space="preserve"> determined a consolidation of rural and urban designations used in defining functional classifications to be beneficial. This consolidation reduces emphasis on separate urban and rural designations, so that now, for example, “rural interstate” and “urban interstate” are simply referred to as “interstate.” Although the new functional classification codes do not distinguish between urban, small urban and rural, such distinctions may still be necessary for planning and funding purposes. These distinctions can be found in the </w:t>
      </w:r>
      <w:hyperlink r:id="rId1055" w:history="1">
        <w:r w:rsidRPr="00BD3F3A">
          <w:rPr>
            <w:rStyle w:val="TitleChar"/>
          </w:rPr>
          <w:t>Highway Functional Classification Guidelines</w:t>
        </w:r>
      </w:hyperlink>
      <w:r w:rsidRPr="000D4F9E">
        <w:rPr>
          <w:rFonts w:cstheme="minorHAnsi"/>
        </w:rPr>
        <w:t xml:space="preserve"> and are still considered to be useful and valid. The FHWA published “</w:t>
      </w:r>
      <w:hyperlink r:id="rId1056" w:history="1">
        <w:r w:rsidRPr="00B77660">
          <w:rPr>
            <w:rStyle w:val="TitleChar"/>
          </w:rPr>
          <w:t>FHWA Functional Classification Guidance Update</w:t>
        </w:r>
      </w:hyperlink>
      <w:r w:rsidR="00B77660" w:rsidRPr="000D4F9E">
        <w:rPr>
          <w:rFonts w:cstheme="minorHAnsi"/>
        </w:rPr>
        <w:t>,”</w:t>
      </w:r>
      <w:r w:rsidRPr="000D4F9E">
        <w:rPr>
          <w:rFonts w:cstheme="minorHAnsi"/>
        </w:rPr>
        <w:t xml:space="preserve"> that provides an overview of the changes. The new system utilizes GIS to promote efficiency and cost-effective use of resources. For example, instead of the separate urban/ rural designations, updated urban layers from census data are used to define the urban </w:t>
      </w:r>
      <w:r w:rsidR="00B21044">
        <w:rPr>
          <w:rFonts w:cstheme="minorHAnsi"/>
          <w:noProof/>
        </w:rPr>
        <mc:AlternateContent>
          <mc:Choice Requires="wps">
            <w:drawing>
              <wp:anchor distT="0" distB="0" distL="114300" distR="114300" simplePos="0" relativeHeight="251618334" behindDoc="1" locked="0" layoutInCell="1" allowOverlap="1" wp14:anchorId="2805369E" wp14:editId="038B504F">
                <wp:simplePos x="0" y="0"/>
                <wp:positionH relativeFrom="column">
                  <wp:posOffset>6985</wp:posOffset>
                </wp:positionH>
                <wp:positionV relativeFrom="paragraph">
                  <wp:posOffset>770255</wp:posOffset>
                </wp:positionV>
                <wp:extent cx="1371600" cy="1715770"/>
                <wp:effectExtent l="76200" t="95250" r="76200" b="93980"/>
                <wp:wrapTight wrapText="bothSides">
                  <wp:wrapPolygon edited="0">
                    <wp:start x="-1200" y="-1199"/>
                    <wp:lineTo x="-1200" y="22543"/>
                    <wp:lineTo x="22500" y="22543"/>
                    <wp:lineTo x="22500" y="-1199"/>
                    <wp:lineTo x="-1200" y="-1199"/>
                  </wp:wrapPolygon>
                </wp:wrapTight>
                <wp:docPr id="816286022" name="Text Box 816286022"/>
                <wp:cNvGraphicFramePr/>
                <a:graphic xmlns:a="http://schemas.openxmlformats.org/drawingml/2006/main">
                  <a:graphicData uri="http://schemas.microsoft.com/office/word/2010/wordprocessingShape">
                    <wps:wsp>
                      <wps:cNvSpPr txBox="1"/>
                      <wps:spPr>
                        <a:xfrm>
                          <a:off x="0" y="0"/>
                          <a:ext cx="1371600" cy="17157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2A4E02B" w14:textId="77777777" w:rsidR="00C6444C" w:rsidRDefault="00C6444C" w:rsidP="00020D20">
                            <w:pPr>
                              <w:jc w:val="center"/>
                            </w:pPr>
                            <w:r>
                              <w:rPr>
                                <w:noProof/>
                              </w:rPr>
                              <w:drawing>
                                <wp:inline distT="0" distB="0" distL="0" distR="0" wp14:anchorId="45E5DC18" wp14:editId="17CBE8A0">
                                  <wp:extent cx="457200" cy="457200"/>
                                  <wp:effectExtent l="0" t="0" r="0" b="0"/>
                                  <wp:docPr id="1690912759" name="Picture 16909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8D7B967" w14:textId="128E6A2E" w:rsidR="00C6444C" w:rsidRPr="00121C12" w:rsidRDefault="00C6444C" w:rsidP="00020D20">
                            <w:pPr>
                              <w:pStyle w:val="Calloutboxes"/>
                            </w:pPr>
                            <w:r w:rsidRPr="00394A74">
                              <w:t xml:space="preserve">USDOT </w:t>
                            </w:r>
                            <w:r w:rsidRPr="00954116">
                              <w:t>F</w:t>
                            </w:r>
                            <w:r w:rsidRPr="005A6734">
                              <w:t>HWA</w:t>
                            </w:r>
                            <w:r w:rsidRPr="00977A9B">
                              <w:t xml:space="preserve">. 2008. Policy Information, “Guidance for the Functional Classification of Highways (Updated).” Last modified </w:t>
                            </w:r>
                            <w:r w:rsidRPr="001E4049">
                              <w:t>November 7, 201</w:t>
                            </w:r>
                            <w:r w:rsidRPr="000F230E">
                              <w:t>4.</w:t>
                            </w:r>
                          </w:p>
                          <w:p w14:paraId="3E178775" w14:textId="16C42527" w:rsidR="00C6444C" w:rsidRPr="00020D20" w:rsidRDefault="00202C92" w:rsidP="00020D20">
                            <w:pPr>
                              <w:pStyle w:val="Title"/>
                              <w:rPr>
                                <w:sz w:val="16"/>
                              </w:rPr>
                            </w:pPr>
                            <w:hyperlink r:id="rId1057" w:history="1">
                              <w:r w:rsidR="00C6444C" w:rsidRPr="00020D20">
                                <w:rPr>
                                  <w:rStyle w:val="Hyperlink"/>
                                  <w:rFonts w:ascii="Calibri" w:hAnsi="Calibri" w:cstheme="majorBidi"/>
                                  <w:i/>
                                  <w:iCs w:val="0"/>
                                  <w:color w:val="CE5B18"/>
                                  <w:szCs w:val="56"/>
                                  <w:u w:val="none"/>
                                </w:rPr>
                                <w:t>https://www.fhwa.dot.gov/policy/ohpi/hpms/fchguidance.cfm</w:t>
                              </w:r>
                            </w:hyperlink>
                          </w:p>
                          <w:p w14:paraId="388F73F7" w14:textId="77777777" w:rsidR="00C6444C" w:rsidRPr="00020D20" w:rsidRDefault="00C6444C" w:rsidP="00020D20">
                            <w:pPr>
                              <w:pStyle w:val="Title"/>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05369E" id="Text Box 816286022" o:spid="_x0000_s1270" type="#_x0000_t202" style="position:absolute;left:0;text-align:left;margin-left:.55pt;margin-top:60.65pt;width:108pt;height:135.1pt;z-index:-251698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" fillcolor="#f7f7f7" stroked="f" strokeweight=".5pt">
                <v:shadow on="t" type="perspective" color="black" opacity="26214f" offset="0,0" matrix="66847f,,,66847f"/>
                <v:textbox>
                  <w:txbxContent>
                    <w:p w14:paraId="32A4E02B" w14:textId="77777777" w:rsidR="00C6444C" w:rsidRDefault="00C6444C" w:rsidP="00020D20">
                      <w:pPr>
                        <w:jc w:val="center"/>
                      </w:pPr>
                      <w:r>
                        <w:rPr>
                          <w:noProof/>
                        </w:rPr>
                        <w:drawing>
                          <wp:inline distT="0" distB="0" distL="0" distR="0" wp14:anchorId="45E5DC18" wp14:editId="17CBE8A0">
                            <wp:extent cx="457200" cy="457200"/>
                            <wp:effectExtent l="0" t="0" r="0" b="0"/>
                            <wp:docPr id="1690912759" name="Picture 16909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8D7B967" w14:textId="128E6A2E" w:rsidR="00C6444C" w:rsidRPr="00121C12" w:rsidRDefault="00C6444C" w:rsidP="00020D20">
                      <w:pPr>
                        <w:pStyle w:val="Calloutboxes"/>
                      </w:pPr>
                      <w:r w:rsidRPr="00394A74">
                        <w:t xml:space="preserve">USDOT </w:t>
                      </w:r>
                      <w:r w:rsidRPr="00954116">
                        <w:t>F</w:t>
                      </w:r>
                      <w:r w:rsidRPr="005A6734">
                        <w:t>HWA</w:t>
                      </w:r>
                      <w:r w:rsidRPr="00977A9B">
                        <w:t xml:space="preserve">. 2008. Policy Information, “Guidance for the Functional Classification of Highways (Updated).” Last modified </w:t>
                      </w:r>
                      <w:r w:rsidRPr="001E4049">
                        <w:t>November 7, 201</w:t>
                      </w:r>
                      <w:r w:rsidRPr="000F230E">
                        <w:t>4.</w:t>
                      </w:r>
                    </w:p>
                    <w:p w14:paraId="3E178775" w14:textId="16C42527" w:rsidR="00C6444C" w:rsidRPr="00020D20" w:rsidRDefault="00C6444C" w:rsidP="00020D20">
                      <w:pPr>
                        <w:pStyle w:val="Title"/>
                        <w:rPr>
                          <w:sz w:val="16"/>
                        </w:rPr>
                      </w:pPr>
                      <w:hyperlink r:id="rId1058" w:history="1">
                        <w:r w:rsidRPr="00020D20">
                          <w:rPr>
                            <w:rStyle w:val="Hyperlink"/>
                            <w:rFonts w:ascii="Calibri" w:hAnsi="Calibri" w:cstheme="majorBidi"/>
                            <w:i/>
                            <w:iCs w:val="0"/>
                            <w:color w:val="CE5B18"/>
                            <w:szCs w:val="56"/>
                            <w:u w:val="none"/>
                          </w:rPr>
                          <w:t>https://www.fhwa.dot.gov/policy/ohpi/hpms/fchguidance.cfm</w:t>
                        </w:r>
                      </w:hyperlink>
                    </w:p>
                    <w:p w14:paraId="388F73F7" w14:textId="77777777" w:rsidR="00C6444C" w:rsidRPr="00020D20" w:rsidRDefault="00C6444C" w:rsidP="00020D20">
                      <w:pPr>
                        <w:pStyle w:val="Title"/>
                        <w:rPr>
                          <w:sz w:val="16"/>
                        </w:rPr>
                      </w:pPr>
                    </w:p>
                  </w:txbxContent>
                </v:textbox>
                <w10:wrap type="tight"/>
              </v:shape>
            </w:pict>
          </mc:Fallback>
        </mc:AlternateContent>
      </w:r>
      <w:r w:rsidRPr="000D4F9E">
        <w:rPr>
          <w:rFonts w:cstheme="minorHAnsi"/>
        </w:rPr>
        <w:t>roadways. The new guidance also allows for consistency between states because there is a clear process to follow.</w:t>
      </w:r>
    </w:p>
    <w:p w14:paraId="70D81B60" w14:textId="3234A72D" w:rsidR="000D4F9E" w:rsidRPr="000D4F9E" w:rsidRDefault="00883AF5" w:rsidP="00020D20">
      <w:pPr>
        <w:jc w:val="both"/>
        <w:rPr>
          <w:rFonts w:cstheme="minorHAnsi"/>
        </w:rPr>
      </w:pPr>
      <w:r>
        <w:rPr>
          <w:rFonts w:cstheme="minorHAnsi"/>
          <w:noProof/>
        </w:rPr>
        <mc:AlternateContent>
          <mc:Choice Requires="wps">
            <w:drawing>
              <wp:anchor distT="0" distB="0" distL="114300" distR="114300" simplePos="0" relativeHeight="251618337" behindDoc="1" locked="0" layoutInCell="1" allowOverlap="1" wp14:anchorId="603BF111" wp14:editId="1294A8A4">
                <wp:simplePos x="0" y="0"/>
                <wp:positionH relativeFrom="column">
                  <wp:posOffset>9525</wp:posOffset>
                </wp:positionH>
                <wp:positionV relativeFrom="paragraph">
                  <wp:posOffset>4208145</wp:posOffset>
                </wp:positionV>
                <wp:extent cx="1490345" cy="1285875"/>
                <wp:effectExtent l="95250" t="95250" r="90805" b="104775"/>
                <wp:wrapTight wrapText="bothSides">
                  <wp:wrapPolygon edited="0">
                    <wp:start x="-828" y="-1600"/>
                    <wp:lineTo x="-1380" y="-960"/>
                    <wp:lineTo x="-1104" y="23040"/>
                    <wp:lineTo x="22364" y="23040"/>
                    <wp:lineTo x="22640" y="4160"/>
                    <wp:lineTo x="22088" y="-640"/>
                    <wp:lineTo x="22088" y="-1600"/>
                    <wp:lineTo x="-828" y="-1600"/>
                  </wp:wrapPolygon>
                </wp:wrapTight>
                <wp:docPr id="1690911397" name="Text Box 1690911397"/>
                <wp:cNvGraphicFramePr/>
                <a:graphic xmlns:a="http://schemas.openxmlformats.org/drawingml/2006/main">
                  <a:graphicData uri="http://schemas.microsoft.com/office/word/2010/wordprocessingShape">
                    <wps:wsp>
                      <wps:cNvSpPr txBox="1"/>
                      <wps:spPr>
                        <a:xfrm>
                          <a:off x="0" y="0"/>
                          <a:ext cx="1490345" cy="12858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E256703" w14:textId="77777777" w:rsidR="00C6444C" w:rsidRDefault="00C6444C" w:rsidP="00020D20">
                            <w:pPr>
                              <w:jc w:val="center"/>
                            </w:pPr>
                            <w:r>
                              <w:rPr>
                                <w:noProof/>
                              </w:rPr>
                              <w:drawing>
                                <wp:inline distT="0" distB="0" distL="0" distR="0" wp14:anchorId="47D4E192" wp14:editId="4CDE806B">
                                  <wp:extent cx="457200" cy="457200"/>
                                  <wp:effectExtent l="0" t="0" r="0" b="0"/>
                                  <wp:docPr id="1690911404" name="Picture 169091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BED9D8E" w14:textId="77777777" w:rsidR="00C6444C" w:rsidRPr="005A6734" w:rsidRDefault="00C6444C" w:rsidP="00020D20">
                            <w:pPr>
                              <w:pStyle w:val="Calloutboxes"/>
                            </w:pPr>
                            <w:r w:rsidRPr="00394A74">
                              <w:t>Functional Classification change request tool</w:t>
                            </w:r>
                            <w:r w:rsidRPr="00954116">
                              <w:t>:</w:t>
                            </w:r>
                          </w:p>
                          <w:p w14:paraId="05C224A9" w14:textId="77777777" w:rsidR="00C6444C" w:rsidRPr="002B0736" w:rsidRDefault="00202C92">
                            <w:pPr>
                              <w:pStyle w:val="Title"/>
                            </w:pPr>
                            <w:hyperlink r:id="rId1059" w:anchor="ajax/FCmap.html" w:history="1">
                              <w:r w:rsidR="00C6444C" w:rsidRPr="00883AF5">
                                <w:rPr>
                                  <w:rStyle w:val="Hyperlink"/>
                                  <w:rFonts w:asciiTheme="minorHAnsi" w:hAnsiTheme="minorHAnsi" w:cstheme="majorBidi"/>
                                  <w:i/>
                                  <w:color w:val="CE5B18"/>
                                  <w:u w:val="none"/>
                                </w:rPr>
                                <w:t>https://azgeo.az.gov/adot/WeLoveYourInput.aspx#ajax/FCmap.html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3BF111" id="Text Box 1690911397" o:spid="_x0000_s1271" type="#_x0000_t202" style="position:absolute;left:0;text-align:left;margin-left:.75pt;margin-top:331.35pt;width:117.35pt;height:101.25pt;z-index:-25169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" fillcolor="#f7f7f7" stroked="f" strokeweight=".5pt">
                <v:shadow on="t" type="perspective" color="black" opacity="26214f" offset="0,0" matrix="66847f,,,66847f"/>
                <v:textbox>
                  <w:txbxContent>
                    <w:p w14:paraId="1E256703" w14:textId="77777777" w:rsidR="00C6444C" w:rsidRDefault="00C6444C" w:rsidP="00020D20">
                      <w:pPr>
                        <w:jc w:val="center"/>
                      </w:pPr>
                      <w:r>
                        <w:rPr>
                          <w:noProof/>
                        </w:rPr>
                        <w:drawing>
                          <wp:inline distT="0" distB="0" distL="0" distR="0" wp14:anchorId="47D4E192" wp14:editId="4CDE806B">
                            <wp:extent cx="457200" cy="457200"/>
                            <wp:effectExtent l="0" t="0" r="0" b="0"/>
                            <wp:docPr id="1690911404" name="Picture 169091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BED9D8E" w14:textId="77777777" w:rsidR="00C6444C" w:rsidRPr="005A6734" w:rsidRDefault="00C6444C" w:rsidP="00020D20">
                      <w:pPr>
                        <w:pStyle w:val="Calloutboxes"/>
                      </w:pPr>
                      <w:r w:rsidRPr="00394A74">
                        <w:t>Functional Classification change request tool</w:t>
                      </w:r>
                      <w:r w:rsidRPr="00954116">
                        <w:t>:</w:t>
                      </w:r>
                    </w:p>
                    <w:p w14:paraId="05C224A9" w14:textId="77777777" w:rsidR="00C6444C" w:rsidRPr="002B0736" w:rsidRDefault="00C6444C">
                      <w:pPr>
                        <w:pStyle w:val="Title"/>
                      </w:pPr>
                      <w:hyperlink r:id="rId1060" w:anchor="ajax/FCmap.html" w:history="1">
                        <w:r w:rsidRPr="00883AF5">
                          <w:rPr>
                            <w:rStyle w:val="Hyperlink"/>
                            <w:rFonts w:asciiTheme="minorHAnsi" w:hAnsiTheme="minorHAnsi" w:cstheme="majorBidi"/>
                            <w:i/>
                            <w:color w:val="CE5B18"/>
                            <w:u w:val="none"/>
                          </w:rPr>
                          <w:t>https://azgeo.az.gov/adot/WeLoveYourInput.aspx#ajax/FCmap.html</w:t>
                        </w:r>
                      </w:hyperlink>
                    </w:p>
                  </w:txbxContent>
                </v:textbox>
                <w10:wrap type="tight"/>
              </v:shape>
            </w:pict>
          </mc:Fallback>
        </mc:AlternateContent>
      </w:r>
      <w:r>
        <w:rPr>
          <w:rFonts w:cstheme="minorHAnsi"/>
          <w:noProof/>
        </w:rPr>
        <mc:AlternateContent>
          <mc:Choice Requires="wps">
            <w:drawing>
              <wp:anchor distT="0" distB="0" distL="114300" distR="114300" simplePos="0" relativeHeight="251618335" behindDoc="1" locked="0" layoutInCell="1" allowOverlap="1" wp14:anchorId="135E980F" wp14:editId="6C16490F">
                <wp:simplePos x="0" y="0"/>
                <wp:positionH relativeFrom="column">
                  <wp:posOffset>9525</wp:posOffset>
                </wp:positionH>
                <wp:positionV relativeFrom="paragraph">
                  <wp:posOffset>2122170</wp:posOffset>
                </wp:positionV>
                <wp:extent cx="1365250" cy="1876425"/>
                <wp:effectExtent l="76200" t="95250" r="82550" b="104775"/>
                <wp:wrapTight wrapText="bothSides">
                  <wp:wrapPolygon edited="0">
                    <wp:start x="-1206" y="-1096"/>
                    <wp:lineTo x="-1206" y="22587"/>
                    <wp:lineTo x="22605" y="22587"/>
                    <wp:lineTo x="22605" y="-1096"/>
                    <wp:lineTo x="-1206" y="-1096"/>
                  </wp:wrapPolygon>
                </wp:wrapTight>
                <wp:docPr id="816286024" name="Text Box 816286024"/>
                <wp:cNvGraphicFramePr/>
                <a:graphic xmlns:a="http://schemas.openxmlformats.org/drawingml/2006/main">
                  <a:graphicData uri="http://schemas.microsoft.com/office/word/2010/wordprocessingShape">
                    <wps:wsp>
                      <wps:cNvSpPr txBox="1"/>
                      <wps:spPr>
                        <a:xfrm>
                          <a:off x="0" y="0"/>
                          <a:ext cx="1365250" cy="18764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2020E81" w14:textId="77777777" w:rsidR="00C6444C" w:rsidRDefault="00C6444C" w:rsidP="00020D20">
                            <w:pPr>
                              <w:jc w:val="center"/>
                            </w:pPr>
                            <w:r>
                              <w:rPr>
                                <w:noProof/>
                              </w:rPr>
                              <w:drawing>
                                <wp:inline distT="0" distB="0" distL="0" distR="0" wp14:anchorId="4A0E45E7" wp14:editId="1BD51F2E">
                                  <wp:extent cx="457200" cy="457200"/>
                                  <wp:effectExtent l="0" t="0" r="0" b="0"/>
                                  <wp:docPr id="1690912761" name="Picture 169091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CF496AB" w14:textId="71675D21" w:rsidR="00C6444C" w:rsidRPr="00954116" w:rsidRDefault="00C6444C" w:rsidP="00020D20">
                            <w:pPr>
                              <w:pStyle w:val="Calloutboxes"/>
                            </w:pPr>
                            <w:r w:rsidRPr="00394A74">
                              <w:t>ADOT Functional Classification Maps</w:t>
                            </w:r>
                          </w:p>
                          <w:p w14:paraId="486C1F17" w14:textId="2B05F440" w:rsidR="00C6444C" w:rsidRPr="00020D20" w:rsidRDefault="00202C92" w:rsidP="00020D20">
                            <w:pPr>
                              <w:pStyle w:val="BalloonText"/>
                              <w:spacing w:before="0" w:after="0"/>
                              <w:jc w:val="center"/>
                              <w:rPr>
                                <w:sz w:val="16"/>
                                <w:szCs w:val="16"/>
                              </w:rPr>
                            </w:pPr>
                            <w:hyperlink r:id="rId1061" w:history="1">
                              <w:r w:rsidR="00C6444C" w:rsidRPr="00883AF5">
                                <w:rPr>
                                  <w:rStyle w:val="Hyperlink"/>
                                  <w:rFonts w:asciiTheme="minorHAnsi" w:hAnsiTheme="minorHAnsi" w:cstheme="majorBidi"/>
                                  <w:color w:val="CE5B18"/>
                                  <w:u w:val="none"/>
                                </w:rPr>
                                <w:t>https://works.maps.arcgis.com/apps/webappviewer/index.html?id=4bcb96763e48482799906407a0cdb7cb</w:t>
                              </w:r>
                            </w:hyperlink>
                          </w:p>
                          <w:p w14:paraId="5C7EDBD3" w14:textId="70D04AF9" w:rsidR="00C6444C" w:rsidRPr="00020D20" w:rsidRDefault="00202C92" w:rsidP="00020D20">
                            <w:pPr>
                              <w:pStyle w:val="BalloonText"/>
                              <w:spacing w:before="0" w:after="0"/>
                              <w:jc w:val="center"/>
                              <w:rPr>
                                <w:sz w:val="16"/>
                                <w:szCs w:val="16"/>
                              </w:rPr>
                            </w:pPr>
                            <w:hyperlink r:id="rId1062" w:history="1">
                              <w:r w:rsidR="00C6444C" w:rsidRPr="00883AF5">
                                <w:rPr>
                                  <w:rStyle w:val="Hyperlink"/>
                                  <w:rFonts w:asciiTheme="minorHAnsi" w:hAnsiTheme="minorHAnsi" w:cstheme="majorBidi"/>
                                  <w:color w:val="CE5B18"/>
                                  <w:u w:val="none"/>
                                </w:rPr>
                                <w:t>https://origin.azdot.gov/maps/functional-classification-maps</w:t>
                              </w:r>
                            </w:hyperlink>
                          </w:p>
                          <w:p w14:paraId="1DD185D2" w14:textId="77777777" w:rsidR="00C6444C" w:rsidRPr="00020D20" w:rsidRDefault="00C6444C" w:rsidP="00020D20">
                            <w:pPr>
                              <w:spacing w:before="0"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5E980F" id="Text Box 816286024" o:spid="_x0000_s1272" type="#_x0000_t202" style="position:absolute;left:0;text-align:left;margin-left:.75pt;margin-top:167.1pt;width:107.5pt;height:147.75pt;z-index:-251698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" fillcolor="#f7f7f7" stroked="f" strokeweight=".5pt">
                <v:shadow on="t" type="perspective" color="black" opacity="26214f" offset="0,0" matrix="66847f,,,66847f"/>
                <v:textbox>
                  <w:txbxContent>
                    <w:p w14:paraId="22020E81" w14:textId="77777777" w:rsidR="00C6444C" w:rsidRDefault="00C6444C" w:rsidP="00020D20">
                      <w:pPr>
                        <w:jc w:val="center"/>
                      </w:pPr>
                      <w:r>
                        <w:rPr>
                          <w:noProof/>
                        </w:rPr>
                        <w:drawing>
                          <wp:inline distT="0" distB="0" distL="0" distR="0" wp14:anchorId="4A0E45E7" wp14:editId="1BD51F2E">
                            <wp:extent cx="457200" cy="457200"/>
                            <wp:effectExtent l="0" t="0" r="0" b="0"/>
                            <wp:docPr id="1690912761" name="Picture 169091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CF496AB" w14:textId="71675D21" w:rsidR="00C6444C" w:rsidRPr="00954116" w:rsidRDefault="00C6444C" w:rsidP="00020D20">
                      <w:pPr>
                        <w:pStyle w:val="Calloutboxes"/>
                      </w:pPr>
                      <w:r w:rsidRPr="00394A74">
                        <w:t>ADOT Functional Classification Maps</w:t>
                      </w:r>
                    </w:p>
                    <w:p w14:paraId="486C1F17" w14:textId="2B05F440" w:rsidR="00C6444C" w:rsidRPr="00020D20" w:rsidRDefault="00C6444C" w:rsidP="00020D20">
                      <w:pPr>
                        <w:pStyle w:val="BalloonText"/>
                        <w:spacing w:before="0" w:after="0"/>
                        <w:jc w:val="center"/>
                        <w:rPr>
                          <w:sz w:val="16"/>
                          <w:szCs w:val="16"/>
                        </w:rPr>
                      </w:pPr>
                      <w:hyperlink r:id="rId1063" w:history="1">
                        <w:r w:rsidRPr="00883AF5">
                          <w:rPr>
                            <w:rStyle w:val="Hyperlink"/>
                            <w:rFonts w:asciiTheme="minorHAnsi" w:hAnsiTheme="minorHAnsi" w:cstheme="majorBidi"/>
                            <w:color w:val="CE5B18"/>
                            <w:u w:val="none"/>
                          </w:rPr>
                          <w:t>https://works.maps.arcgis.com/apps/webappviewer/index.html?id=4bcb96763e48482799906407a0cdb7cb</w:t>
                        </w:r>
                      </w:hyperlink>
                    </w:p>
                    <w:p w14:paraId="5C7EDBD3" w14:textId="70D04AF9" w:rsidR="00C6444C" w:rsidRPr="00020D20" w:rsidRDefault="00C6444C" w:rsidP="00020D20">
                      <w:pPr>
                        <w:pStyle w:val="BalloonText"/>
                        <w:spacing w:before="0" w:after="0"/>
                        <w:jc w:val="center"/>
                        <w:rPr>
                          <w:sz w:val="16"/>
                          <w:szCs w:val="16"/>
                        </w:rPr>
                      </w:pPr>
                      <w:hyperlink r:id="rId1064" w:history="1">
                        <w:r w:rsidRPr="00883AF5">
                          <w:rPr>
                            <w:rStyle w:val="Hyperlink"/>
                            <w:rFonts w:asciiTheme="minorHAnsi" w:hAnsiTheme="minorHAnsi" w:cstheme="majorBidi"/>
                            <w:color w:val="CE5B18"/>
                            <w:u w:val="none"/>
                          </w:rPr>
                          <w:t>https://origin.azdot.gov/maps/functional-classification-maps</w:t>
                        </w:r>
                      </w:hyperlink>
                    </w:p>
                    <w:p w14:paraId="1DD185D2" w14:textId="77777777" w:rsidR="00C6444C" w:rsidRPr="00020D20" w:rsidRDefault="00C6444C" w:rsidP="00020D20">
                      <w:pPr>
                        <w:spacing w:before="0" w:after="0" w:line="240" w:lineRule="auto"/>
                        <w:jc w:val="center"/>
                        <w:rPr>
                          <w:sz w:val="16"/>
                          <w:szCs w:val="16"/>
                        </w:rPr>
                      </w:pPr>
                    </w:p>
                  </w:txbxContent>
                </v:textbox>
                <w10:wrap type="tight"/>
              </v:shape>
            </w:pict>
          </mc:Fallback>
        </mc:AlternateContent>
      </w:r>
      <w:r w:rsidR="008E72C6">
        <w:rPr>
          <w:rFonts w:cstheme="minorHAnsi"/>
        </w:rPr>
        <w:t>Following the 2018-2019 rebalancing effort, ADOT sought an unbiased reflection of the actual function of the road to determine roadway classification</w:t>
      </w:r>
      <w:r w:rsidR="000D4F9E" w:rsidRPr="000D4F9E">
        <w:rPr>
          <w:rFonts w:cstheme="minorHAnsi"/>
        </w:rPr>
        <w:t xml:space="preserve"> in conjunction with FHWA mileage limitations to classify roadways to arterial and collector systems. This methodology began with classifying Arizona’s rural </w:t>
      </w:r>
      <w:r w:rsidR="00A93565" w:rsidRPr="000D4F9E">
        <w:rPr>
          <w:rFonts w:cstheme="minorHAnsi"/>
        </w:rPr>
        <w:t>arterial</w:t>
      </w:r>
      <w:r w:rsidR="000D4F9E" w:rsidRPr="000D4F9E">
        <w:rPr>
          <w:rFonts w:cstheme="minorHAnsi"/>
        </w:rPr>
        <w:t xml:space="preserve"> system, and then the principal task was to distinguish the difference between the major and minor collectors. Once these tasks were accomplished, the remaining roads not</w:t>
      </w:r>
      <w:r w:rsidR="000D4F9E">
        <w:rPr>
          <w:rFonts w:cstheme="minorHAnsi"/>
        </w:rPr>
        <w:t xml:space="preserve"> </w:t>
      </w:r>
      <w:r w:rsidR="000D4F9E" w:rsidRPr="000D4F9E">
        <w:rPr>
          <w:rFonts w:cstheme="minorHAnsi"/>
        </w:rPr>
        <w:t xml:space="preserve">assigned were identified as local roadways. The urban roadways were also classified using the top-down methodology in addition to the mileage limitation imposed by FHWA. </w:t>
      </w:r>
    </w:p>
    <w:p w14:paraId="2D9F1382" w14:textId="341B357D" w:rsidR="000D4F9E" w:rsidRPr="000D4F9E" w:rsidRDefault="000D4F9E" w:rsidP="00020D20">
      <w:pPr>
        <w:jc w:val="both"/>
        <w:rPr>
          <w:rFonts w:cstheme="minorHAnsi"/>
        </w:rPr>
      </w:pPr>
      <w:r w:rsidRPr="000D4F9E">
        <w:rPr>
          <w:rFonts w:cstheme="minorHAnsi"/>
        </w:rPr>
        <w:t>Tables 17.3-</w:t>
      </w:r>
      <w:r w:rsidR="00946BB3">
        <w:rPr>
          <w:rFonts w:cstheme="minorHAnsi"/>
        </w:rPr>
        <w:t>3</w:t>
      </w:r>
      <w:r w:rsidR="00061298">
        <w:rPr>
          <w:rFonts w:cstheme="minorHAnsi"/>
        </w:rPr>
        <w:t xml:space="preserve"> and 17.3-4</w:t>
      </w:r>
      <w:r w:rsidRPr="000D4F9E">
        <w:rPr>
          <w:rFonts w:cstheme="minorHAnsi"/>
        </w:rPr>
        <w:t xml:space="preserve"> list the</w:t>
      </w:r>
      <w:r w:rsidR="00061298">
        <w:rPr>
          <w:rFonts w:cstheme="minorHAnsi"/>
        </w:rPr>
        <w:t xml:space="preserve"> Arizona specific</w:t>
      </w:r>
      <w:r w:rsidRPr="000D4F9E">
        <w:rPr>
          <w:rFonts w:cstheme="minorHAnsi"/>
        </w:rPr>
        <w:t xml:space="preserve"> FHWA </w:t>
      </w:r>
      <w:r w:rsidR="00061298">
        <w:rPr>
          <w:rFonts w:cstheme="minorHAnsi"/>
        </w:rPr>
        <w:t>Functional Classification following Arizona’s rebalancing efforts started in 2018.</w:t>
      </w:r>
    </w:p>
    <w:p w14:paraId="7F652D0B" w14:textId="77777777" w:rsidR="00061298" w:rsidRDefault="00061298" w:rsidP="00061298">
      <w:pPr>
        <w:pStyle w:val="Heading4"/>
        <w:jc w:val="both"/>
      </w:pPr>
      <w:bookmarkStart w:id="639" w:name="_Ref50047323"/>
      <w:r w:rsidRPr="000D4F9E">
        <w:t>Table 17.3-</w:t>
      </w:r>
      <w:r>
        <w:t>3</w:t>
      </w:r>
      <w:r w:rsidRPr="000D4F9E">
        <w:t xml:space="preserve"> | FHWA Guidelines Regarding the Extent of Rural Systems</w:t>
      </w:r>
    </w:p>
    <w:tbl>
      <w:tblPr>
        <w:tblW w:w="4320" w:type="dxa"/>
        <w:tblInd w:w="-10" w:type="dxa"/>
        <w:tblLayout w:type="fixed"/>
        <w:tblCellMar>
          <w:left w:w="0" w:type="dxa"/>
          <w:right w:w="0" w:type="dxa"/>
        </w:tblCellMar>
        <w:tblLook w:val="0000" w:firstRow="0" w:lastRow="0" w:firstColumn="0" w:lastColumn="0" w:noHBand="0" w:noVBand="0"/>
      </w:tblPr>
      <w:tblGrid>
        <w:gridCol w:w="2700"/>
        <w:gridCol w:w="1620"/>
      </w:tblGrid>
      <w:tr w:rsidR="00061298" w:rsidRPr="005E165D" w14:paraId="2C7E886F" w14:textId="77777777" w:rsidTr="001E4049">
        <w:trPr>
          <w:trHeight w:val="60"/>
        </w:trPr>
        <w:tc>
          <w:tcPr>
            <w:tcW w:w="2700" w:type="dxa"/>
            <w:tcBorders>
              <w:top w:val="single" w:sz="8" w:space="0" w:color="auto"/>
              <w:left w:val="single" w:sz="8" w:space="0" w:color="auto"/>
              <w:bottom w:val="single" w:sz="8" w:space="0" w:color="auto"/>
              <w:right w:val="single" w:sz="4" w:space="0" w:color="FFFFFF" w:themeColor="background1"/>
            </w:tcBorders>
            <w:shd w:val="clear" w:color="auto" w:fill="012768"/>
            <w:tcMar>
              <w:top w:w="90" w:type="dxa"/>
              <w:left w:w="90" w:type="dxa"/>
              <w:bottom w:w="90" w:type="dxa"/>
              <w:right w:w="90" w:type="dxa"/>
            </w:tcMar>
            <w:vAlign w:val="center"/>
          </w:tcPr>
          <w:p w14:paraId="677E0245" w14:textId="77777777" w:rsidR="00061298" w:rsidRPr="00A617B6" w:rsidRDefault="00061298" w:rsidP="001E4049">
            <w:pPr>
              <w:spacing w:before="0" w:after="0" w:line="240" w:lineRule="auto"/>
              <w:jc w:val="center"/>
              <w:rPr>
                <w:sz w:val="22"/>
              </w:rPr>
            </w:pPr>
            <w:r w:rsidRPr="00A617B6">
              <w:rPr>
                <w:sz w:val="22"/>
              </w:rPr>
              <w:t>Rural System</w:t>
            </w:r>
          </w:p>
        </w:tc>
        <w:tc>
          <w:tcPr>
            <w:tcW w:w="1620" w:type="dxa"/>
            <w:tcBorders>
              <w:top w:val="single" w:sz="8" w:space="0" w:color="auto"/>
              <w:left w:val="single" w:sz="4" w:space="0" w:color="FFFFFF" w:themeColor="background1"/>
              <w:bottom w:val="single" w:sz="8" w:space="0" w:color="auto"/>
              <w:right w:val="single" w:sz="8" w:space="0" w:color="auto"/>
            </w:tcBorders>
            <w:shd w:val="clear" w:color="auto" w:fill="012768"/>
            <w:tcMar>
              <w:top w:w="90" w:type="dxa"/>
              <w:left w:w="90" w:type="dxa"/>
              <w:bottom w:w="90" w:type="dxa"/>
              <w:right w:w="90" w:type="dxa"/>
            </w:tcMar>
          </w:tcPr>
          <w:p w14:paraId="6829F3E5" w14:textId="77777777" w:rsidR="00061298" w:rsidRPr="00A617B6" w:rsidRDefault="00061298" w:rsidP="001E4049">
            <w:pPr>
              <w:spacing w:before="0" w:after="0" w:line="240" w:lineRule="auto"/>
              <w:jc w:val="center"/>
              <w:rPr>
                <w:sz w:val="22"/>
              </w:rPr>
            </w:pPr>
            <w:r w:rsidRPr="00A617B6">
              <w:rPr>
                <w:sz w:val="22"/>
              </w:rPr>
              <w:t>Percentage of Total Rural Mileage</w:t>
            </w:r>
          </w:p>
        </w:tc>
      </w:tr>
      <w:tr w:rsidR="00061298" w:rsidRPr="000D4F9E" w14:paraId="34756262" w14:textId="77777777" w:rsidTr="001E4049">
        <w:trPr>
          <w:trHeight w:val="60"/>
        </w:trPr>
        <w:tc>
          <w:tcPr>
            <w:tcW w:w="2700" w:type="dxa"/>
            <w:tcBorders>
              <w:top w:val="single" w:sz="8" w:space="0" w:color="auto"/>
              <w:left w:val="single" w:sz="8" w:space="0" w:color="58585B"/>
              <w:bottom w:val="single" w:sz="8" w:space="0" w:color="58585B"/>
              <w:right w:val="single" w:sz="8" w:space="0" w:color="58585B"/>
            </w:tcBorders>
            <w:tcMar>
              <w:top w:w="90" w:type="dxa"/>
              <w:left w:w="90" w:type="dxa"/>
              <w:bottom w:w="90" w:type="dxa"/>
              <w:right w:w="90" w:type="dxa"/>
            </w:tcMar>
          </w:tcPr>
          <w:p w14:paraId="0D44E7EA" w14:textId="77777777" w:rsidR="00061298" w:rsidRPr="00A617B6" w:rsidRDefault="00061298" w:rsidP="001E4049">
            <w:pPr>
              <w:spacing w:before="0" w:after="0" w:line="240" w:lineRule="auto"/>
              <w:jc w:val="center"/>
              <w:rPr>
                <w:sz w:val="18"/>
              </w:rPr>
            </w:pPr>
            <w:r>
              <w:rPr>
                <w:w w:val="96"/>
                <w:sz w:val="18"/>
              </w:rPr>
              <w:t>Interstates</w:t>
            </w:r>
          </w:p>
        </w:tc>
        <w:tc>
          <w:tcPr>
            <w:tcW w:w="1620" w:type="dxa"/>
            <w:tcBorders>
              <w:top w:val="single" w:sz="8" w:space="0" w:color="auto"/>
              <w:left w:val="single" w:sz="8" w:space="0" w:color="58585B"/>
              <w:bottom w:val="single" w:sz="8" w:space="0" w:color="58585B"/>
              <w:right w:val="single" w:sz="8" w:space="0" w:color="58585B"/>
            </w:tcBorders>
            <w:tcMar>
              <w:top w:w="90" w:type="dxa"/>
              <w:left w:w="90" w:type="dxa"/>
              <w:bottom w:w="90" w:type="dxa"/>
              <w:right w:w="90" w:type="dxa"/>
            </w:tcMar>
          </w:tcPr>
          <w:p w14:paraId="2781AA77" w14:textId="77777777" w:rsidR="00061298" w:rsidRPr="00A617B6" w:rsidRDefault="00061298" w:rsidP="001E4049">
            <w:pPr>
              <w:spacing w:before="0" w:after="0" w:line="240" w:lineRule="auto"/>
              <w:jc w:val="center"/>
              <w:rPr>
                <w:sz w:val="18"/>
              </w:rPr>
            </w:pPr>
            <w:r>
              <w:rPr>
                <w:w w:val="96"/>
                <w:sz w:val="18"/>
              </w:rPr>
              <w:t>1 – 2%</w:t>
            </w:r>
          </w:p>
        </w:tc>
      </w:tr>
      <w:tr w:rsidR="00061298" w:rsidRPr="000D4F9E" w14:paraId="20371936"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tcPr>
          <w:p w14:paraId="164C2A90" w14:textId="77777777" w:rsidR="00061298" w:rsidRPr="00A617B6" w:rsidRDefault="00061298" w:rsidP="001E4049">
            <w:pPr>
              <w:spacing w:before="0" w:after="0" w:line="240" w:lineRule="auto"/>
              <w:jc w:val="center"/>
              <w:rPr>
                <w:sz w:val="18"/>
              </w:rPr>
            </w:pPr>
            <w:r>
              <w:rPr>
                <w:w w:val="96"/>
                <w:sz w:val="18"/>
              </w:rPr>
              <w:t>Other Freeways</w:t>
            </w:r>
          </w:p>
        </w:tc>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tcPr>
          <w:p w14:paraId="03098B71" w14:textId="77777777" w:rsidR="00061298" w:rsidRPr="00A617B6" w:rsidRDefault="00061298" w:rsidP="001E4049">
            <w:pPr>
              <w:spacing w:before="0" w:after="0" w:line="240" w:lineRule="auto"/>
              <w:jc w:val="center"/>
              <w:rPr>
                <w:sz w:val="18"/>
              </w:rPr>
            </w:pPr>
            <w:r>
              <w:rPr>
                <w:w w:val="96"/>
                <w:sz w:val="18"/>
              </w:rPr>
              <w:t>0 – 2%</w:t>
            </w:r>
          </w:p>
        </w:tc>
      </w:tr>
      <w:tr w:rsidR="00061298" w:rsidRPr="000D4F9E" w14:paraId="15130D1B"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tcPr>
          <w:p w14:paraId="7CCEF812" w14:textId="77777777" w:rsidR="00061298" w:rsidRPr="00A617B6" w:rsidRDefault="00061298" w:rsidP="001E4049">
            <w:pPr>
              <w:spacing w:before="0" w:after="0" w:line="240" w:lineRule="auto"/>
              <w:jc w:val="center"/>
              <w:rPr>
                <w:sz w:val="18"/>
              </w:rPr>
            </w:pPr>
            <w:r>
              <w:rPr>
                <w:w w:val="96"/>
                <w:sz w:val="18"/>
              </w:rPr>
              <w:t>Other Principal Arterials</w:t>
            </w:r>
          </w:p>
        </w:tc>
        <w:tc>
          <w:tcPr>
            <w:tcW w:w="162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tcPr>
          <w:p w14:paraId="2B0FB803" w14:textId="77777777" w:rsidR="00061298" w:rsidRPr="00A617B6" w:rsidRDefault="00061298" w:rsidP="001E4049">
            <w:pPr>
              <w:spacing w:before="0" w:after="0" w:line="240" w:lineRule="auto"/>
              <w:jc w:val="center"/>
              <w:rPr>
                <w:sz w:val="18"/>
              </w:rPr>
            </w:pPr>
            <w:r>
              <w:rPr>
                <w:w w:val="96"/>
                <w:sz w:val="18"/>
              </w:rPr>
              <w:t>2 – 5%</w:t>
            </w:r>
          </w:p>
        </w:tc>
      </w:tr>
      <w:tr w:rsidR="00061298" w:rsidRPr="000D4F9E" w14:paraId="33C543C5"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tcPr>
          <w:p w14:paraId="16EA7943" w14:textId="77777777" w:rsidR="00061298" w:rsidRPr="00A617B6" w:rsidRDefault="00061298" w:rsidP="001E4049">
            <w:pPr>
              <w:spacing w:before="0" w:after="0" w:line="240" w:lineRule="auto"/>
              <w:jc w:val="center"/>
              <w:rPr>
                <w:sz w:val="18"/>
              </w:rPr>
            </w:pPr>
            <w:r>
              <w:rPr>
                <w:w w:val="96"/>
                <w:sz w:val="18"/>
              </w:rPr>
              <w:t>Minor Arterials</w:t>
            </w:r>
          </w:p>
        </w:tc>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tcPr>
          <w:p w14:paraId="3C3AB883" w14:textId="77777777" w:rsidR="00061298" w:rsidRPr="00A617B6" w:rsidRDefault="00061298" w:rsidP="001E4049">
            <w:pPr>
              <w:spacing w:before="0" w:after="0" w:line="240" w:lineRule="auto"/>
              <w:jc w:val="center"/>
              <w:rPr>
                <w:sz w:val="18"/>
              </w:rPr>
            </w:pPr>
            <w:r>
              <w:rPr>
                <w:w w:val="96"/>
                <w:sz w:val="18"/>
              </w:rPr>
              <w:t>3 – 7%</w:t>
            </w:r>
          </w:p>
        </w:tc>
      </w:tr>
      <w:tr w:rsidR="00061298" w:rsidRPr="000D4F9E" w14:paraId="3C92525F"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90" w:type="dxa"/>
              <w:left w:w="90" w:type="dxa"/>
              <w:bottom w:w="90" w:type="dxa"/>
              <w:right w:w="90" w:type="dxa"/>
            </w:tcMar>
          </w:tcPr>
          <w:p w14:paraId="31C5AFAA" w14:textId="77777777" w:rsidR="00061298" w:rsidRPr="00A617B6" w:rsidRDefault="00061298" w:rsidP="001E4049">
            <w:pPr>
              <w:spacing w:before="0" w:after="0" w:line="240" w:lineRule="auto"/>
              <w:jc w:val="center"/>
              <w:rPr>
                <w:w w:val="96"/>
                <w:sz w:val="18"/>
              </w:rPr>
            </w:pPr>
            <w:r>
              <w:rPr>
                <w:w w:val="96"/>
                <w:sz w:val="18"/>
              </w:rPr>
              <w:t>Major Collectors</w:t>
            </w:r>
          </w:p>
        </w:tc>
        <w:tc>
          <w:tcPr>
            <w:tcW w:w="162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90" w:type="dxa"/>
              <w:left w:w="90" w:type="dxa"/>
              <w:bottom w:w="90" w:type="dxa"/>
              <w:right w:w="90" w:type="dxa"/>
            </w:tcMar>
          </w:tcPr>
          <w:p w14:paraId="07F0D119" w14:textId="77777777" w:rsidR="00061298" w:rsidRDefault="00061298" w:rsidP="001E4049">
            <w:pPr>
              <w:spacing w:before="0" w:after="0" w:line="240" w:lineRule="auto"/>
              <w:jc w:val="center"/>
              <w:rPr>
                <w:w w:val="96"/>
                <w:sz w:val="18"/>
              </w:rPr>
            </w:pPr>
            <w:r>
              <w:rPr>
                <w:w w:val="96"/>
                <w:sz w:val="18"/>
              </w:rPr>
              <w:t>10 – 17%</w:t>
            </w:r>
          </w:p>
        </w:tc>
      </w:tr>
      <w:tr w:rsidR="00061298" w:rsidRPr="000D4F9E" w14:paraId="1216ADB6"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tcPr>
          <w:p w14:paraId="546ED962" w14:textId="77777777" w:rsidR="00061298" w:rsidRPr="00A617B6" w:rsidRDefault="00061298" w:rsidP="001E4049">
            <w:pPr>
              <w:spacing w:before="0" w:after="0" w:line="240" w:lineRule="auto"/>
              <w:jc w:val="center"/>
              <w:rPr>
                <w:w w:val="96"/>
                <w:sz w:val="18"/>
              </w:rPr>
            </w:pPr>
            <w:r>
              <w:rPr>
                <w:w w:val="96"/>
                <w:sz w:val="18"/>
              </w:rPr>
              <w:t>Minor Collectors</w:t>
            </w:r>
          </w:p>
        </w:tc>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90" w:type="dxa"/>
              <w:left w:w="90" w:type="dxa"/>
              <w:bottom w:w="90" w:type="dxa"/>
              <w:right w:w="90" w:type="dxa"/>
            </w:tcMar>
          </w:tcPr>
          <w:p w14:paraId="3B965A65" w14:textId="77777777" w:rsidR="00061298" w:rsidRDefault="00061298" w:rsidP="001E4049">
            <w:pPr>
              <w:spacing w:before="0" w:after="0" w:line="240" w:lineRule="auto"/>
              <w:jc w:val="center"/>
              <w:rPr>
                <w:w w:val="96"/>
                <w:sz w:val="18"/>
              </w:rPr>
            </w:pPr>
            <w:r>
              <w:rPr>
                <w:w w:val="96"/>
                <w:sz w:val="18"/>
              </w:rPr>
              <w:t>5 – 13%</w:t>
            </w:r>
          </w:p>
        </w:tc>
      </w:tr>
      <w:tr w:rsidR="00061298" w:rsidRPr="000D4F9E" w14:paraId="7EC97206"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90" w:type="dxa"/>
              <w:left w:w="90" w:type="dxa"/>
              <w:bottom w:w="90" w:type="dxa"/>
              <w:right w:w="90" w:type="dxa"/>
            </w:tcMar>
          </w:tcPr>
          <w:p w14:paraId="0B12CA81" w14:textId="77777777" w:rsidR="00061298" w:rsidRPr="00A617B6" w:rsidRDefault="00061298" w:rsidP="001E4049">
            <w:pPr>
              <w:spacing w:before="0" w:after="0" w:line="240" w:lineRule="auto"/>
              <w:jc w:val="center"/>
              <w:rPr>
                <w:w w:val="96"/>
                <w:sz w:val="18"/>
              </w:rPr>
            </w:pPr>
            <w:r>
              <w:rPr>
                <w:w w:val="96"/>
                <w:sz w:val="18"/>
              </w:rPr>
              <w:t>Local Roads</w:t>
            </w:r>
          </w:p>
        </w:tc>
        <w:tc>
          <w:tcPr>
            <w:tcW w:w="162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90" w:type="dxa"/>
              <w:left w:w="90" w:type="dxa"/>
              <w:bottom w:w="90" w:type="dxa"/>
              <w:right w:w="90" w:type="dxa"/>
            </w:tcMar>
          </w:tcPr>
          <w:p w14:paraId="6AEF70DB" w14:textId="77777777" w:rsidR="00061298" w:rsidRDefault="00061298" w:rsidP="001E4049">
            <w:pPr>
              <w:spacing w:before="0" w:after="0" w:line="240" w:lineRule="auto"/>
              <w:jc w:val="center"/>
              <w:rPr>
                <w:w w:val="96"/>
                <w:sz w:val="18"/>
              </w:rPr>
            </w:pPr>
            <w:r>
              <w:rPr>
                <w:w w:val="96"/>
                <w:sz w:val="18"/>
              </w:rPr>
              <w:t>66 – 74%</w:t>
            </w:r>
          </w:p>
        </w:tc>
      </w:tr>
    </w:tbl>
    <w:p w14:paraId="112842C0" w14:textId="77777777" w:rsidR="00061298" w:rsidRPr="00A617B6" w:rsidRDefault="00061298" w:rsidP="00061298">
      <w:pPr>
        <w:pStyle w:val="Source-Graphic"/>
      </w:pPr>
      <w:r w:rsidRPr="00A617B6">
        <w:t xml:space="preserve">Source: FHWA Highway Functional Classification Concepts, Criteria and Procedures </w:t>
      </w:r>
    </w:p>
    <w:p w14:paraId="509568E3" w14:textId="77777777" w:rsidR="00061298" w:rsidRPr="00A617B6" w:rsidRDefault="00061298" w:rsidP="00061298">
      <w:pPr>
        <w:pStyle w:val="Source-Graphic"/>
      </w:pPr>
      <w:r w:rsidRPr="00A617B6">
        <w:t xml:space="preserve">Functional Classification Guidelines, </w:t>
      </w:r>
      <w:hyperlink r:id="rId1065" w:history="1">
        <w:r w:rsidRPr="00495A39">
          <w:rPr>
            <w:rStyle w:val="TitleChar"/>
            <w:sz w:val="16"/>
            <w:szCs w:val="16"/>
          </w:rPr>
          <w:t>https://www.fhwa.dot.gov/planning/processes/statewide/related/highway_functional_classifications/fcauab.pd</w:t>
        </w:r>
      </w:hyperlink>
      <w:r w:rsidRPr="00495A39">
        <w:rPr>
          <w:rStyle w:val="TitleChar"/>
          <w:sz w:val="16"/>
          <w:szCs w:val="16"/>
        </w:rPr>
        <w:t>f</w:t>
      </w:r>
    </w:p>
    <w:p w14:paraId="0EE59B98" w14:textId="77777777" w:rsidR="00061298" w:rsidRDefault="00061298" w:rsidP="00061298">
      <w:pPr>
        <w:pStyle w:val="Heading4"/>
        <w:jc w:val="both"/>
      </w:pPr>
      <w:r w:rsidRPr="000D4F9E">
        <w:t>Table 17.3-</w:t>
      </w:r>
      <w:r>
        <w:t>4</w:t>
      </w:r>
      <w:r w:rsidRPr="000D4F9E">
        <w:t xml:space="preserve"> | FHWA Guidelines Regarding the Extent of Urban Systems</w:t>
      </w:r>
    </w:p>
    <w:tbl>
      <w:tblPr>
        <w:tblW w:w="4320" w:type="dxa"/>
        <w:tblInd w:w="-10" w:type="dxa"/>
        <w:tblLayout w:type="fixed"/>
        <w:tblCellMar>
          <w:left w:w="0" w:type="dxa"/>
          <w:right w:w="0" w:type="dxa"/>
        </w:tblCellMar>
        <w:tblLook w:val="0000" w:firstRow="0" w:lastRow="0" w:firstColumn="0" w:lastColumn="0" w:noHBand="0" w:noVBand="0"/>
      </w:tblPr>
      <w:tblGrid>
        <w:gridCol w:w="2700"/>
        <w:gridCol w:w="1620"/>
      </w:tblGrid>
      <w:tr w:rsidR="00061298" w:rsidRPr="005E165D" w14:paraId="6D3F9E20" w14:textId="77777777" w:rsidTr="001E4049">
        <w:trPr>
          <w:trHeight w:val="60"/>
        </w:trPr>
        <w:tc>
          <w:tcPr>
            <w:tcW w:w="2700" w:type="dxa"/>
            <w:tcBorders>
              <w:top w:val="single" w:sz="8" w:space="0" w:color="auto"/>
              <w:left w:val="single" w:sz="8" w:space="0" w:color="auto"/>
              <w:bottom w:val="single" w:sz="8" w:space="0" w:color="auto"/>
              <w:right w:val="single" w:sz="4" w:space="0" w:color="FFFFFF" w:themeColor="background1"/>
            </w:tcBorders>
            <w:shd w:val="clear" w:color="auto" w:fill="012768"/>
            <w:tcMar>
              <w:top w:w="80" w:type="dxa"/>
              <w:left w:w="80" w:type="dxa"/>
              <w:bottom w:w="80" w:type="dxa"/>
              <w:right w:w="80" w:type="dxa"/>
            </w:tcMar>
            <w:vAlign w:val="center"/>
          </w:tcPr>
          <w:p w14:paraId="198EC281" w14:textId="77777777" w:rsidR="00061298" w:rsidRPr="00A617B6" w:rsidRDefault="00061298" w:rsidP="001E4049">
            <w:pPr>
              <w:spacing w:before="0" w:after="0" w:line="240" w:lineRule="auto"/>
              <w:jc w:val="center"/>
              <w:rPr>
                <w:sz w:val="22"/>
              </w:rPr>
            </w:pPr>
            <w:r w:rsidRPr="00A617B6">
              <w:rPr>
                <w:sz w:val="22"/>
              </w:rPr>
              <w:t>Urban System</w:t>
            </w:r>
          </w:p>
        </w:tc>
        <w:tc>
          <w:tcPr>
            <w:tcW w:w="1620" w:type="dxa"/>
            <w:tcBorders>
              <w:top w:val="single" w:sz="8" w:space="0" w:color="auto"/>
              <w:left w:val="single" w:sz="4" w:space="0" w:color="FFFFFF" w:themeColor="background1"/>
              <w:bottom w:val="single" w:sz="8" w:space="0" w:color="auto"/>
              <w:right w:val="single" w:sz="8" w:space="0" w:color="auto"/>
            </w:tcBorders>
            <w:shd w:val="clear" w:color="auto" w:fill="012768"/>
            <w:tcMar>
              <w:top w:w="80" w:type="dxa"/>
              <w:left w:w="80" w:type="dxa"/>
              <w:bottom w:w="80" w:type="dxa"/>
              <w:right w:w="80" w:type="dxa"/>
            </w:tcMar>
          </w:tcPr>
          <w:p w14:paraId="14C88FC1" w14:textId="77777777" w:rsidR="00061298" w:rsidRPr="00A617B6" w:rsidRDefault="00061298" w:rsidP="001E4049">
            <w:pPr>
              <w:spacing w:before="0" w:after="0" w:line="240" w:lineRule="auto"/>
              <w:jc w:val="center"/>
              <w:rPr>
                <w:sz w:val="22"/>
              </w:rPr>
            </w:pPr>
            <w:r w:rsidRPr="00A617B6">
              <w:rPr>
                <w:sz w:val="22"/>
              </w:rPr>
              <w:t>Percentage of Total Urban Mileage</w:t>
            </w:r>
          </w:p>
        </w:tc>
      </w:tr>
      <w:tr w:rsidR="00061298" w:rsidRPr="000D4F9E" w14:paraId="054E4FC7" w14:textId="77777777" w:rsidTr="001E4049">
        <w:trPr>
          <w:trHeight w:val="60"/>
        </w:trPr>
        <w:tc>
          <w:tcPr>
            <w:tcW w:w="2700" w:type="dxa"/>
            <w:tcBorders>
              <w:top w:val="single" w:sz="8" w:space="0" w:color="auto"/>
              <w:left w:val="single" w:sz="8" w:space="0" w:color="58585B"/>
              <w:bottom w:val="single" w:sz="8" w:space="0" w:color="58585B"/>
              <w:right w:val="single" w:sz="8" w:space="0" w:color="58585B"/>
            </w:tcBorders>
            <w:tcMar>
              <w:top w:w="80" w:type="dxa"/>
              <w:left w:w="80" w:type="dxa"/>
              <w:bottom w:w="80" w:type="dxa"/>
              <w:right w:w="80" w:type="dxa"/>
            </w:tcMar>
          </w:tcPr>
          <w:p w14:paraId="3CA2289D" w14:textId="77777777" w:rsidR="00061298" w:rsidRPr="00A617B6" w:rsidRDefault="00061298" w:rsidP="001E4049">
            <w:pPr>
              <w:spacing w:before="0" w:after="0" w:line="240" w:lineRule="auto"/>
              <w:jc w:val="center"/>
              <w:rPr>
                <w:sz w:val="18"/>
              </w:rPr>
            </w:pPr>
            <w:r>
              <w:rPr>
                <w:w w:val="96"/>
                <w:sz w:val="18"/>
              </w:rPr>
              <w:t>Interstates</w:t>
            </w:r>
          </w:p>
        </w:tc>
        <w:tc>
          <w:tcPr>
            <w:tcW w:w="1620" w:type="dxa"/>
            <w:tcBorders>
              <w:top w:val="single" w:sz="8" w:space="0" w:color="auto"/>
              <w:left w:val="single" w:sz="8" w:space="0" w:color="58585B"/>
              <w:bottom w:val="single" w:sz="8" w:space="0" w:color="58585B"/>
              <w:right w:val="single" w:sz="8" w:space="0" w:color="58585B"/>
            </w:tcBorders>
            <w:tcMar>
              <w:top w:w="80" w:type="dxa"/>
              <w:left w:w="80" w:type="dxa"/>
              <w:bottom w:w="80" w:type="dxa"/>
              <w:right w:w="80" w:type="dxa"/>
            </w:tcMar>
          </w:tcPr>
          <w:p w14:paraId="33FCD398" w14:textId="77777777" w:rsidR="00061298" w:rsidRPr="00A617B6" w:rsidRDefault="00061298" w:rsidP="001E4049">
            <w:pPr>
              <w:spacing w:before="0" w:after="0" w:line="240" w:lineRule="auto"/>
              <w:jc w:val="center"/>
              <w:rPr>
                <w:sz w:val="18"/>
              </w:rPr>
            </w:pPr>
            <w:r>
              <w:rPr>
                <w:w w:val="96"/>
                <w:sz w:val="18"/>
              </w:rPr>
              <w:t>1 – 2%</w:t>
            </w:r>
          </w:p>
        </w:tc>
      </w:tr>
      <w:tr w:rsidR="00061298" w:rsidRPr="000D4F9E" w14:paraId="0511A0C8"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tcPr>
          <w:p w14:paraId="28574BCD" w14:textId="77777777" w:rsidR="00061298" w:rsidRPr="00A617B6" w:rsidRDefault="00061298" w:rsidP="001E4049">
            <w:pPr>
              <w:spacing w:before="0" w:after="0" w:line="240" w:lineRule="auto"/>
              <w:jc w:val="center"/>
              <w:rPr>
                <w:sz w:val="18"/>
              </w:rPr>
            </w:pPr>
            <w:r>
              <w:rPr>
                <w:w w:val="96"/>
                <w:sz w:val="18"/>
              </w:rPr>
              <w:t>Other Freeways</w:t>
            </w:r>
          </w:p>
        </w:tc>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tcPr>
          <w:p w14:paraId="3803CE64" w14:textId="77777777" w:rsidR="00061298" w:rsidRPr="00A617B6" w:rsidRDefault="00061298" w:rsidP="001E4049">
            <w:pPr>
              <w:spacing w:before="0" w:after="0" w:line="240" w:lineRule="auto"/>
              <w:jc w:val="center"/>
              <w:rPr>
                <w:sz w:val="18"/>
              </w:rPr>
            </w:pPr>
            <w:r>
              <w:rPr>
                <w:w w:val="96"/>
                <w:sz w:val="18"/>
              </w:rPr>
              <w:t>0 – 2%</w:t>
            </w:r>
          </w:p>
        </w:tc>
      </w:tr>
      <w:tr w:rsidR="00061298" w:rsidRPr="000D4F9E" w14:paraId="3428919F"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tcPr>
          <w:p w14:paraId="1051D2F4" w14:textId="77777777" w:rsidR="00061298" w:rsidRPr="00A617B6" w:rsidRDefault="00061298" w:rsidP="001E4049">
            <w:pPr>
              <w:spacing w:before="0" w:after="0" w:line="240" w:lineRule="auto"/>
              <w:jc w:val="center"/>
              <w:rPr>
                <w:sz w:val="18"/>
              </w:rPr>
            </w:pPr>
            <w:r>
              <w:rPr>
                <w:w w:val="96"/>
                <w:sz w:val="18"/>
              </w:rPr>
              <w:t>Other Principal Arterials</w:t>
            </w:r>
          </w:p>
        </w:tc>
        <w:tc>
          <w:tcPr>
            <w:tcW w:w="162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tcPr>
          <w:p w14:paraId="2E169A42" w14:textId="77777777" w:rsidR="00061298" w:rsidRPr="00A617B6" w:rsidRDefault="00061298" w:rsidP="001E4049">
            <w:pPr>
              <w:spacing w:before="0" w:after="0" w:line="240" w:lineRule="auto"/>
              <w:jc w:val="center"/>
              <w:rPr>
                <w:sz w:val="18"/>
              </w:rPr>
            </w:pPr>
            <w:r>
              <w:rPr>
                <w:w w:val="96"/>
                <w:sz w:val="18"/>
              </w:rPr>
              <w:t>4 – 5</w:t>
            </w:r>
            <w:r w:rsidRPr="00A617B6">
              <w:rPr>
                <w:w w:val="96"/>
                <w:sz w:val="18"/>
              </w:rPr>
              <w:t>%</w:t>
            </w:r>
          </w:p>
        </w:tc>
      </w:tr>
      <w:tr w:rsidR="00061298" w:rsidRPr="000D4F9E" w14:paraId="2874B0F8"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tcPr>
          <w:p w14:paraId="13674AB8" w14:textId="77777777" w:rsidR="00061298" w:rsidRPr="00A617B6" w:rsidRDefault="00061298" w:rsidP="001E4049">
            <w:pPr>
              <w:spacing w:before="0" w:after="0" w:line="240" w:lineRule="auto"/>
              <w:jc w:val="center"/>
              <w:rPr>
                <w:sz w:val="18"/>
              </w:rPr>
            </w:pPr>
            <w:r>
              <w:rPr>
                <w:w w:val="96"/>
                <w:sz w:val="18"/>
              </w:rPr>
              <w:t>Minor Arterials</w:t>
            </w:r>
          </w:p>
        </w:tc>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tcPr>
          <w:p w14:paraId="7CAA3308" w14:textId="77777777" w:rsidR="00061298" w:rsidRPr="00A617B6" w:rsidRDefault="00061298" w:rsidP="001E4049">
            <w:pPr>
              <w:spacing w:before="0" w:after="0" w:line="240" w:lineRule="auto"/>
              <w:jc w:val="center"/>
              <w:rPr>
                <w:sz w:val="18"/>
              </w:rPr>
            </w:pPr>
            <w:r>
              <w:rPr>
                <w:w w:val="96"/>
                <w:sz w:val="18"/>
              </w:rPr>
              <w:t>7 – 12%</w:t>
            </w:r>
          </w:p>
        </w:tc>
      </w:tr>
      <w:tr w:rsidR="00061298" w:rsidRPr="000D4F9E" w14:paraId="62D6EF4C"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80" w:type="dxa"/>
              <w:left w:w="80" w:type="dxa"/>
              <w:bottom w:w="80" w:type="dxa"/>
              <w:right w:w="80" w:type="dxa"/>
            </w:tcMar>
          </w:tcPr>
          <w:p w14:paraId="1FB5E5B3" w14:textId="77777777" w:rsidR="00061298" w:rsidRPr="00A617B6" w:rsidRDefault="00061298" w:rsidP="001E4049">
            <w:pPr>
              <w:spacing w:before="0" w:after="0" w:line="240" w:lineRule="auto"/>
              <w:jc w:val="center"/>
              <w:rPr>
                <w:w w:val="96"/>
                <w:sz w:val="18"/>
              </w:rPr>
            </w:pPr>
            <w:r>
              <w:rPr>
                <w:w w:val="96"/>
                <w:sz w:val="18"/>
              </w:rPr>
              <w:t>Major Collectors</w:t>
            </w:r>
          </w:p>
        </w:tc>
        <w:tc>
          <w:tcPr>
            <w:tcW w:w="162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80" w:type="dxa"/>
              <w:left w:w="80" w:type="dxa"/>
              <w:bottom w:w="80" w:type="dxa"/>
              <w:right w:w="80" w:type="dxa"/>
            </w:tcMar>
          </w:tcPr>
          <w:p w14:paraId="2039C212" w14:textId="77777777" w:rsidR="00061298" w:rsidRPr="00A617B6" w:rsidRDefault="00061298" w:rsidP="001E4049">
            <w:pPr>
              <w:spacing w:before="0" w:after="0" w:line="240" w:lineRule="auto"/>
              <w:jc w:val="center"/>
              <w:rPr>
                <w:w w:val="96"/>
                <w:sz w:val="18"/>
              </w:rPr>
            </w:pPr>
            <w:r>
              <w:rPr>
                <w:w w:val="96"/>
                <w:sz w:val="18"/>
              </w:rPr>
              <w:t>7 – 13%</w:t>
            </w:r>
          </w:p>
        </w:tc>
      </w:tr>
      <w:tr w:rsidR="00061298" w:rsidRPr="000D4F9E" w14:paraId="177EA50C"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tcPr>
          <w:p w14:paraId="6AA730BD" w14:textId="77777777" w:rsidR="00061298" w:rsidRPr="00A617B6" w:rsidRDefault="00061298" w:rsidP="001E4049">
            <w:pPr>
              <w:spacing w:before="0" w:after="0" w:line="240" w:lineRule="auto"/>
              <w:jc w:val="center"/>
              <w:rPr>
                <w:w w:val="96"/>
                <w:sz w:val="18"/>
              </w:rPr>
            </w:pPr>
            <w:r>
              <w:rPr>
                <w:w w:val="96"/>
                <w:sz w:val="18"/>
              </w:rPr>
              <w:t>Minor Collectors</w:t>
            </w:r>
          </w:p>
        </w:tc>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0" w:type="dxa"/>
              <w:left w:w="80" w:type="dxa"/>
              <w:bottom w:w="80" w:type="dxa"/>
              <w:right w:w="80" w:type="dxa"/>
            </w:tcMar>
          </w:tcPr>
          <w:p w14:paraId="2B05C5B6" w14:textId="77777777" w:rsidR="00061298" w:rsidRPr="00A617B6" w:rsidRDefault="00061298" w:rsidP="001E4049">
            <w:pPr>
              <w:spacing w:before="0" w:after="0" w:line="240" w:lineRule="auto"/>
              <w:jc w:val="center"/>
              <w:rPr>
                <w:w w:val="96"/>
                <w:sz w:val="18"/>
              </w:rPr>
            </w:pPr>
            <w:r>
              <w:rPr>
                <w:w w:val="96"/>
                <w:sz w:val="18"/>
              </w:rPr>
              <w:t>7 – 13%</w:t>
            </w:r>
          </w:p>
        </w:tc>
      </w:tr>
      <w:tr w:rsidR="00061298" w:rsidRPr="000D4F9E" w14:paraId="0F6F484C" w14:textId="77777777" w:rsidTr="001E4049">
        <w:trPr>
          <w:trHeight w:val="60"/>
        </w:trPr>
        <w:tc>
          <w:tcPr>
            <w:tcW w:w="270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80" w:type="dxa"/>
              <w:left w:w="80" w:type="dxa"/>
              <w:bottom w:w="80" w:type="dxa"/>
              <w:right w:w="80" w:type="dxa"/>
            </w:tcMar>
          </w:tcPr>
          <w:p w14:paraId="708E6D3C" w14:textId="77777777" w:rsidR="00061298" w:rsidRPr="00A617B6" w:rsidRDefault="00061298" w:rsidP="001E4049">
            <w:pPr>
              <w:spacing w:before="0" w:after="0" w:line="240" w:lineRule="auto"/>
              <w:jc w:val="center"/>
              <w:rPr>
                <w:w w:val="96"/>
                <w:sz w:val="18"/>
              </w:rPr>
            </w:pPr>
            <w:r>
              <w:rPr>
                <w:w w:val="96"/>
                <w:sz w:val="18"/>
              </w:rPr>
              <w:t>Local Roads</w:t>
            </w:r>
          </w:p>
        </w:tc>
        <w:tc>
          <w:tcPr>
            <w:tcW w:w="1620" w:type="dxa"/>
            <w:tcBorders>
              <w:top w:val="single" w:sz="8" w:space="0" w:color="58585B"/>
              <w:left w:val="single" w:sz="8" w:space="0" w:color="58585B"/>
              <w:bottom w:val="single" w:sz="8" w:space="0" w:color="58585B"/>
              <w:right w:val="single" w:sz="8" w:space="0" w:color="58585B"/>
            </w:tcBorders>
            <w:shd w:val="clear" w:color="auto" w:fill="FFFFFF" w:themeFill="background1"/>
            <w:tcMar>
              <w:top w:w="80" w:type="dxa"/>
              <w:left w:w="80" w:type="dxa"/>
              <w:bottom w:w="80" w:type="dxa"/>
              <w:right w:w="80" w:type="dxa"/>
            </w:tcMar>
          </w:tcPr>
          <w:p w14:paraId="230199A0" w14:textId="77777777" w:rsidR="00061298" w:rsidRPr="00A617B6" w:rsidRDefault="00061298" w:rsidP="001E4049">
            <w:pPr>
              <w:spacing w:before="0" w:after="0" w:line="240" w:lineRule="auto"/>
              <w:jc w:val="center"/>
              <w:rPr>
                <w:w w:val="96"/>
                <w:sz w:val="18"/>
              </w:rPr>
            </w:pPr>
            <w:r>
              <w:rPr>
                <w:w w:val="96"/>
                <w:sz w:val="18"/>
              </w:rPr>
              <w:t>67 – 76%</w:t>
            </w:r>
          </w:p>
        </w:tc>
      </w:tr>
    </w:tbl>
    <w:p w14:paraId="3B3555CA" w14:textId="77777777" w:rsidR="00061298" w:rsidRPr="00954116" w:rsidRDefault="00061298" w:rsidP="00061298">
      <w:pPr>
        <w:pStyle w:val="Source-Graphic"/>
        <w:jc w:val="both"/>
      </w:pPr>
      <w:r w:rsidRPr="00394A74">
        <w:t xml:space="preserve">Source: FHWA Highway Functional Classification Concepts, Criteria and Procedures </w:t>
      </w:r>
    </w:p>
    <w:p w14:paraId="0828F97B" w14:textId="77777777" w:rsidR="00061298" w:rsidRPr="00472679" w:rsidRDefault="00061298" w:rsidP="00061298">
      <w:pPr>
        <w:pStyle w:val="Source-Graphic"/>
        <w:jc w:val="both"/>
      </w:pPr>
      <w:r w:rsidRPr="00A617B6">
        <w:t>Functional Classification Guidelines,</w:t>
      </w:r>
      <w:r w:rsidRPr="00A617B6">
        <w:rPr>
          <w:color w:val="auto"/>
        </w:rPr>
        <w:t xml:space="preserve"> </w:t>
      </w:r>
      <w:hyperlink r:id="rId1066" w:history="1">
        <w:r w:rsidRPr="00A617B6">
          <w:rPr>
            <w:rStyle w:val="TitleChar"/>
            <w:sz w:val="16"/>
            <w:szCs w:val="16"/>
          </w:rPr>
          <w:t>https://www.fhwa.dot.gov/planning/processes/statewide/related/highway_functional_classifications/fcauab.pd</w:t>
        </w:r>
        <w:r w:rsidRPr="00495A39">
          <w:rPr>
            <w:rStyle w:val="TitleChar"/>
            <w:sz w:val="16"/>
            <w:szCs w:val="16"/>
          </w:rPr>
          <w:t>f</w:t>
        </w:r>
      </w:hyperlink>
    </w:p>
    <w:p w14:paraId="4ABC2FC7" w14:textId="316758B2" w:rsidR="000D4F9E" w:rsidRPr="000D4F9E" w:rsidRDefault="000D4F9E" w:rsidP="00020D20">
      <w:pPr>
        <w:pStyle w:val="Heading3"/>
        <w:jc w:val="both"/>
      </w:pPr>
      <w:r w:rsidRPr="000D4F9E">
        <w:t>17.3.</w:t>
      </w:r>
      <w:r w:rsidR="000D5CB2">
        <w:t>6</w:t>
      </w:r>
      <w:r w:rsidRPr="000D4F9E">
        <w:t xml:space="preserve"> | Changing Functional Classification</w:t>
      </w:r>
      <w:bookmarkEnd w:id="639"/>
    </w:p>
    <w:p w14:paraId="72B4345F" w14:textId="24740F53" w:rsidR="00FF51A4" w:rsidRDefault="0014412A" w:rsidP="00020D20">
      <w:pPr>
        <w:pStyle w:val="Heading4"/>
        <w:jc w:val="both"/>
        <w:rPr>
          <w:rFonts w:cstheme="minorHAnsi"/>
        </w:rPr>
        <w:sectPr w:rsidR="00FF51A4" w:rsidSect="00020D20">
          <w:type w:val="continuous"/>
          <w:pgSz w:w="12240" w:h="15840"/>
          <w:pgMar w:top="1440" w:right="1440" w:bottom="1440" w:left="1440" w:header="720" w:footer="720" w:gutter="0"/>
          <w:pgNumType w:chapStyle="1"/>
          <w:cols w:num="2" w:space="720"/>
          <w:docGrid w:linePitch="360"/>
        </w:sectPr>
      </w:pPr>
      <w:r>
        <w:rPr>
          <w:iCs w:val="0"/>
          <w:noProof/>
        </w:rPr>
        <mc:AlternateContent>
          <mc:Choice Requires="wps">
            <w:drawing>
              <wp:anchor distT="0" distB="0" distL="114300" distR="114300" simplePos="0" relativeHeight="251618336" behindDoc="1" locked="0" layoutInCell="1" allowOverlap="1" wp14:anchorId="3B6BD9BE" wp14:editId="2DFDA81B">
                <wp:simplePos x="0" y="0"/>
                <wp:positionH relativeFrom="column">
                  <wp:posOffset>930275</wp:posOffset>
                </wp:positionH>
                <wp:positionV relativeFrom="paragraph">
                  <wp:posOffset>164465</wp:posOffset>
                </wp:positionV>
                <wp:extent cx="1598295" cy="2116455"/>
                <wp:effectExtent l="95250" t="95250" r="97155" b="93345"/>
                <wp:wrapTight wrapText="bothSides">
                  <wp:wrapPolygon edited="0">
                    <wp:start x="-1030" y="-972"/>
                    <wp:lineTo x="-1287" y="21192"/>
                    <wp:lineTo x="-772" y="22358"/>
                    <wp:lineTo x="22141" y="22358"/>
                    <wp:lineTo x="22656" y="21192"/>
                    <wp:lineTo x="22398" y="-972"/>
                    <wp:lineTo x="-1030" y="-972"/>
                  </wp:wrapPolygon>
                </wp:wrapTight>
                <wp:docPr id="816286026" name="Text Box 816286026"/>
                <wp:cNvGraphicFramePr/>
                <a:graphic xmlns:a="http://schemas.openxmlformats.org/drawingml/2006/main">
                  <a:graphicData uri="http://schemas.microsoft.com/office/word/2010/wordprocessingShape">
                    <wps:wsp>
                      <wps:cNvSpPr txBox="1"/>
                      <wps:spPr>
                        <a:xfrm>
                          <a:off x="0" y="0"/>
                          <a:ext cx="1598295" cy="211645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DE708C5" w14:textId="77777777" w:rsidR="00C6444C" w:rsidRDefault="00C6444C" w:rsidP="00020D20">
                            <w:pPr>
                              <w:jc w:val="center"/>
                            </w:pPr>
                            <w:r>
                              <w:rPr>
                                <w:noProof/>
                              </w:rPr>
                              <w:drawing>
                                <wp:inline distT="0" distB="0" distL="0" distR="0" wp14:anchorId="5B6FEBC1" wp14:editId="21EAC57E">
                                  <wp:extent cx="457200" cy="457200"/>
                                  <wp:effectExtent l="0" t="0" r="0" b="0"/>
                                  <wp:docPr id="1690912763" name="Picture 169091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014FA85" w14:textId="2F7893E4" w:rsidR="00C6444C" w:rsidRDefault="00C6444C">
                            <w:pPr>
                              <w:pStyle w:val="Calloutboxes"/>
                            </w:pPr>
                            <w:r w:rsidRPr="00020D20">
                              <w:rPr>
                                <w:i/>
                              </w:rPr>
                              <w:t>Chapter 2,</w:t>
                            </w:r>
                            <w:r>
                              <w:t xml:space="preserve"> </w:t>
                            </w:r>
                            <w:r w:rsidRPr="00020D20">
                              <w:rPr>
                                <w:i/>
                              </w:rPr>
                              <w:t>“State &amp; Federal Planning Partners</w:t>
                            </w:r>
                            <w:r>
                              <w:rPr>
                                <w:i/>
                              </w:rPr>
                              <w:t>”</w:t>
                            </w:r>
                            <w:r>
                              <w:t>, describes the responsibilities of each ADOT division. USDOT FHWA. 2013. Arizona Division, “Stewardship and Oversight Agreement for Arizona.” Last Modified April 9, 2015</w:t>
                            </w:r>
                          </w:p>
                          <w:p w14:paraId="5E143BBE" w14:textId="1D34EE43" w:rsidR="00C6444C" w:rsidRPr="00A20E87" w:rsidRDefault="00202C92">
                            <w:pPr>
                              <w:pStyle w:val="Title"/>
                            </w:pPr>
                            <w:hyperlink r:id="rId1067" w:history="1">
                              <w:r w:rsidR="00C6444C" w:rsidRPr="00347D6E">
                                <w:rPr>
                                  <w:rStyle w:val="Hyperlink"/>
                                  <w:rFonts w:asciiTheme="minorHAnsi" w:hAnsiTheme="minorHAnsi" w:cstheme="majorBidi"/>
                                  <w:i/>
                                  <w:color w:val="CE5B18"/>
                                  <w:u w:val="none"/>
                                </w:rPr>
                                <w:t>https://www.fhwa.dot.gov/azdiv/Arizona_SO_Agreement_signed_2015_04_09.pdf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6BD9BE" id="Text Box 816286026" o:spid="_x0000_s1273" type="#_x0000_t202" style="position:absolute;left:0;text-align:left;margin-left:73.25pt;margin-top:12.95pt;width:125.85pt;height:166.65pt;z-index:-2516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" fillcolor="#f7f7f7" stroked="f" strokeweight=".5pt">
                <v:shadow on="t" type="perspective" color="black" opacity="26214f" offset="0,0" matrix="66847f,,,66847f"/>
                <v:textbox>
                  <w:txbxContent>
                    <w:p w14:paraId="2DE708C5" w14:textId="77777777" w:rsidR="00C6444C" w:rsidRDefault="00C6444C" w:rsidP="00020D20">
                      <w:pPr>
                        <w:jc w:val="center"/>
                      </w:pPr>
                      <w:r>
                        <w:rPr>
                          <w:noProof/>
                        </w:rPr>
                        <w:drawing>
                          <wp:inline distT="0" distB="0" distL="0" distR="0" wp14:anchorId="5B6FEBC1" wp14:editId="21EAC57E">
                            <wp:extent cx="457200" cy="457200"/>
                            <wp:effectExtent l="0" t="0" r="0" b="0"/>
                            <wp:docPr id="1690912763" name="Picture 169091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PO COG Resource Icons_Federal Resources.png"/>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014FA85" w14:textId="2F7893E4" w:rsidR="00C6444C" w:rsidRDefault="00C6444C">
                      <w:pPr>
                        <w:pStyle w:val="Calloutboxes"/>
                      </w:pPr>
                      <w:r w:rsidRPr="00020D20">
                        <w:rPr>
                          <w:i/>
                        </w:rPr>
                        <w:t>Chapter 2,</w:t>
                      </w:r>
                      <w:r>
                        <w:t xml:space="preserve"> </w:t>
                      </w:r>
                      <w:r w:rsidRPr="00020D20">
                        <w:rPr>
                          <w:i/>
                        </w:rPr>
                        <w:t>“State &amp; Federal Planning Partners</w:t>
                      </w:r>
                      <w:r>
                        <w:rPr>
                          <w:i/>
                        </w:rPr>
                        <w:t>”</w:t>
                      </w:r>
                      <w:r>
                        <w:t>, describes the responsibilities of each ADOT division. USDOT FHWA. 2013. Arizona Division, “Stewardship and Oversight Agreement for Arizona.” Last Modified April 9, 2015</w:t>
                      </w:r>
                    </w:p>
                    <w:p w14:paraId="5E143BBE" w14:textId="1D34EE43" w:rsidR="00C6444C" w:rsidRPr="00A20E87" w:rsidRDefault="00C6444C">
                      <w:pPr>
                        <w:pStyle w:val="Title"/>
                      </w:pPr>
                      <w:hyperlink r:id="rId1068" w:history="1">
                        <w:r w:rsidRPr="00347D6E">
                          <w:rPr>
                            <w:rStyle w:val="Hyperlink"/>
                            <w:rFonts w:asciiTheme="minorHAnsi" w:hAnsiTheme="minorHAnsi" w:cstheme="majorBidi"/>
                            <w:i/>
                            <w:color w:val="CE5B18"/>
                            <w:u w:val="none"/>
                          </w:rPr>
                          <w:t>https://www.fhwa.dot.gov/azdiv/Arizona_SO_Agreement_signed_2015_04_09.pdf</w:t>
                        </w:r>
                      </w:hyperlink>
                    </w:p>
                  </w:txbxContent>
                </v:textbox>
                <w10:wrap type="tight"/>
              </v:shape>
            </w:pict>
          </mc:Fallback>
        </mc:AlternateContent>
      </w:r>
      <w:r w:rsidR="000D4F9E" w:rsidRPr="000D4F9E">
        <w:t>The following process has been developed to ensure that the preceding federal guidance is met when modifications to Arizona’s approved Urban Area Boundary System and Functional Classification System are considered.</w:t>
      </w:r>
      <w:r w:rsidR="000D4F9E">
        <w:t xml:space="preserve"> </w:t>
      </w:r>
      <w:r w:rsidR="00E34BF3">
        <w:br w:type="column"/>
      </w:r>
    </w:p>
    <w:p w14:paraId="2AFFD99A" w14:textId="0D1146A2" w:rsidR="003C2DDF" w:rsidRDefault="00C6500D" w:rsidP="00020D20">
      <w:pPr>
        <w:pStyle w:val="BodyTextTitle"/>
        <w:spacing w:before="0" w:after="0" w:line="240" w:lineRule="auto"/>
        <w:jc w:val="both"/>
      </w:pPr>
      <w:bookmarkStart w:id="640" w:name="_Ref50048542"/>
      <w:bookmarkStart w:id="641" w:name="_Toc49862248"/>
      <w:r>
        <w:t>17.4</w:t>
      </w:r>
      <w:r w:rsidR="003C2DDF">
        <w:t xml:space="preserve"> </w:t>
      </w:r>
      <w:r>
        <w:t>| TECHNOLOGY APPLICATIONS FOR PLANNING: MODELING AND GIS</w:t>
      </w:r>
    </w:p>
    <w:p w14:paraId="33A1ECB7" w14:textId="2DD0CE7B" w:rsidR="00C6500D" w:rsidRPr="00020D20" w:rsidRDefault="00C6500D" w:rsidP="00020D20">
      <w:pPr>
        <w:pStyle w:val="BodyTextTitle"/>
        <w:spacing w:before="0" w:line="240" w:lineRule="auto"/>
        <w:jc w:val="both"/>
        <w:rPr>
          <w:sz w:val="36"/>
        </w:rPr>
      </w:pPr>
      <w:r w:rsidRPr="00020D20">
        <w:rPr>
          <w:sz w:val="36"/>
        </w:rPr>
        <w:t>TABLE OF CONTENTS</w:t>
      </w:r>
      <w:bookmarkEnd w:id="640"/>
    </w:p>
    <w:p w14:paraId="25807ED0" w14:textId="50980294"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_Ref50048082 \h </w:instrText>
      </w:r>
      <w:r w:rsidR="002D38FC">
        <w:instrText xml:space="preserve"> \* MERGEFORMAT </w:instrText>
      </w:r>
      <w:r>
        <w:fldChar w:fldCharType="separate"/>
      </w:r>
      <w:r w:rsidR="00155686">
        <w:t xml:space="preserve">17.4.1 | </w:t>
      </w:r>
      <w:r w:rsidRPr="00C135F4">
        <w:t>Purpose</w:t>
      </w:r>
      <w:r>
        <w:fldChar w:fldCharType="end"/>
      </w:r>
    </w:p>
    <w:p w14:paraId="3D8942F2" w14:textId="72A7DA2E"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_Ref50048088 \h </w:instrText>
      </w:r>
      <w:r w:rsidR="002D38FC">
        <w:instrText xml:space="preserve"> \* MERGEFORMAT </w:instrText>
      </w:r>
      <w:r>
        <w:fldChar w:fldCharType="separate"/>
      </w:r>
      <w:r w:rsidR="00155686">
        <w:t xml:space="preserve">17.4.2 | </w:t>
      </w:r>
      <w:r w:rsidRPr="00C135F4">
        <w:t>Travel Demand Models</w:t>
      </w:r>
      <w:r>
        <w:t xml:space="preserve"> and Other Techniques</w:t>
      </w:r>
      <w:r>
        <w:fldChar w:fldCharType="end"/>
      </w:r>
    </w:p>
    <w:p w14:paraId="14694974" w14:textId="2C69FE90"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_Ref50048190 \h </w:instrText>
      </w:r>
      <w:r w:rsidR="002D38FC">
        <w:instrText xml:space="preserve"> \* MERGEFORMAT </w:instrText>
      </w:r>
      <w:r>
        <w:fldChar w:fldCharType="separate"/>
      </w:r>
      <w:r w:rsidRPr="00C135F4">
        <w:t>Growth Factor Models</w:t>
      </w:r>
      <w:r>
        <w:fldChar w:fldCharType="end"/>
      </w:r>
    </w:p>
    <w:p w14:paraId="42D7CA3B" w14:textId="7957AADB"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_Ref50048194 \h </w:instrText>
      </w:r>
      <w:r w:rsidR="002D38FC">
        <w:instrText xml:space="preserve"> \* MERGEFORMAT </w:instrText>
      </w:r>
      <w:r>
        <w:fldChar w:fldCharType="separate"/>
      </w:r>
      <w:r>
        <w:t>Static Traffic Assignment Models</w:t>
      </w:r>
      <w:r>
        <w:fldChar w:fldCharType="end"/>
      </w:r>
    </w:p>
    <w:p w14:paraId="38E8AFD2" w14:textId="33429DE1"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_Ref50048199 \h </w:instrText>
      </w:r>
      <w:r w:rsidR="002D38FC">
        <w:instrText xml:space="preserve"> \* MERGEFORMAT </w:instrText>
      </w:r>
      <w:r>
        <w:fldChar w:fldCharType="separate"/>
      </w:r>
      <w:r w:rsidRPr="00C135F4">
        <w:t>Activity-based Models</w:t>
      </w:r>
      <w:r>
        <w:fldChar w:fldCharType="end"/>
      </w:r>
    </w:p>
    <w:p w14:paraId="72338D13" w14:textId="1DAF8034"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_Ref50048091 \h </w:instrText>
      </w:r>
      <w:r w:rsidR="002D38FC">
        <w:instrText xml:space="preserve"> \* MERGEFORMAT </w:instrText>
      </w:r>
      <w:r>
        <w:fldChar w:fldCharType="separate"/>
      </w:r>
      <w:r w:rsidR="00155686">
        <w:t xml:space="preserve">17.4.3 | </w:t>
      </w:r>
      <w:r>
        <w:t xml:space="preserve">Federal and State </w:t>
      </w:r>
      <w:r w:rsidRPr="00C135F4">
        <w:t>Requirements for Travel Demand Modeling</w:t>
      </w:r>
      <w:r>
        <w:fldChar w:fldCharType="end"/>
      </w:r>
    </w:p>
    <w:p w14:paraId="035B7C10" w14:textId="70D61EF5"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_Ref50048095 \h </w:instrText>
      </w:r>
      <w:r w:rsidR="002D38FC">
        <w:instrText xml:space="preserve"> \* MERGEFORMAT </w:instrText>
      </w:r>
      <w:r>
        <w:fldChar w:fldCharType="separate"/>
      </w:r>
      <w:r w:rsidR="00155686">
        <w:t xml:space="preserve">17.4.4 | </w:t>
      </w:r>
      <w:r w:rsidRPr="00C135F4">
        <w:t>ADOT Modeling Support</w:t>
      </w:r>
      <w:r>
        <w:fldChar w:fldCharType="end"/>
      </w:r>
    </w:p>
    <w:p w14:paraId="527EF970" w14:textId="616E9590" w:rsidR="00C6500D" w:rsidRDefault="00C6500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_Ref50048098 \h </w:instrText>
      </w:r>
      <w:r w:rsidR="002D38FC">
        <w:instrText xml:space="preserve"> \* MERGEFORMAT </w:instrText>
      </w:r>
      <w:r>
        <w:fldChar w:fldCharType="separate"/>
      </w:r>
      <w:r w:rsidR="00155686">
        <w:t xml:space="preserve">17.4.5 | </w:t>
      </w:r>
      <w:r w:rsidRPr="00C135F4">
        <w:t>ADOT GIS Support</w:t>
      </w:r>
      <w:r>
        <w:fldChar w:fldCharType="end"/>
      </w:r>
    </w:p>
    <w:p w14:paraId="55B99CB7" w14:textId="00D92581" w:rsidR="00C6500D" w:rsidRDefault="00C6500D"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66002CFA" w14:textId="7241D284" w:rsidR="00C135F4" w:rsidRPr="00C135F4" w:rsidRDefault="00B643E7" w:rsidP="00020D20">
      <w:pPr>
        <w:pStyle w:val="Chapter17Heading"/>
      </w:pPr>
      <w:bookmarkStart w:id="642" w:name="_Toc50540248"/>
      <w:r>
        <w:t xml:space="preserve">17.4 </w:t>
      </w:r>
      <w:bookmarkStart w:id="643" w:name="_Toc49870642"/>
      <w:r w:rsidR="00C135F4" w:rsidRPr="00C135F4">
        <w:t>|</w:t>
      </w:r>
      <w:r w:rsidR="000E518A">
        <w:t xml:space="preserve"> </w:t>
      </w:r>
      <w:r w:rsidR="00C135F4" w:rsidRPr="00C135F4">
        <w:t>Technology Applications for Planning: Modeling &amp; GIS</w:t>
      </w:r>
      <w:bookmarkEnd w:id="641"/>
      <w:bookmarkEnd w:id="643"/>
      <w:bookmarkEnd w:id="642"/>
    </w:p>
    <w:p w14:paraId="298723AB" w14:textId="77777777" w:rsidR="00FF51A4" w:rsidRDefault="00FF51A4" w:rsidP="00020D20">
      <w:pPr>
        <w:jc w:val="both"/>
        <w:rPr>
          <w:rFonts w:cstheme="minorHAnsi"/>
        </w:rPr>
        <w:sectPr w:rsidR="00FF51A4" w:rsidSect="00020D20">
          <w:pgSz w:w="12240" w:h="15840"/>
          <w:pgMar w:top="1440" w:right="1440" w:bottom="1440" w:left="1440" w:header="720" w:footer="720" w:gutter="0"/>
          <w:pgNumType w:chapStyle="1"/>
          <w:cols w:space="720"/>
          <w:docGrid w:linePitch="360"/>
        </w:sectPr>
      </w:pPr>
    </w:p>
    <w:p w14:paraId="76CF8F02" w14:textId="41851518" w:rsidR="00C135F4" w:rsidRPr="00C135F4" w:rsidRDefault="00C135F4" w:rsidP="00020D20">
      <w:pPr>
        <w:pStyle w:val="Heading3"/>
        <w:jc w:val="both"/>
      </w:pPr>
      <w:bookmarkStart w:id="644" w:name="_Ref50048082"/>
      <w:r w:rsidRPr="00C135F4">
        <w:t>17.4.1 | Purpose</w:t>
      </w:r>
      <w:bookmarkEnd w:id="644"/>
    </w:p>
    <w:p w14:paraId="13AE4A32" w14:textId="758063A0" w:rsidR="00C135F4" w:rsidRPr="00C135F4" w:rsidRDefault="00C135F4" w:rsidP="00020D20">
      <w:pPr>
        <w:jc w:val="both"/>
        <w:rPr>
          <w:rFonts w:cstheme="minorHAnsi"/>
        </w:rPr>
      </w:pPr>
      <w:r w:rsidRPr="00C135F4">
        <w:rPr>
          <w:rFonts w:cstheme="minorHAnsi"/>
        </w:rPr>
        <w:t xml:space="preserve">This section discusses the application of travel demand modeling </w:t>
      </w:r>
      <w:r w:rsidR="0099382F">
        <w:rPr>
          <w:rFonts w:cstheme="minorHAnsi"/>
        </w:rPr>
        <w:t xml:space="preserve">(TDM) </w:t>
      </w:r>
      <w:r w:rsidRPr="00C135F4">
        <w:rPr>
          <w:rFonts w:cstheme="minorHAnsi"/>
        </w:rPr>
        <w:t xml:space="preserve">and GIS data to support various planning functions conducted by MPOs and COGs. </w:t>
      </w:r>
    </w:p>
    <w:p w14:paraId="20612D6B" w14:textId="77777777" w:rsidR="00C135F4" w:rsidRPr="00C135F4" w:rsidRDefault="00C135F4" w:rsidP="00020D20">
      <w:pPr>
        <w:jc w:val="both"/>
        <w:rPr>
          <w:rFonts w:cstheme="minorHAnsi"/>
        </w:rPr>
      </w:pPr>
      <w:r w:rsidRPr="00C135F4">
        <w:rPr>
          <w:rFonts w:cstheme="minorHAnsi"/>
        </w:rPr>
        <w:t xml:space="preserve">TDMs are invaluable tools that enable MPOs, ADOT, and other planning agencies to: </w:t>
      </w:r>
    </w:p>
    <w:p w14:paraId="4B181FC3" w14:textId="06446F08" w:rsidR="00C135F4" w:rsidRPr="00C135F4" w:rsidRDefault="00C135F4" w:rsidP="00020D20">
      <w:pPr>
        <w:pStyle w:val="Body-Bullets"/>
        <w:jc w:val="both"/>
      </w:pPr>
      <w:r w:rsidRPr="00C135F4">
        <w:t>provide technical analyses that support plan and policy development;</w:t>
      </w:r>
    </w:p>
    <w:p w14:paraId="77875706" w14:textId="77777777" w:rsidR="00C135F4" w:rsidRPr="00C135F4" w:rsidRDefault="00C135F4" w:rsidP="00020D20">
      <w:pPr>
        <w:pStyle w:val="Body-Bullets"/>
        <w:jc w:val="both"/>
      </w:pPr>
      <w:r w:rsidRPr="00C135F4">
        <w:t xml:space="preserve">evaluate proposed transportation improvement projects and programs; </w:t>
      </w:r>
    </w:p>
    <w:p w14:paraId="1E22838F" w14:textId="77777777" w:rsidR="00C135F4" w:rsidRPr="00C135F4" w:rsidRDefault="00C135F4" w:rsidP="00020D20">
      <w:pPr>
        <w:pStyle w:val="Body-Bullets"/>
        <w:jc w:val="both"/>
      </w:pPr>
      <w:r w:rsidRPr="00C135F4">
        <w:t xml:space="preserve">identify transportation system deficiencies; </w:t>
      </w:r>
    </w:p>
    <w:p w14:paraId="68897BA5" w14:textId="77777777" w:rsidR="00C135F4" w:rsidRPr="00C135F4" w:rsidRDefault="00C135F4" w:rsidP="00020D20">
      <w:pPr>
        <w:pStyle w:val="Body-Bullets"/>
        <w:jc w:val="both"/>
      </w:pPr>
      <w:r w:rsidRPr="00C135F4">
        <w:t xml:space="preserve">evaluate land use and development scenarios; </w:t>
      </w:r>
    </w:p>
    <w:p w14:paraId="7D596864" w14:textId="77777777" w:rsidR="00C135F4" w:rsidRPr="00C135F4" w:rsidRDefault="00C135F4" w:rsidP="00020D20">
      <w:pPr>
        <w:pStyle w:val="Body-Bullets"/>
        <w:jc w:val="both"/>
      </w:pPr>
      <w:r w:rsidRPr="00C135F4">
        <w:t xml:space="preserve">conduct traffic, corridor, and subarea studies; </w:t>
      </w:r>
    </w:p>
    <w:p w14:paraId="6A06C367" w14:textId="77777777" w:rsidR="00C135F4" w:rsidRPr="00C135F4" w:rsidRDefault="00C135F4" w:rsidP="00020D20">
      <w:pPr>
        <w:pStyle w:val="Body-Bullets"/>
        <w:jc w:val="both"/>
      </w:pPr>
      <w:r w:rsidRPr="00C135F4">
        <w:t xml:space="preserve">support air quality and energy analyses; and </w:t>
      </w:r>
    </w:p>
    <w:p w14:paraId="20834905" w14:textId="77777777" w:rsidR="00C135F4" w:rsidRPr="00C135F4" w:rsidRDefault="00C135F4" w:rsidP="00020D20">
      <w:pPr>
        <w:pStyle w:val="Body-Bullets"/>
        <w:jc w:val="both"/>
      </w:pPr>
      <w:r w:rsidRPr="00C135F4">
        <w:t xml:space="preserve">conduct freight and goods movement studies. </w:t>
      </w:r>
    </w:p>
    <w:p w14:paraId="67950F4B" w14:textId="63EFC84F" w:rsidR="00C135F4" w:rsidRPr="00C135F4" w:rsidRDefault="00C135F4" w:rsidP="00020D20">
      <w:pPr>
        <w:jc w:val="both"/>
        <w:rPr>
          <w:rFonts w:cstheme="minorHAnsi"/>
        </w:rPr>
      </w:pPr>
      <w:r w:rsidRPr="00C135F4">
        <w:rPr>
          <w:rFonts w:cstheme="minorHAnsi"/>
        </w:rPr>
        <w:t>Quantifying future transportation system performance and identifying potential operational deficiencies benefits the decision-making process. Additionally, they are used to generate the forecasts necessary to develop traffic operations strategies and roadway design.</w:t>
      </w:r>
    </w:p>
    <w:p w14:paraId="5C789F37" w14:textId="77777777" w:rsidR="00C135F4" w:rsidRPr="00C135F4" w:rsidRDefault="00C135F4" w:rsidP="00020D20">
      <w:pPr>
        <w:jc w:val="both"/>
        <w:rPr>
          <w:rFonts w:cstheme="minorHAnsi"/>
        </w:rPr>
      </w:pPr>
      <w:r w:rsidRPr="00C135F4">
        <w:rPr>
          <w:rFonts w:cstheme="minorHAnsi"/>
        </w:rPr>
        <w:t>GIS is rapidly becoming a necessary tool for planning, analyzing, modeling, and managing information. Transportation planners use GIS data to assess transportation services, plan future routes, and identify transportation deficiencies. GIS helps identify areas that are underserved by transportation infrastructure, pinpoint appropriate sites for the placement of a roadway or public transit facility, and match transportation services with demographic and environmental features.</w:t>
      </w:r>
    </w:p>
    <w:p w14:paraId="1A80DB32" w14:textId="77777777" w:rsidR="00C135F4" w:rsidRPr="00C135F4" w:rsidRDefault="00C135F4" w:rsidP="00020D20">
      <w:pPr>
        <w:jc w:val="both"/>
        <w:rPr>
          <w:rFonts w:cstheme="minorHAnsi"/>
        </w:rPr>
      </w:pPr>
      <w:r w:rsidRPr="00C135F4">
        <w:rPr>
          <w:rFonts w:cstheme="minorHAnsi"/>
        </w:rPr>
        <w:t>Users can query GIS databases by spatial location and generate a visual array of information that allows them to readily understand complex environmental, economic, and social issues. By using GIS to efficiently bring information together, transportation planners are able to effectively review, analyze, and understand the challenges they face. This saves time and money and often facilitates improved decision making.</w:t>
      </w:r>
    </w:p>
    <w:p w14:paraId="5C65DB50" w14:textId="36CB47BF" w:rsidR="00C135F4" w:rsidRPr="00C135F4" w:rsidRDefault="00C135F4" w:rsidP="00020D20">
      <w:pPr>
        <w:pStyle w:val="Heading3"/>
        <w:jc w:val="both"/>
      </w:pPr>
      <w:bookmarkStart w:id="645" w:name="_Ref50048088"/>
      <w:r w:rsidRPr="00C135F4">
        <w:t>17.4.2 | Travel Demand Models</w:t>
      </w:r>
      <w:r w:rsidR="003E6291">
        <w:t xml:space="preserve"> and Other Techniques</w:t>
      </w:r>
      <w:bookmarkEnd w:id="645"/>
    </w:p>
    <w:p w14:paraId="4A9B7736" w14:textId="5555FE96" w:rsidR="00C135F4" w:rsidRPr="00C135F4" w:rsidRDefault="00193DD1" w:rsidP="00020D20">
      <w:pPr>
        <w:jc w:val="both"/>
        <w:rPr>
          <w:rFonts w:cstheme="minorHAnsi"/>
        </w:rPr>
      </w:pPr>
      <w:r>
        <w:rPr>
          <w:rFonts w:cstheme="minorHAnsi"/>
        </w:rPr>
        <w:t>Travel demand modeling</w:t>
      </w:r>
      <w:r w:rsidR="00C135F4" w:rsidRPr="00C135F4">
        <w:rPr>
          <w:rFonts w:cstheme="minorHAnsi"/>
        </w:rPr>
        <w:t xml:space="preserve"> is essentially a process for estimating travel in a region or locality based on population, socioeconomic characteristics, economic activity, and available transportations systems and modes. </w:t>
      </w:r>
      <w:r>
        <w:rPr>
          <w:rFonts w:cstheme="minorHAnsi"/>
        </w:rPr>
        <w:t>Depending on scale and purpose, t</w:t>
      </w:r>
      <w:r w:rsidR="00C135F4" w:rsidRPr="00C135F4">
        <w:rPr>
          <w:rFonts w:cstheme="minorHAnsi"/>
        </w:rPr>
        <w:t>ravel models can range widely in complexity and are grouped into several broad categories as follows.</w:t>
      </w:r>
    </w:p>
    <w:p w14:paraId="493922B7" w14:textId="77777777" w:rsidR="00C135F4" w:rsidRPr="00C135F4" w:rsidRDefault="00C135F4" w:rsidP="00020D20">
      <w:pPr>
        <w:pStyle w:val="SubHeading3"/>
        <w:jc w:val="both"/>
      </w:pPr>
      <w:bookmarkStart w:id="646" w:name="_Ref50048190"/>
      <w:r w:rsidRPr="00C135F4">
        <w:t>Growth Factor Models</w:t>
      </w:r>
      <w:bookmarkEnd w:id="646"/>
    </w:p>
    <w:p w14:paraId="20338BF5" w14:textId="34ADE94D" w:rsidR="000D4F9E" w:rsidRDefault="00C135F4" w:rsidP="00020D20">
      <w:pPr>
        <w:jc w:val="both"/>
        <w:rPr>
          <w:rFonts w:cstheme="minorHAnsi"/>
        </w:rPr>
      </w:pPr>
      <w:r w:rsidRPr="00C135F4">
        <w:rPr>
          <w:rFonts w:cstheme="minorHAnsi"/>
        </w:rPr>
        <w:t xml:space="preserve">Simple so-called </w:t>
      </w:r>
      <w:r w:rsidRPr="003C6EE0">
        <w:rPr>
          <w:rFonts w:cstheme="minorHAnsi"/>
          <w:b/>
        </w:rPr>
        <w:t>sketch planning</w:t>
      </w:r>
      <w:r w:rsidRPr="00C135F4">
        <w:rPr>
          <w:rFonts w:cstheme="minorHAnsi"/>
        </w:rPr>
        <w:t xml:space="preserve"> or </w:t>
      </w:r>
      <w:r w:rsidRPr="003C6EE0">
        <w:rPr>
          <w:rFonts w:cstheme="minorHAnsi"/>
          <w:b/>
        </w:rPr>
        <w:t>growth factor models</w:t>
      </w:r>
      <w:r w:rsidRPr="00C135F4">
        <w:rPr>
          <w:rFonts w:cstheme="minorHAnsi"/>
        </w:rPr>
        <w:t xml:space="preserve"> are sometimes used for planning applications that do not require much detail, and instead simple projections of travel based on changes in population and </w:t>
      </w:r>
      <w:r w:rsidR="00DC3DD7">
        <w:rPr>
          <w:rFonts w:cstheme="minorHAnsi"/>
        </w:rPr>
        <w:t>employment</w:t>
      </w:r>
      <w:r w:rsidRPr="00C135F4">
        <w:rPr>
          <w:rFonts w:cstheme="minorHAnsi"/>
        </w:rPr>
        <w:t xml:space="preserve"> are s</w:t>
      </w:r>
      <w:r w:rsidR="00DC3DD7">
        <w:rPr>
          <w:rFonts w:cstheme="minorHAnsi"/>
        </w:rPr>
        <w:t>tandard measures of analysis</w:t>
      </w:r>
      <w:r w:rsidRPr="00C135F4">
        <w:rPr>
          <w:rFonts w:cstheme="minorHAnsi"/>
        </w:rPr>
        <w:t>. These models may be used in regions or localities with small populations where little fluctuation in population and employment is expected. These models are typically represented as simple growth factor calculations and are usually carried out in a spreadsheet application.</w:t>
      </w:r>
    </w:p>
    <w:p w14:paraId="75EB415F" w14:textId="0EDBF688" w:rsidR="00C135F4" w:rsidRPr="00C135F4" w:rsidRDefault="00DC3DD7" w:rsidP="00020D20">
      <w:pPr>
        <w:pStyle w:val="SubHeading3"/>
        <w:jc w:val="both"/>
      </w:pPr>
      <w:bookmarkStart w:id="647" w:name="_Ref50048194"/>
      <w:r>
        <w:t>Static Traffic Assignment Models</w:t>
      </w:r>
      <w:bookmarkEnd w:id="647"/>
      <w:r w:rsidR="00C135F4" w:rsidRPr="00C135F4">
        <w:t xml:space="preserve"> </w:t>
      </w:r>
    </w:p>
    <w:p w14:paraId="5D37C170" w14:textId="7B2C1ADC" w:rsidR="00C135F4" w:rsidRPr="00C135F4" w:rsidRDefault="00DC3DD7" w:rsidP="00020D20">
      <w:pPr>
        <w:jc w:val="both"/>
        <w:rPr>
          <w:rFonts w:cstheme="minorHAnsi"/>
        </w:rPr>
      </w:pPr>
      <w:r>
        <w:rPr>
          <w:rFonts w:cstheme="minorHAnsi"/>
          <w:b/>
        </w:rPr>
        <w:t xml:space="preserve">Static traffic assignment </w:t>
      </w:r>
      <w:r w:rsidR="00C135F4" w:rsidRPr="00735F50">
        <w:rPr>
          <w:rFonts w:cstheme="minorHAnsi"/>
          <w:b/>
        </w:rPr>
        <w:t>models</w:t>
      </w:r>
      <w:r w:rsidR="00C135F4" w:rsidRPr="00C135F4">
        <w:rPr>
          <w:rFonts w:cstheme="minorHAnsi"/>
        </w:rPr>
        <w:t xml:space="preserve"> are more complex and require computer-generated forecasts. These models contain representations of major parts of the road network—typically freeways, major and minor arterials, and some collectors. These models work by dividing a region into a number of smaller </w:t>
      </w:r>
      <w:r w:rsidR="00DB7EF5">
        <w:rPr>
          <w:rFonts w:cstheme="minorHAnsi"/>
        </w:rPr>
        <w:t>Transportation Analysis Zones (</w:t>
      </w:r>
      <w:r w:rsidR="00C135F4" w:rsidRPr="00C135F4">
        <w:rPr>
          <w:rFonts w:cstheme="minorHAnsi"/>
        </w:rPr>
        <w:t>TAZs</w:t>
      </w:r>
      <w:r w:rsidR="00DB7EF5">
        <w:rPr>
          <w:rFonts w:cstheme="minorHAnsi"/>
        </w:rPr>
        <w:t>)</w:t>
      </w:r>
      <w:r w:rsidR="00C135F4" w:rsidRPr="00C135F4">
        <w:rPr>
          <w:rFonts w:cstheme="minorHAnsi"/>
        </w:rPr>
        <w:t xml:space="preserve"> and forecasting travel using a four-step modeling process:</w:t>
      </w:r>
    </w:p>
    <w:p w14:paraId="3F04BD21" w14:textId="77777777" w:rsidR="00C135F4" w:rsidRPr="00C135F4" w:rsidRDefault="00C135F4" w:rsidP="00020D20">
      <w:pPr>
        <w:pStyle w:val="Body-Bullets"/>
        <w:jc w:val="both"/>
      </w:pPr>
      <w:r w:rsidRPr="00C135F4">
        <w:t>Trip generation: How many trips are produced by (origin) and attracted to (destination) each zone?</w:t>
      </w:r>
    </w:p>
    <w:p w14:paraId="33D873DB" w14:textId="77777777" w:rsidR="00C135F4" w:rsidRPr="00C135F4" w:rsidRDefault="00C135F4" w:rsidP="00020D20">
      <w:pPr>
        <w:pStyle w:val="Body-Bullets"/>
        <w:jc w:val="both"/>
      </w:pPr>
      <w:r w:rsidRPr="00C135F4">
        <w:t>Trip distribution: Where are the trips going?</w:t>
      </w:r>
    </w:p>
    <w:p w14:paraId="11E15C5F" w14:textId="77777777" w:rsidR="00C135F4" w:rsidRPr="00C135F4" w:rsidRDefault="00C135F4" w:rsidP="00020D20">
      <w:pPr>
        <w:pStyle w:val="Body-Bullets"/>
        <w:jc w:val="both"/>
      </w:pPr>
      <w:r w:rsidRPr="00C135F4">
        <w:t>Mode choice: By which mode are people traveling? (For regions where transit carries only a very small proportion of trips, this step may be omitted.)</w:t>
      </w:r>
    </w:p>
    <w:p w14:paraId="0DA16AC0" w14:textId="77777777" w:rsidR="00C135F4" w:rsidRPr="00C135F4" w:rsidRDefault="00C135F4" w:rsidP="00020D20">
      <w:pPr>
        <w:pStyle w:val="Body-Bullets"/>
        <w:jc w:val="both"/>
      </w:pPr>
      <w:r w:rsidRPr="00C135F4">
        <w:t>Assignment: On which roads are people traveling from a given origin to a given destination?</w:t>
      </w:r>
    </w:p>
    <w:p w14:paraId="0489111C" w14:textId="77777777" w:rsidR="00C135F4" w:rsidRDefault="00C135F4" w:rsidP="00020D20">
      <w:pPr>
        <w:jc w:val="both"/>
        <w:rPr>
          <w:rFonts w:cstheme="minorHAnsi"/>
        </w:rPr>
      </w:pPr>
      <w:r w:rsidRPr="00C135F4">
        <w:rPr>
          <w:rFonts w:cstheme="minorHAnsi"/>
        </w:rPr>
        <w:t>Four-step models have been the main method for travel demand forecasting in the United States since the 1950s. This model process is shown in figure 17.4-1.</w:t>
      </w:r>
    </w:p>
    <w:p w14:paraId="5C7B3A69" w14:textId="77777777" w:rsidR="00CB5121" w:rsidRDefault="00CB5121" w:rsidP="00020D20">
      <w:pPr>
        <w:pStyle w:val="Heading4"/>
        <w:jc w:val="both"/>
      </w:pPr>
      <w:r w:rsidRPr="00D43BA3">
        <w:t>Figure 17.4-1 | Conceptual</w:t>
      </w:r>
      <w:r>
        <w:t xml:space="preserve"> Four-step</w:t>
      </w:r>
      <w:r w:rsidRPr="00D43BA3">
        <w:t xml:space="preserve"> Travel Demand Modeling Process</w:t>
      </w:r>
    </w:p>
    <w:p w14:paraId="7E7CA7AE" w14:textId="77777777" w:rsidR="00CB5121" w:rsidRPr="00665512" w:rsidRDefault="00CB5121" w:rsidP="00020D20">
      <w:pPr>
        <w:jc w:val="both"/>
      </w:pPr>
      <w:r>
        <w:rPr>
          <w:noProof/>
        </w:rPr>
        <w:drawing>
          <wp:inline distT="0" distB="0" distL="0" distR="0" wp14:anchorId="0F39C0BD" wp14:editId="7726DDC3">
            <wp:extent cx="2743200" cy="1221740"/>
            <wp:effectExtent l="0" t="0" r="0" b="0"/>
            <wp:docPr id="28" name="Picture 2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7.4_Figure17.4-1_TDM-ModelProcess.jpg"/>
                    <pic:cNvPicPr/>
                  </pic:nvPicPr>
                  <pic:blipFill>
                    <a:blip r:embed="rId1069" cstate="print">
                      <a:extLst>
                        <a:ext uri="{28A0092B-C50C-407E-A947-70E740481C1C}">
                          <a14:useLocalDpi xmlns:a14="http://schemas.microsoft.com/office/drawing/2010/main" val="0"/>
                        </a:ext>
                      </a:extLst>
                    </a:blip>
                    <a:stretch>
                      <a:fillRect/>
                    </a:stretch>
                  </pic:blipFill>
                  <pic:spPr>
                    <a:xfrm>
                      <a:off x="0" y="0"/>
                      <a:ext cx="2743200" cy="1221740"/>
                    </a:xfrm>
                    <a:prstGeom prst="rect">
                      <a:avLst/>
                    </a:prstGeom>
                  </pic:spPr>
                </pic:pic>
              </a:graphicData>
            </a:graphic>
          </wp:inline>
        </w:drawing>
      </w:r>
    </w:p>
    <w:p w14:paraId="7CF8EEF0" w14:textId="77777777" w:rsidR="00C135F4" w:rsidRPr="00C135F4" w:rsidRDefault="00C135F4" w:rsidP="00020D20">
      <w:pPr>
        <w:jc w:val="both"/>
        <w:rPr>
          <w:rFonts w:cstheme="minorHAnsi"/>
        </w:rPr>
      </w:pPr>
      <w:r w:rsidRPr="00C135F4">
        <w:rPr>
          <w:rFonts w:cstheme="minorHAnsi"/>
        </w:rPr>
        <w:t>Travel models in large urban areas are further refined to produce forecasts of travel demand by time of day. For example, some regions use TDMs to produce forecasts for a single peak period (AM or PM) and the off-peak whereas other regions’ travel models produce forecasts of demand for both AM and PM periods, as well as off-peak; a growing trend is to divide the day into four or more time periods and produce forecasts for all of these: for instance, AM peak, midday, PM peak, and late night/early morning. Many smaller regions develop only 24-hour travel demand forecasts.</w:t>
      </w:r>
    </w:p>
    <w:p w14:paraId="74F366CB" w14:textId="77777777" w:rsidR="00C135F4" w:rsidRPr="00C135F4" w:rsidRDefault="00C135F4" w:rsidP="00020D20">
      <w:pPr>
        <w:jc w:val="both"/>
        <w:rPr>
          <w:rFonts w:cstheme="minorHAnsi"/>
        </w:rPr>
      </w:pPr>
      <w:r w:rsidRPr="00C135F4">
        <w:rPr>
          <w:rFonts w:cstheme="minorHAnsi"/>
        </w:rPr>
        <w:t>Travel demand modeling is used for a wide variety of purposes at the regional level. Examples include the following:</w:t>
      </w:r>
    </w:p>
    <w:p w14:paraId="38BB7275" w14:textId="77777777" w:rsidR="00C135F4" w:rsidRPr="00C135F4" w:rsidRDefault="00C135F4" w:rsidP="00020D20">
      <w:pPr>
        <w:pStyle w:val="Body-Bullets"/>
        <w:jc w:val="both"/>
      </w:pPr>
      <w:r w:rsidRPr="00C135F4">
        <w:t>Development of regional transportation plans: Travel demand forecasts are essential components of regional transportation plans, especially for comparing alternative development scenarios for a region.</w:t>
      </w:r>
    </w:p>
    <w:p w14:paraId="0A22BDF6" w14:textId="77777777" w:rsidR="00C135F4" w:rsidRPr="00C135F4" w:rsidRDefault="00C135F4" w:rsidP="00020D20">
      <w:pPr>
        <w:pStyle w:val="Body-Bullets"/>
        <w:jc w:val="both"/>
      </w:pPr>
      <w:r w:rsidRPr="00C135F4">
        <w:t>Forecasting traffic on a new highway facility: Forecasts of traffic on a new highway facility are often used to help determine tradeoffs between the size of the proposed facility, traffic on the facility, and the resulting level of service.</w:t>
      </w:r>
    </w:p>
    <w:p w14:paraId="273AE4F8" w14:textId="77777777" w:rsidR="00C135F4" w:rsidRPr="00C135F4" w:rsidRDefault="00C135F4" w:rsidP="00020D20">
      <w:pPr>
        <w:pStyle w:val="Body-Bullets"/>
        <w:jc w:val="both"/>
      </w:pPr>
      <w:r w:rsidRPr="00C135F4">
        <w:t>Forecasting use of a new fixed-guideway transit facility: Federal guidelines for aid to new transit starts require detailed</w:t>
      </w:r>
      <w:r>
        <w:t xml:space="preserve"> </w:t>
      </w:r>
      <w:r w:rsidRPr="00C135F4">
        <w:t>estimates of use of a proposed new facility. The travel models used to produce these forecasts are subject to detailed scrutiny by federal officials.</w:t>
      </w:r>
    </w:p>
    <w:p w14:paraId="196EB5FE" w14:textId="77777777" w:rsidR="004F16A5" w:rsidRDefault="00C135F4" w:rsidP="00020D20">
      <w:pPr>
        <w:pStyle w:val="Body-Bullets"/>
        <w:jc w:val="both"/>
      </w:pPr>
      <w:r w:rsidRPr="00C135F4">
        <w:t>Forecasting air quality” For nonattainment areas, travel models are used in conjunction with air quality models to produce estimates of future air quality as part of the regional planning process.</w:t>
      </w:r>
    </w:p>
    <w:p w14:paraId="168C9A2A" w14:textId="77777777" w:rsidR="00CB5121" w:rsidRPr="00C135F4" w:rsidRDefault="00CB5121" w:rsidP="00020D20">
      <w:pPr>
        <w:pStyle w:val="SubHeading3"/>
        <w:jc w:val="both"/>
      </w:pPr>
      <w:bookmarkStart w:id="648" w:name="_Ref50048199"/>
      <w:r w:rsidRPr="00C135F4">
        <w:t>Activity-based Models</w:t>
      </w:r>
      <w:bookmarkEnd w:id="648"/>
      <w:r w:rsidRPr="00C135F4">
        <w:t xml:space="preserve"> </w:t>
      </w:r>
    </w:p>
    <w:p w14:paraId="2B0305CA" w14:textId="0185BC13" w:rsidR="00130B10" w:rsidRDefault="00D90692" w:rsidP="00020D20">
      <w:pPr>
        <w:jc w:val="both"/>
        <w:rPr>
          <w:rFonts w:cstheme="minorHAnsi"/>
        </w:rPr>
      </w:pPr>
      <w:r>
        <w:rPr>
          <w:rFonts w:cstheme="minorHAnsi"/>
          <w:noProof/>
        </w:rPr>
        <mc:AlternateContent>
          <mc:Choice Requires="wps">
            <w:drawing>
              <wp:anchor distT="0" distB="0" distL="114300" distR="114300" simplePos="0" relativeHeight="251618402" behindDoc="1" locked="0" layoutInCell="1" allowOverlap="1" wp14:anchorId="12525033" wp14:editId="5B63018A">
                <wp:simplePos x="0" y="0"/>
                <wp:positionH relativeFrom="column">
                  <wp:posOffset>1466850</wp:posOffset>
                </wp:positionH>
                <wp:positionV relativeFrom="paragraph">
                  <wp:posOffset>93980</wp:posOffset>
                </wp:positionV>
                <wp:extent cx="1371600" cy="1714500"/>
                <wp:effectExtent l="76200" t="95250" r="76200" b="95250"/>
                <wp:wrapTight wrapText="bothSides">
                  <wp:wrapPolygon edited="0">
                    <wp:start x="-1200" y="-1200"/>
                    <wp:lineTo x="-1200" y="22560"/>
                    <wp:lineTo x="22500" y="22560"/>
                    <wp:lineTo x="22500" y="-1200"/>
                    <wp:lineTo x="-1200" y="-1200"/>
                  </wp:wrapPolygon>
                </wp:wrapTight>
                <wp:docPr id="816286339" name="Text Box 816286339"/>
                <wp:cNvGraphicFramePr/>
                <a:graphic xmlns:a="http://schemas.openxmlformats.org/drawingml/2006/main">
                  <a:graphicData uri="http://schemas.microsoft.com/office/word/2010/wordprocessingShape">
                    <wps:wsp>
                      <wps:cNvSpPr txBox="1"/>
                      <wps:spPr>
                        <a:xfrm>
                          <a:off x="0" y="0"/>
                          <a:ext cx="1371600" cy="17145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2AF4F29" w14:textId="77777777" w:rsidR="00C6444C" w:rsidRDefault="00C6444C" w:rsidP="00020D20">
                            <w:pPr>
                              <w:jc w:val="center"/>
                            </w:pPr>
                            <w:r>
                              <w:rPr>
                                <w:noProof/>
                              </w:rPr>
                              <w:drawing>
                                <wp:inline distT="0" distB="0" distL="0" distR="0" wp14:anchorId="15B0B25E" wp14:editId="36B787B5">
                                  <wp:extent cx="457200" cy="457200"/>
                                  <wp:effectExtent l="0" t="0" r="0" b="0"/>
                                  <wp:docPr id="1690912764" name="Picture 169091276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A7C8AA0" w14:textId="77777777" w:rsidR="00C6444C" w:rsidRPr="00954116" w:rsidRDefault="00C6444C" w:rsidP="00020D20">
                            <w:pPr>
                              <w:pStyle w:val="Calloutboxes"/>
                            </w:pPr>
                            <w:r w:rsidRPr="00394A74">
                              <w:t>Further details on the requirements can be found on the EPA’s “Transportation Conformity: Policy and Technical Guidance” webpage:</w:t>
                            </w:r>
                          </w:p>
                          <w:p w14:paraId="36DECE7B" w14:textId="77777777" w:rsidR="00C6444C" w:rsidRPr="00020D20" w:rsidRDefault="00202C92" w:rsidP="00020D20">
                            <w:pPr>
                              <w:pStyle w:val="BalloonText"/>
                              <w:spacing w:before="0" w:after="0"/>
                              <w:contextualSpacing/>
                              <w:jc w:val="center"/>
                              <w:rPr>
                                <w:rStyle w:val="SubtleReference"/>
                              </w:rPr>
                            </w:pPr>
                            <w:hyperlink r:id="rId1070" w:anchor="require" w:history="1">
                              <w:r w:rsidR="00C6444C" w:rsidRPr="00130B10">
                                <w:rPr>
                                  <w:rStyle w:val="Hyperlink"/>
                                  <w:rFonts w:ascii="Calibri" w:hAnsi="Calibri" w:cstheme="majorBidi"/>
                                  <w:i w:val="0"/>
                                  <w:color w:val="CE5B18"/>
                                  <w:u w:val="none"/>
                                </w:rPr>
                                <w:t>https://www.epa.gov/state-and-local-transportation#require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525033" id="Text Box 816286339" o:spid="_x0000_s1274" type="#_x0000_t202" style="position:absolute;left:0;text-align:left;margin-left:115.5pt;margin-top:7.4pt;width:108pt;height:135pt;z-index:-251698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" fillcolor="#f7f7f7" stroked="f" strokeweight=".5pt">
                <v:shadow on="t" type="perspective" color="black" opacity="26214f" offset="0,0" matrix="66847f,,,66847f"/>
                <v:textbox>
                  <w:txbxContent>
                    <w:p w14:paraId="02AF4F29" w14:textId="77777777" w:rsidR="00C6444C" w:rsidRDefault="00C6444C" w:rsidP="00020D20">
                      <w:pPr>
                        <w:jc w:val="center"/>
                      </w:pPr>
                      <w:r>
                        <w:rPr>
                          <w:noProof/>
                        </w:rPr>
                        <w:drawing>
                          <wp:inline distT="0" distB="0" distL="0" distR="0" wp14:anchorId="15B0B25E" wp14:editId="36B787B5">
                            <wp:extent cx="457200" cy="457200"/>
                            <wp:effectExtent l="0" t="0" r="0" b="0"/>
                            <wp:docPr id="1690912764" name="Picture 169091276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A7C8AA0" w14:textId="77777777" w:rsidR="00C6444C" w:rsidRPr="00954116" w:rsidRDefault="00C6444C" w:rsidP="00020D20">
                      <w:pPr>
                        <w:pStyle w:val="Calloutboxes"/>
                      </w:pPr>
                      <w:r w:rsidRPr="00394A74">
                        <w:t>Further details on the requirements can be found on the EPA’s “Transportation Conformity: Policy and Technical Guidance” webpage:</w:t>
                      </w:r>
                    </w:p>
                    <w:p w14:paraId="36DECE7B" w14:textId="77777777" w:rsidR="00C6444C" w:rsidRPr="00020D20" w:rsidRDefault="00C6444C" w:rsidP="00020D20">
                      <w:pPr>
                        <w:pStyle w:val="BalloonText"/>
                        <w:spacing w:before="0" w:after="0"/>
                        <w:contextualSpacing/>
                        <w:jc w:val="center"/>
                        <w:rPr>
                          <w:rStyle w:val="SubtleReference"/>
                        </w:rPr>
                      </w:pPr>
                      <w:hyperlink r:id="rId1071" w:anchor="require" w:history="1">
                        <w:r w:rsidRPr="00130B10">
                          <w:rPr>
                            <w:rStyle w:val="Hyperlink"/>
                            <w:rFonts w:ascii="Calibri" w:hAnsi="Calibri" w:cstheme="majorBidi"/>
                            <w:i w:val="0"/>
                            <w:color w:val="CE5B18"/>
                            <w:u w:val="none"/>
                          </w:rPr>
                          <w:t>https://www.epa.gov/state-and-local-transportation#require</w:t>
                        </w:r>
                      </w:hyperlink>
                    </w:p>
                  </w:txbxContent>
                </v:textbox>
                <w10:wrap type="tight"/>
              </v:shape>
            </w:pict>
          </mc:Fallback>
        </mc:AlternateContent>
      </w:r>
      <w:r w:rsidR="00CB5121" w:rsidRPr="004D0681">
        <w:rPr>
          <w:rFonts w:cstheme="minorHAnsi"/>
          <w:b/>
        </w:rPr>
        <w:t>Activity-based models</w:t>
      </w:r>
      <w:r w:rsidR="00CB5121" w:rsidRPr="00A56F73">
        <w:rPr>
          <w:rFonts w:cstheme="minorHAnsi"/>
        </w:rPr>
        <w:t xml:space="preserve"> (ABMs) first populate a re</w:t>
      </w:r>
      <w:r w:rsidR="00CB5121" w:rsidRPr="00CA586E">
        <w:rPr>
          <w:rFonts w:cstheme="minorHAnsi"/>
        </w:rPr>
        <w:t>gion with a synthetic population and then carry out travel modeling (also known as microsimulation travel demand modeling) on each individual in the population. The aggregated results produce estimates of total trips by origin-destination pair, by mode, by</w:t>
      </w:r>
      <w:r w:rsidR="00CB5121" w:rsidRPr="006C0DE3">
        <w:rPr>
          <w:rFonts w:cstheme="minorHAnsi"/>
        </w:rPr>
        <w:t xml:space="preserve"> road and transit route, and by time of day. ABMs typically are implemented in large, complex urban areas where travel demand forecasts for non-auto modes are critical components of regional plans or applications for new fixed-guideway transit facilities.</w:t>
      </w:r>
    </w:p>
    <w:p w14:paraId="2E01E9A1" w14:textId="77777777" w:rsidR="00CB5121" w:rsidRDefault="00CB5121" w:rsidP="00020D20">
      <w:pPr>
        <w:pStyle w:val="SubHeading3"/>
        <w:jc w:val="both"/>
      </w:pPr>
      <w:r>
        <w:t xml:space="preserve">Dynamic Traffic Assignment </w:t>
      </w:r>
      <w:r w:rsidRPr="00C135F4">
        <w:t xml:space="preserve">Models </w:t>
      </w:r>
    </w:p>
    <w:p w14:paraId="49EE7332" w14:textId="06627F33" w:rsidR="00CB5121" w:rsidRPr="004D0681" w:rsidRDefault="00CB5121" w:rsidP="00020D20">
      <w:pPr>
        <w:jc w:val="both"/>
        <w:rPr>
          <w:rFonts w:cstheme="minorHAnsi"/>
        </w:rPr>
      </w:pPr>
      <w:r w:rsidRPr="004D0681">
        <w:rPr>
          <w:rFonts w:cstheme="minorHAnsi"/>
          <w:b/>
        </w:rPr>
        <w:t xml:space="preserve">Dynamic Traffic Assignment </w:t>
      </w:r>
      <w:r w:rsidRPr="004D0681">
        <w:rPr>
          <w:rFonts w:cstheme="minorHAnsi"/>
        </w:rPr>
        <w:t xml:space="preserve">(DTA) </w:t>
      </w:r>
      <w:r w:rsidRPr="00CB5121">
        <w:t xml:space="preserve">models </w:t>
      </w:r>
      <w:r w:rsidRPr="00B40EBA">
        <w:t>utilize a me</w:t>
      </w:r>
      <w:r w:rsidRPr="00130B10">
        <w:t>thodology dependent on time and cost factors that capture travelers</w:t>
      </w:r>
      <w:r w:rsidR="00E54422" w:rsidRPr="00130B10">
        <w:t>’</w:t>
      </w:r>
      <w:r w:rsidRPr="00130B10">
        <w:t xml:space="preserve"> route choice behavior</w:t>
      </w:r>
      <w:r w:rsidR="00E54422" w:rsidRPr="00130B10">
        <w:t>s</w:t>
      </w:r>
      <w:r w:rsidRPr="00130B10">
        <w:t xml:space="preserve"> as they traverse from origin to destination. It has become increasingly evident that travel time and cost measures used within static models are inadequate as explanations of influences on travel choices and as standards used to evaluate impacts when deciding how to develop policies for managing and funding transportation systems. DTA models </w:t>
      </w:r>
      <w:r w:rsidRPr="00020D20">
        <w:t>describe the process and outcomes of how travelers on a transportation system with different departure times find their respective experienced shortest (minimal-cost) path from origin to destination in response to roadway connectivity, capacity, or travel demand changes</w:t>
      </w:r>
      <w:r w:rsidRPr="00130B10">
        <w:t xml:space="preserve">. </w:t>
      </w:r>
      <w:r w:rsidRPr="00020D20">
        <w:t>It is ba</w:t>
      </w:r>
      <w:r w:rsidRPr="00020D20">
        <w:rPr>
          <w:szCs w:val="22"/>
        </w:rPr>
        <w:t>sed on the idea of drivers choosing their routes through the network according to the travel cost experienced during the simulation. At a given point, after many iterations, travelers learn and adapt to the transportation network conditions.</w:t>
      </w:r>
    </w:p>
    <w:p w14:paraId="47489815" w14:textId="211A4A15" w:rsidR="00C135F4" w:rsidRPr="00C135F4" w:rsidRDefault="00C135F4" w:rsidP="00020D20">
      <w:pPr>
        <w:pStyle w:val="Heading3"/>
        <w:jc w:val="both"/>
      </w:pPr>
      <w:bookmarkStart w:id="649" w:name="_Ref50048091"/>
      <w:r w:rsidRPr="00C135F4">
        <w:t>17.4.3 | </w:t>
      </w:r>
      <w:r w:rsidR="00DC3DD7">
        <w:t xml:space="preserve">Federal and State </w:t>
      </w:r>
      <w:r w:rsidRPr="00C135F4">
        <w:t>Requirements for Travel Demand Modeling</w:t>
      </w:r>
      <w:bookmarkEnd w:id="649"/>
    </w:p>
    <w:p w14:paraId="46FF2A0E" w14:textId="55267AA9" w:rsidR="00C135F4" w:rsidRPr="00C135F4" w:rsidRDefault="00C135F4" w:rsidP="00020D20">
      <w:pPr>
        <w:jc w:val="both"/>
        <w:rPr>
          <w:rFonts w:cstheme="minorHAnsi"/>
        </w:rPr>
      </w:pPr>
      <w:r w:rsidRPr="00C135F4">
        <w:rPr>
          <w:rFonts w:cstheme="minorHAnsi"/>
        </w:rPr>
        <w:t>At the federal level, the transportation conformity rule for air quality (</w:t>
      </w:r>
      <w:r w:rsidR="009628C0">
        <w:rPr>
          <w:rFonts w:cstheme="minorHAnsi"/>
        </w:rPr>
        <w:t xml:space="preserve">C.F.R. </w:t>
      </w:r>
      <w:r w:rsidRPr="00C135F4">
        <w:rPr>
          <w:rFonts w:cstheme="minorHAnsi"/>
        </w:rPr>
        <w:t>93.122 (b) and (c)) establishes a regulatory requirement of minimum specifications for travel models used to forecast vehicle activity as part of the air quality conformity process. The regulations state that network-based travel models must be used to support air quality conformity determinations and that these models must conform to procedures and methods that are in practice and supported by current available documentation.</w:t>
      </w:r>
    </w:p>
    <w:p w14:paraId="45FD3F6A" w14:textId="71C434E7" w:rsidR="00C135F4" w:rsidRPr="00C135F4" w:rsidRDefault="00C135F4" w:rsidP="00020D20">
      <w:pPr>
        <w:jc w:val="both"/>
        <w:rPr>
          <w:rFonts w:cstheme="minorHAnsi"/>
        </w:rPr>
      </w:pPr>
      <w:r w:rsidRPr="00C135F4">
        <w:rPr>
          <w:rFonts w:cstheme="minorHAnsi"/>
        </w:rPr>
        <w:t xml:space="preserve">Strictly speaking, there are no other federal or state requirements that TDMs be used in the metropolitan planning process. Nonetheless, when an MPO is reviewed for certification, the travel forecasting methods used by the MPO receive close scrutiny by federal agencies. </w:t>
      </w:r>
    </w:p>
    <w:p w14:paraId="1F76A7AB" w14:textId="6B8DF69B" w:rsidR="00C135F4" w:rsidRPr="00C135F4" w:rsidRDefault="00C135F4" w:rsidP="00020D20">
      <w:pPr>
        <w:jc w:val="both"/>
        <w:rPr>
          <w:rFonts w:cstheme="minorHAnsi"/>
          <w:b/>
        </w:rPr>
      </w:pPr>
      <w:r w:rsidRPr="00C135F4">
        <w:rPr>
          <w:rFonts w:cstheme="minorHAnsi"/>
        </w:rPr>
        <w:t>The FHWA requires ADOT to provide modeling oversight and reporting. Therefore, MPOs need to provide timely updates of the modeling processes that they perform during the year. Updates must include a simple annual report that describes the modeling process (i.e., updates, upgrades, etc.) completed over the past year and what is anticipated in the coming year. Copies of progress reports and final results of regional and subregional planning studies must also be provided to ADOT MPD.</w:t>
      </w:r>
      <w:r>
        <w:rPr>
          <w:rFonts w:cstheme="minorHAnsi"/>
        </w:rPr>
        <w:t xml:space="preserve"> </w:t>
      </w:r>
    </w:p>
    <w:p w14:paraId="260AFCA7" w14:textId="475EDDB6" w:rsidR="00C135F4" w:rsidRPr="00C135F4" w:rsidRDefault="00C135F4" w:rsidP="00020D20">
      <w:pPr>
        <w:pStyle w:val="Heading3"/>
        <w:jc w:val="both"/>
      </w:pPr>
      <w:bookmarkStart w:id="650" w:name="_Ref50048095"/>
      <w:r w:rsidRPr="00C135F4">
        <w:t>17.4.4 | ADOT Modeling Support</w:t>
      </w:r>
      <w:bookmarkEnd w:id="650"/>
    </w:p>
    <w:p w14:paraId="0E8B489F" w14:textId="403A827B" w:rsidR="00C135F4" w:rsidRPr="00C135F4" w:rsidRDefault="00C135F4" w:rsidP="00020D20">
      <w:pPr>
        <w:jc w:val="both"/>
        <w:rPr>
          <w:rFonts w:cstheme="minorHAnsi"/>
        </w:rPr>
      </w:pPr>
      <w:r w:rsidRPr="00C135F4">
        <w:rPr>
          <w:rFonts w:cstheme="minorHAnsi"/>
        </w:rPr>
        <w:t>Development of TDMs is a cooperative process between local agencies, MPOs, and ADOT. Local agencies and MPOs collect much of the data used in the development</w:t>
      </w:r>
      <w:r w:rsidR="00DC3DD7">
        <w:rPr>
          <w:rFonts w:cstheme="minorHAnsi"/>
        </w:rPr>
        <w:t xml:space="preserve">, </w:t>
      </w:r>
      <w:r w:rsidRPr="00C135F4">
        <w:rPr>
          <w:rFonts w:cstheme="minorHAnsi"/>
        </w:rPr>
        <w:t>calibration</w:t>
      </w:r>
      <w:r w:rsidR="00DC3DD7">
        <w:rPr>
          <w:rFonts w:cstheme="minorHAnsi"/>
        </w:rPr>
        <w:t>, and validation</w:t>
      </w:r>
      <w:r w:rsidRPr="00C135F4">
        <w:rPr>
          <w:rFonts w:cstheme="minorHAnsi"/>
        </w:rPr>
        <w:t xml:space="preserve"> of TDMs. MPOs typically develop and validate the travel models either independently or with ADOT assistance, however ADOT can also lead development of a regional model for an MPO. </w:t>
      </w:r>
    </w:p>
    <w:p w14:paraId="106DA6D9" w14:textId="1D9B8D43" w:rsidR="00C135F4" w:rsidRPr="00C135F4" w:rsidRDefault="00E27930" w:rsidP="00020D20">
      <w:pPr>
        <w:jc w:val="both"/>
        <w:rPr>
          <w:rFonts w:cstheme="minorHAnsi"/>
        </w:rPr>
      </w:pPr>
      <w:r>
        <w:rPr>
          <w:rFonts w:cstheme="minorHAnsi"/>
          <w:noProof/>
        </w:rPr>
        <mc:AlternateContent>
          <mc:Choice Requires="wps">
            <w:drawing>
              <wp:anchor distT="0" distB="0" distL="114300" distR="114300" simplePos="0" relativeHeight="251618404" behindDoc="1" locked="0" layoutInCell="1" allowOverlap="1" wp14:anchorId="07F7B2CF" wp14:editId="003EE49A">
                <wp:simplePos x="0" y="0"/>
                <wp:positionH relativeFrom="column">
                  <wp:posOffset>1373038</wp:posOffset>
                </wp:positionH>
                <wp:positionV relativeFrom="paragraph">
                  <wp:posOffset>433705</wp:posOffset>
                </wp:positionV>
                <wp:extent cx="1371600" cy="1487170"/>
                <wp:effectExtent l="76200" t="95250" r="76200" b="93980"/>
                <wp:wrapTight wrapText="bothSides">
                  <wp:wrapPolygon edited="0">
                    <wp:start x="-1200" y="-1383"/>
                    <wp:lineTo x="-1200" y="22688"/>
                    <wp:lineTo x="22500" y="22688"/>
                    <wp:lineTo x="22500" y="-1383"/>
                    <wp:lineTo x="-1200" y="-1383"/>
                  </wp:wrapPolygon>
                </wp:wrapTight>
                <wp:docPr id="816286265" name="Text Box 816286265"/>
                <wp:cNvGraphicFramePr/>
                <a:graphic xmlns:a="http://schemas.openxmlformats.org/drawingml/2006/main">
                  <a:graphicData uri="http://schemas.microsoft.com/office/word/2010/wordprocessingShape">
                    <wps:wsp>
                      <wps:cNvSpPr txBox="1"/>
                      <wps:spPr>
                        <a:xfrm>
                          <a:off x="0" y="0"/>
                          <a:ext cx="1371600" cy="14871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4F021990" w14:textId="77777777" w:rsidR="00C6444C" w:rsidRDefault="00C6444C" w:rsidP="00020D20">
                            <w:pPr>
                              <w:jc w:val="center"/>
                            </w:pPr>
                            <w:r>
                              <w:rPr>
                                <w:noProof/>
                              </w:rPr>
                              <w:drawing>
                                <wp:inline distT="0" distB="0" distL="0" distR="0" wp14:anchorId="3B27BC8F" wp14:editId="7E797DAE">
                                  <wp:extent cx="457200" cy="457200"/>
                                  <wp:effectExtent l="0" t="0" r="0" b="0"/>
                                  <wp:docPr id="1690912765" name="Picture 169091276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E9B810E" w14:textId="63A91405" w:rsidR="00C6444C" w:rsidRPr="00954116" w:rsidRDefault="00C6444C" w:rsidP="00020D20">
                            <w:pPr>
                              <w:pStyle w:val="Calloutboxes"/>
                            </w:pPr>
                            <w:r w:rsidRPr="00394A74">
                              <w:t>Further details on the Average Annual Daily Traffic requirements can be found on the ADOT website:</w:t>
                            </w:r>
                          </w:p>
                          <w:p w14:paraId="7857A2C6" w14:textId="0F30FF6C" w:rsidR="00C6444C" w:rsidRPr="00020D20" w:rsidRDefault="00202C92">
                            <w:pPr>
                              <w:pStyle w:val="Title"/>
                              <w:rPr>
                                <w:rStyle w:val="SubtleReference"/>
                                <w:smallCaps w:val="0"/>
                                <w:color w:val="CE5B18"/>
                              </w:rPr>
                            </w:pPr>
                            <w:hyperlink r:id="rId1072" w:history="1">
                              <w:r w:rsidR="00C6444C" w:rsidRPr="00020D20">
                                <w:rPr>
                                  <w:rStyle w:val="Hyperlink"/>
                                  <w:rFonts w:ascii="Calibri" w:hAnsi="Calibri" w:cstheme="majorBidi"/>
                                  <w:i/>
                                  <w:iCs w:val="0"/>
                                  <w:color w:val="CE5B18"/>
                                  <w:szCs w:val="56"/>
                                  <w:u w:val="none"/>
                                </w:rPr>
                                <w:t>https://azdot.gov/traffic-monitoring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F7B2CF" id="Text Box 816286265" o:spid="_x0000_s1275" type="#_x0000_t202" style="position:absolute;left:0;text-align:left;margin-left:108.1pt;margin-top:34.15pt;width:108pt;height:117.1pt;z-index:-251698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" fillcolor="#f7f7f7" stroked="f" strokeweight=".5pt">
                <v:shadow on="t" type="perspective" color="black" opacity="26214f" offset="0,0" matrix="66847f,,,66847f"/>
                <v:textbox>
                  <w:txbxContent>
                    <w:p w14:paraId="4F021990" w14:textId="77777777" w:rsidR="00C6444C" w:rsidRDefault="00C6444C" w:rsidP="00020D20">
                      <w:pPr>
                        <w:jc w:val="center"/>
                      </w:pPr>
                      <w:r>
                        <w:rPr>
                          <w:noProof/>
                        </w:rPr>
                        <w:drawing>
                          <wp:inline distT="0" distB="0" distL="0" distR="0" wp14:anchorId="3B27BC8F" wp14:editId="7E797DAE">
                            <wp:extent cx="457200" cy="457200"/>
                            <wp:effectExtent l="0" t="0" r="0" b="0"/>
                            <wp:docPr id="1690912765" name="Picture 169091276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E9B810E" w14:textId="63A91405" w:rsidR="00C6444C" w:rsidRPr="00954116" w:rsidRDefault="00C6444C" w:rsidP="00020D20">
                      <w:pPr>
                        <w:pStyle w:val="Calloutboxes"/>
                      </w:pPr>
                      <w:r w:rsidRPr="00394A74">
                        <w:t>Further details on the Average Annual Daily Traffic requirements can be found on the ADOT website:</w:t>
                      </w:r>
                    </w:p>
                    <w:p w14:paraId="7857A2C6" w14:textId="0F30FF6C" w:rsidR="00C6444C" w:rsidRPr="00020D20" w:rsidRDefault="00C6444C">
                      <w:pPr>
                        <w:pStyle w:val="Title"/>
                        <w:rPr>
                          <w:rStyle w:val="SubtleReference"/>
                          <w:smallCaps w:val="0"/>
                          <w:color w:val="CE5B18"/>
                        </w:rPr>
                      </w:pPr>
                      <w:hyperlink r:id="rId1073" w:history="1">
                        <w:r w:rsidRPr="00020D20">
                          <w:rPr>
                            <w:rStyle w:val="Hyperlink"/>
                            <w:rFonts w:ascii="Calibri" w:hAnsi="Calibri" w:cstheme="majorBidi"/>
                            <w:i/>
                            <w:iCs w:val="0"/>
                            <w:color w:val="CE5B18"/>
                            <w:szCs w:val="56"/>
                            <w:u w:val="none"/>
                          </w:rPr>
                          <w:t>https://azdot.gov/traffic-monitoring</w:t>
                        </w:r>
                      </w:hyperlink>
                    </w:p>
                  </w:txbxContent>
                </v:textbox>
                <w10:wrap type="tight"/>
              </v:shape>
            </w:pict>
          </mc:Fallback>
        </mc:AlternateContent>
      </w:r>
      <w:r w:rsidR="00C135F4" w:rsidRPr="00C135F4">
        <w:rPr>
          <w:rFonts w:cstheme="minorHAnsi"/>
        </w:rPr>
        <w:t xml:space="preserve">ADOT MPD modeling staff members are available to assist MPOs and COGs in model development and application. Technical support provided by ADOT can include providing data to be used by an MPO to develop or update a regional model, generating traffic forecasts using the statewide model, and developing a regional model for the MPO/COG. Regardless of the level of assistance desired, a memorandum of understanding (MOU) between the MPO/COG and ADOT is required. </w:t>
      </w:r>
    </w:p>
    <w:p w14:paraId="24D25DB1" w14:textId="1FAC915C" w:rsidR="00C135F4" w:rsidRPr="00C135F4" w:rsidRDefault="00E27930" w:rsidP="00020D20">
      <w:pPr>
        <w:jc w:val="both"/>
        <w:rPr>
          <w:rFonts w:cstheme="minorHAnsi"/>
        </w:rPr>
      </w:pPr>
      <w:r>
        <w:rPr>
          <w:rFonts w:cstheme="minorHAnsi"/>
          <w:noProof/>
        </w:rPr>
        <mc:AlternateContent>
          <mc:Choice Requires="wps">
            <w:drawing>
              <wp:anchor distT="0" distB="0" distL="114300" distR="114300" simplePos="0" relativeHeight="251618403" behindDoc="1" locked="0" layoutInCell="1" allowOverlap="1" wp14:anchorId="25AB53B6" wp14:editId="07D496C7">
                <wp:simplePos x="0" y="0"/>
                <wp:positionH relativeFrom="column">
                  <wp:posOffset>0</wp:posOffset>
                </wp:positionH>
                <wp:positionV relativeFrom="paragraph">
                  <wp:posOffset>1697990</wp:posOffset>
                </wp:positionV>
                <wp:extent cx="1371600" cy="1370330"/>
                <wp:effectExtent l="95250" t="95250" r="95250" b="96520"/>
                <wp:wrapTight wrapText="bothSides">
                  <wp:wrapPolygon edited="0">
                    <wp:start x="-900" y="-1501"/>
                    <wp:lineTo x="-1500" y="-901"/>
                    <wp:lineTo x="-1200" y="22821"/>
                    <wp:lineTo x="22500" y="22821"/>
                    <wp:lineTo x="22800" y="3904"/>
                    <wp:lineTo x="22200" y="-601"/>
                    <wp:lineTo x="22200" y="-1501"/>
                    <wp:lineTo x="-900" y="-1501"/>
                  </wp:wrapPolygon>
                </wp:wrapTight>
                <wp:docPr id="816286263" name="Text Box 816286263"/>
                <wp:cNvGraphicFramePr/>
                <a:graphic xmlns:a="http://schemas.openxmlformats.org/drawingml/2006/main">
                  <a:graphicData uri="http://schemas.microsoft.com/office/word/2010/wordprocessingShape">
                    <wps:wsp>
                      <wps:cNvSpPr txBox="1"/>
                      <wps:spPr>
                        <a:xfrm>
                          <a:off x="0" y="0"/>
                          <a:ext cx="1371600" cy="137033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F459F83" w14:textId="77777777" w:rsidR="00C6444C" w:rsidRDefault="00C6444C" w:rsidP="00020D20">
                            <w:pPr>
                              <w:jc w:val="center"/>
                            </w:pPr>
                            <w:r>
                              <w:rPr>
                                <w:noProof/>
                              </w:rPr>
                              <w:drawing>
                                <wp:inline distT="0" distB="0" distL="0" distR="0" wp14:anchorId="13DFBB89" wp14:editId="092A3E8E">
                                  <wp:extent cx="457200" cy="457200"/>
                                  <wp:effectExtent l="0" t="0" r="0" b="0"/>
                                  <wp:docPr id="1690912766" name="Picture 1690912766">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055429" w14:textId="2309821B" w:rsidR="00C6444C" w:rsidRPr="00954116" w:rsidRDefault="00C6444C" w:rsidP="00020D20">
                            <w:pPr>
                              <w:pStyle w:val="Calloutboxes"/>
                            </w:pPr>
                            <w:r w:rsidRPr="00394A74">
                              <w:t>Further details on the Travel Demand requirements can be found on the ADOT website:</w:t>
                            </w:r>
                          </w:p>
                          <w:p w14:paraId="15DF37F0" w14:textId="58DEBA0E" w:rsidR="00C6444C" w:rsidRPr="00020D20" w:rsidRDefault="00202C92">
                            <w:pPr>
                              <w:pStyle w:val="Title"/>
                              <w:rPr>
                                <w:rStyle w:val="SubtleReference"/>
                                <w:smallCaps w:val="0"/>
                                <w:color w:val="CE5B18"/>
                              </w:rPr>
                            </w:pPr>
                            <w:hyperlink r:id="rId1074" w:history="1">
                              <w:r w:rsidR="00C6444C" w:rsidRPr="00020D20">
                                <w:rPr>
                                  <w:rStyle w:val="Hyperlink"/>
                                  <w:rFonts w:ascii="Calibri" w:hAnsi="Calibri" w:cstheme="majorBidi"/>
                                  <w:i/>
                                  <w:iCs w:val="0"/>
                                  <w:color w:val="CE5B18"/>
                                  <w:szCs w:val="56"/>
                                  <w:u w:val="none"/>
                                </w:rPr>
                                <w:t>https://azdot.gov/node/5625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AB53B6" id="Text Box 816286263" o:spid="_x0000_s1276" type="#_x0000_t202" style="position:absolute;left:0;text-align:left;margin-left:0;margin-top:133.7pt;width:108pt;height:107.9pt;z-index:-251698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" fillcolor="#f7f7f7" stroked="f" strokeweight=".5pt">
                <v:shadow on="t" type="perspective" color="black" opacity="26214f" offset="0,0" matrix="66847f,,,66847f"/>
                <v:textbox>
                  <w:txbxContent>
                    <w:p w14:paraId="5F459F83" w14:textId="77777777" w:rsidR="00C6444C" w:rsidRDefault="00C6444C" w:rsidP="00020D20">
                      <w:pPr>
                        <w:jc w:val="center"/>
                      </w:pPr>
                      <w:r>
                        <w:rPr>
                          <w:noProof/>
                        </w:rPr>
                        <w:drawing>
                          <wp:inline distT="0" distB="0" distL="0" distR="0" wp14:anchorId="13DFBB89" wp14:editId="092A3E8E">
                            <wp:extent cx="457200" cy="457200"/>
                            <wp:effectExtent l="0" t="0" r="0" b="0"/>
                            <wp:docPr id="1690912766" name="Picture 1690912766">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D055429" w14:textId="2309821B" w:rsidR="00C6444C" w:rsidRPr="00954116" w:rsidRDefault="00C6444C" w:rsidP="00020D20">
                      <w:pPr>
                        <w:pStyle w:val="Calloutboxes"/>
                      </w:pPr>
                      <w:r w:rsidRPr="00394A74">
                        <w:t>Further details on the Travel Demand requirements can be found on the ADOT website:</w:t>
                      </w:r>
                    </w:p>
                    <w:p w14:paraId="15DF37F0" w14:textId="58DEBA0E" w:rsidR="00C6444C" w:rsidRPr="00020D20" w:rsidRDefault="00C6444C">
                      <w:pPr>
                        <w:pStyle w:val="Title"/>
                        <w:rPr>
                          <w:rStyle w:val="SubtleReference"/>
                          <w:smallCaps w:val="0"/>
                          <w:color w:val="CE5B18"/>
                        </w:rPr>
                      </w:pPr>
                      <w:hyperlink r:id="rId1075" w:history="1">
                        <w:r w:rsidRPr="00020D20">
                          <w:rPr>
                            <w:rStyle w:val="Hyperlink"/>
                            <w:rFonts w:ascii="Calibri" w:hAnsi="Calibri" w:cstheme="majorBidi"/>
                            <w:i/>
                            <w:iCs w:val="0"/>
                            <w:color w:val="CE5B18"/>
                            <w:szCs w:val="56"/>
                            <w:u w:val="none"/>
                          </w:rPr>
                          <w:t>https://azdot.gov/node/5625</w:t>
                        </w:r>
                      </w:hyperlink>
                    </w:p>
                  </w:txbxContent>
                </v:textbox>
                <w10:wrap type="tight"/>
              </v:shape>
            </w:pict>
          </mc:Fallback>
        </mc:AlternateContent>
      </w:r>
      <w:r w:rsidR="00C135F4" w:rsidRPr="00C135F4">
        <w:rPr>
          <w:rFonts w:cstheme="minorHAnsi"/>
        </w:rPr>
        <w:t>Data provided by ADOT for regional travel demand modeling include certified demographic data for base- and future-year scenarios, regional roadway inventory data (HPMS), and external trip estimates. Traffic estimates generated by regional models must be within 5 percent of the VMT included in the HPMS database. ADOT has developed the</w:t>
      </w:r>
      <w:r w:rsidR="00DC3DD7">
        <w:rPr>
          <w:rFonts w:cstheme="minorHAnsi"/>
        </w:rPr>
        <w:t xml:space="preserve"> Arizona</w:t>
      </w:r>
      <w:r w:rsidR="00C135F4" w:rsidRPr="00C135F4">
        <w:rPr>
          <w:rFonts w:cstheme="minorHAnsi"/>
        </w:rPr>
        <w:t xml:space="preserve"> statewide</w:t>
      </w:r>
      <w:r w:rsidR="00DC3DD7">
        <w:rPr>
          <w:rFonts w:cstheme="minorHAnsi"/>
        </w:rPr>
        <w:t xml:space="preserve"> Travel Demand Model (</w:t>
      </w:r>
      <w:r w:rsidR="00C135F4" w:rsidRPr="00C135F4">
        <w:rPr>
          <w:rFonts w:cstheme="minorHAnsi"/>
        </w:rPr>
        <w:t>AZTDM</w:t>
      </w:r>
      <w:r w:rsidR="00DC3DD7">
        <w:rPr>
          <w:rFonts w:cstheme="minorHAnsi"/>
        </w:rPr>
        <w:t>)</w:t>
      </w:r>
      <w:r w:rsidR="00C135F4" w:rsidRPr="00C135F4">
        <w:rPr>
          <w:rFonts w:cstheme="minorHAnsi"/>
        </w:rPr>
        <w:t xml:space="preserve"> to provide “external” interregional travel and goods movement estimates. The ADOT statewide model</w:t>
      </w:r>
      <w:r w:rsidR="00DC3DD7">
        <w:rPr>
          <w:rFonts w:cstheme="minorHAnsi"/>
        </w:rPr>
        <w:t>, AZTDM,</w:t>
      </w:r>
      <w:r w:rsidR="00C135F4" w:rsidRPr="00C135F4">
        <w:rPr>
          <w:rFonts w:cstheme="minorHAnsi"/>
        </w:rPr>
        <w:t xml:space="preserve"> is used to determine external trips so that consistency</w:t>
      </w:r>
      <w:r w:rsidR="00C135F4">
        <w:rPr>
          <w:rFonts w:cstheme="minorHAnsi"/>
        </w:rPr>
        <w:t xml:space="preserve"> </w:t>
      </w:r>
      <w:r w:rsidR="00C135F4" w:rsidRPr="00C135F4">
        <w:rPr>
          <w:rFonts w:cstheme="minorHAnsi"/>
        </w:rPr>
        <w:t xml:space="preserve">between the regional and statewide models is maintained. </w:t>
      </w:r>
    </w:p>
    <w:p w14:paraId="35612086" w14:textId="23FC805E" w:rsidR="00C135F4" w:rsidRPr="00C135F4" w:rsidRDefault="00C135F4" w:rsidP="00020D20">
      <w:pPr>
        <w:jc w:val="both"/>
        <w:rPr>
          <w:rFonts w:cstheme="minorHAnsi"/>
          <w:b/>
        </w:rPr>
      </w:pPr>
      <w:r w:rsidRPr="00C135F4">
        <w:rPr>
          <w:rFonts w:cstheme="minorHAnsi"/>
        </w:rPr>
        <w:t xml:space="preserve">ADOT MPD has formed the Arizona Modeling Users Group (AMUG) to facilitate coordination between travel demand modelers and ADOT, as well as to promote the advancement of modeling in Arizona. This forum </w:t>
      </w:r>
      <w:r w:rsidR="00DC3DD7">
        <w:rPr>
          <w:rFonts w:cstheme="minorHAnsi"/>
        </w:rPr>
        <w:t xml:space="preserve">is intended to </w:t>
      </w:r>
      <w:r w:rsidRPr="00C135F4">
        <w:rPr>
          <w:rFonts w:cstheme="minorHAnsi"/>
        </w:rPr>
        <w:t>discuss modeling considerations and exchanges information on methodologies, applications, case studies, and other items of interest to the Arizona travel demand modeling community.</w:t>
      </w:r>
    </w:p>
    <w:p w14:paraId="6A298A9F" w14:textId="119ED97B" w:rsidR="00C135F4" w:rsidRPr="00C135F4" w:rsidRDefault="00C135F4" w:rsidP="00020D20">
      <w:pPr>
        <w:pStyle w:val="Heading3"/>
        <w:jc w:val="both"/>
      </w:pPr>
      <w:bookmarkStart w:id="651" w:name="_Ref50048098"/>
      <w:r w:rsidRPr="00C135F4">
        <w:t>17.4.5 | ADOT GIS Support</w:t>
      </w:r>
      <w:bookmarkEnd w:id="651"/>
    </w:p>
    <w:p w14:paraId="40DE0236" w14:textId="37EC7C29" w:rsidR="00C135F4" w:rsidRDefault="00C135F4" w:rsidP="00020D20">
      <w:pPr>
        <w:jc w:val="both"/>
        <w:rPr>
          <w:rFonts w:cstheme="minorHAnsi"/>
        </w:rPr>
      </w:pPr>
      <w:r w:rsidRPr="00C135F4">
        <w:rPr>
          <w:rFonts w:cstheme="minorHAnsi"/>
        </w:rPr>
        <w:t>The ADOT GIS-T Section maintains the statewide street centerline GIS database and coordinates GIS issues for ADOT. The GIS database ATIS Roads is the foundation for numerous planning studies and programs. The GIS-T team continually creates and maintains statewide GIS databases in addition to obtaining databases from other sources, such as private, local government, state, and federal agencies. These databases are then used as overlays to the ATIS Roads base, converting a static representation of the roads and streets into a dynamic GIS application. Data sharing is at the heart of GIS technology’s effectiveness. The GIS community in the Arizona state government is a diverse group with a strong commitment to cooperative data sharing. The ADOT GIS-T Section can provide data (GIS layers) and technical support to local agencies and MPOs.</w:t>
      </w:r>
    </w:p>
    <w:p w14:paraId="2A2769A5" w14:textId="77777777" w:rsidR="00FF51A4" w:rsidRDefault="00FF51A4" w:rsidP="00020D20">
      <w:pPr>
        <w:jc w:val="both"/>
        <w:rPr>
          <w:rFonts w:cstheme="minorHAnsi"/>
        </w:rPr>
        <w:sectPr w:rsidR="00FF51A4" w:rsidSect="00020D20">
          <w:type w:val="continuous"/>
          <w:pgSz w:w="12240" w:h="15840"/>
          <w:pgMar w:top="1440" w:right="1440" w:bottom="1440" w:left="1440" w:header="720" w:footer="720" w:gutter="0"/>
          <w:pgNumType w:chapStyle="1"/>
          <w:cols w:num="2" w:space="720"/>
          <w:docGrid w:linePitch="360"/>
        </w:sectPr>
      </w:pPr>
    </w:p>
    <w:p w14:paraId="7384BF5D" w14:textId="40702AD1" w:rsidR="00FF51A4" w:rsidRDefault="00FF51A4" w:rsidP="00020D20">
      <w:pPr>
        <w:jc w:val="both"/>
        <w:rPr>
          <w:rFonts w:cstheme="minorHAnsi"/>
        </w:rPr>
        <w:sectPr w:rsidR="00FF51A4" w:rsidSect="008E695B">
          <w:type w:val="continuous"/>
          <w:pgSz w:w="12240" w:h="15840"/>
          <w:pgMar w:top="1440" w:right="1440" w:bottom="1440" w:left="1440" w:header="720" w:footer="720" w:gutter="0"/>
          <w:cols w:space="720"/>
          <w:docGrid w:linePitch="360"/>
        </w:sectPr>
      </w:pPr>
    </w:p>
    <w:p w14:paraId="3C9AC066" w14:textId="28D55B29" w:rsidR="003C2DDF" w:rsidRDefault="00D31A0C" w:rsidP="00020D20">
      <w:pPr>
        <w:pStyle w:val="BodyTextTitle"/>
        <w:spacing w:before="0" w:after="0" w:line="240" w:lineRule="auto"/>
        <w:jc w:val="both"/>
      </w:pPr>
      <w:bookmarkStart w:id="652" w:name="_Ref50048548"/>
      <w:bookmarkStart w:id="653" w:name="_Toc49862249"/>
      <w:r>
        <w:t>17.5</w:t>
      </w:r>
      <w:r w:rsidR="00130B10">
        <w:t xml:space="preserve"> </w:t>
      </w:r>
      <w:r>
        <w:t>| SAFETY</w:t>
      </w:r>
    </w:p>
    <w:p w14:paraId="584479E6" w14:textId="1C16F289" w:rsidR="00D31A0C" w:rsidRPr="00020D20" w:rsidRDefault="00D31A0C" w:rsidP="00020D20">
      <w:pPr>
        <w:pStyle w:val="BodyTextTitle"/>
        <w:spacing w:before="0" w:line="240" w:lineRule="auto"/>
        <w:jc w:val="both"/>
        <w:rPr>
          <w:sz w:val="36"/>
        </w:rPr>
      </w:pPr>
      <w:r w:rsidRPr="00020D20">
        <w:rPr>
          <w:sz w:val="36"/>
        </w:rPr>
        <w:t>TABLE OF CONTENTS</w:t>
      </w:r>
      <w:bookmarkEnd w:id="652"/>
    </w:p>
    <w:p w14:paraId="1ECD3FEC" w14:textId="6A6C9931"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_Ref50048101 \h </w:instrText>
      </w:r>
      <w:r w:rsidR="002D38FC">
        <w:instrText xml:space="preserve"> \* MERGEFORMAT </w:instrText>
      </w:r>
      <w:r>
        <w:fldChar w:fldCharType="separate"/>
      </w:r>
      <w:r w:rsidR="00A7031E">
        <w:t xml:space="preserve">17.5.1 | </w:t>
      </w:r>
      <w:r w:rsidRPr="005F4E49">
        <w:t>Purpose</w:t>
      </w:r>
      <w:r>
        <w:fldChar w:fldCharType="end"/>
      </w:r>
    </w:p>
    <w:p w14:paraId="6E6B2438" w14:textId="633DCB82"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_Ref50048566 \h </w:instrText>
      </w:r>
      <w:r w:rsidR="002D38FC">
        <w:instrText xml:space="preserve"> \* MERGEFORMAT </w:instrText>
      </w:r>
      <w:r>
        <w:fldChar w:fldCharType="separate"/>
      </w:r>
      <w:r w:rsidR="00A7031E">
        <w:t xml:space="preserve">17.5.2 | </w:t>
      </w:r>
      <w:r w:rsidRPr="005F4E49">
        <w:t>Authority</w:t>
      </w:r>
      <w:r>
        <w:fldChar w:fldCharType="end"/>
      </w:r>
    </w:p>
    <w:p w14:paraId="2384DAF6" w14:textId="54B52AD8"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_Ref50048569 \h </w:instrText>
      </w:r>
      <w:r w:rsidR="002D38FC">
        <w:instrText xml:space="preserve"> \* MERGEFORMAT </w:instrText>
      </w:r>
      <w:r>
        <w:fldChar w:fldCharType="separate"/>
      </w:r>
      <w:r w:rsidR="00A7031E">
        <w:t xml:space="preserve">17.5.3 | </w:t>
      </w:r>
      <w:r w:rsidRPr="005F4E49">
        <w:t>Scope</w:t>
      </w:r>
      <w:r>
        <w:fldChar w:fldCharType="end"/>
      </w:r>
    </w:p>
    <w:p w14:paraId="1161B979" w14:textId="45397A88"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_Ref50048663 \h </w:instrText>
      </w:r>
      <w:r w:rsidR="002D38FC">
        <w:instrText xml:space="preserve"> \* MERGEFORMAT </w:instrText>
      </w:r>
      <w:r>
        <w:fldChar w:fldCharType="separate"/>
      </w:r>
      <w:r w:rsidRPr="005F4E49">
        <w:t>Project Identification</w:t>
      </w:r>
      <w:r>
        <w:fldChar w:fldCharType="end"/>
      </w:r>
    </w:p>
    <w:p w14:paraId="36D10552" w14:textId="491E99FC"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_Ref50048667 \h </w:instrText>
      </w:r>
      <w:r w:rsidR="002D38FC">
        <w:instrText xml:space="preserve"> \* MERGEFORMAT </w:instrText>
      </w:r>
      <w:r>
        <w:fldChar w:fldCharType="separate"/>
      </w:r>
      <w:r w:rsidRPr="005F4E49">
        <w:t>Project Prioritization</w:t>
      </w:r>
      <w:r>
        <w:fldChar w:fldCharType="end"/>
      </w:r>
    </w:p>
    <w:p w14:paraId="7C72C5E3" w14:textId="36062593"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_Ref50048670 \h </w:instrText>
      </w:r>
      <w:r w:rsidR="002D38FC">
        <w:instrText xml:space="preserve"> \* MERGEFORMAT </w:instrText>
      </w:r>
      <w:r>
        <w:fldChar w:fldCharType="separate"/>
      </w:r>
      <w:r w:rsidRPr="005F4E49">
        <w:t>Safety Project Submittal to ADOT</w:t>
      </w:r>
      <w:r>
        <w:fldChar w:fldCharType="end"/>
      </w:r>
    </w:p>
    <w:p w14:paraId="140FFF7C" w14:textId="24DC47C1"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_Ref50048572 \h </w:instrText>
      </w:r>
      <w:r w:rsidR="002D38FC">
        <w:instrText xml:space="preserve"> \* MERGEFORMAT </w:instrText>
      </w:r>
      <w:r>
        <w:fldChar w:fldCharType="separate"/>
      </w:r>
      <w:r w:rsidR="00A7031E">
        <w:t xml:space="preserve">17.5.4 | </w:t>
      </w:r>
      <w:r w:rsidRPr="005F4E49">
        <w:t>Safety Goals</w:t>
      </w:r>
      <w:r>
        <w:fldChar w:fldCharType="end"/>
      </w:r>
    </w:p>
    <w:p w14:paraId="327785F2" w14:textId="31B9784D"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_Ref50048575 \h </w:instrText>
      </w:r>
      <w:r w:rsidR="002D38FC">
        <w:instrText xml:space="preserve"> \* MERGEFORMAT </w:instrText>
      </w:r>
      <w:r>
        <w:fldChar w:fldCharType="separate"/>
      </w:r>
      <w:r w:rsidR="00A7031E">
        <w:t xml:space="preserve">17.5.5 | </w:t>
      </w:r>
      <w:r w:rsidRPr="005F4E49">
        <w:t>Recommended Elements</w:t>
      </w:r>
      <w:r>
        <w:fldChar w:fldCharType="end"/>
      </w:r>
    </w:p>
    <w:p w14:paraId="4B7299D8" w14:textId="3348FCDD"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_Ref50048757 \h </w:instrText>
      </w:r>
      <w:r w:rsidR="002D38FC">
        <w:instrText xml:space="preserve"> \* MERGEFORMAT </w:instrText>
      </w:r>
      <w:r>
        <w:fldChar w:fldCharType="separate"/>
      </w:r>
      <w:r w:rsidRPr="00FE115D">
        <w:t>Project Identification</w:t>
      </w:r>
      <w:r>
        <w:fldChar w:fldCharType="end"/>
      </w:r>
    </w:p>
    <w:p w14:paraId="1A8BA2E6" w14:textId="12196A6D"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_Ref50048764 \h </w:instrText>
      </w:r>
      <w:r w:rsidR="002D38FC">
        <w:instrText xml:space="preserve"> \* MERGEFORMAT </w:instrText>
      </w:r>
      <w:r>
        <w:fldChar w:fldCharType="separate"/>
      </w:r>
      <w:r w:rsidRPr="00FE115D">
        <w:t>Prioritization</w:t>
      </w:r>
      <w:r>
        <w:fldChar w:fldCharType="end"/>
      </w:r>
    </w:p>
    <w:p w14:paraId="0642800C" w14:textId="74149DA7"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_Ref50048578 \h </w:instrText>
      </w:r>
      <w:r w:rsidR="002D38FC">
        <w:instrText xml:space="preserve"> \* MERGEFORMAT </w:instrText>
      </w:r>
      <w:r>
        <w:fldChar w:fldCharType="separate"/>
      </w:r>
      <w:r w:rsidR="00A7031E">
        <w:t xml:space="preserve">17.5.6 | </w:t>
      </w:r>
      <w:r w:rsidRPr="00FE115D">
        <w:t>Funding</w:t>
      </w:r>
      <w:r>
        <w:fldChar w:fldCharType="end"/>
      </w:r>
    </w:p>
    <w:p w14:paraId="58406DBB" w14:textId="55F10980" w:rsidR="00D31A0C" w:rsidRDefault="00D31A0C"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_Ref50048581 \h </w:instrText>
      </w:r>
      <w:r w:rsidR="002D38FC">
        <w:instrText xml:space="preserve"> \* MERGEFORMAT </w:instrText>
      </w:r>
      <w:r>
        <w:fldChar w:fldCharType="separate"/>
      </w:r>
      <w:r w:rsidR="00A7031E">
        <w:t xml:space="preserve">17.5.7 | </w:t>
      </w:r>
      <w:r w:rsidRPr="00FE115D">
        <w:t>Key Stakeholders</w:t>
      </w:r>
      <w:r>
        <w:fldChar w:fldCharType="end"/>
      </w:r>
    </w:p>
    <w:p w14:paraId="38E88A05" w14:textId="74E8B74F" w:rsidR="00D31A0C" w:rsidRDefault="00D31A0C"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4AB78E06" w14:textId="2CD0F3E0" w:rsidR="005F4E49" w:rsidRPr="005F4E49" w:rsidRDefault="00130B10" w:rsidP="00020D20">
      <w:pPr>
        <w:pStyle w:val="Chapter17Heading"/>
      </w:pPr>
      <w:bookmarkStart w:id="654" w:name="_Toc50540249"/>
      <w:r>
        <w:t xml:space="preserve">17.5 </w:t>
      </w:r>
      <w:bookmarkStart w:id="655" w:name="_Toc49870643"/>
      <w:r w:rsidR="005F4E49" w:rsidRPr="005F4E49">
        <w:t>|</w:t>
      </w:r>
      <w:r w:rsidR="000E518A">
        <w:t xml:space="preserve"> </w:t>
      </w:r>
      <w:r w:rsidR="005F4E49" w:rsidRPr="005F4E49">
        <w:t>Safety</w:t>
      </w:r>
      <w:bookmarkEnd w:id="653"/>
      <w:bookmarkEnd w:id="655"/>
      <w:bookmarkEnd w:id="654"/>
    </w:p>
    <w:p w14:paraId="00499EDD" w14:textId="77777777" w:rsidR="00FF51A4" w:rsidRDefault="00FF51A4" w:rsidP="00020D20">
      <w:pPr>
        <w:pStyle w:val="SectionHeadersADOTText"/>
        <w:jc w:val="both"/>
        <w:sectPr w:rsidR="00FF51A4" w:rsidSect="00020D20">
          <w:pgSz w:w="12240" w:h="15840"/>
          <w:pgMar w:top="1440" w:right="1440" w:bottom="1440" w:left="1440" w:header="720" w:footer="720" w:gutter="0"/>
          <w:pgNumType w:chapStyle="1"/>
          <w:cols w:space="720"/>
          <w:docGrid w:linePitch="360"/>
        </w:sectPr>
      </w:pPr>
    </w:p>
    <w:p w14:paraId="4538F135" w14:textId="14CC64F4" w:rsidR="005F4E49" w:rsidRPr="005F4E49" w:rsidRDefault="005F4E49" w:rsidP="00020D20">
      <w:pPr>
        <w:pStyle w:val="Heading3"/>
        <w:jc w:val="both"/>
      </w:pPr>
      <w:bookmarkStart w:id="656" w:name="_Ref50048101"/>
      <w:r w:rsidRPr="005F4E49">
        <w:t>17.5.1 | Purpose</w:t>
      </w:r>
      <w:bookmarkEnd w:id="656"/>
    </w:p>
    <w:p w14:paraId="348A5AA4" w14:textId="315C73E5" w:rsidR="005F4E49" w:rsidRPr="005F4E49" w:rsidRDefault="005F4E49" w:rsidP="00020D20">
      <w:pPr>
        <w:jc w:val="both"/>
        <w:rPr>
          <w:b/>
          <w:bCs/>
        </w:rPr>
      </w:pPr>
      <w:r w:rsidRPr="005F4E49">
        <w:t>This section provides guidance to MPOs and COGs on compliance with federal requirements and obtaining federal-aid funds through ADOT for safety projects.</w:t>
      </w:r>
    </w:p>
    <w:p w14:paraId="3AC41DFF" w14:textId="0573E799" w:rsidR="005F4E49" w:rsidRPr="005F4E49" w:rsidRDefault="008B0B0E" w:rsidP="00020D20">
      <w:pPr>
        <w:jc w:val="both"/>
        <w:rPr>
          <w:b/>
          <w:bCs/>
        </w:rPr>
      </w:pPr>
      <w:r>
        <w:rPr>
          <w:rFonts w:cstheme="minorHAnsi"/>
          <w:noProof/>
        </w:rPr>
        <mc:AlternateContent>
          <mc:Choice Requires="wps">
            <w:drawing>
              <wp:anchor distT="0" distB="0" distL="114300" distR="114300" simplePos="0" relativeHeight="251618405" behindDoc="1" locked="0" layoutInCell="1" allowOverlap="1" wp14:anchorId="19392030" wp14:editId="01A917EE">
                <wp:simplePos x="0" y="0"/>
                <wp:positionH relativeFrom="column">
                  <wp:posOffset>0</wp:posOffset>
                </wp:positionH>
                <wp:positionV relativeFrom="paragraph">
                  <wp:posOffset>1014730</wp:posOffset>
                </wp:positionV>
                <wp:extent cx="1371600" cy="1371600"/>
                <wp:effectExtent l="95250" t="95250" r="95250" b="95250"/>
                <wp:wrapTight wrapText="bothSides">
                  <wp:wrapPolygon edited="0">
                    <wp:start x="-900" y="-1500"/>
                    <wp:lineTo x="-1500" y="-900"/>
                    <wp:lineTo x="-1200" y="22800"/>
                    <wp:lineTo x="22500" y="22800"/>
                    <wp:lineTo x="22800" y="3900"/>
                    <wp:lineTo x="22200" y="-600"/>
                    <wp:lineTo x="22200" y="-1500"/>
                    <wp:lineTo x="-900" y="-1500"/>
                  </wp:wrapPolygon>
                </wp:wrapTight>
                <wp:docPr id="816286267" name="Text Box 816286267"/>
                <wp:cNvGraphicFramePr/>
                <a:graphic xmlns:a="http://schemas.openxmlformats.org/drawingml/2006/main">
                  <a:graphicData uri="http://schemas.microsoft.com/office/word/2010/wordprocessingShape">
                    <wps:wsp>
                      <wps:cNvSpPr txBox="1"/>
                      <wps:spPr>
                        <a:xfrm>
                          <a:off x="0" y="0"/>
                          <a:ext cx="137160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5F69B8D" w14:textId="77777777" w:rsidR="00C6444C" w:rsidRDefault="00C6444C" w:rsidP="00020D20">
                            <w:pPr>
                              <w:jc w:val="center"/>
                            </w:pPr>
                            <w:r>
                              <w:rPr>
                                <w:noProof/>
                              </w:rPr>
                              <w:drawing>
                                <wp:inline distT="0" distB="0" distL="0" distR="0" wp14:anchorId="3F971B21" wp14:editId="6A79CD78">
                                  <wp:extent cx="457200" cy="457200"/>
                                  <wp:effectExtent l="0" t="0" r="0" b="0"/>
                                  <wp:docPr id="1690912767" name="Picture 169091276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7A0CE6" w14:textId="3755875A" w:rsidR="00C6444C" w:rsidRPr="001E4049" w:rsidRDefault="00C6444C" w:rsidP="00020D20">
                            <w:pPr>
                              <w:pStyle w:val="Calloutboxes"/>
                            </w:pPr>
                            <w:r w:rsidRPr="00394A74">
                              <w:t xml:space="preserve">To view the full Arizona </w:t>
                            </w:r>
                            <w:r>
                              <w:t>STSP</w:t>
                            </w:r>
                            <w:r w:rsidRPr="00954116">
                              <w:t xml:space="preserve"> updat</w:t>
                            </w:r>
                            <w:r w:rsidRPr="005A6734">
                              <w:t>e</w:t>
                            </w:r>
                            <w:r w:rsidRPr="00977A9B">
                              <w:t>:</w:t>
                            </w:r>
                          </w:p>
                          <w:p w14:paraId="00B8AFA7" w14:textId="468D1D34" w:rsidR="00C6444C" w:rsidRPr="00020D20" w:rsidRDefault="00202C92" w:rsidP="00020D20">
                            <w:pPr>
                              <w:pStyle w:val="Title"/>
                              <w:rPr>
                                <w:rStyle w:val="SubtleReference"/>
                                <w:smallCaps w:val="0"/>
                                <w:color w:val="CE5B18"/>
                              </w:rPr>
                            </w:pPr>
                            <w:hyperlink r:id="rId1076" w:history="1">
                              <w:r w:rsidR="00C6444C" w:rsidRPr="00020D20">
                                <w:rPr>
                                  <w:rStyle w:val="Hyperlink"/>
                                  <w:rFonts w:ascii="Calibri" w:hAnsi="Calibri" w:cstheme="majorBidi"/>
                                  <w:i/>
                                  <w:iCs w:val="0"/>
                                  <w:color w:val="CE5B18"/>
                                  <w:szCs w:val="56"/>
                                  <w:u w:val="none"/>
                                </w:rPr>
                                <w:t>https://azdot.gov/sites/default/files/2019/10/az-stsp-report-2019.pdf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392030" id="Text Box 816286267" o:spid="_x0000_s1277" type="#_x0000_t202" style="position:absolute;left:0;text-align:left;margin-left:0;margin-top:79.9pt;width:108pt;height:108pt;z-index:-251698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" fillcolor="#f7f7f7" stroked="f" strokeweight=".5pt">
                <v:shadow on="t" type="perspective" color="black" opacity="26214f" offset="0,0" matrix="66847f,,,66847f"/>
                <v:textbox>
                  <w:txbxContent>
                    <w:p w14:paraId="05F69B8D" w14:textId="77777777" w:rsidR="00C6444C" w:rsidRDefault="00C6444C" w:rsidP="00020D20">
                      <w:pPr>
                        <w:jc w:val="center"/>
                      </w:pPr>
                      <w:r>
                        <w:rPr>
                          <w:noProof/>
                        </w:rPr>
                        <w:drawing>
                          <wp:inline distT="0" distB="0" distL="0" distR="0" wp14:anchorId="3F971B21" wp14:editId="6A79CD78">
                            <wp:extent cx="457200" cy="457200"/>
                            <wp:effectExtent l="0" t="0" r="0" b="0"/>
                            <wp:docPr id="1690912767" name="Picture 169091276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E7A0CE6" w14:textId="3755875A" w:rsidR="00C6444C" w:rsidRPr="001E4049" w:rsidRDefault="00C6444C" w:rsidP="00020D20">
                      <w:pPr>
                        <w:pStyle w:val="Calloutboxes"/>
                      </w:pPr>
                      <w:r w:rsidRPr="00394A74">
                        <w:t xml:space="preserve">To view the full Arizona </w:t>
                      </w:r>
                      <w:r>
                        <w:t>STSP</w:t>
                      </w:r>
                      <w:r w:rsidRPr="00954116">
                        <w:t xml:space="preserve"> updat</w:t>
                      </w:r>
                      <w:r w:rsidRPr="005A6734">
                        <w:t>e</w:t>
                      </w:r>
                      <w:r w:rsidRPr="00977A9B">
                        <w:t>:</w:t>
                      </w:r>
                    </w:p>
                    <w:p w14:paraId="00B8AFA7" w14:textId="468D1D34" w:rsidR="00C6444C" w:rsidRPr="00020D20" w:rsidRDefault="00C6444C" w:rsidP="00020D20">
                      <w:pPr>
                        <w:pStyle w:val="Title"/>
                        <w:rPr>
                          <w:rStyle w:val="SubtleReference"/>
                          <w:smallCaps w:val="0"/>
                          <w:color w:val="CE5B18"/>
                        </w:rPr>
                      </w:pPr>
                      <w:hyperlink r:id="rId1077" w:history="1">
                        <w:r w:rsidRPr="00020D20">
                          <w:rPr>
                            <w:rStyle w:val="Hyperlink"/>
                            <w:rFonts w:ascii="Calibri" w:hAnsi="Calibri" w:cstheme="majorBidi"/>
                            <w:i/>
                            <w:iCs w:val="0"/>
                            <w:color w:val="CE5B18"/>
                            <w:szCs w:val="56"/>
                            <w:u w:val="none"/>
                          </w:rPr>
                          <w:t>https://azdot.gov/sites/default/files/2019/10/az-stsp-report-2019.pdf</w:t>
                        </w:r>
                      </w:hyperlink>
                    </w:p>
                  </w:txbxContent>
                </v:textbox>
                <w10:wrap type="tight"/>
              </v:shape>
            </w:pict>
          </mc:Fallback>
        </mc:AlternateContent>
      </w:r>
      <w:r w:rsidR="005F4E49" w:rsidRPr="005F4E49">
        <w:t xml:space="preserve">ADOT has developed the </w:t>
      </w:r>
      <w:hyperlink r:id="rId1078" w:history="1">
        <w:r w:rsidR="005F4E49" w:rsidRPr="00B1072F">
          <w:rPr>
            <w:rStyle w:val="TitleChar"/>
          </w:rPr>
          <w:t>Arizona HSIP</w:t>
        </w:r>
      </w:hyperlink>
      <w:r w:rsidR="005F4E49" w:rsidRPr="005F4E49">
        <w:t xml:space="preserve"> to meet federal requirements and reduce traffic fatalities and serious injuries on public roads. A core element of the HSIP is the </w:t>
      </w:r>
      <w:r w:rsidR="005F4E49" w:rsidRPr="00B1072F">
        <w:rPr>
          <w:rStyle w:val="Heading5Char"/>
        </w:rPr>
        <w:t xml:space="preserve">Arizona Strategic </w:t>
      </w:r>
      <w:r w:rsidR="00BC74F5">
        <w:rPr>
          <w:rStyle w:val="Heading5Char"/>
        </w:rPr>
        <w:t>Traffic</w:t>
      </w:r>
      <w:r w:rsidR="00BC74F5" w:rsidRPr="00B1072F">
        <w:rPr>
          <w:rStyle w:val="Heading5Char"/>
        </w:rPr>
        <w:t xml:space="preserve"> </w:t>
      </w:r>
      <w:r w:rsidR="005F4E49" w:rsidRPr="00B1072F">
        <w:rPr>
          <w:rStyle w:val="Heading5Char"/>
        </w:rPr>
        <w:t>Safety Program (</w:t>
      </w:r>
      <w:r w:rsidR="00BC74F5">
        <w:rPr>
          <w:rStyle w:val="Heading5Char"/>
        </w:rPr>
        <w:t>STSP</w:t>
      </w:r>
      <w:r w:rsidR="005F4E49" w:rsidRPr="00B1072F">
        <w:rPr>
          <w:rStyle w:val="Heading5Char"/>
        </w:rPr>
        <w:t>)</w:t>
      </w:r>
      <w:r w:rsidR="005F4E49" w:rsidRPr="005F4E49">
        <w:t xml:space="preserve">, which identifies the state’s traffic safety goals and establishes a strategic framework for achieving them. The strategy outlined in the </w:t>
      </w:r>
      <w:r w:rsidR="00BC74F5">
        <w:t>STSP</w:t>
      </w:r>
      <w:r w:rsidR="005F4E49" w:rsidRPr="005F4E49">
        <w:t xml:space="preserve"> is implemented through the HSIP. </w:t>
      </w:r>
    </w:p>
    <w:p w14:paraId="1D9E5AF7" w14:textId="77777777" w:rsidR="005F4E49" w:rsidRPr="005F4E49" w:rsidRDefault="005F4E49" w:rsidP="00020D20">
      <w:pPr>
        <w:pStyle w:val="Heading3"/>
        <w:jc w:val="both"/>
        <w:rPr>
          <w:bCs/>
        </w:rPr>
      </w:pPr>
      <w:bookmarkStart w:id="657" w:name="_Ref50048566"/>
      <w:r w:rsidRPr="005F4E49">
        <w:t>17.5.2 | Authority</w:t>
      </w:r>
      <w:bookmarkEnd w:id="657"/>
    </w:p>
    <w:p w14:paraId="3716A234" w14:textId="2FF3451D" w:rsidR="001A2FC9" w:rsidRPr="00020D20" w:rsidRDefault="0031078B" w:rsidP="00020D20">
      <w:pPr>
        <w:jc w:val="both"/>
        <w:rPr>
          <w:i/>
        </w:rPr>
      </w:pPr>
      <w:r>
        <w:t>FAST Act</w:t>
      </w:r>
      <w:r w:rsidR="005F4E49" w:rsidRPr="005F4E49">
        <w:t xml:space="preserve"> requires each state to have a highway safety program that is designed to reduce frequency and severity of crashes (</w:t>
      </w:r>
      <w:hyperlink r:id="rId1079" w:history="1">
        <w:r w:rsidR="005F4E49" w:rsidRPr="00020D20">
          <w:rPr>
            <w:rStyle w:val="TitleChar"/>
          </w:rPr>
          <w:t>23 U.S.C. § 402(a)(1)</w:t>
        </w:r>
      </w:hyperlink>
      <w:r w:rsidR="005F4E49" w:rsidRPr="005F4E49">
        <w:t xml:space="preserve">). Requirements for the HSIP are defined in </w:t>
      </w:r>
      <w:hyperlink r:id="rId1080" w:history="1">
        <w:r w:rsidR="005F4E49" w:rsidRPr="00020D20">
          <w:rPr>
            <w:rStyle w:val="TitleChar"/>
          </w:rPr>
          <w:t xml:space="preserve">23 </w:t>
        </w:r>
        <w:r w:rsidR="009628C0">
          <w:rPr>
            <w:rStyle w:val="TitleChar"/>
          </w:rPr>
          <w:t xml:space="preserve">C.F.R. </w:t>
        </w:r>
        <w:r w:rsidR="005F4E49" w:rsidRPr="00020D20">
          <w:rPr>
            <w:rStyle w:val="TitleChar"/>
          </w:rPr>
          <w:t>§ 924</w:t>
        </w:r>
      </w:hyperlink>
      <w:r w:rsidR="005F4E49" w:rsidRPr="005F4E49">
        <w:t>.</w:t>
      </w:r>
      <w:r w:rsidR="001A2FC9">
        <w:rPr>
          <w:b/>
          <w:bCs/>
        </w:rPr>
        <w:t xml:space="preserve"> </w:t>
      </w:r>
      <w:r w:rsidR="001A2FC9" w:rsidRPr="00223878">
        <w:rPr>
          <w:bCs/>
        </w:rPr>
        <w:t xml:space="preserve">The FAST Act, Section 1113, </w:t>
      </w:r>
      <w:r w:rsidR="001A2FC9">
        <w:rPr>
          <w:bCs/>
        </w:rPr>
        <w:t>added 4 new categories of eligible projects, increasing the total eligible categories to 28. These project categories under the high</w:t>
      </w:r>
      <w:r w:rsidR="001A2FC9" w:rsidRPr="00223878">
        <w:rPr>
          <w:bCs/>
        </w:rPr>
        <w:t>way</w:t>
      </w:r>
      <w:r w:rsidR="001A2FC9" w:rsidRPr="001D57F7">
        <w:rPr>
          <w:bCs/>
        </w:rPr>
        <w:t xml:space="preserve"> </w:t>
      </w:r>
      <w:r w:rsidR="001A2FC9" w:rsidRPr="001A74A4">
        <w:rPr>
          <w:bCs/>
        </w:rPr>
        <w:t xml:space="preserve">safety </w:t>
      </w:r>
      <w:r w:rsidR="001A2FC9" w:rsidRPr="001A74A4">
        <w:t xml:space="preserve">program structure </w:t>
      </w:r>
      <w:r w:rsidR="001A2FC9">
        <w:t>are identified as eligible and</w:t>
      </w:r>
      <w:r w:rsidR="001A2FC9" w:rsidRPr="00510A04">
        <w:t xml:space="preserve"> listed</w:t>
      </w:r>
      <w:r w:rsidR="001A2FC9">
        <w:t xml:space="preserve"> under </w:t>
      </w:r>
      <w:hyperlink r:id="rId1081" w:history="1">
        <w:r w:rsidR="001A2FC9" w:rsidRPr="00020D20">
          <w:rPr>
            <w:rStyle w:val="TitleChar"/>
          </w:rPr>
          <w:t>23 U.S.C § 148 (a)(4)(B)</w:t>
        </w:r>
      </w:hyperlink>
      <w:r w:rsidR="001A2FC9" w:rsidRPr="00510A04">
        <w:rPr>
          <w:b/>
        </w:rPr>
        <w:t xml:space="preserve">. </w:t>
      </w:r>
      <w:r w:rsidR="001A2FC9" w:rsidRPr="00510A04">
        <w:t>The FAST act also ended the ability of the State to shift funds designated for infrastructure safety projects to behavioral or educational activities</w:t>
      </w:r>
      <w:r w:rsidR="001A2FC9" w:rsidRPr="00510A04">
        <w:rPr>
          <w:b/>
        </w:rPr>
        <w:t xml:space="preserve">. </w:t>
      </w:r>
      <w:r w:rsidR="001A2FC9" w:rsidRPr="00510A04">
        <w:t xml:space="preserve">The ADOT HSIP program places additional constraints on the eligibility of individual project categories in order to meet the most critical safety needs on all of Arizona’s public roadways and to help ensure Arizona’s </w:t>
      </w:r>
      <w:r w:rsidR="001A2FC9">
        <w:t>FAST</w:t>
      </w:r>
      <w:r w:rsidR="001A2FC9" w:rsidRPr="00510A04">
        <w:t xml:space="preserve"> performance targets are met</w:t>
      </w:r>
      <w:r w:rsidR="001A2FC9" w:rsidRPr="00020D20">
        <w:rPr>
          <w:i/>
        </w:rPr>
        <w:t>.</w:t>
      </w:r>
    </w:p>
    <w:p w14:paraId="3006060B" w14:textId="29CDF430" w:rsidR="005F4E49" w:rsidRPr="005F4E49" w:rsidRDefault="00202C92" w:rsidP="00020D20">
      <w:pPr>
        <w:jc w:val="both"/>
        <w:rPr>
          <w:rFonts w:cstheme="minorHAnsi"/>
        </w:rPr>
      </w:pPr>
      <w:hyperlink r:id="rId1082" w:history="1">
        <w:r w:rsidR="005F4E49" w:rsidRPr="00020D20">
          <w:rPr>
            <w:color w:val="F05A28"/>
            <w:spacing w:val="-11"/>
            <w:u w:color="ED1C24"/>
          </w:rPr>
          <w:t>A.R.S. § 28-503</w:t>
        </w:r>
      </w:hyperlink>
      <w:r w:rsidR="005F4E49" w:rsidRPr="00020D20">
        <w:rPr>
          <w:rFonts w:cstheme="minorHAnsi"/>
          <w:i/>
          <w:color w:val="F05A28"/>
          <w:spacing w:val="-11"/>
          <w:u w:color="ED1C24"/>
        </w:rPr>
        <w:t xml:space="preserve"> </w:t>
      </w:r>
      <w:r w:rsidR="005F4E49" w:rsidRPr="005F4E49">
        <w:rPr>
          <w:rFonts w:cstheme="minorHAnsi"/>
        </w:rPr>
        <w:t xml:space="preserve">establishes that the state develop and assist in applying performance-based planning and programming processes that influence allocation of state and federal financial resources based on performance factors established per </w:t>
      </w:r>
      <w:hyperlink r:id="rId1083" w:history="1">
        <w:r w:rsidR="005F4E49" w:rsidRPr="00020D20">
          <w:rPr>
            <w:rStyle w:val="TitleChar"/>
          </w:rPr>
          <w:t>A.R.S. §§ 28-504</w:t>
        </w:r>
      </w:hyperlink>
      <w:r w:rsidR="005F4E49" w:rsidRPr="005F4E49">
        <w:rPr>
          <w:rFonts w:cstheme="minorHAnsi"/>
        </w:rPr>
        <w:t xml:space="preserve"> and </w:t>
      </w:r>
      <w:hyperlink r:id="rId1084" w:history="1">
        <w:r w:rsidR="005F4E49" w:rsidRPr="00020D20">
          <w:rPr>
            <w:rStyle w:val="TitleChar"/>
          </w:rPr>
          <w:t>28-505</w:t>
        </w:r>
      </w:hyperlink>
      <w:r w:rsidR="005F4E49" w:rsidRPr="005F4E49">
        <w:rPr>
          <w:rFonts w:cstheme="minorHAnsi"/>
        </w:rPr>
        <w:t xml:space="preserve">. </w:t>
      </w:r>
      <w:hyperlink r:id="rId1085" w:history="1">
        <w:r w:rsidR="005F4E49" w:rsidRPr="00020D20">
          <w:rPr>
            <w:rStyle w:val="TitleChar"/>
          </w:rPr>
          <w:t>A.R.S. § 28-504</w:t>
        </w:r>
      </w:hyperlink>
      <w:r w:rsidR="005F4E49" w:rsidRPr="005F4E49">
        <w:rPr>
          <w:rFonts w:cstheme="minorHAnsi"/>
        </w:rPr>
        <w:t xml:space="preserve"> establishes that uniform safety performances measures and factors must be developed; these are used “to select projects and services in the five-year transportation facilities construction program” (</w:t>
      </w:r>
      <w:hyperlink r:id="rId1086" w:history="1">
        <w:r w:rsidR="005F4E49" w:rsidRPr="00020D20">
          <w:rPr>
            <w:rStyle w:val="TitleChar"/>
          </w:rPr>
          <w:t>A.R.S. § 28-505(C)(1)</w:t>
        </w:r>
      </w:hyperlink>
      <w:r w:rsidR="005F4E49" w:rsidRPr="005F4E49">
        <w:rPr>
          <w:rFonts w:cstheme="minorHAnsi"/>
        </w:rPr>
        <w:t xml:space="preserve"> and “allocate state and federal financial resources” (</w:t>
      </w:r>
      <w:hyperlink r:id="rId1087" w:history="1">
        <w:r w:rsidR="005F4E49" w:rsidRPr="00020D20">
          <w:rPr>
            <w:rStyle w:val="TitleChar"/>
          </w:rPr>
          <w:t>A.R.S. § 28-505(C)(2)</w:t>
        </w:r>
      </w:hyperlink>
      <w:r w:rsidR="005F4E49" w:rsidRPr="005F4E49">
        <w:rPr>
          <w:rFonts w:cstheme="minorHAnsi"/>
        </w:rPr>
        <w:t>).”</w:t>
      </w:r>
    </w:p>
    <w:p w14:paraId="5D01BF00" w14:textId="77777777" w:rsidR="005F4E49" w:rsidRDefault="005F4E49" w:rsidP="00020D20">
      <w:pPr>
        <w:jc w:val="both"/>
      </w:pPr>
      <w:r w:rsidRPr="005F4E49">
        <w:t xml:space="preserve">Table 17.5-1 below shows the authorities for safety regulations. </w:t>
      </w:r>
    </w:p>
    <w:p w14:paraId="2E36492F" w14:textId="7B41F0E7" w:rsidR="005F4E49" w:rsidRDefault="005F4E49" w:rsidP="00020D20">
      <w:pPr>
        <w:pStyle w:val="Heading4"/>
        <w:jc w:val="both"/>
      </w:pPr>
      <w:r w:rsidRPr="005F4E49">
        <w:t>Table 17.5-1 | Authority</w:t>
      </w:r>
    </w:p>
    <w:tbl>
      <w:tblPr>
        <w:tblW w:w="4325" w:type="dxa"/>
        <w:tblInd w:w="-10" w:type="dxa"/>
        <w:tblLayout w:type="fixed"/>
        <w:tblCellMar>
          <w:left w:w="0" w:type="dxa"/>
          <w:right w:w="0" w:type="dxa"/>
        </w:tblCellMar>
        <w:tblLook w:val="0000" w:firstRow="0" w:lastRow="0" w:firstColumn="0" w:lastColumn="0" w:noHBand="0" w:noVBand="0"/>
      </w:tblPr>
      <w:tblGrid>
        <w:gridCol w:w="545"/>
        <w:gridCol w:w="1440"/>
        <w:gridCol w:w="2340"/>
      </w:tblGrid>
      <w:tr w:rsidR="00B92440" w:rsidRPr="00B92440" w14:paraId="6F43E387" w14:textId="77777777" w:rsidTr="00020D20">
        <w:trPr>
          <w:trHeight w:val="242"/>
        </w:trPr>
        <w:tc>
          <w:tcPr>
            <w:tcW w:w="1985" w:type="dxa"/>
            <w:gridSpan w:val="2"/>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90" w:type="dxa"/>
              <w:left w:w="90" w:type="dxa"/>
              <w:bottom w:w="90" w:type="dxa"/>
              <w:right w:w="90" w:type="dxa"/>
            </w:tcMar>
            <w:vAlign w:val="center"/>
          </w:tcPr>
          <w:p w14:paraId="3F04BAEE" w14:textId="77777777" w:rsidR="005F4E49" w:rsidRPr="00020D20" w:rsidRDefault="005F4E49" w:rsidP="00020D20">
            <w:pPr>
              <w:spacing w:before="0" w:after="0" w:line="240" w:lineRule="auto"/>
              <w:jc w:val="center"/>
              <w:rPr>
                <w:sz w:val="22"/>
              </w:rPr>
            </w:pPr>
            <w:r w:rsidRPr="00020D20">
              <w:rPr>
                <w:sz w:val="22"/>
              </w:rPr>
              <w:t>Code</w:t>
            </w:r>
          </w:p>
        </w:tc>
        <w:tc>
          <w:tcPr>
            <w:tcW w:w="234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12768"/>
            <w:tcMar>
              <w:top w:w="90" w:type="dxa"/>
              <w:left w:w="90" w:type="dxa"/>
              <w:bottom w:w="90" w:type="dxa"/>
              <w:right w:w="90" w:type="dxa"/>
            </w:tcMar>
            <w:vAlign w:val="center"/>
          </w:tcPr>
          <w:p w14:paraId="3384231D" w14:textId="77777777" w:rsidR="005F4E49" w:rsidRPr="00020D20" w:rsidRDefault="005F4E49" w:rsidP="00020D20">
            <w:pPr>
              <w:spacing w:before="0" w:after="0" w:line="240" w:lineRule="auto"/>
              <w:jc w:val="center"/>
              <w:rPr>
                <w:sz w:val="22"/>
              </w:rPr>
            </w:pPr>
            <w:r w:rsidRPr="00020D20">
              <w:rPr>
                <w:sz w:val="22"/>
              </w:rPr>
              <w:t>Definition</w:t>
            </w:r>
          </w:p>
        </w:tc>
      </w:tr>
      <w:tr w:rsidR="005F4E49" w:rsidRPr="005F4E49" w14:paraId="20A9D74B" w14:textId="77777777" w:rsidTr="00020D20">
        <w:trPr>
          <w:trHeight w:val="460"/>
        </w:trPr>
        <w:tc>
          <w:tcPr>
            <w:tcW w:w="545"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90" w:type="dxa"/>
              <w:left w:w="90" w:type="dxa"/>
              <w:bottom w:w="90" w:type="dxa"/>
              <w:right w:w="90" w:type="dxa"/>
            </w:tcMar>
            <w:textDirection w:val="btLr"/>
            <w:vAlign w:val="center"/>
          </w:tcPr>
          <w:p w14:paraId="1A7CA3A3" w14:textId="77777777" w:rsidR="005F4E49" w:rsidRPr="00020D20" w:rsidRDefault="005F4E49" w:rsidP="00020D20">
            <w:pPr>
              <w:spacing w:before="0" w:after="0" w:line="240" w:lineRule="auto"/>
              <w:jc w:val="center"/>
              <w:rPr>
                <w:sz w:val="22"/>
              </w:rPr>
            </w:pPr>
            <w:r w:rsidRPr="00020D20">
              <w:rPr>
                <w:sz w:val="22"/>
              </w:rPr>
              <w:t>Federal</w:t>
            </w:r>
          </w:p>
        </w:tc>
        <w:tc>
          <w:tcPr>
            <w:tcW w:w="14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3A9E65C7" w14:textId="22AF31FE" w:rsidR="005F4E49" w:rsidRPr="005F4E49" w:rsidRDefault="00202C92" w:rsidP="00020D20">
            <w:pPr>
              <w:spacing w:before="0" w:after="0" w:line="240" w:lineRule="auto"/>
              <w:jc w:val="center"/>
              <w:rPr>
                <w:rFonts w:cstheme="minorHAnsi"/>
                <w:color w:val="000000"/>
              </w:rPr>
            </w:pPr>
            <w:hyperlink r:id="rId1088" w:history="1">
              <w:r w:rsidR="005F4E49" w:rsidRPr="005F4E49">
                <w:rPr>
                  <w:rFonts w:cstheme="minorHAnsi"/>
                  <w:i/>
                  <w:color w:val="F05A28"/>
                  <w:spacing w:val="-11"/>
                  <w:u w:color="ED1C24"/>
                </w:rPr>
                <w:t xml:space="preserve">23 </w:t>
              </w:r>
              <w:r w:rsidR="009628C0">
                <w:rPr>
                  <w:rFonts w:cstheme="minorHAnsi"/>
                  <w:i/>
                  <w:color w:val="F05A28"/>
                  <w:spacing w:val="-11"/>
                  <w:u w:color="ED1C24"/>
                </w:rPr>
                <w:t xml:space="preserve">C.F.R. </w:t>
              </w:r>
              <w:r w:rsidR="005F4E49" w:rsidRPr="005F4E49">
                <w:rPr>
                  <w:rFonts w:cstheme="minorHAnsi"/>
                  <w:i/>
                  <w:color w:val="F05A28"/>
                  <w:spacing w:val="-11"/>
                  <w:u w:color="ED1C24"/>
                </w:rPr>
                <w:t>§ 924</w:t>
              </w:r>
            </w:hyperlink>
          </w:p>
        </w:tc>
        <w:tc>
          <w:tcPr>
            <w:tcW w:w="23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69B35AA8" w14:textId="77777777" w:rsidR="005F4E49" w:rsidRPr="00EB13D3" w:rsidRDefault="005F4E49" w:rsidP="00020D20">
            <w:pPr>
              <w:spacing w:before="0" w:after="0" w:line="240" w:lineRule="auto"/>
              <w:jc w:val="both"/>
            </w:pPr>
            <w:r w:rsidRPr="00EB13D3">
              <w:t>Defines requirements for the HSIP.</w:t>
            </w:r>
          </w:p>
        </w:tc>
      </w:tr>
      <w:tr w:rsidR="005F4E49" w:rsidRPr="005F4E49" w14:paraId="0ABB85B9" w14:textId="77777777" w:rsidTr="00020D20">
        <w:trPr>
          <w:trHeight w:val="460"/>
        </w:trPr>
        <w:tc>
          <w:tcPr>
            <w:tcW w:w="545" w:type="dxa"/>
            <w:vMerge/>
            <w:tcBorders>
              <w:top w:val="single" w:sz="4" w:space="0" w:color="auto"/>
              <w:left w:val="single" w:sz="4" w:space="0" w:color="auto"/>
              <w:bottom w:val="single" w:sz="4" w:space="0" w:color="FFFFFF" w:themeColor="background1"/>
              <w:right w:val="single" w:sz="4" w:space="0" w:color="auto"/>
            </w:tcBorders>
            <w:shd w:val="clear" w:color="auto" w:fill="012768"/>
          </w:tcPr>
          <w:p w14:paraId="2EB5202E" w14:textId="77777777" w:rsidR="005F4E49" w:rsidRPr="00020D20" w:rsidRDefault="005F4E49" w:rsidP="00020D20">
            <w:pPr>
              <w:spacing w:before="0" w:after="0" w:line="240" w:lineRule="auto"/>
              <w:jc w:val="center"/>
              <w:rPr>
                <w:sz w:val="22"/>
              </w:rPr>
            </w:pPr>
          </w:p>
        </w:tc>
        <w:tc>
          <w:tcPr>
            <w:tcW w:w="14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75A04692" w14:textId="17B638FC" w:rsidR="005F4E49" w:rsidRPr="005F4E49" w:rsidRDefault="00202C92" w:rsidP="00020D20">
            <w:pPr>
              <w:spacing w:before="0" w:after="0" w:line="240" w:lineRule="auto"/>
              <w:jc w:val="center"/>
              <w:rPr>
                <w:rFonts w:cstheme="minorHAnsi"/>
                <w:color w:val="000000"/>
              </w:rPr>
            </w:pPr>
            <w:hyperlink r:id="rId1089" w:history="1">
              <w:r w:rsidR="005F4E49" w:rsidRPr="005F4E49">
                <w:rPr>
                  <w:rFonts w:cstheme="minorHAnsi"/>
                  <w:i/>
                  <w:color w:val="F05A28"/>
                  <w:spacing w:val="-11"/>
                  <w:u w:color="ED1C24"/>
                </w:rPr>
                <w:t>23 U.S.C. § 402(a)(1)</w:t>
              </w:r>
            </w:hyperlink>
          </w:p>
        </w:tc>
        <w:tc>
          <w:tcPr>
            <w:tcW w:w="23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20C04248" w14:textId="77777777" w:rsidR="005F4E49" w:rsidRPr="00EB13D3" w:rsidRDefault="005F4E49" w:rsidP="00020D20">
            <w:pPr>
              <w:spacing w:before="0" w:after="0" w:line="240" w:lineRule="auto"/>
              <w:jc w:val="both"/>
            </w:pPr>
            <w:r w:rsidRPr="00EB13D3">
              <w:t>Establishes factors that are designed to reduce frequency and severity of crashes.</w:t>
            </w:r>
          </w:p>
        </w:tc>
      </w:tr>
      <w:tr w:rsidR="005F4E49" w:rsidRPr="005F4E49" w14:paraId="23E15154" w14:textId="77777777" w:rsidTr="00020D20">
        <w:trPr>
          <w:trHeight w:val="460"/>
        </w:trPr>
        <w:tc>
          <w:tcPr>
            <w:tcW w:w="545"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90" w:type="dxa"/>
              <w:left w:w="90" w:type="dxa"/>
              <w:bottom w:w="90" w:type="dxa"/>
              <w:right w:w="90" w:type="dxa"/>
            </w:tcMar>
            <w:textDirection w:val="btLr"/>
            <w:vAlign w:val="center"/>
          </w:tcPr>
          <w:p w14:paraId="5705BB36" w14:textId="77777777" w:rsidR="005F4E49" w:rsidRPr="00020D20" w:rsidRDefault="005F4E49" w:rsidP="00020D20">
            <w:pPr>
              <w:spacing w:before="0" w:after="0" w:line="240" w:lineRule="auto"/>
              <w:jc w:val="center"/>
              <w:rPr>
                <w:sz w:val="22"/>
              </w:rPr>
            </w:pPr>
            <w:r w:rsidRPr="00020D20">
              <w:rPr>
                <w:sz w:val="22"/>
              </w:rPr>
              <w:t>State</w:t>
            </w:r>
          </w:p>
        </w:tc>
        <w:tc>
          <w:tcPr>
            <w:tcW w:w="14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11EBD884" w14:textId="4BEF3DC0" w:rsidR="005F4E49" w:rsidRPr="005F4E49" w:rsidRDefault="00202C92" w:rsidP="00020D20">
            <w:pPr>
              <w:spacing w:before="0" w:after="0" w:line="240" w:lineRule="auto"/>
              <w:jc w:val="center"/>
              <w:rPr>
                <w:rFonts w:cstheme="minorHAnsi"/>
                <w:color w:val="000000"/>
              </w:rPr>
            </w:pPr>
            <w:hyperlink r:id="rId1090" w:history="1">
              <w:r w:rsidR="005F4E49" w:rsidRPr="005F4E49">
                <w:rPr>
                  <w:rFonts w:cstheme="minorHAnsi"/>
                  <w:i/>
                  <w:color w:val="F05A28"/>
                  <w:spacing w:val="-11"/>
                  <w:u w:color="ED1C24"/>
                </w:rPr>
                <w:t>A.R.S. § 28-503</w:t>
              </w:r>
            </w:hyperlink>
          </w:p>
        </w:tc>
        <w:tc>
          <w:tcPr>
            <w:tcW w:w="23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1FDE07E3" w14:textId="77777777" w:rsidR="005F4E49" w:rsidRPr="00EB13D3" w:rsidRDefault="005F4E49" w:rsidP="00020D20">
            <w:pPr>
              <w:spacing w:before="0" w:after="0" w:line="240" w:lineRule="auto"/>
              <w:jc w:val="both"/>
            </w:pPr>
            <w:r w:rsidRPr="00EB13D3">
              <w:rPr>
                <w:w w:val="96"/>
              </w:rPr>
              <w:t>Establishes that the state develop and assist in applying performance-based planning and programming processes.</w:t>
            </w:r>
          </w:p>
        </w:tc>
      </w:tr>
      <w:tr w:rsidR="005F4E49" w:rsidRPr="005F4E49" w14:paraId="746C734C" w14:textId="77777777" w:rsidTr="00020D20">
        <w:trPr>
          <w:trHeight w:val="460"/>
        </w:trPr>
        <w:tc>
          <w:tcPr>
            <w:tcW w:w="545"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15F9D065" w14:textId="77777777" w:rsidR="005F4E49" w:rsidRPr="005F4E49" w:rsidRDefault="005F4E49" w:rsidP="00020D20">
            <w:pPr>
              <w:spacing w:before="0" w:after="0" w:line="240" w:lineRule="auto"/>
              <w:jc w:val="center"/>
              <w:rPr>
                <w:rFonts w:cstheme="minorHAnsi"/>
              </w:rPr>
            </w:pPr>
          </w:p>
        </w:tc>
        <w:tc>
          <w:tcPr>
            <w:tcW w:w="14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2BBC741B" w14:textId="0E4C7BA6" w:rsidR="005F4E49" w:rsidRPr="005F4E49" w:rsidRDefault="00202C92" w:rsidP="00020D20">
            <w:pPr>
              <w:spacing w:before="0" w:after="0" w:line="240" w:lineRule="auto"/>
              <w:jc w:val="center"/>
              <w:rPr>
                <w:rFonts w:cstheme="minorHAnsi"/>
                <w:color w:val="000000"/>
              </w:rPr>
            </w:pPr>
            <w:hyperlink r:id="rId1091" w:history="1">
              <w:r w:rsidR="005F4E49" w:rsidRPr="005F4E49">
                <w:rPr>
                  <w:rFonts w:cstheme="minorHAnsi"/>
                  <w:i/>
                  <w:color w:val="F05A28"/>
                  <w:spacing w:val="-11"/>
                  <w:u w:color="ED1C24"/>
                </w:rPr>
                <w:t>A.R.S. § 28-504</w:t>
              </w:r>
            </w:hyperlink>
          </w:p>
        </w:tc>
        <w:tc>
          <w:tcPr>
            <w:tcW w:w="23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77BEF93C" w14:textId="77777777" w:rsidR="005F4E49" w:rsidRPr="00EB13D3" w:rsidRDefault="005F4E49" w:rsidP="00020D20">
            <w:pPr>
              <w:spacing w:before="0" w:after="0" w:line="240" w:lineRule="auto"/>
              <w:jc w:val="both"/>
            </w:pPr>
            <w:r w:rsidRPr="00EB13D3">
              <w:t>Establishes that uniform safety performances measures and factors must be developed.</w:t>
            </w:r>
          </w:p>
        </w:tc>
      </w:tr>
      <w:tr w:rsidR="005F4E49" w:rsidRPr="005F4E49" w14:paraId="3B3C2923" w14:textId="77777777" w:rsidTr="00020D20">
        <w:trPr>
          <w:trHeight w:val="460"/>
        </w:trPr>
        <w:tc>
          <w:tcPr>
            <w:tcW w:w="545"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7F90183A" w14:textId="77777777" w:rsidR="005F4E49" w:rsidRPr="005F4E49" w:rsidRDefault="005F4E49" w:rsidP="00020D20">
            <w:pPr>
              <w:spacing w:before="0" w:after="0" w:line="240" w:lineRule="auto"/>
              <w:jc w:val="center"/>
              <w:rPr>
                <w:rFonts w:cstheme="minorHAnsi"/>
              </w:rPr>
            </w:pPr>
          </w:p>
        </w:tc>
        <w:tc>
          <w:tcPr>
            <w:tcW w:w="14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55FE5F62" w14:textId="23CD07B2" w:rsidR="005F4E49" w:rsidRPr="005F4E49" w:rsidRDefault="00202C92" w:rsidP="00020D20">
            <w:pPr>
              <w:spacing w:before="0" w:after="0" w:line="240" w:lineRule="auto"/>
              <w:jc w:val="center"/>
              <w:rPr>
                <w:rFonts w:cstheme="minorHAnsi"/>
                <w:color w:val="000000"/>
              </w:rPr>
            </w:pPr>
            <w:hyperlink r:id="rId1092" w:history="1">
              <w:r w:rsidR="005F4E49" w:rsidRPr="005F4E49">
                <w:rPr>
                  <w:rFonts w:cstheme="minorHAnsi"/>
                  <w:i/>
                  <w:color w:val="F05A28"/>
                  <w:spacing w:val="-11"/>
                  <w:u w:color="ED1C24"/>
                </w:rPr>
                <w:t>A.R.S. § 28-505</w:t>
              </w:r>
            </w:hyperlink>
          </w:p>
        </w:tc>
        <w:tc>
          <w:tcPr>
            <w:tcW w:w="2340" w:type="dxa"/>
            <w:tcBorders>
              <w:top w:val="single" w:sz="4" w:space="0" w:color="auto"/>
              <w:left w:val="single" w:sz="4" w:space="0" w:color="auto"/>
              <w:bottom w:val="single" w:sz="4" w:space="0" w:color="auto"/>
              <w:right w:val="single" w:sz="4" w:space="0" w:color="auto"/>
            </w:tcBorders>
            <w:tcMar>
              <w:top w:w="90" w:type="dxa"/>
              <w:left w:w="90" w:type="dxa"/>
              <w:bottom w:w="90" w:type="dxa"/>
              <w:right w:w="90" w:type="dxa"/>
            </w:tcMar>
            <w:vAlign w:val="center"/>
          </w:tcPr>
          <w:p w14:paraId="1A9E0540" w14:textId="77777777" w:rsidR="005F4E49" w:rsidRPr="00EB13D3" w:rsidRDefault="005F4E49" w:rsidP="00020D20">
            <w:pPr>
              <w:spacing w:before="0" w:after="0" w:line="240" w:lineRule="auto"/>
              <w:jc w:val="both"/>
            </w:pPr>
            <w:r w:rsidRPr="00EB13D3">
              <w:t>Establishes performance factors that must be followed.</w:t>
            </w:r>
          </w:p>
        </w:tc>
      </w:tr>
    </w:tbl>
    <w:p w14:paraId="368DC6C3" w14:textId="28CBD1A4" w:rsidR="005F4E49" w:rsidRPr="005F4E49" w:rsidRDefault="005F4E49" w:rsidP="00020D20">
      <w:pPr>
        <w:pStyle w:val="Heading3"/>
        <w:jc w:val="both"/>
      </w:pPr>
      <w:bookmarkStart w:id="658" w:name="_Ref50048569"/>
      <w:r w:rsidRPr="005F4E49">
        <w:t>17.5.3 | Scope</w:t>
      </w:r>
      <w:bookmarkEnd w:id="658"/>
    </w:p>
    <w:p w14:paraId="6C07DB96" w14:textId="4A064987" w:rsidR="00921D0C" w:rsidRDefault="002762B7" w:rsidP="00020D20">
      <w:pPr>
        <w:jc w:val="both"/>
      </w:pPr>
      <w:r>
        <w:rPr>
          <w:rFonts w:cstheme="minorHAnsi"/>
          <w:noProof/>
        </w:rPr>
        <mc:AlternateContent>
          <mc:Choice Requires="wps">
            <w:drawing>
              <wp:anchor distT="0" distB="0" distL="114300" distR="114300" simplePos="0" relativeHeight="251618406" behindDoc="1" locked="0" layoutInCell="1" allowOverlap="1" wp14:anchorId="23F4B33E" wp14:editId="4F07B9D3">
                <wp:simplePos x="0" y="0"/>
                <wp:positionH relativeFrom="column">
                  <wp:posOffset>0</wp:posOffset>
                </wp:positionH>
                <wp:positionV relativeFrom="paragraph">
                  <wp:posOffset>164465</wp:posOffset>
                </wp:positionV>
                <wp:extent cx="1371600" cy="1485900"/>
                <wp:effectExtent l="76200" t="95250" r="76200" b="95250"/>
                <wp:wrapTight wrapText="bothSides">
                  <wp:wrapPolygon edited="0">
                    <wp:start x="-1200" y="-1385"/>
                    <wp:lineTo x="-1200" y="22708"/>
                    <wp:lineTo x="22500" y="22708"/>
                    <wp:lineTo x="22500" y="-1385"/>
                    <wp:lineTo x="-1200" y="-1385"/>
                  </wp:wrapPolygon>
                </wp:wrapTight>
                <wp:docPr id="816286269" name="Text Box 816286269"/>
                <wp:cNvGraphicFramePr/>
                <a:graphic xmlns:a="http://schemas.openxmlformats.org/drawingml/2006/main">
                  <a:graphicData uri="http://schemas.microsoft.com/office/word/2010/wordprocessingShape">
                    <wps:wsp>
                      <wps:cNvSpPr txBox="1"/>
                      <wps:spPr>
                        <a:xfrm>
                          <a:off x="0" y="0"/>
                          <a:ext cx="137160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EE604CD" w14:textId="77777777" w:rsidR="00C6444C" w:rsidRDefault="00C6444C" w:rsidP="00020D20">
                            <w:pPr>
                              <w:jc w:val="center"/>
                            </w:pPr>
                            <w:r>
                              <w:rPr>
                                <w:noProof/>
                              </w:rPr>
                              <w:drawing>
                                <wp:inline distT="0" distB="0" distL="0" distR="0" wp14:anchorId="5897C874" wp14:editId="51F1DD9C">
                                  <wp:extent cx="457200" cy="457200"/>
                                  <wp:effectExtent l="0" t="0" r="0" b="0"/>
                                  <wp:docPr id="1690912768" name="Picture 169091276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A8025F" w14:textId="77777777" w:rsidR="00C6444C" w:rsidRPr="005A6734" w:rsidRDefault="00C6444C" w:rsidP="00020D20">
                            <w:pPr>
                              <w:pStyle w:val="Calloutboxes"/>
                            </w:pPr>
                            <w:r w:rsidRPr="00394A74">
                              <w:t>To view the full Arizona HSIP Manual</w:t>
                            </w:r>
                            <w:r w:rsidRPr="00954116">
                              <w:t>:</w:t>
                            </w:r>
                          </w:p>
                          <w:p w14:paraId="0D744749" w14:textId="47E4A45F" w:rsidR="00C6444C" w:rsidRPr="00020D20" w:rsidRDefault="00202C92">
                            <w:pPr>
                              <w:pStyle w:val="Title"/>
                              <w:rPr>
                                <w:rStyle w:val="SubtleReference"/>
                                <w:smallCaps w:val="0"/>
                                <w:color w:val="CE5B18"/>
                              </w:rPr>
                            </w:pPr>
                            <w:hyperlink r:id="rId1093" w:history="1">
                              <w:r w:rsidR="00C6444C" w:rsidRPr="00020D20">
                                <w:rPr>
                                  <w:rStyle w:val="Hyperlink"/>
                                  <w:rFonts w:ascii="Calibri" w:hAnsi="Calibri" w:cstheme="majorBidi"/>
                                  <w:i/>
                                  <w:iCs w:val="0"/>
                                  <w:color w:val="CE5B18"/>
                                  <w:szCs w:val="56"/>
                                  <w:u w:val="none"/>
                                </w:rPr>
                                <w:t>https://azdot.gov/business/transportation-systems-management-and-operations/operational-and-traffic-safety/arizona-0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F4B33E" id="Text Box 816286269" o:spid="_x0000_s1278" type="#_x0000_t202" style="position:absolute;left:0;text-align:left;margin-left:0;margin-top:12.95pt;width:108pt;height:117pt;z-index:-251698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" fillcolor="#f7f7f7" stroked="f" strokeweight=".5pt">
                <v:shadow on="t" type="perspective" color="black" opacity="26214f" offset="0,0" matrix="66847f,,,66847f"/>
                <v:textbox>
                  <w:txbxContent>
                    <w:p w14:paraId="2EE604CD" w14:textId="77777777" w:rsidR="00C6444C" w:rsidRDefault="00C6444C" w:rsidP="00020D20">
                      <w:pPr>
                        <w:jc w:val="center"/>
                      </w:pPr>
                      <w:r>
                        <w:rPr>
                          <w:noProof/>
                        </w:rPr>
                        <w:drawing>
                          <wp:inline distT="0" distB="0" distL="0" distR="0" wp14:anchorId="5897C874" wp14:editId="51F1DD9C">
                            <wp:extent cx="457200" cy="457200"/>
                            <wp:effectExtent l="0" t="0" r="0" b="0"/>
                            <wp:docPr id="1690912768" name="Picture 169091276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A8025F" w14:textId="77777777" w:rsidR="00C6444C" w:rsidRPr="005A6734" w:rsidRDefault="00C6444C" w:rsidP="00020D20">
                      <w:pPr>
                        <w:pStyle w:val="Calloutboxes"/>
                      </w:pPr>
                      <w:r w:rsidRPr="00394A74">
                        <w:t>To view the full Arizona HSIP Manual</w:t>
                      </w:r>
                      <w:r w:rsidRPr="00954116">
                        <w:t>:</w:t>
                      </w:r>
                    </w:p>
                    <w:p w14:paraId="0D744749" w14:textId="47E4A45F" w:rsidR="00C6444C" w:rsidRPr="00020D20" w:rsidRDefault="00C6444C">
                      <w:pPr>
                        <w:pStyle w:val="Title"/>
                        <w:rPr>
                          <w:rStyle w:val="SubtleReference"/>
                          <w:smallCaps w:val="0"/>
                          <w:color w:val="CE5B18"/>
                        </w:rPr>
                      </w:pPr>
                      <w:hyperlink r:id="rId1094" w:history="1">
                        <w:r w:rsidRPr="00020D20">
                          <w:rPr>
                            <w:rStyle w:val="Hyperlink"/>
                            <w:rFonts w:ascii="Calibri" w:hAnsi="Calibri" w:cstheme="majorBidi"/>
                            <w:i/>
                            <w:iCs w:val="0"/>
                            <w:color w:val="CE5B18"/>
                            <w:szCs w:val="56"/>
                            <w:u w:val="none"/>
                          </w:rPr>
                          <w:t>https://azdot.gov/business/transportation-systems-management-and-operations/operational-and-traffic-safety/arizona-0</w:t>
                        </w:r>
                      </w:hyperlink>
                    </w:p>
                  </w:txbxContent>
                </v:textbox>
                <w10:wrap type="tight"/>
              </v:shape>
            </w:pict>
          </mc:Fallback>
        </mc:AlternateContent>
      </w:r>
      <w:r w:rsidR="005F4E49" w:rsidRPr="005F4E49">
        <w:t xml:space="preserve">ADOT has developed the </w:t>
      </w:r>
      <w:r w:rsidR="005F4E49" w:rsidRPr="00EB13D3">
        <w:rPr>
          <w:rStyle w:val="Heading5Char"/>
        </w:rPr>
        <w:t>Arizona Highway Safety Improvement Program Manual</w:t>
      </w:r>
      <w:r w:rsidR="005F4E49" w:rsidRPr="005F4E49">
        <w:t xml:space="preserve"> to provide guidance for implementing the HSIP. The manual provides background on HSIP legislation, funding, and project eligibility. It specifies that </w:t>
      </w:r>
      <w:r w:rsidR="00921D0C">
        <w:t>all State, Local, and Tribal Agencies’ projects will compete for HSIP funds based on a project’s Benefit/Cost (B/C)</w:t>
      </w:r>
      <w:r w:rsidR="00244E34">
        <w:t xml:space="preserve"> ratio</w:t>
      </w:r>
      <w:r w:rsidR="00921D0C">
        <w:t>.</w:t>
      </w:r>
    </w:p>
    <w:p w14:paraId="173CE07E" w14:textId="59E3185A" w:rsidR="005F4E49" w:rsidRDefault="005F4E49" w:rsidP="00020D20">
      <w:pPr>
        <w:jc w:val="both"/>
        <w:rPr>
          <w:rFonts w:cstheme="minorHAnsi"/>
        </w:rPr>
      </w:pPr>
      <w:r w:rsidRPr="005F4E49">
        <w:rPr>
          <w:rFonts w:cstheme="minorHAnsi"/>
        </w:rPr>
        <w:t xml:space="preserve">The process generally includes the following elements, as documented in Section </w:t>
      </w:r>
      <w:r w:rsidR="00244E34">
        <w:rPr>
          <w:rFonts w:cstheme="minorHAnsi"/>
        </w:rPr>
        <w:t>2</w:t>
      </w:r>
      <w:r w:rsidRPr="005F4E49">
        <w:rPr>
          <w:rFonts w:cstheme="minorHAnsi"/>
        </w:rPr>
        <w:t xml:space="preserve"> of the Arizona HSIP Manual:</w:t>
      </w:r>
    </w:p>
    <w:p w14:paraId="5129E10E" w14:textId="77777777" w:rsidR="005F4E49" w:rsidRPr="005F4E49" w:rsidRDefault="005F4E49" w:rsidP="00020D20">
      <w:pPr>
        <w:pStyle w:val="SubHeading3"/>
        <w:jc w:val="both"/>
      </w:pPr>
      <w:bookmarkStart w:id="659" w:name="_Ref50048663"/>
      <w:r w:rsidRPr="005F4E49">
        <w:t>Project Identification</w:t>
      </w:r>
      <w:bookmarkEnd w:id="659"/>
    </w:p>
    <w:p w14:paraId="4EABBE89" w14:textId="782A12F4" w:rsidR="005F4E49" w:rsidRPr="005F4E49" w:rsidRDefault="005F4E49" w:rsidP="00020D20">
      <w:pPr>
        <w:jc w:val="both"/>
        <w:rPr>
          <w:rFonts w:cstheme="minorHAnsi"/>
        </w:rPr>
      </w:pPr>
      <w:r w:rsidRPr="005F4E49">
        <w:rPr>
          <w:rFonts w:cstheme="minorHAnsi"/>
        </w:rPr>
        <w:t>Projects are identified through network screening (an objective, repeatable method) and/or by local agency selection. Projects must focus on reducing fatal and injury crash frequency and other trends, identified as “emphasis areas” as defined in the Arizona S</w:t>
      </w:r>
      <w:r w:rsidR="00244E34">
        <w:rPr>
          <w:rFonts w:cstheme="minorHAnsi"/>
        </w:rPr>
        <w:t>H</w:t>
      </w:r>
      <w:r w:rsidRPr="005F4E49">
        <w:rPr>
          <w:rFonts w:cstheme="minorHAnsi"/>
        </w:rPr>
        <w:t>SP. Projects may include one or more countermeasures at a single location or a series of countermeasures implemented on a systematic basis.</w:t>
      </w:r>
    </w:p>
    <w:p w14:paraId="2DB96F8D" w14:textId="77777777" w:rsidR="005F4E49" w:rsidRPr="005F4E49" w:rsidRDefault="005F4E49" w:rsidP="00020D20">
      <w:pPr>
        <w:pStyle w:val="SubHeading3"/>
        <w:jc w:val="both"/>
      </w:pPr>
      <w:bookmarkStart w:id="660" w:name="_Ref50048667"/>
      <w:r w:rsidRPr="005F4E49">
        <w:t>Project Prioritization</w:t>
      </w:r>
      <w:bookmarkEnd w:id="660"/>
    </w:p>
    <w:p w14:paraId="7F29AAAD" w14:textId="77777777" w:rsidR="00441996" w:rsidRDefault="00244E34" w:rsidP="00020D20">
      <w:r w:rsidRPr="00156398">
        <w:t xml:space="preserve">The ADOT HSIP Program Manager will rank all potential HSIP projects based on </w:t>
      </w:r>
      <w:r>
        <w:t>the B/C ratio</w:t>
      </w:r>
      <w:r w:rsidRPr="00156398">
        <w:t xml:space="preserve"> as </w:t>
      </w:r>
      <w:r>
        <w:t>calculated in</w:t>
      </w:r>
      <w:r w:rsidRPr="00156398">
        <w:t xml:space="preserve"> the HSIP application. A Safety Review Committee, comprised of FHWA, </w:t>
      </w:r>
      <w:r w:rsidR="000A4575">
        <w:t xml:space="preserve">MPO/COG, </w:t>
      </w:r>
      <w:r w:rsidRPr="00156398">
        <w:t>local</w:t>
      </w:r>
      <w:r w:rsidR="000A4575">
        <w:t>,</w:t>
      </w:r>
      <w:r w:rsidRPr="00156398">
        <w:t xml:space="preserve"> and ADOT staff will be convened to review and approve the proposed list. The HSIP Program Manager will then submit the prioritized list to the </w:t>
      </w:r>
      <w:r>
        <w:t xml:space="preserve">Transportation Systems Management and Operations (TSMO) Manager </w:t>
      </w:r>
      <w:r w:rsidRPr="00156398">
        <w:t>for final ranking and approval.</w:t>
      </w:r>
    </w:p>
    <w:p w14:paraId="2070EAC5" w14:textId="2B068311" w:rsidR="005F4E49" w:rsidRPr="005F4E49" w:rsidRDefault="00792D12" w:rsidP="00020D20">
      <w:pPr>
        <w:pStyle w:val="SubHeading3"/>
      </w:pPr>
      <w:r>
        <w:rPr>
          <w:rFonts w:cstheme="minorHAnsi"/>
        </w:rPr>
        <w:br w:type="column"/>
      </w:r>
      <w:bookmarkStart w:id="661" w:name="_Ref50048670"/>
      <w:r w:rsidR="005F4E49" w:rsidRPr="005F4E49">
        <w:t>Safety Project Submittal to ADOT</w:t>
      </w:r>
      <w:bookmarkEnd w:id="661"/>
    </w:p>
    <w:p w14:paraId="26EB5724" w14:textId="508C6253" w:rsidR="005F4E49" w:rsidRPr="005F4E49" w:rsidRDefault="00244E34" w:rsidP="00020D20">
      <w:pPr>
        <w:jc w:val="both"/>
        <w:rPr>
          <w:rFonts w:cstheme="minorHAnsi"/>
        </w:rPr>
      </w:pPr>
      <w:r>
        <w:t>HSIP applications will be submitted based on dates established in the Call-for-Projects from the ADOT HSIP Manager.</w:t>
      </w:r>
    </w:p>
    <w:p w14:paraId="2D7AD62C" w14:textId="77777777" w:rsidR="005F4E49" w:rsidRPr="005F4E49" w:rsidRDefault="005F4E49" w:rsidP="00020D20">
      <w:pPr>
        <w:jc w:val="both"/>
        <w:rPr>
          <w:rFonts w:cstheme="minorHAnsi"/>
        </w:rPr>
      </w:pPr>
      <w:r w:rsidRPr="005F4E49">
        <w:rPr>
          <w:rFonts w:cstheme="minorHAnsi"/>
        </w:rPr>
        <w:t>The MPOs and COGs include the selected projects in their TIPs. After implementation the MPOs and COGs are required to report the effectiveness of the improvement to the HSIP coordinator.</w:t>
      </w:r>
    </w:p>
    <w:p w14:paraId="5C772482" w14:textId="77777777" w:rsidR="005F4E49" w:rsidRPr="005F4E49" w:rsidRDefault="005F4E49" w:rsidP="00020D20">
      <w:pPr>
        <w:pStyle w:val="Heading3"/>
        <w:jc w:val="both"/>
      </w:pPr>
      <w:bookmarkStart w:id="662" w:name="_Ref50048572"/>
      <w:r w:rsidRPr="005F4E49">
        <w:t>17.5.4 | Safety Goals</w:t>
      </w:r>
      <w:bookmarkEnd w:id="662"/>
    </w:p>
    <w:p w14:paraId="61C076DA" w14:textId="0A17E5A1" w:rsidR="005F4E49" w:rsidRPr="005F4E49" w:rsidRDefault="00770AC6" w:rsidP="00020D20">
      <w:pPr>
        <w:jc w:val="both"/>
        <w:rPr>
          <w:rFonts w:cstheme="minorHAnsi"/>
        </w:rPr>
      </w:pPr>
      <w:r>
        <w:rPr>
          <w:rFonts w:cstheme="minorHAnsi"/>
        </w:rPr>
        <w:t>FAST Act</w:t>
      </w:r>
      <w:r w:rsidR="005F4E49" w:rsidRPr="005F4E49">
        <w:rPr>
          <w:rFonts w:cstheme="minorHAnsi"/>
        </w:rPr>
        <w:t xml:space="preserve"> establishes national goals in seven areas, one of which is safety. USDOT is responsible for establishing specific performance measures based on serious injuries and fatalities. </w:t>
      </w:r>
      <w:hyperlink r:id="rId1095" w:history="1">
        <w:r w:rsidR="005F4E49" w:rsidRPr="00235B43">
          <w:rPr>
            <w:rStyle w:val="TitleChar"/>
          </w:rPr>
          <w:t>FHWA Office of Safety</w:t>
        </w:r>
      </w:hyperlink>
      <w:r w:rsidR="005F4E49" w:rsidRPr="005F4E49">
        <w:rPr>
          <w:rFonts w:cstheme="minorHAnsi"/>
        </w:rPr>
        <w:t xml:space="preserve"> </w:t>
      </w:r>
      <w:r w:rsidR="00244E34">
        <w:rPr>
          <w:rFonts w:cstheme="minorHAnsi"/>
        </w:rPr>
        <w:t xml:space="preserve">is committed to the vision of zero deaths and serious injuries on the nation’s roadways. </w:t>
      </w:r>
    </w:p>
    <w:p w14:paraId="2F9C6B0E" w14:textId="19C15269" w:rsidR="005F4E49" w:rsidRPr="005F4E49" w:rsidRDefault="005F4E49" w:rsidP="00020D20">
      <w:pPr>
        <w:jc w:val="both"/>
        <w:rPr>
          <w:rFonts w:cstheme="minorHAnsi"/>
        </w:rPr>
      </w:pPr>
      <w:r w:rsidRPr="005F4E49">
        <w:rPr>
          <w:rFonts w:cstheme="minorHAnsi"/>
        </w:rPr>
        <w:t xml:space="preserve">Arizona’s LRTP (2010-2035) and the Arizona </w:t>
      </w:r>
      <w:r w:rsidR="00BC74F5">
        <w:rPr>
          <w:rFonts w:cstheme="minorHAnsi"/>
        </w:rPr>
        <w:t>STSP</w:t>
      </w:r>
      <w:r w:rsidRPr="005F4E49">
        <w:rPr>
          <w:rFonts w:cstheme="minorHAnsi"/>
        </w:rPr>
        <w:t xml:space="preserve"> identify statewide goals. Arizona’s </w:t>
      </w:r>
      <w:r w:rsidR="00792D12">
        <w:rPr>
          <w:rFonts w:cstheme="minorHAnsi"/>
        </w:rPr>
        <w:t>LRTP</w:t>
      </w:r>
      <w:r w:rsidRPr="005F4E49">
        <w:rPr>
          <w:rFonts w:cstheme="minorHAnsi"/>
        </w:rPr>
        <w:t xml:space="preserve"> identifies goals to “enhance safety and security” and introduces two performance measures: number of fatalities (by mode) and number of crashes (by mode).</w:t>
      </w:r>
    </w:p>
    <w:p w14:paraId="6E50CA11" w14:textId="288357D1" w:rsidR="00244E34" w:rsidRDefault="005F4E49" w:rsidP="00020D20">
      <w:pPr>
        <w:jc w:val="both"/>
        <w:rPr>
          <w:rFonts w:cstheme="minorHAnsi"/>
        </w:rPr>
      </w:pPr>
      <w:r w:rsidRPr="005F4E49">
        <w:rPr>
          <w:rFonts w:cstheme="minorHAnsi"/>
        </w:rPr>
        <w:t xml:space="preserve">The </w:t>
      </w:r>
      <w:r w:rsidR="00244E34">
        <w:rPr>
          <w:rFonts w:cstheme="minorHAnsi"/>
        </w:rPr>
        <w:t>2019</w:t>
      </w:r>
      <w:r w:rsidR="00244E34" w:rsidRPr="005F4E49">
        <w:rPr>
          <w:rFonts w:cstheme="minorHAnsi"/>
        </w:rPr>
        <w:t xml:space="preserve"> </w:t>
      </w:r>
      <w:r w:rsidR="00244E34">
        <w:rPr>
          <w:rFonts w:cstheme="minorHAnsi"/>
        </w:rPr>
        <w:t>Arizona Strategic Traffic Safety Plan’s Executive Committee established an over-arching goal to save lives – reduce traffic fatalities on Arizona’s roadways</w:t>
      </w:r>
      <w:r w:rsidR="000A4575">
        <w:rPr>
          <w:rFonts w:cstheme="minorHAnsi"/>
        </w:rPr>
        <w:t xml:space="preserve">. </w:t>
      </w:r>
      <w:r w:rsidR="00244E34">
        <w:rPr>
          <w:rFonts w:cstheme="minorHAnsi"/>
        </w:rPr>
        <w:t>The Vision of the STSP is “Toward Zero Deaths by Reducing Crashes for a Safer Arizona” is consistent with the nation</w:t>
      </w:r>
      <w:r w:rsidR="00022AB2">
        <w:rPr>
          <w:rFonts w:cstheme="minorHAnsi"/>
        </w:rPr>
        <w:t>al</w:t>
      </w:r>
      <w:r w:rsidR="00244E34">
        <w:rPr>
          <w:rFonts w:cstheme="minorHAnsi"/>
        </w:rPr>
        <w:t xml:space="preserve"> movement of Toward Zero </w:t>
      </w:r>
      <w:r w:rsidR="000A4575">
        <w:rPr>
          <w:rFonts w:cstheme="minorHAnsi"/>
        </w:rPr>
        <w:t xml:space="preserve">Deaths. </w:t>
      </w:r>
      <w:r w:rsidR="00244E34">
        <w:rPr>
          <w:rFonts w:cstheme="minorHAnsi"/>
        </w:rPr>
        <w:t>The STSP Goal is to “Reduce Traffic Fatalities on Arizona’s Roadways</w:t>
      </w:r>
      <w:r w:rsidR="000A4575">
        <w:rPr>
          <w:rFonts w:cstheme="minorHAnsi"/>
        </w:rPr>
        <w:t>.”</w:t>
      </w:r>
      <w:r w:rsidR="00244E34">
        <w:rPr>
          <w:rFonts w:cstheme="minorHAnsi"/>
        </w:rPr>
        <w:t xml:space="preserve"> The STSP identified five emphasis areas and strategies that HSIP projects </w:t>
      </w:r>
      <w:r w:rsidR="000A4575">
        <w:rPr>
          <w:rFonts w:cstheme="minorHAnsi"/>
        </w:rPr>
        <w:t>must</w:t>
      </w:r>
      <w:r w:rsidR="00244E34">
        <w:rPr>
          <w:rFonts w:cstheme="minorHAnsi"/>
        </w:rPr>
        <w:t xml:space="preserve"> support. They are:</w:t>
      </w:r>
    </w:p>
    <w:p w14:paraId="2C64CF96" w14:textId="77777777" w:rsidR="00244E34" w:rsidRPr="00D0205D" w:rsidRDefault="00244E34" w:rsidP="00020D20">
      <w:pPr>
        <w:pStyle w:val="Body-Bullets"/>
        <w:jc w:val="both"/>
      </w:pPr>
      <w:r w:rsidRPr="00D0205D">
        <w:t>Highway Safety (Behavior Related)</w:t>
      </w:r>
    </w:p>
    <w:p w14:paraId="327C6610" w14:textId="77777777" w:rsidR="00244E34" w:rsidRPr="00D0205D" w:rsidRDefault="00244E34" w:rsidP="00020D20">
      <w:pPr>
        <w:pStyle w:val="Body-Bullets"/>
        <w:jc w:val="both"/>
      </w:pPr>
      <w:r w:rsidRPr="00D0205D">
        <w:t>Intersections</w:t>
      </w:r>
    </w:p>
    <w:p w14:paraId="696452F8" w14:textId="77777777" w:rsidR="00244E34" w:rsidRPr="00D0205D" w:rsidRDefault="00244E34" w:rsidP="00020D20">
      <w:pPr>
        <w:pStyle w:val="Body-Bullets"/>
        <w:jc w:val="both"/>
      </w:pPr>
      <w:r w:rsidRPr="00D0205D">
        <w:t>Lane Departure</w:t>
      </w:r>
    </w:p>
    <w:p w14:paraId="48CFE828" w14:textId="77777777" w:rsidR="00244E34" w:rsidRPr="00D0205D" w:rsidRDefault="00244E34" w:rsidP="00020D20">
      <w:pPr>
        <w:pStyle w:val="Body-Bullets"/>
        <w:jc w:val="both"/>
      </w:pPr>
      <w:r w:rsidRPr="00D0205D">
        <w:t>Pedestrians</w:t>
      </w:r>
    </w:p>
    <w:p w14:paraId="6B0A2E3B" w14:textId="78AA6D9D" w:rsidR="00244E34" w:rsidRPr="00D0205D" w:rsidRDefault="00244E34" w:rsidP="00020D20">
      <w:pPr>
        <w:pStyle w:val="Body-Bullets"/>
        <w:jc w:val="both"/>
      </w:pPr>
      <w:r w:rsidRPr="00D0205D">
        <w:t>Safety – Related Data</w:t>
      </w:r>
    </w:p>
    <w:p w14:paraId="54E1363E" w14:textId="77777777" w:rsidR="005F4E49" w:rsidRPr="005F4E49" w:rsidRDefault="005F4E49" w:rsidP="00020D20">
      <w:pPr>
        <w:pStyle w:val="Heading3"/>
        <w:jc w:val="both"/>
      </w:pPr>
      <w:bookmarkStart w:id="663" w:name="_Ref50048575"/>
      <w:r w:rsidRPr="005F4E49">
        <w:t>17.5.5 | Recommended Elements</w:t>
      </w:r>
      <w:bookmarkEnd w:id="663"/>
    </w:p>
    <w:p w14:paraId="23A40214" w14:textId="1297A64B" w:rsidR="005B56FB" w:rsidRDefault="005B56FB" w:rsidP="00020D20">
      <w:pPr>
        <w:jc w:val="both"/>
        <w:rPr>
          <w:rFonts w:cstheme="minorHAnsi"/>
        </w:rPr>
      </w:pPr>
      <w:r>
        <w:rPr>
          <w:rFonts w:cstheme="minorHAnsi"/>
        </w:rPr>
        <w:t xml:space="preserve">FAST Act defines HSIP as projects, activities, plans, and reports as defined in </w:t>
      </w:r>
      <w:hyperlink r:id="rId1096" w:history="1">
        <w:r w:rsidRPr="00020D20">
          <w:rPr>
            <w:rStyle w:val="TitleChar"/>
          </w:rPr>
          <w:t>23 U.S.C. § 148</w:t>
        </w:r>
      </w:hyperlink>
      <w:r>
        <w:rPr>
          <w:rFonts w:cstheme="minorHAnsi"/>
        </w:rPr>
        <w:t xml:space="preserve">. HSIP projects mean strategies, activities, and projects on a public road that are consistent with the </w:t>
      </w:r>
      <w:hyperlink r:id="rId1097" w:anchor=":~:text=2019%20Arizona%20Strategic%20Highway%20Safety,serious%20injuries%20on%20public%20roadways." w:history="1">
        <w:r w:rsidRPr="00020D20">
          <w:rPr>
            <w:rStyle w:val="TitleChar"/>
          </w:rPr>
          <w:t>Arizona Strategic Highway Safety Plan</w:t>
        </w:r>
      </w:hyperlink>
      <w:r w:rsidRPr="00020D20">
        <w:rPr>
          <w:rStyle w:val="TitleChar"/>
        </w:rPr>
        <w:t xml:space="preserve"> </w:t>
      </w:r>
      <w:r>
        <w:rPr>
          <w:rFonts w:cstheme="minorHAnsi"/>
        </w:rPr>
        <w:t>and</w:t>
      </w:r>
    </w:p>
    <w:p w14:paraId="65F0811F" w14:textId="7DF5EE55" w:rsidR="005B56FB" w:rsidRDefault="005B56FB" w:rsidP="00020D20">
      <w:pPr>
        <w:pStyle w:val="Body-Bullets"/>
        <w:jc w:val="both"/>
      </w:pPr>
      <w:r>
        <w:t>Correct or improve a hazardous road location or feature, or</w:t>
      </w:r>
    </w:p>
    <w:p w14:paraId="56966385" w14:textId="51201EDE" w:rsidR="005B56FB" w:rsidRPr="004E5DB7" w:rsidRDefault="005B56FB" w:rsidP="00020D20">
      <w:pPr>
        <w:pStyle w:val="Body-Bullets"/>
        <w:jc w:val="both"/>
      </w:pPr>
      <w:r>
        <w:t>Address a highway safety problem.</w:t>
      </w:r>
    </w:p>
    <w:p w14:paraId="31123C51" w14:textId="3F75DB9E" w:rsidR="00E31035" w:rsidRDefault="005B56FB" w:rsidP="00020D20">
      <w:pPr>
        <w:jc w:val="both"/>
      </w:pPr>
      <w:r w:rsidRPr="007C0331">
        <w:t xml:space="preserve">Highway safety improvement projects should be identified on the basis of crash experience, crash potential, crash rate, or other safety data-supported means. The data-driven framework for funding projects allows states to administer the HSIP </w:t>
      </w:r>
      <w:r>
        <w:t xml:space="preserve">funds </w:t>
      </w:r>
      <w:r w:rsidRPr="007C0331">
        <w:t>to address their specific safety needs</w:t>
      </w:r>
      <w:r w:rsidRPr="005F4E49">
        <w:rPr>
          <w:rFonts w:cstheme="minorHAnsi"/>
        </w:rPr>
        <w:t xml:space="preserve">. The guidelines outline the components to be documented for evaluations of individual sites or study corridor. The following provides an overview of the key evaluation elements included in the guidelines along with references to the </w:t>
      </w:r>
      <w:hyperlink r:id="rId1098" w:history="1">
        <w:r w:rsidRPr="00020D20">
          <w:rPr>
            <w:rStyle w:val="TitleChar"/>
          </w:rPr>
          <w:t>FHWA Highway Safety Improvement Program</w:t>
        </w:r>
      </w:hyperlink>
      <w:r w:rsidRPr="00020D20">
        <w:t xml:space="preserve"> (HSIP) Manual </w:t>
      </w:r>
      <w:r w:rsidRPr="005F4E49">
        <w:rPr>
          <w:rFonts w:cstheme="minorHAnsi"/>
        </w:rPr>
        <w:t xml:space="preserve">(2010), the </w:t>
      </w:r>
      <w:hyperlink r:id="rId1099" w:history="1">
        <w:r w:rsidRPr="00020D20">
          <w:rPr>
            <w:rStyle w:val="TitleChar"/>
          </w:rPr>
          <w:t>Highway Safety Manual</w:t>
        </w:r>
      </w:hyperlink>
      <w:r>
        <w:rPr>
          <w:rFonts w:cstheme="minorHAnsi"/>
        </w:rPr>
        <w:t xml:space="preserve"> (</w:t>
      </w:r>
      <w:r w:rsidRPr="005F4E49">
        <w:rPr>
          <w:rFonts w:cstheme="minorHAnsi"/>
        </w:rPr>
        <w:t>HSM)</w:t>
      </w:r>
      <w:r w:rsidR="000F43F7">
        <w:rPr>
          <w:rFonts w:cstheme="minorHAnsi"/>
        </w:rPr>
        <w:t xml:space="preserve"> (A</w:t>
      </w:r>
      <w:r>
        <w:rPr>
          <w:rFonts w:cstheme="minorHAnsi"/>
        </w:rPr>
        <w:t>A</w:t>
      </w:r>
      <w:r w:rsidR="000F43F7">
        <w:rPr>
          <w:rFonts w:cstheme="minorHAnsi"/>
        </w:rPr>
        <w:t>SHTO</w:t>
      </w:r>
      <w:r>
        <w:rPr>
          <w:rFonts w:cstheme="minorHAnsi"/>
        </w:rPr>
        <w:t xml:space="preserve"> 2010</w:t>
      </w:r>
      <w:r w:rsidR="000F43F7">
        <w:rPr>
          <w:rFonts w:cstheme="minorHAnsi"/>
        </w:rPr>
        <w:t>)</w:t>
      </w:r>
      <w:r>
        <w:rPr>
          <w:rFonts w:cstheme="minorHAnsi"/>
        </w:rPr>
        <w:t>,</w:t>
      </w:r>
      <w:r w:rsidRPr="005F4E49">
        <w:rPr>
          <w:rFonts w:cstheme="minorHAnsi"/>
        </w:rPr>
        <w:t xml:space="preserve"> and other reference materials that can help improve safety evaluations</w:t>
      </w:r>
      <w:r w:rsidR="00FE115D" w:rsidRPr="00FE115D">
        <w:t xml:space="preserve"> </w:t>
      </w:r>
    </w:p>
    <w:p w14:paraId="7C566839" w14:textId="13DA1988" w:rsidR="00FE115D" w:rsidRPr="00FE115D" w:rsidRDefault="00FE115D" w:rsidP="00020D20">
      <w:pPr>
        <w:pStyle w:val="SubHeading3"/>
        <w:jc w:val="both"/>
      </w:pPr>
      <w:bookmarkStart w:id="664" w:name="_Ref50048757"/>
      <w:r w:rsidRPr="00FE115D">
        <w:t>Project Identification</w:t>
      </w:r>
      <w:bookmarkEnd w:id="664"/>
      <w:r w:rsidRPr="00FE115D">
        <w:t xml:space="preserve"> </w:t>
      </w:r>
    </w:p>
    <w:p w14:paraId="19E953D0" w14:textId="36F44B9F" w:rsidR="00FE115D" w:rsidRPr="00FE115D" w:rsidRDefault="00FE115D" w:rsidP="00020D20">
      <w:pPr>
        <w:jc w:val="both"/>
        <w:rPr>
          <w:rFonts w:cstheme="minorHAnsi"/>
        </w:rPr>
      </w:pPr>
      <w:r w:rsidRPr="00FE115D">
        <w:rPr>
          <w:rFonts w:cstheme="minorHAnsi"/>
        </w:rPr>
        <w:t xml:space="preserve"> Project sites and countermeasures </w:t>
      </w:r>
      <w:r w:rsidR="000F43F7">
        <w:rPr>
          <w:rFonts w:cstheme="minorHAnsi"/>
        </w:rPr>
        <w:t>must</w:t>
      </w:r>
      <w:r w:rsidR="000F43F7" w:rsidRPr="00FE115D">
        <w:rPr>
          <w:rFonts w:cstheme="minorHAnsi"/>
        </w:rPr>
        <w:t xml:space="preserve"> </w:t>
      </w:r>
      <w:r w:rsidRPr="00FE115D">
        <w:rPr>
          <w:rFonts w:cstheme="minorHAnsi"/>
        </w:rPr>
        <w:t xml:space="preserve">be selected based on data-driven, objective reviews that take into account crash and volume data. This improves the probability that funding is allocated to projects where reductions in fatal and serious injury crash frequency can be realized. Section </w:t>
      </w:r>
      <w:r w:rsidR="000F43F7">
        <w:rPr>
          <w:rFonts w:cstheme="minorHAnsi"/>
        </w:rPr>
        <w:t>2.1.1</w:t>
      </w:r>
      <w:r w:rsidRPr="00FE115D">
        <w:rPr>
          <w:rFonts w:cstheme="minorHAnsi"/>
        </w:rPr>
        <w:t xml:space="preserve"> of the Arizona HSIP Manual recommends the 13 methods for conducting an objective review that are included in the FHWA HSIP Manual (2010, 2-20 to 2-21). These methods are also described in the HSM, published by the </w:t>
      </w:r>
      <w:hyperlink r:id="rId1100" w:history="1">
        <w:r w:rsidRPr="00E31035">
          <w:rPr>
            <w:rStyle w:val="TitleChar"/>
          </w:rPr>
          <w:t>American Association of State Highway Transportation Officials</w:t>
        </w:r>
      </w:hyperlink>
      <w:r w:rsidRPr="00FE115D">
        <w:rPr>
          <w:rFonts w:cstheme="minorHAnsi"/>
        </w:rPr>
        <w:t xml:space="preserve"> (AASHTO 2010).</w:t>
      </w:r>
    </w:p>
    <w:p w14:paraId="274104D7" w14:textId="5B3690F3" w:rsidR="00FE115D" w:rsidRPr="00FE115D" w:rsidRDefault="000F43F7" w:rsidP="00020D20">
      <w:pPr>
        <w:jc w:val="both"/>
        <w:rPr>
          <w:rFonts w:cstheme="minorHAnsi"/>
        </w:rPr>
      </w:pPr>
      <w:r>
        <w:rPr>
          <w:rFonts w:cstheme="minorHAnsi"/>
        </w:rPr>
        <w:t>Most methods depend</w:t>
      </w:r>
      <w:r w:rsidRPr="00FE115D">
        <w:rPr>
          <w:rFonts w:cstheme="minorHAnsi"/>
        </w:rPr>
        <w:t xml:space="preserve"> on data availability and identified safety priorities. At a minimum, network screening methods require </w:t>
      </w:r>
      <w:r>
        <w:rPr>
          <w:rFonts w:cstheme="minorHAnsi"/>
        </w:rPr>
        <w:t>five</w:t>
      </w:r>
      <w:r w:rsidRPr="00FE115D">
        <w:rPr>
          <w:rFonts w:cstheme="minorHAnsi"/>
        </w:rPr>
        <w:t xml:space="preserve"> years of crash data. When traffic volume data is also available, more advanced methods can be applied. </w:t>
      </w:r>
      <w:r w:rsidR="00FE115D" w:rsidRPr="00FE115D">
        <w:rPr>
          <w:rFonts w:cstheme="minorHAnsi"/>
        </w:rPr>
        <w:t>The most statistically rigorous methods require crash data, volume, and locally developed or calibrated crash prediction models (Safety Performance Functions or SPFs). Base crash prediction models are available in Part C of the HSM, but ADOT has not developed statewide calibration factors for these models.</w:t>
      </w:r>
    </w:p>
    <w:p w14:paraId="04638161" w14:textId="42A8855F" w:rsidR="00FE115D" w:rsidRPr="00FE115D" w:rsidRDefault="001A267D" w:rsidP="00020D20">
      <w:pPr>
        <w:jc w:val="both"/>
        <w:rPr>
          <w:rFonts w:cstheme="minorHAnsi"/>
          <w:b/>
        </w:rPr>
      </w:pPr>
      <w:r>
        <w:rPr>
          <w:rFonts w:cstheme="minorHAnsi"/>
          <w:noProof/>
        </w:rPr>
        <mc:AlternateContent>
          <mc:Choice Requires="wps">
            <w:drawing>
              <wp:anchor distT="0" distB="0" distL="114300" distR="114300" simplePos="0" relativeHeight="251618407" behindDoc="1" locked="0" layoutInCell="1" allowOverlap="1" wp14:anchorId="01804351" wp14:editId="7670C352">
                <wp:simplePos x="0" y="0"/>
                <wp:positionH relativeFrom="column">
                  <wp:posOffset>1143000</wp:posOffset>
                </wp:positionH>
                <wp:positionV relativeFrom="paragraph">
                  <wp:posOffset>1730375</wp:posOffset>
                </wp:positionV>
                <wp:extent cx="1457325" cy="1200150"/>
                <wp:effectExtent l="95250" t="76200" r="104775" b="76200"/>
                <wp:wrapTight wrapText="bothSides">
                  <wp:wrapPolygon edited="0">
                    <wp:start x="-847" y="-1371"/>
                    <wp:lineTo x="-1412" y="-1029"/>
                    <wp:lineTo x="-1129" y="22629"/>
                    <wp:lineTo x="22588" y="22629"/>
                    <wp:lineTo x="22871" y="4457"/>
                    <wp:lineTo x="22306" y="-686"/>
                    <wp:lineTo x="22306" y="-1371"/>
                    <wp:lineTo x="-847" y="-1371"/>
                  </wp:wrapPolygon>
                </wp:wrapTight>
                <wp:docPr id="816286286" name="Text Box 816286286"/>
                <wp:cNvGraphicFramePr/>
                <a:graphic xmlns:a="http://schemas.openxmlformats.org/drawingml/2006/main">
                  <a:graphicData uri="http://schemas.microsoft.com/office/word/2010/wordprocessingShape">
                    <wps:wsp>
                      <wps:cNvSpPr txBox="1"/>
                      <wps:spPr>
                        <a:xfrm>
                          <a:off x="0" y="0"/>
                          <a:ext cx="1457325" cy="12001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847BB74" w14:textId="77777777" w:rsidR="00C6444C" w:rsidRDefault="00C6444C" w:rsidP="00020D20">
                            <w:pPr>
                              <w:jc w:val="center"/>
                            </w:pPr>
                            <w:r>
                              <w:rPr>
                                <w:noProof/>
                              </w:rPr>
                              <w:drawing>
                                <wp:inline distT="0" distB="0" distL="0" distR="0" wp14:anchorId="7F8852F4" wp14:editId="1A34E637">
                                  <wp:extent cx="457200" cy="457200"/>
                                  <wp:effectExtent l="0" t="0" r="0" b="0"/>
                                  <wp:docPr id="1690912769" name="Picture 169091276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2EEFC60" w14:textId="2671786A" w:rsidR="00C6444C" w:rsidRPr="00954116" w:rsidRDefault="00C6444C" w:rsidP="00020D20">
                            <w:pPr>
                              <w:pStyle w:val="Calloutboxes"/>
                            </w:pPr>
                            <w:r w:rsidRPr="00394A74">
                              <w:t>For more information on the CMF Clearinghouse follow:</w:t>
                            </w:r>
                          </w:p>
                          <w:p w14:paraId="6A253B05" w14:textId="29B840C3" w:rsidR="00C6444C" w:rsidRPr="00020D20" w:rsidRDefault="00202C92">
                            <w:pPr>
                              <w:pStyle w:val="Title"/>
                              <w:rPr>
                                <w:sz w:val="16"/>
                              </w:rPr>
                            </w:pPr>
                            <w:hyperlink r:id="rId1101" w:history="1">
                              <w:r w:rsidR="00C6444C" w:rsidRPr="00020D20">
                                <w:rPr>
                                  <w:rStyle w:val="Hyperlink"/>
                                  <w:rFonts w:ascii="Calibri" w:hAnsi="Calibri" w:cstheme="majorBidi"/>
                                  <w:i/>
                                  <w:iCs w:val="0"/>
                                  <w:color w:val="CE5B18"/>
                                  <w:szCs w:val="56"/>
                                  <w:u w:val="none"/>
                                </w:rPr>
                                <w:t>http://www.cmfclearinghouse.org/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804351" id="Text Box 816286286" o:spid="_x0000_s1279" type="#_x0000_t202" style="position:absolute;left:0;text-align:left;margin-left:90pt;margin-top:136.25pt;width:114.75pt;height:94.5pt;z-index:-251698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" fillcolor="#f7f7f7" stroked="f" strokeweight=".5pt">
                <v:shadow on="t" type="perspective" color="black" opacity="26214f" offset="0,0" matrix="66847f,,,66847f"/>
                <v:textbox>
                  <w:txbxContent>
                    <w:p w14:paraId="0847BB74" w14:textId="77777777" w:rsidR="00C6444C" w:rsidRDefault="00C6444C" w:rsidP="00020D20">
                      <w:pPr>
                        <w:jc w:val="center"/>
                      </w:pPr>
                      <w:r>
                        <w:rPr>
                          <w:noProof/>
                        </w:rPr>
                        <w:drawing>
                          <wp:inline distT="0" distB="0" distL="0" distR="0" wp14:anchorId="7F8852F4" wp14:editId="1A34E637">
                            <wp:extent cx="457200" cy="457200"/>
                            <wp:effectExtent l="0" t="0" r="0" b="0"/>
                            <wp:docPr id="1690912769" name="Picture 169091276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2EEFC60" w14:textId="2671786A" w:rsidR="00C6444C" w:rsidRPr="00954116" w:rsidRDefault="00C6444C" w:rsidP="00020D20">
                      <w:pPr>
                        <w:pStyle w:val="Calloutboxes"/>
                      </w:pPr>
                      <w:r w:rsidRPr="00394A74">
                        <w:t>For more information on the CMF Clearinghouse follow:</w:t>
                      </w:r>
                    </w:p>
                    <w:p w14:paraId="6A253B05" w14:textId="29B840C3" w:rsidR="00C6444C" w:rsidRPr="00020D20" w:rsidRDefault="00C6444C">
                      <w:pPr>
                        <w:pStyle w:val="Title"/>
                        <w:rPr>
                          <w:sz w:val="16"/>
                        </w:rPr>
                      </w:pPr>
                      <w:hyperlink r:id="rId1102" w:history="1">
                        <w:r w:rsidRPr="00020D20">
                          <w:rPr>
                            <w:rStyle w:val="Hyperlink"/>
                            <w:rFonts w:ascii="Calibri" w:hAnsi="Calibri" w:cstheme="majorBidi"/>
                            <w:i/>
                            <w:iCs w:val="0"/>
                            <w:color w:val="CE5B18"/>
                            <w:szCs w:val="56"/>
                            <w:u w:val="none"/>
                          </w:rPr>
                          <w:t>http://www.cmfclearinghouse.org/</w:t>
                        </w:r>
                      </w:hyperlink>
                    </w:p>
                  </w:txbxContent>
                </v:textbox>
                <w10:wrap type="tight"/>
              </v:shape>
            </w:pict>
          </mc:Fallback>
        </mc:AlternateContent>
      </w:r>
      <w:r w:rsidR="00FE115D" w:rsidRPr="00FE115D">
        <w:rPr>
          <w:rFonts w:cstheme="minorHAnsi"/>
        </w:rPr>
        <w:t xml:space="preserve">Once a list of priority sites has been identified through network screening, the sites can be reviewed to identify a range of countermeasures. The countermeasures at multiple sites can be compared with one another with respect to their expected benefit-cost (B/C) ratio. Appendix D of the Arizona HSIP Manual provides B/C analysis guidelines. The benefits of countermeasures, in terms of the change in crash frequency (by type and severity) are documented as </w:t>
      </w:r>
      <w:r w:rsidR="00FE115D" w:rsidRPr="00386F76">
        <w:rPr>
          <w:rStyle w:val="Heading5Char"/>
        </w:rPr>
        <w:t>Crash Modification Factors</w:t>
      </w:r>
      <w:r w:rsidR="00FE115D" w:rsidRPr="00FE115D">
        <w:rPr>
          <w:rFonts w:cstheme="minorHAnsi"/>
        </w:rPr>
        <w:t xml:space="preserve"> (CMFs) in the FHWA’s online CMF Clearinghouse. </w:t>
      </w:r>
    </w:p>
    <w:p w14:paraId="46F2258D" w14:textId="25EB5A22" w:rsidR="000A263F" w:rsidRDefault="00FE115D" w:rsidP="00020D20">
      <w:pPr>
        <w:jc w:val="both"/>
        <w:rPr>
          <w:rFonts w:cstheme="minorHAnsi"/>
        </w:rPr>
      </w:pPr>
      <w:r w:rsidRPr="00FE115D">
        <w:rPr>
          <w:rFonts w:cstheme="minorHAnsi"/>
        </w:rPr>
        <w:t xml:space="preserve">Although not preferred, individual projects may be selected by an MPO or a COG independent of an objective, data-driven process. To maintain some level of objectivity, the agency can develop and apply performance thresholds that indicate whether a project qualifies for safety evaluation or has potential for crash reduction. This minimizes the potential that a site is selected for study based on a perceived safety issue, when little or no crashes have occurred. Performance measures that can serve as performance thresholds are identified in table 2.1 of the </w:t>
      </w:r>
      <w:hyperlink r:id="rId1103" w:history="1">
        <w:r w:rsidRPr="00020D20">
          <w:rPr>
            <w:rStyle w:val="TitleChar"/>
          </w:rPr>
          <w:t>FHWA HSIP Manual</w:t>
        </w:r>
      </w:hyperlink>
      <w:r w:rsidRPr="00020D20">
        <w:rPr>
          <w:rStyle w:val="TitleChar"/>
        </w:rPr>
        <w:t xml:space="preserve"> </w:t>
      </w:r>
      <w:r w:rsidRPr="00FE115D">
        <w:rPr>
          <w:rFonts w:cstheme="minorHAnsi"/>
        </w:rPr>
        <w:t>(2010, 2-22 to 2-23).</w:t>
      </w:r>
    </w:p>
    <w:p w14:paraId="24A3268E" w14:textId="77777777" w:rsidR="00FE115D" w:rsidRPr="00FE115D" w:rsidRDefault="00FE115D" w:rsidP="00020D20">
      <w:pPr>
        <w:pStyle w:val="SubHeading3"/>
        <w:jc w:val="both"/>
      </w:pPr>
      <w:bookmarkStart w:id="665" w:name="_Ref50048764"/>
      <w:r w:rsidRPr="00FE115D">
        <w:t>Prioritization</w:t>
      </w:r>
      <w:bookmarkEnd w:id="665"/>
    </w:p>
    <w:p w14:paraId="3DBF5365" w14:textId="7C0871A2" w:rsidR="00FE115D" w:rsidRPr="00FE115D" w:rsidRDefault="00FE115D" w:rsidP="00020D20">
      <w:pPr>
        <w:jc w:val="both"/>
        <w:rPr>
          <w:rFonts w:cstheme="minorHAnsi"/>
        </w:rPr>
      </w:pPr>
      <w:r w:rsidRPr="00FE115D">
        <w:rPr>
          <w:rFonts w:cstheme="minorHAnsi"/>
        </w:rPr>
        <w:t xml:space="preserve">Projects (including one or more countermeasures) can be compared to determine priority for funding. Multiple factors influence prioritization of safety projects, including political factors, funding availability, and expected benefit. However, in order to establish a consistent measure for comparison between sites, a B/C ratio should be calculated, in accordance with the specifications outlined in Appendix </w:t>
      </w:r>
      <w:r w:rsidR="00314250">
        <w:rPr>
          <w:rFonts w:cstheme="minorHAnsi"/>
        </w:rPr>
        <w:t>A</w:t>
      </w:r>
      <w:r w:rsidRPr="00FE115D">
        <w:rPr>
          <w:rFonts w:cstheme="minorHAnsi"/>
        </w:rPr>
        <w:t>, “</w:t>
      </w:r>
      <w:r w:rsidR="00314250">
        <w:rPr>
          <w:rFonts w:cstheme="minorHAnsi"/>
        </w:rPr>
        <w:t>HSIP Project Application Processes and Worksheets (Rev Dec 18)</w:t>
      </w:r>
      <w:r w:rsidRPr="00FE115D">
        <w:rPr>
          <w:rFonts w:cstheme="minorHAnsi"/>
        </w:rPr>
        <w:t xml:space="preserve">,” in the </w:t>
      </w:r>
      <w:hyperlink r:id="rId1104" w:history="1">
        <w:r w:rsidRPr="00020D20">
          <w:rPr>
            <w:rStyle w:val="TitleChar"/>
          </w:rPr>
          <w:t>Arizona HSIP Manual</w:t>
        </w:r>
      </w:hyperlink>
      <w:r w:rsidRPr="00FE115D">
        <w:rPr>
          <w:rFonts w:cstheme="minorHAnsi"/>
        </w:rPr>
        <w:t>. The B/C ratio indicates those projects that are most likely to achieve the greatest reduction in crashes compared with the cost to implement. Once B/C ratios have been established for each project</w:t>
      </w:r>
      <w:r w:rsidR="00314250">
        <w:rPr>
          <w:rFonts w:cstheme="minorHAnsi"/>
        </w:rPr>
        <w:t xml:space="preserve"> and submitted to</w:t>
      </w:r>
      <w:r w:rsidR="00DE67BA">
        <w:rPr>
          <w:rFonts w:cstheme="minorHAnsi"/>
        </w:rPr>
        <w:t xml:space="preserve"> the</w:t>
      </w:r>
      <w:r w:rsidR="00314250">
        <w:rPr>
          <w:rFonts w:cstheme="minorHAnsi"/>
        </w:rPr>
        <w:t xml:space="preserve"> ADOT T</w:t>
      </w:r>
      <w:r w:rsidR="00DE67BA">
        <w:rPr>
          <w:rFonts w:cstheme="minorHAnsi"/>
        </w:rPr>
        <w:t xml:space="preserve">raffic </w:t>
      </w:r>
      <w:r w:rsidR="00314250">
        <w:rPr>
          <w:rFonts w:cstheme="minorHAnsi"/>
        </w:rPr>
        <w:t>S</w:t>
      </w:r>
      <w:r w:rsidR="00DE67BA">
        <w:rPr>
          <w:rFonts w:cstheme="minorHAnsi"/>
        </w:rPr>
        <w:t xml:space="preserve">afety </w:t>
      </w:r>
      <w:r w:rsidR="00314250">
        <w:rPr>
          <w:rFonts w:cstheme="minorHAnsi"/>
        </w:rPr>
        <w:t>S</w:t>
      </w:r>
      <w:r w:rsidR="00DE67BA">
        <w:rPr>
          <w:rFonts w:cstheme="minorHAnsi"/>
        </w:rPr>
        <w:t>ection</w:t>
      </w:r>
      <w:r w:rsidR="00314250">
        <w:rPr>
          <w:rFonts w:cstheme="minorHAnsi"/>
        </w:rPr>
        <w:t>, the projects will be prioritized by the B/C ratio</w:t>
      </w:r>
      <w:r w:rsidRPr="00FE115D">
        <w:rPr>
          <w:rFonts w:cstheme="minorHAnsi"/>
        </w:rPr>
        <w:t>.</w:t>
      </w:r>
    </w:p>
    <w:p w14:paraId="6FEF24E0" w14:textId="31547873" w:rsidR="00FE115D" w:rsidRPr="00FE115D" w:rsidRDefault="00FE115D" w:rsidP="00020D20">
      <w:pPr>
        <w:jc w:val="both"/>
        <w:rPr>
          <w:rFonts w:cstheme="minorHAnsi"/>
        </w:rPr>
      </w:pPr>
      <w:r w:rsidRPr="00FE115D">
        <w:rPr>
          <w:rFonts w:cstheme="minorHAnsi"/>
        </w:rPr>
        <w:t xml:space="preserve">CMFs have not been developed for many countermeasures, especially those that are innovative or include ITS improvements. Per the </w:t>
      </w:r>
      <w:hyperlink r:id="rId1105" w:history="1">
        <w:r w:rsidRPr="00020D20">
          <w:rPr>
            <w:rStyle w:val="TitleChar"/>
          </w:rPr>
          <w:t>FHWA HSIP Manual</w:t>
        </w:r>
      </w:hyperlink>
      <w:r w:rsidRPr="00FE115D">
        <w:rPr>
          <w:rFonts w:cstheme="minorHAnsi"/>
        </w:rPr>
        <w:t>, “It is important to recognize the potential limitations and vulnerabilities associated with CMFs. Engineering judgment should always be applied when using CMFs. Despite the potential weaknesses, valid CMFs are a key component of existing safety tools and resources used to prioritize safety programs” (2010, 3-15).</w:t>
      </w:r>
    </w:p>
    <w:p w14:paraId="4466A7C0" w14:textId="77777777" w:rsidR="00FE115D" w:rsidRPr="00FE115D" w:rsidRDefault="00FE115D" w:rsidP="00020D20">
      <w:pPr>
        <w:jc w:val="both"/>
        <w:rPr>
          <w:rFonts w:cstheme="minorHAnsi"/>
        </w:rPr>
      </w:pPr>
      <w:r w:rsidRPr="00FE115D">
        <w:rPr>
          <w:rFonts w:cstheme="minorHAnsi"/>
        </w:rPr>
        <w:t xml:space="preserve">A safety evaluation report should be prepared to document the evaluations and prioritization of projects. Regardless of whether a report is prepared for an individual project or for a group of projects, the report should reflect the content and organization provided in the report guidelines provided in Appendix C of the </w:t>
      </w:r>
      <w:r w:rsidRPr="00773930">
        <w:rPr>
          <w:rStyle w:val="Heading5Char"/>
        </w:rPr>
        <w:t>Arizona HSIP Manual</w:t>
      </w:r>
      <w:r w:rsidRPr="00FE115D">
        <w:rPr>
          <w:rFonts w:cstheme="minorHAnsi"/>
        </w:rPr>
        <w:t>.</w:t>
      </w:r>
    </w:p>
    <w:p w14:paraId="313E4CB0" w14:textId="77777777" w:rsidR="00FE115D" w:rsidRPr="00FE115D" w:rsidRDefault="00FE115D" w:rsidP="00020D20">
      <w:pPr>
        <w:pStyle w:val="Heading3"/>
        <w:jc w:val="both"/>
      </w:pPr>
      <w:bookmarkStart w:id="666" w:name="_Ref50048578"/>
      <w:r w:rsidRPr="00FE115D">
        <w:t>17.5.6 | Funding</w:t>
      </w:r>
      <w:bookmarkEnd w:id="666"/>
      <w:r w:rsidRPr="00FE115D">
        <w:t xml:space="preserve"> </w:t>
      </w:r>
    </w:p>
    <w:p w14:paraId="3E10D0E8" w14:textId="45308FF1" w:rsidR="00FE115D" w:rsidRPr="00FE115D" w:rsidRDefault="00DE67BA" w:rsidP="00020D20">
      <w:pPr>
        <w:jc w:val="both"/>
        <w:rPr>
          <w:rFonts w:cstheme="minorHAnsi"/>
        </w:rPr>
      </w:pPr>
      <w:r w:rsidRPr="00180586">
        <w:t>All projects</w:t>
      </w:r>
      <w:r w:rsidR="00022AB2">
        <w:t xml:space="preserve"> at the same funding levels</w:t>
      </w:r>
      <w:r w:rsidRPr="00180586">
        <w:t xml:space="preserve"> submitted by</w:t>
      </w:r>
      <w:r w:rsidR="00135240">
        <w:t xml:space="preserve"> LPA</w:t>
      </w:r>
      <w:r w:rsidR="00022AB2">
        <w:t>s</w:t>
      </w:r>
      <w:r w:rsidRPr="00180586">
        <w:t>, COG/MPOs</w:t>
      </w:r>
      <w:r>
        <w:t>, Tribes,</w:t>
      </w:r>
      <w:r w:rsidRPr="00180586">
        <w:t xml:space="preserve"> and State agencies will be selected with priority going to projects with highest benefit cost</w:t>
      </w:r>
      <w:r>
        <w:t xml:space="preserve"> (B/C)</w:t>
      </w:r>
      <w:r w:rsidRPr="00180586">
        <w:t xml:space="preserve"> ratios. In past years, the HSIP Program has been funded at approximately $40</w:t>
      </w:r>
      <w:r>
        <w:t xml:space="preserve"> million</w:t>
      </w:r>
      <w:r w:rsidRPr="00180586">
        <w:t xml:space="preserve">. </w:t>
      </w:r>
      <w:r>
        <w:t xml:space="preserve">During the same periods, </w:t>
      </w:r>
      <w:r w:rsidRPr="00180586">
        <w:t>HSIP eligible project applications have been submitted in si</w:t>
      </w:r>
      <w:r>
        <w:t>gnificantly greater amounts than available funds resulting in those projects with low B/C ratio scores fa</w:t>
      </w:r>
      <w:r w:rsidR="002762B7">
        <w:t>lling below the funding cut-off</w:t>
      </w:r>
      <w:r>
        <w:t>line. If a</w:t>
      </w:r>
      <w:r w:rsidR="00022AB2">
        <w:t>n eligible</w:t>
      </w:r>
      <w:r>
        <w:t xml:space="preserve"> project is </w:t>
      </w:r>
      <w:r w:rsidR="00022AB2">
        <w:t>recommended</w:t>
      </w:r>
      <w:r>
        <w:t xml:space="preserve"> for HSIP funding a letter will be issued to the agency by the HSIP Program Manager. A copy will be provided to the MPO or COG Transportation Planner in order for the project to be entered in their TIP.</w:t>
      </w:r>
    </w:p>
    <w:p w14:paraId="262B2D5F" w14:textId="77777777" w:rsidR="00FE115D" w:rsidRPr="00FE115D" w:rsidRDefault="00FE115D" w:rsidP="00020D20">
      <w:pPr>
        <w:pStyle w:val="Heading3"/>
        <w:jc w:val="both"/>
      </w:pPr>
      <w:bookmarkStart w:id="667" w:name="_Ref50048581"/>
      <w:r w:rsidRPr="00FE115D">
        <w:t>17.5.7 | Key Stakeholders</w:t>
      </w:r>
      <w:bookmarkEnd w:id="667"/>
    </w:p>
    <w:p w14:paraId="61786E3A" w14:textId="6A95A0C0" w:rsidR="00FE115D" w:rsidRPr="00FE115D" w:rsidRDefault="00FE115D" w:rsidP="00020D20">
      <w:pPr>
        <w:jc w:val="both"/>
        <w:rPr>
          <w:rFonts w:cstheme="minorHAnsi"/>
        </w:rPr>
      </w:pPr>
      <w:r w:rsidRPr="00FE115D">
        <w:rPr>
          <w:rFonts w:cstheme="minorHAnsi"/>
        </w:rPr>
        <w:t xml:space="preserve">In Arizona, the </w:t>
      </w:r>
      <w:r w:rsidR="00BC74F5">
        <w:rPr>
          <w:rFonts w:cstheme="minorHAnsi"/>
        </w:rPr>
        <w:t>STSP</w:t>
      </w:r>
      <w:r w:rsidRPr="00FE115D">
        <w:rPr>
          <w:rFonts w:cstheme="minorHAnsi"/>
        </w:rPr>
        <w:t xml:space="preserve"> was developed through collaborative efforts of </w:t>
      </w:r>
      <w:r w:rsidR="00DE67BA">
        <w:rPr>
          <w:rFonts w:cstheme="minorHAnsi"/>
        </w:rPr>
        <w:t xml:space="preserve">representatives from a range of local, </w:t>
      </w:r>
      <w:r w:rsidR="00022AB2">
        <w:rPr>
          <w:rFonts w:cstheme="minorHAnsi"/>
        </w:rPr>
        <w:t xml:space="preserve">regional, </w:t>
      </w:r>
      <w:r w:rsidR="00DE67BA">
        <w:rPr>
          <w:rFonts w:cstheme="minorHAnsi"/>
        </w:rPr>
        <w:t>state, and national organizations</w:t>
      </w:r>
      <w:r w:rsidR="007A15BB">
        <w:rPr>
          <w:rFonts w:cstheme="minorHAnsi"/>
        </w:rPr>
        <w:t>.</w:t>
      </w:r>
      <w:r w:rsidRPr="00FE115D">
        <w:rPr>
          <w:rFonts w:cstheme="minorHAnsi"/>
        </w:rPr>
        <w:t xml:space="preserve"> The</w:t>
      </w:r>
      <w:r w:rsidR="007A15BB">
        <w:rPr>
          <w:rFonts w:cstheme="minorHAnsi"/>
        </w:rPr>
        <w:t xml:space="preserve">ir collective interest is </w:t>
      </w:r>
      <w:r w:rsidRPr="00FE115D">
        <w:rPr>
          <w:rFonts w:cstheme="minorHAnsi"/>
        </w:rPr>
        <w:t>in reducing crash frequency through the “4 E’s” (engineering, education, enforcement, and emergency response). Examples of the range of groups involved are law enforcement, transportation engineering and planning agencies, education-based organizations (</w:t>
      </w:r>
      <w:r w:rsidRPr="00773930">
        <w:rPr>
          <w:rStyle w:val="Heading5Char"/>
        </w:rPr>
        <w:t>Driver and Safety Education Association</w:t>
      </w:r>
      <w:r w:rsidRPr="00FE115D">
        <w:rPr>
          <w:rFonts w:cstheme="minorHAnsi"/>
        </w:rPr>
        <w:t>), safety-focused groups (</w:t>
      </w:r>
      <w:r w:rsidRPr="00773930">
        <w:rPr>
          <w:rStyle w:val="Heading5Char"/>
        </w:rPr>
        <w:t>Safe Kids Coalition, National Safety Council, Department of Public Safety, etc.</w:t>
      </w:r>
      <w:r w:rsidRPr="00FE115D">
        <w:rPr>
          <w:rFonts w:cstheme="minorHAnsi"/>
        </w:rPr>
        <w:t>), and local advocacy groups.</w:t>
      </w:r>
    </w:p>
    <w:p w14:paraId="6429834E" w14:textId="26ED30C6" w:rsidR="00FE115D" w:rsidRPr="00FE115D" w:rsidRDefault="00FE115D" w:rsidP="00020D20">
      <w:pPr>
        <w:jc w:val="both"/>
        <w:rPr>
          <w:rFonts w:cstheme="minorHAnsi"/>
        </w:rPr>
      </w:pPr>
      <w:r w:rsidRPr="00FE115D">
        <w:rPr>
          <w:rFonts w:cstheme="minorHAnsi"/>
        </w:rPr>
        <w:t xml:space="preserve">The </w:t>
      </w:r>
      <w:hyperlink r:id="rId1106" w:history="1">
        <w:r w:rsidRPr="00773930">
          <w:rPr>
            <w:rStyle w:val="TitleChar"/>
          </w:rPr>
          <w:t>Arizona Governor’s Office of Highway Safety</w:t>
        </w:r>
      </w:hyperlink>
      <w:r w:rsidRPr="00FE115D">
        <w:rPr>
          <w:rFonts w:cstheme="minorHAnsi"/>
        </w:rPr>
        <w:t xml:space="preserve"> (GOHS) has pursued and supported legislative initiatives on numerous highway safety issues in conjunction with the Governor’s Office. </w:t>
      </w:r>
    </w:p>
    <w:p w14:paraId="12829374" w14:textId="2ED2A5E1" w:rsidR="005F4E49" w:rsidRDefault="00FE115D" w:rsidP="00020D20">
      <w:pPr>
        <w:jc w:val="both"/>
        <w:rPr>
          <w:rFonts w:cstheme="minorHAnsi"/>
        </w:rPr>
      </w:pPr>
      <w:r w:rsidRPr="00FE115D">
        <w:rPr>
          <w:rFonts w:cstheme="minorHAnsi"/>
        </w:rPr>
        <w:t>ADOT’s</w:t>
      </w:r>
      <w:r>
        <w:rPr>
          <w:rFonts w:cstheme="minorHAnsi"/>
        </w:rPr>
        <w:t xml:space="preserve"> </w:t>
      </w:r>
      <w:r w:rsidR="00DE67BA">
        <w:rPr>
          <w:rFonts w:cstheme="minorHAnsi"/>
        </w:rPr>
        <w:t>Traffic Safety Section</w:t>
      </w:r>
      <w:r>
        <w:rPr>
          <w:rFonts w:cstheme="minorHAnsi"/>
        </w:rPr>
        <w:t xml:space="preserve"> manages the HSIP. </w:t>
      </w:r>
    </w:p>
    <w:p w14:paraId="3E0E5C97" w14:textId="77777777" w:rsidR="00FF51A4" w:rsidRDefault="00FF51A4" w:rsidP="00020D20">
      <w:pPr>
        <w:jc w:val="both"/>
        <w:rPr>
          <w:rFonts w:cstheme="minorHAnsi"/>
        </w:rPr>
        <w:sectPr w:rsidR="00FF51A4" w:rsidSect="00020D20">
          <w:type w:val="continuous"/>
          <w:pgSz w:w="12240" w:h="15840"/>
          <w:pgMar w:top="1440" w:right="1440" w:bottom="1440" w:left="1440" w:header="720" w:footer="720" w:gutter="0"/>
          <w:pgNumType w:chapStyle="1"/>
          <w:cols w:num="2" w:space="720"/>
          <w:docGrid w:linePitch="360"/>
        </w:sectPr>
      </w:pPr>
    </w:p>
    <w:p w14:paraId="76F91441" w14:textId="23603CEF" w:rsidR="00FF51A4" w:rsidRDefault="00FF51A4" w:rsidP="00020D20">
      <w:pPr>
        <w:jc w:val="both"/>
        <w:rPr>
          <w:rFonts w:cstheme="minorHAnsi"/>
        </w:rPr>
        <w:sectPr w:rsidR="00FF51A4" w:rsidSect="008E695B">
          <w:type w:val="continuous"/>
          <w:pgSz w:w="12240" w:h="15840"/>
          <w:pgMar w:top="1440" w:right="1440" w:bottom="1440" w:left="1440" w:header="720" w:footer="720" w:gutter="0"/>
          <w:cols w:space="720"/>
          <w:docGrid w:linePitch="360"/>
        </w:sectPr>
      </w:pPr>
    </w:p>
    <w:p w14:paraId="71497714" w14:textId="62328233" w:rsidR="003C2DDF" w:rsidRDefault="00D72607" w:rsidP="00020D20">
      <w:pPr>
        <w:pStyle w:val="BodyTextTitle"/>
        <w:spacing w:before="0" w:after="0" w:line="240" w:lineRule="auto"/>
        <w:jc w:val="both"/>
      </w:pPr>
      <w:bookmarkStart w:id="668" w:name="_Ref50049756"/>
      <w:bookmarkStart w:id="669" w:name="_Toc49862250"/>
      <w:bookmarkStart w:id="670" w:name="_Toc49870644"/>
      <w:r>
        <w:t>17.6</w:t>
      </w:r>
      <w:r w:rsidR="007A4D92">
        <w:t xml:space="preserve"> </w:t>
      </w:r>
      <w:r>
        <w:t>|</w:t>
      </w:r>
      <w:r w:rsidR="00757A76">
        <w:t xml:space="preserve"> TRIBAL PLANNING</w:t>
      </w:r>
    </w:p>
    <w:p w14:paraId="627A3994" w14:textId="46B9DA16" w:rsidR="00D72607" w:rsidRPr="00020D20" w:rsidRDefault="00757A76" w:rsidP="00020D20">
      <w:pPr>
        <w:pStyle w:val="BodyTextTitle"/>
        <w:spacing w:before="0" w:line="240" w:lineRule="auto"/>
        <w:jc w:val="both"/>
        <w:rPr>
          <w:sz w:val="36"/>
        </w:rPr>
      </w:pPr>
      <w:r w:rsidRPr="00020D20">
        <w:rPr>
          <w:sz w:val="36"/>
        </w:rPr>
        <w:t>TABLE OF CONTENTS</w:t>
      </w:r>
      <w:bookmarkEnd w:id="668"/>
    </w:p>
    <w:p w14:paraId="77F98276" w14:textId="1B065AD4" w:rsidR="00D72607"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_Ref50049867 \h </w:instrText>
      </w:r>
      <w:r w:rsidR="002D38FC">
        <w:instrText xml:space="preserve"> \* MERGEFORMAT </w:instrText>
      </w:r>
      <w:r>
        <w:fldChar w:fldCharType="separate"/>
      </w:r>
      <w:r w:rsidR="00A7031E">
        <w:t xml:space="preserve">17.6.1 | </w:t>
      </w:r>
      <w:r w:rsidRPr="00420795">
        <w:t>Introduction</w:t>
      </w:r>
      <w:r>
        <w:fldChar w:fldCharType="end"/>
      </w:r>
    </w:p>
    <w:p w14:paraId="7F14EF70" w14:textId="5DD73CFF"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_Ref50049870 \h </w:instrText>
      </w:r>
      <w:r w:rsidR="002D38FC">
        <w:instrText xml:space="preserve"> \* MERGEFORMAT </w:instrText>
      </w:r>
      <w:r>
        <w:fldChar w:fldCharType="separate"/>
      </w:r>
      <w:r w:rsidR="00A7031E">
        <w:t xml:space="preserve">17.6.2 | </w:t>
      </w:r>
      <w:r w:rsidRPr="00420795">
        <w:t>Authority</w:t>
      </w:r>
      <w:r>
        <w:fldChar w:fldCharType="end"/>
      </w:r>
    </w:p>
    <w:p w14:paraId="43F85E84" w14:textId="254BF581"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_Ref50049873 \h </w:instrText>
      </w:r>
      <w:r w:rsidR="002D38FC">
        <w:instrText xml:space="preserve"> \* MERGEFORMAT </w:instrText>
      </w:r>
      <w:r>
        <w:fldChar w:fldCharType="separate"/>
      </w:r>
      <w:r w:rsidR="00A7031E">
        <w:t xml:space="preserve">17.6.3 | </w:t>
      </w:r>
      <w:r w:rsidRPr="00420795">
        <w:t>Scope</w:t>
      </w:r>
      <w:r>
        <w:fldChar w:fldCharType="end"/>
      </w:r>
    </w:p>
    <w:p w14:paraId="24194B8D" w14:textId="6E161ACB"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_Ref50049882 \h </w:instrText>
      </w:r>
      <w:r w:rsidR="002D38FC">
        <w:instrText xml:space="preserve"> \* MERGEFORMAT </w:instrText>
      </w:r>
      <w:r>
        <w:fldChar w:fldCharType="separate"/>
      </w:r>
      <w:r w:rsidR="00A7031E">
        <w:t xml:space="preserve">17.6.4 | </w:t>
      </w:r>
      <w:r w:rsidRPr="002A3601">
        <w:t>Tribes in Arizona</w:t>
      </w:r>
      <w:r>
        <w:fldChar w:fldCharType="end"/>
      </w:r>
    </w:p>
    <w:p w14:paraId="45733F4D" w14:textId="610EE225"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_Ref50049886 \h </w:instrText>
      </w:r>
      <w:r w:rsidR="002D38FC">
        <w:instrText xml:space="preserve"> \* MERGEFORMAT </w:instrText>
      </w:r>
      <w:r>
        <w:fldChar w:fldCharType="separate"/>
      </w:r>
      <w:r w:rsidR="00A7031E">
        <w:t xml:space="preserve">17.6.5 | </w:t>
      </w:r>
      <w:r w:rsidRPr="002A3601">
        <w:t>Public Involvement</w:t>
      </w:r>
      <w:r>
        <w:fldChar w:fldCharType="end"/>
      </w:r>
    </w:p>
    <w:p w14:paraId="651F65E3" w14:textId="13067DC9"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_Ref50049890 \h </w:instrText>
      </w:r>
      <w:r w:rsidR="002D38FC">
        <w:instrText xml:space="preserve"> \* MERGEFORMAT </w:instrText>
      </w:r>
      <w:r>
        <w:fldChar w:fldCharType="separate"/>
      </w:r>
      <w:r w:rsidR="00A7031E">
        <w:t xml:space="preserve">17.6.6 | </w:t>
      </w:r>
      <w:r w:rsidRPr="002A3601">
        <w:t>Consultation with Tribes</w:t>
      </w:r>
      <w:r>
        <w:fldChar w:fldCharType="end"/>
      </w:r>
    </w:p>
    <w:p w14:paraId="13974C2F" w14:textId="7B144169"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_Ref50049997 \h </w:instrText>
      </w:r>
      <w:r w:rsidR="002D38FC">
        <w:instrText xml:space="preserve"> \* MERGEFORMAT </w:instrText>
      </w:r>
      <w:r>
        <w:fldChar w:fldCharType="separate"/>
      </w:r>
      <w:r w:rsidRPr="002A3601">
        <w:t>ADOT Tribal Consultation Actions</w:t>
      </w:r>
      <w:r>
        <w:fldChar w:fldCharType="end"/>
      </w:r>
    </w:p>
    <w:p w14:paraId="5F91A82F" w14:textId="531E5E97"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_Ref50050009 \h </w:instrText>
      </w:r>
      <w:r w:rsidR="002D38FC">
        <w:instrText xml:space="preserve"> \* MERGEFORMAT </w:instrText>
      </w:r>
      <w:r>
        <w:fldChar w:fldCharType="separate"/>
      </w:r>
      <w:r w:rsidRPr="00CC6D9B">
        <w:t>Statewide &amp; Regional Tribal Consultation, Cooperation, &amp; Coordination</w:t>
      </w:r>
      <w:r>
        <w:fldChar w:fldCharType="end"/>
      </w:r>
    </w:p>
    <w:p w14:paraId="43636C68" w14:textId="4F1FB407"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_Ref50050013 \h </w:instrText>
      </w:r>
      <w:r w:rsidR="002D38FC">
        <w:instrText xml:space="preserve"> \* MERGEFORMAT </w:instrText>
      </w:r>
      <w:r>
        <w:fldChar w:fldCharType="separate"/>
      </w:r>
      <w:r w:rsidRPr="00CC6D9B">
        <w:t>MPO &amp; COG Consultation with Tribes</w:t>
      </w:r>
      <w:r>
        <w:fldChar w:fldCharType="end"/>
      </w:r>
    </w:p>
    <w:p w14:paraId="57C14F4A" w14:textId="0E4A3CF9"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_Ref50049903 \h </w:instrText>
      </w:r>
      <w:r w:rsidR="002D38FC">
        <w:instrText xml:space="preserve"> \* MERGEFORMAT </w:instrText>
      </w:r>
      <w:r>
        <w:fldChar w:fldCharType="separate"/>
      </w:r>
      <w:r w:rsidRPr="00CC6D9B">
        <w:t>17.6</w:t>
      </w:r>
      <w:r w:rsidR="00A7031E">
        <w:t xml:space="preserve">.7 | </w:t>
      </w:r>
      <w:r w:rsidRPr="00CC6D9B">
        <w:t>ADOT Transportation Planning</w:t>
      </w:r>
      <w:r>
        <w:fldChar w:fldCharType="end"/>
      </w:r>
    </w:p>
    <w:p w14:paraId="729DA3D2" w14:textId="5111DA6C" w:rsidR="00757A76" w:rsidRDefault="00757A76"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_Ref50049907 \h </w:instrText>
      </w:r>
      <w:r w:rsidR="002D38FC">
        <w:instrText xml:space="preserve"> \* MERGEFORMAT </w:instrText>
      </w:r>
      <w:r>
        <w:fldChar w:fldCharType="separate"/>
      </w:r>
      <w:r w:rsidR="00A7031E">
        <w:t xml:space="preserve">17.6.8 | </w:t>
      </w:r>
      <w:r w:rsidRPr="00CC6D9B">
        <w:t>Federal Transportation Funding Sources</w:t>
      </w:r>
      <w:r>
        <w:fldChar w:fldCharType="end"/>
      </w:r>
    </w:p>
    <w:p w14:paraId="0C9A53EB" w14:textId="6731AE53" w:rsidR="00D72607" w:rsidRDefault="00D72607"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bookmarkStart w:id="671" w:name="_Toc50540250"/>
    <w:p w14:paraId="64A10510" w14:textId="5F08FF8D" w:rsidR="00420795" w:rsidRPr="00420795" w:rsidRDefault="00E20CE1" w:rsidP="00020D20">
      <w:pPr>
        <w:pStyle w:val="Chapter17Heading"/>
      </w:pPr>
      <w:r>
        <w:rPr>
          <w:noProof/>
        </w:rPr>
        <mc:AlternateContent>
          <mc:Choice Requires="wps">
            <w:drawing>
              <wp:anchor distT="0" distB="0" distL="114300" distR="114300" simplePos="0" relativeHeight="251618409" behindDoc="1" locked="0" layoutInCell="1" allowOverlap="1" wp14:anchorId="1915A284" wp14:editId="5F02263C">
                <wp:simplePos x="0" y="0"/>
                <wp:positionH relativeFrom="column">
                  <wp:posOffset>4572000</wp:posOffset>
                </wp:positionH>
                <wp:positionV relativeFrom="paragraph">
                  <wp:posOffset>1917065</wp:posOffset>
                </wp:positionV>
                <wp:extent cx="1371600" cy="1259205"/>
                <wp:effectExtent l="95250" t="76200" r="95250" b="74295"/>
                <wp:wrapTight wrapText="bothSides">
                  <wp:wrapPolygon edited="0">
                    <wp:start x="-900" y="-1307"/>
                    <wp:lineTo x="-1500" y="-980"/>
                    <wp:lineTo x="-1200" y="22548"/>
                    <wp:lineTo x="22500" y="22548"/>
                    <wp:lineTo x="22800" y="4248"/>
                    <wp:lineTo x="22200" y="-654"/>
                    <wp:lineTo x="22200" y="-1307"/>
                    <wp:lineTo x="-900" y="-1307"/>
                  </wp:wrapPolygon>
                </wp:wrapTight>
                <wp:docPr id="816286290" name="Text Box 816286290"/>
                <wp:cNvGraphicFramePr/>
                <a:graphic xmlns:a="http://schemas.openxmlformats.org/drawingml/2006/main">
                  <a:graphicData uri="http://schemas.microsoft.com/office/word/2010/wordprocessingShape">
                    <wps:wsp>
                      <wps:cNvSpPr txBox="1"/>
                      <wps:spPr>
                        <a:xfrm>
                          <a:off x="0" y="0"/>
                          <a:ext cx="1371600" cy="12592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C7FBA75" w14:textId="77777777" w:rsidR="00C6444C" w:rsidRDefault="00C6444C" w:rsidP="00020D20">
                            <w:pPr>
                              <w:jc w:val="center"/>
                            </w:pPr>
                            <w:r>
                              <w:rPr>
                                <w:noProof/>
                              </w:rPr>
                              <w:drawing>
                                <wp:inline distT="0" distB="0" distL="0" distR="0" wp14:anchorId="711056CF" wp14:editId="3908984C">
                                  <wp:extent cx="457200" cy="457200"/>
                                  <wp:effectExtent l="0" t="0" r="0" b="0"/>
                                  <wp:docPr id="1690911422" name="Picture 169091142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686968" w14:textId="29CFF319" w:rsidR="00C6444C" w:rsidRPr="00954116" w:rsidRDefault="00C6444C" w:rsidP="00020D20">
                            <w:pPr>
                              <w:pStyle w:val="Calloutboxes"/>
                            </w:pPr>
                            <w:r w:rsidRPr="00394A74">
                              <w:t>Arizona Tribal Transportation website:</w:t>
                            </w:r>
                          </w:p>
                          <w:p w14:paraId="712C2C5A" w14:textId="14BEA685" w:rsidR="00C6444C" w:rsidRPr="00020D20" w:rsidRDefault="00202C92">
                            <w:pPr>
                              <w:pStyle w:val="Title"/>
                              <w:rPr>
                                <w:sz w:val="16"/>
                              </w:rPr>
                            </w:pPr>
                            <w:hyperlink r:id="rId1107" w:history="1">
                              <w:r w:rsidR="00C6444C" w:rsidRPr="00020D20">
                                <w:rPr>
                                  <w:rStyle w:val="Hyperlink"/>
                                  <w:rFonts w:ascii="Calibri" w:hAnsi="Calibri" w:cstheme="majorBidi"/>
                                  <w:i/>
                                  <w:iCs w:val="0"/>
                                  <w:color w:val="CE5B18"/>
                                  <w:szCs w:val="56"/>
                                  <w:u w:val="none"/>
                                </w:rPr>
                                <w:t>http://www.aztribaltransportation.org/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15A284" id="Text Box 816286290" o:spid="_x0000_s1280" type="#_x0000_t202" style="position:absolute;left:0;text-align:left;margin-left:5in;margin-top:150.95pt;width:108pt;height:99.15pt;z-index:-251698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" fillcolor="#f7f7f7" stroked="f" strokeweight=".5pt">
                <v:shadow on="t" type="perspective" color="black" opacity="26214f" offset="0,0" matrix="66847f,,,66847f"/>
                <v:textbox>
                  <w:txbxContent>
                    <w:p w14:paraId="1C7FBA75" w14:textId="77777777" w:rsidR="00C6444C" w:rsidRDefault="00C6444C" w:rsidP="00020D20">
                      <w:pPr>
                        <w:jc w:val="center"/>
                      </w:pPr>
                      <w:r>
                        <w:rPr>
                          <w:noProof/>
                        </w:rPr>
                        <w:drawing>
                          <wp:inline distT="0" distB="0" distL="0" distR="0" wp14:anchorId="711056CF" wp14:editId="3908984C">
                            <wp:extent cx="457200" cy="457200"/>
                            <wp:effectExtent l="0" t="0" r="0" b="0"/>
                            <wp:docPr id="1690911422" name="Picture 169091142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686968" w14:textId="29CFF319" w:rsidR="00C6444C" w:rsidRPr="00954116" w:rsidRDefault="00C6444C" w:rsidP="00020D20">
                      <w:pPr>
                        <w:pStyle w:val="Calloutboxes"/>
                      </w:pPr>
                      <w:r w:rsidRPr="00394A74">
                        <w:t>Arizona Tribal Transportation website:</w:t>
                      </w:r>
                    </w:p>
                    <w:p w14:paraId="712C2C5A" w14:textId="14BEA685" w:rsidR="00C6444C" w:rsidRPr="00020D20" w:rsidRDefault="00C6444C">
                      <w:pPr>
                        <w:pStyle w:val="Title"/>
                        <w:rPr>
                          <w:sz w:val="16"/>
                        </w:rPr>
                      </w:pPr>
                      <w:hyperlink r:id="rId1108" w:history="1">
                        <w:r w:rsidRPr="00020D20">
                          <w:rPr>
                            <w:rStyle w:val="Hyperlink"/>
                            <w:rFonts w:ascii="Calibri" w:hAnsi="Calibri" w:cstheme="majorBidi"/>
                            <w:i/>
                            <w:iCs w:val="0"/>
                            <w:color w:val="CE5B18"/>
                            <w:szCs w:val="56"/>
                            <w:u w:val="none"/>
                          </w:rPr>
                          <w:t>http://www.aztribaltransportation.org/</w:t>
                        </w:r>
                      </w:hyperlink>
                    </w:p>
                  </w:txbxContent>
                </v:textbox>
                <w10:wrap type="tight"/>
              </v:shape>
            </w:pict>
          </mc:Fallback>
        </mc:AlternateContent>
      </w:r>
      <w:r w:rsidR="00D1450C">
        <w:rPr>
          <w:noProof/>
        </w:rPr>
        <mc:AlternateContent>
          <mc:Choice Requires="wps">
            <w:drawing>
              <wp:anchor distT="0" distB="0" distL="114300" distR="114300" simplePos="0" relativeHeight="251618408" behindDoc="1" locked="0" layoutInCell="1" allowOverlap="1" wp14:anchorId="4F0F9F8A" wp14:editId="7081B8F7">
                <wp:simplePos x="0" y="0"/>
                <wp:positionH relativeFrom="column">
                  <wp:posOffset>4572000</wp:posOffset>
                </wp:positionH>
                <wp:positionV relativeFrom="paragraph">
                  <wp:posOffset>96520</wp:posOffset>
                </wp:positionV>
                <wp:extent cx="1371600" cy="1708150"/>
                <wp:effectExtent l="76200" t="95250" r="76200" b="101600"/>
                <wp:wrapTight wrapText="bothSides">
                  <wp:wrapPolygon edited="0">
                    <wp:start x="-1200" y="-1204"/>
                    <wp:lineTo x="-1200" y="22644"/>
                    <wp:lineTo x="22500" y="22644"/>
                    <wp:lineTo x="22500" y="-1204"/>
                    <wp:lineTo x="-1200" y="-1204"/>
                  </wp:wrapPolygon>
                </wp:wrapTight>
                <wp:docPr id="816286288" name="Text Box 816286288"/>
                <wp:cNvGraphicFramePr/>
                <a:graphic xmlns:a="http://schemas.openxmlformats.org/drawingml/2006/main">
                  <a:graphicData uri="http://schemas.microsoft.com/office/word/2010/wordprocessingShape">
                    <wps:wsp>
                      <wps:cNvSpPr txBox="1"/>
                      <wps:spPr>
                        <a:xfrm>
                          <a:off x="0" y="0"/>
                          <a:ext cx="1371600" cy="17081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91770D9" w14:textId="77777777" w:rsidR="00C6444C" w:rsidRDefault="00C6444C" w:rsidP="00020D20">
                            <w:pPr>
                              <w:jc w:val="center"/>
                            </w:pPr>
                            <w:r>
                              <w:rPr>
                                <w:noProof/>
                              </w:rPr>
                              <w:drawing>
                                <wp:inline distT="0" distB="0" distL="0" distR="0" wp14:anchorId="73F741FD" wp14:editId="7916C5F9">
                                  <wp:extent cx="457200" cy="457200"/>
                                  <wp:effectExtent l="0" t="0" r="0" b="0"/>
                                  <wp:docPr id="1690911423" name="Picture 169091142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14ED77C" w14:textId="07C9C7C7" w:rsidR="00C6444C" w:rsidRPr="00954116" w:rsidRDefault="00C6444C" w:rsidP="00020D20">
                            <w:pPr>
                              <w:pStyle w:val="Calloutboxes"/>
                            </w:pPr>
                            <w:r w:rsidRPr="00394A74">
                              <w:t>ADOT Transportation Planning and Programming Guidebook for Tribal Governments:</w:t>
                            </w:r>
                          </w:p>
                          <w:p w14:paraId="49AF0B3B" w14:textId="7A2CD0EE" w:rsidR="00C6444C" w:rsidRPr="00020D20" w:rsidRDefault="00202C92">
                            <w:pPr>
                              <w:pStyle w:val="Title"/>
                              <w:rPr>
                                <w:sz w:val="16"/>
                              </w:rPr>
                            </w:pPr>
                            <w:hyperlink r:id="rId1109" w:history="1">
                              <w:r w:rsidR="00C6444C" w:rsidRPr="00020D20">
                                <w:rPr>
                                  <w:rStyle w:val="Hyperlink"/>
                                  <w:rFonts w:ascii="Calibri" w:hAnsi="Calibri" w:cstheme="majorBidi"/>
                                  <w:i/>
                                  <w:iCs w:val="0"/>
                                  <w:color w:val="CE5B18"/>
                                  <w:szCs w:val="56"/>
                                  <w:u w:val="none"/>
                                </w:rPr>
                                <w:t>http://www.aztribaltransportation.org/PDF/Transportation_Planning_Programming_Gdbk_Tribal_Govts.pdf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0F9F8A" id="Text Box 816286288" o:spid="_x0000_s1281" type="#_x0000_t202" style="position:absolute;left:0;text-align:left;margin-left:5in;margin-top:7.6pt;width:108pt;height:134.5pt;z-index:-251698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" fillcolor="#f7f7f7" stroked="f" strokeweight=".5pt">
                <v:shadow on="t" type="perspective" color="black" opacity="26214f" offset="0,0" matrix="66847f,,,66847f"/>
                <v:textbox>
                  <w:txbxContent>
                    <w:p w14:paraId="091770D9" w14:textId="77777777" w:rsidR="00C6444C" w:rsidRDefault="00C6444C" w:rsidP="00020D20">
                      <w:pPr>
                        <w:jc w:val="center"/>
                      </w:pPr>
                      <w:r>
                        <w:rPr>
                          <w:noProof/>
                        </w:rPr>
                        <w:drawing>
                          <wp:inline distT="0" distB="0" distL="0" distR="0" wp14:anchorId="73F741FD" wp14:editId="7916C5F9">
                            <wp:extent cx="457200" cy="457200"/>
                            <wp:effectExtent l="0" t="0" r="0" b="0"/>
                            <wp:docPr id="1690911423" name="Picture 169091142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14ED77C" w14:textId="07C9C7C7" w:rsidR="00C6444C" w:rsidRPr="00954116" w:rsidRDefault="00C6444C" w:rsidP="00020D20">
                      <w:pPr>
                        <w:pStyle w:val="Calloutboxes"/>
                      </w:pPr>
                      <w:r w:rsidRPr="00394A74">
                        <w:t>ADOT Transportation Planning and Programming Guidebook for Tribal Governments:</w:t>
                      </w:r>
                    </w:p>
                    <w:p w14:paraId="49AF0B3B" w14:textId="7A2CD0EE" w:rsidR="00C6444C" w:rsidRPr="00020D20" w:rsidRDefault="00C6444C">
                      <w:pPr>
                        <w:pStyle w:val="Title"/>
                        <w:rPr>
                          <w:sz w:val="16"/>
                        </w:rPr>
                      </w:pPr>
                      <w:hyperlink r:id="rId1110" w:history="1">
                        <w:r w:rsidRPr="00020D20">
                          <w:rPr>
                            <w:rStyle w:val="Hyperlink"/>
                            <w:rFonts w:ascii="Calibri" w:hAnsi="Calibri" w:cstheme="majorBidi"/>
                            <w:i/>
                            <w:iCs w:val="0"/>
                            <w:color w:val="CE5B18"/>
                            <w:szCs w:val="56"/>
                            <w:u w:val="none"/>
                          </w:rPr>
                          <w:t>http://www.aztribaltransportation.org/PDF/Transportation_Planning_Programming_Gdbk_Tribal_Govts.pdf</w:t>
                        </w:r>
                      </w:hyperlink>
                    </w:p>
                  </w:txbxContent>
                </v:textbox>
                <w10:wrap type="tight"/>
              </v:shape>
            </w:pict>
          </mc:Fallback>
        </mc:AlternateContent>
      </w:r>
      <w:r w:rsidR="007A4D92">
        <w:t xml:space="preserve">17.6 </w:t>
      </w:r>
      <w:r w:rsidR="00420795" w:rsidRPr="00420795">
        <w:t>|</w:t>
      </w:r>
      <w:r w:rsidR="000E518A">
        <w:t xml:space="preserve"> </w:t>
      </w:r>
      <w:r w:rsidR="00420795" w:rsidRPr="00420795">
        <w:t>Tribal Planning</w:t>
      </w:r>
      <w:bookmarkEnd w:id="669"/>
      <w:bookmarkEnd w:id="670"/>
      <w:bookmarkEnd w:id="671"/>
    </w:p>
    <w:p w14:paraId="52C6E83D" w14:textId="77777777" w:rsidR="00FF51A4" w:rsidRDefault="00FF51A4" w:rsidP="00020D20">
      <w:pPr>
        <w:pStyle w:val="SectionHeadersADOTText"/>
        <w:jc w:val="both"/>
        <w:sectPr w:rsidR="00FF51A4" w:rsidSect="00020D20">
          <w:pgSz w:w="12240" w:h="15840"/>
          <w:pgMar w:top="1440" w:right="1440" w:bottom="1440" w:left="1440" w:header="720" w:footer="720" w:gutter="0"/>
          <w:pgNumType w:chapStyle="1"/>
          <w:cols w:space="720"/>
          <w:docGrid w:linePitch="360"/>
        </w:sectPr>
      </w:pPr>
    </w:p>
    <w:p w14:paraId="08E46D87" w14:textId="0DF38877" w:rsidR="00420795" w:rsidRPr="00420795" w:rsidRDefault="00420795" w:rsidP="00020D20">
      <w:pPr>
        <w:pStyle w:val="Heading3"/>
        <w:jc w:val="both"/>
      </w:pPr>
      <w:bookmarkStart w:id="672" w:name="_Ref50049867"/>
      <w:r w:rsidRPr="00420795">
        <w:t>17.6.1 | Introduction</w:t>
      </w:r>
      <w:bookmarkEnd w:id="672"/>
    </w:p>
    <w:p w14:paraId="3E4A8CEA" w14:textId="77777777" w:rsidR="00420795" w:rsidRPr="00420795" w:rsidRDefault="00420795" w:rsidP="00020D20">
      <w:pPr>
        <w:jc w:val="both"/>
      </w:pPr>
      <w:r w:rsidRPr="00420795">
        <w:t xml:space="preserve">Arizona MPOs and COGs should encourage Tribal Governments to participate in regional planning activities. This chapter serves as a reference for working with tribal governments and tribal planning departments. It explains MPO and COG roles in transportation planning and programming for tribal lands within the state of Arizona. </w:t>
      </w:r>
    </w:p>
    <w:p w14:paraId="4D0CC1AD" w14:textId="64F989EE" w:rsidR="00420795" w:rsidRPr="00420795" w:rsidRDefault="00420795" w:rsidP="00020D20">
      <w:pPr>
        <w:jc w:val="both"/>
      </w:pPr>
      <w:r w:rsidRPr="00420795">
        <w:t xml:space="preserve">Tribal Governments play a vital role in the transportation system statewide as approximately </w:t>
      </w:r>
      <w:r w:rsidR="00DB6D77">
        <w:t>18</w:t>
      </w:r>
      <w:r w:rsidRPr="00420795">
        <w:t xml:space="preserve">% of state highways cross tribal lands. Tribal sovereignty is recognized by ADOT and continuous communication regarding transportation issues is encouraged and welcome. </w:t>
      </w:r>
    </w:p>
    <w:p w14:paraId="7D6EED6D" w14:textId="542D640C" w:rsidR="00420795" w:rsidRPr="00420795" w:rsidRDefault="00420795" w:rsidP="00020D20">
      <w:pPr>
        <w:ind w:left="180"/>
        <w:jc w:val="both"/>
      </w:pPr>
      <w:r w:rsidRPr="00420795">
        <w:t>- </w:t>
      </w:r>
      <w:hyperlink r:id="rId1111" w:history="1">
        <w:r w:rsidRPr="003E59FA">
          <w:rPr>
            <w:rStyle w:val="TitleChar"/>
          </w:rPr>
          <w:t>ADOT</w:t>
        </w:r>
        <w:r w:rsidR="00DB6D77">
          <w:rPr>
            <w:rStyle w:val="TitleChar"/>
          </w:rPr>
          <w:t xml:space="preserve"> Tribal</w:t>
        </w:r>
        <w:r w:rsidRPr="003E59FA">
          <w:rPr>
            <w:rStyle w:val="TitleChar"/>
          </w:rPr>
          <w:t xml:space="preserve"> Transportation</w:t>
        </w:r>
        <w:r w:rsidR="00DB6D77">
          <w:rPr>
            <w:rStyle w:val="TitleChar"/>
          </w:rPr>
          <w:t xml:space="preserve"> </w:t>
        </w:r>
        <w:r w:rsidR="000B6707">
          <w:rPr>
            <w:rStyle w:val="TitleChar"/>
          </w:rPr>
          <w:t>Planning and Programming Guidebook for Tribal Governments</w:t>
        </w:r>
      </w:hyperlink>
    </w:p>
    <w:p w14:paraId="239757CD" w14:textId="77777777" w:rsidR="00420795" w:rsidRPr="00420795" w:rsidRDefault="00420795" w:rsidP="00020D20">
      <w:pPr>
        <w:pStyle w:val="Heading3"/>
        <w:jc w:val="both"/>
      </w:pPr>
      <w:bookmarkStart w:id="673" w:name="_Ref50049870"/>
      <w:r w:rsidRPr="00420795">
        <w:t>17.6.2 | Authority</w:t>
      </w:r>
      <w:bookmarkEnd w:id="673"/>
    </w:p>
    <w:p w14:paraId="001007DA" w14:textId="09D9932B" w:rsidR="00420795" w:rsidRPr="00420795" w:rsidRDefault="00420795" w:rsidP="00020D20">
      <w:pPr>
        <w:jc w:val="both"/>
      </w:pPr>
      <w:r w:rsidRPr="00420795">
        <w:t xml:space="preserve">Executive orders and government mandates have been instituted by the federal government and the state of Arizona </w:t>
      </w:r>
      <w:r w:rsidR="00135240">
        <w:t>regarding</w:t>
      </w:r>
      <w:r w:rsidRPr="00420795">
        <w:t xml:space="preserve"> tribal transportation planning. Current transportation planning legislation emphasizes cooperative planning that comprehensively addresses transportation issues within and adjacent to tribal lands. Coordinated efforts are required between the tribal governments, BIA, the state of Arizona, MPOs, COGs, and local governments. Table 17.6-1 summarizes </w:t>
      </w:r>
      <w:r w:rsidR="00DB6D77">
        <w:t xml:space="preserve">federal and </w:t>
      </w:r>
      <w:r w:rsidRPr="00420795">
        <w:t xml:space="preserve">state policies and mandates. </w:t>
      </w:r>
    </w:p>
    <w:p w14:paraId="0209E867" w14:textId="77777777" w:rsidR="00420795" w:rsidRPr="00420795" w:rsidRDefault="00420795" w:rsidP="00020D20">
      <w:pPr>
        <w:pStyle w:val="Heading3"/>
        <w:jc w:val="both"/>
      </w:pPr>
      <w:bookmarkStart w:id="674" w:name="_Ref50049873"/>
      <w:r w:rsidRPr="00420795">
        <w:t>17.6.3 | Scope</w:t>
      </w:r>
      <w:bookmarkEnd w:id="674"/>
    </w:p>
    <w:p w14:paraId="51255F5B" w14:textId="39CCF0AC" w:rsidR="00420795" w:rsidRPr="00420795" w:rsidRDefault="00420795" w:rsidP="00020D20">
      <w:pPr>
        <w:jc w:val="both"/>
      </w:pPr>
      <w:r w:rsidRPr="00420795">
        <w:t xml:space="preserve">Native Nations and tribal governments have sovereign status and jurisdiction over lands within reservation boundaries as defined by federal law </w:t>
      </w:r>
      <w:hyperlink r:id="rId1112" w:history="1">
        <w:r w:rsidRPr="00020D20">
          <w:rPr>
            <w:rStyle w:val="TitleChar"/>
          </w:rPr>
          <w:t>18 U.S.C. § 1151</w:t>
        </w:r>
      </w:hyperlink>
      <w:r w:rsidRPr="00420795">
        <w:t xml:space="preserve">, but ADOT has exclusive control and jurisdiction over state highways within reservation boundaries, as defined in </w:t>
      </w:r>
      <w:hyperlink r:id="rId1113" w:history="1">
        <w:r w:rsidRPr="00020D20">
          <w:rPr>
            <w:rStyle w:val="TitleChar"/>
          </w:rPr>
          <w:t>A.R.S. § 28-332(A)</w:t>
        </w:r>
      </w:hyperlink>
      <w:r w:rsidRPr="00420795">
        <w:t>. Approximately 1,2</w:t>
      </w:r>
      <w:r w:rsidR="00DB6D77">
        <w:t>37</w:t>
      </w:r>
      <w:r w:rsidRPr="00420795">
        <w:t xml:space="preserve"> miles, or 18</w:t>
      </w:r>
      <w:r w:rsidR="00DB6D77">
        <w:t>.2</w:t>
      </w:r>
      <w:r w:rsidRPr="00420795">
        <w:t xml:space="preserve"> percent, of Arizona’s state highway system crosses tribal lands. To facilitate needed state-tribal discussion, coordination, and consultation, ADOT’s role focuses on transportation-related partnerships, projects, and </w:t>
      </w:r>
      <w:r w:rsidR="00DB6D77">
        <w:t xml:space="preserve">information-sharing </w:t>
      </w:r>
      <w:r w:rsidRPr="00420795">
        <w:t xml:space="preserve">activities. ADOT has tribal planning </w:t>
      </w:r>
      <w:r w:rsidR="00DB6D77">
        <w:t xml:space="preserve">program managers/tribal liaisons </w:t>
      </w:r>
      <w:r w:rsidRPr="00420795">
        <w:t xml:space="preserve">assigned to work with the tribes </w:t>
      </w:r>
      <w:r w:rsidR="00DB6D77">
        <w:t>in</w:t>
      </w:r>
      <w:r w:rsidRPr="00420795">
        <w:t xml:space="preserve"> Arizona. COGs and MPOs should use the ADOT Tribal Policy as a guide for working with tribes if the COG or MPO does not have a tribal policy of their own.</w:t>
      </w:r>
    </w:p>
    <w:p w14:paraId="21C80670" w14:textId="7175C348" w:rsidR="00420795" w:rsidRDefault="00420795" w:rsidP="00020D20">
      <w:pPr>
        <w:jc w:val="both"/>
      </w:pPr>
      <w:r w:rsidRPr="00420795">
        <w:t xml:space="preserve">Just as transportation issues and problems do not end at a city boundary, they also are not confined by reservation boundaries; often they are regional in nature. Accordingly, tribes are eligible and welcome (but not required) to participate in regional transportation planning processes as members of COGs or MPOs. Tribal membership in Arizona’s COGs and MPOs is discussed </w:t>
      </w:r>
      <w:r w:rsidR="00DB6D77">
        <w:t xml:space="preserve">in Module 5 of the </w:t>
      </w:r>
      <w:hyperlink r:id="rId1114" w:history="1">
        <w:r w:rsidR="00DB6D77" w:rsidRPr="00020D20">
          <w:rPr>
            <w:rStyle w:val="TitleChar"/>
          </w:rPr>
          <w:t>ADOT Tribal Transportation Consultation Online Training Course</w:t>
        </w:r>
      </w:hyperlink>
      <w:r w:rsidRPr="00020D20">
        <w:rPr>
          <w:rStyle w:val="TitleChar"/>
        </w:rPr>
        <w:t>.</w:t>
      </w:r>
      <w:r w:rsidRPr="00420795">
        <w:t xml:space="preserve"> </w:t>
      </w:r>
    </w:p>
    <w:p w14:paraId="78DB2F96" w14:textId="77777777" w:rsidR="003E59FA" w:rsidRDefault="003E59FA" w:rsidP="00020D20">
      <w:pPr>
        <w:pStyle w:val="Heading5"/>
        <w:jc w:val="both"/>
        <w:sectPr w:rsidR="003E59FA" w:rsidSect="00F43B1D">
          <w:type w:val="continuous"/>
          <w:pgSz w:w="12240" w:h="15840"/>
          <w:pgMar w:top="1440" w:right="1440" w:bottom="1440" w:left="1440" w:header="720" w:footer="720" w:gutter="0"/>
          <w:cols w:num="2" w:space="720"/>
          <w:docGrid w:linePitch="360"/>
        </w:sectPr>
      </w:pPr>
    </w:p>
    <w:p w14:paraId="5F604EF2" w14:textId="77777777" w:rsidR="006D38C1" w:rsidRDefault="006D38C1"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ajorBidi"/>
          <w:color w:val="767171" w:themeColor="background2" w:themeShade="80"/>
        </w:rPr>
      </w:pPr>
      <w:r>
        <w:br w:type="page"/>
      </w:r>
    </w:p>
    <w:p w14:paraId="5C70E22E" w14:textId="137A8C2D" w:rsidR="002A3601" w:rsidRDefault="002A3601" w:rsidP="00020D20">
      <w:pPr>
        <w:pStyle w:val="Heading4"/>
        <w:jc w:val="both"/>
      </w:pPr>
      <w:r w:rsidRPr="002A3601">
        <w:t>Table 17.6-1 | Authority</w:t>
      </w:r>
    </w:p>
    <w:tbl>
      <w:tblPr>
        <w:tblW w:w="9360" w:type="dxa"/>
        <w:tblInd w:w="-5" w:type="dxa"/>
        <w:tblLayout w:type="fixed"/>
        <w:tblCellMar>
          <w:left w:w="0" w:type="dxa"/>
          <w:right w:w="0" w:type="dxa"/>
        </w:tblCellMar>
        <w:tblLook w:val="0000" w:firstRow="0" w:lastRow="0" w:firstColumn="0" w:lastColumn="0" w:noHBand="0" w:noVBand="0"/>
      </w:tblPr>
      <w:tblGrid>
        <w:gridCol w:w="625"/>
        <w:gridCol w:w="2610"/>
        <w:gridCol w:w="6125"/>
      </w:tblGrid>
      <w:tr w:rsidR="008A05BA" w:rsidRPr="008A05BA" w14:paraId="6814EAC1" w14:textId="77777777" w:rsidTr="00020D20">
        <w:trPr>
          <w:trHeight w:val="15"/>
        </w:trPr>
        <w:tc>
          <w:tcPr>
            <w:tcW w:w="3235" w:type="dxa"/>
            <w:gridSpan w:val="2"/>
            <w:tcBorders>
              <w:top w:val="single" w:sz="8" w:space="0" w:color="auto"/>
              <w:left w:val="single" w:sz="8" w:space="0" w:color="auto"/>
              <w:bottom w:val="single" w:sz="4" w:space="0" w:color="FFFFFF" w:themeColor="background1"/>
              <w:right w:val="single" w:sz="4" w:space="0" w:color="FFFFFF" w:themeColor="background1"/>
            </w:tcBorders>
            <w:shd w:val="clear" w:color="auto" w:fill="012768"/>
            <w:tcMar>
              <w:top w:w="90" w:type="dxa"/>
              <w:left w:w="90" w:type="dxa"/>
              <w:bottom w:w="90" w:type="dxa"/>
              <w:right w:w="90" w:type="dxa"/>
            </w:tcMar>
            <w:vAlign w:val="center"/>
          </w:tcPr>
          <w:p w14:paraId="130A19E0" w14:textId="77777777" w:rsidR="002A3601" w:rsidRPr="00020D20" w:rsidRDefault="002A3601" w:rsidP="00020D20">
            <w:pPr>
              <w:spacing w:before="0" w:after="0" w:line="240" w:lineRule="auto"/>
              <w:jc w:val="center"/>
              <w:rPr>
                <w:sz w:val="22"/>
              </w:rPr>
            </w:pPr>
            <w:r w:rsidRPr="00020D20">
              <w:rPr>
                <w:sz w:val="22"/>
              </w:rPr>
              <w:t>Code</w:t>
            </w:r>
          </w:p>
        </w:tc>
        <w:tc>
          <w:tcPr>
            <w:tcW w:w="6125" w:type="dxa"/>
            <w:tcBorders>
              <w:top w:val="single" w:sz="8" w:space="0" w:color="auto"/>
              <w:left w:val="single" w:sz="4" w:space="0" w:color="FFFFFF" w:themeColor="background1"/>
              <w:bottom w:val="single" w:sz="4" w:space="0" w:color="auto"/>
              <w:right w:val="single" w:sz="8" w:space="0" w:color="auto"/>
            </w:tcBorders>
            <w:shd w:val="clear" w:color="auto" w:fill="012768"/>
            <w:tcMar>
              <w:top w:w="90" w:type="dxa"/>
              <w:left w:w="90" w:type="dxa"/>
              <w:bottom w:w="90" w:type="dxa"/>
              <w:right w:w="90" w:type="dxa"/>
            </w:tcMar>
            <w:vAlign w:val="center"/>
          </w:tcPr>
          <w:p w14:paraId="058F5DFA" w14:textId="77777777" w:rsidR="002A3601" w:rsidRPr="00020D20" w:rsidRDefault="002A3601" w:rsidP="00020D20">
            <w:pPr>
              <w:spacing w:before="0" w:after="0" w:line="240" w:lineRule="auto"/>
              <w:jc w:val="center"/>
              <w:rPr>
                <w:sz w:val="22"/>
              </w:rPr>
            </w:pPr>
            <w:r w:rsidRPr="00020D20">
              <w:rPr>
                <w:sz w:val="22"/>
              </w:rPr>
              <w:t>Description</w:t>
            </w:r>
          </w:p>
        </w:tc>
      </w:tr>
      <w:tr w:rsidR="00770AC6" w:rsidRPr="002A3601" w14:paraId="43329BD4" w14:textId="77777777" w:rsidTr="00020D20">
        <w:trPr>
          <w:trHeight w:val="20"/>
        </w:trPr>
        <w:tc>
          <w:tcPr>
            <w:tcW w:w="625" w:type="dxa"/>
            <w:vMerge w:val="restart"/>
            <w:tcBorders>
              <w:top w:val="single" w:sz="4" w:space="0" w:color="FFFFFF" w:themeColor="background1"/>
              <w:left w:val="single" w:sz="8" w:space="0" w:color="auto"/>
              <w:bottom w:val="single" w:sz="8" w:space="0" w:color="auto"/>
              <w:right w:val="single" w:sz="4" w:space="0" w:color="auto"/>
            </w:tcBorders>
            <w:shd w:val="clear" w:color="auto" w:fill="012768"/>
            <w:tcMar>
              <w:top w:w="90" w:type="dxa"/>
              <w:left w:w="90" w:type="dxa"/>
              <w:bottom w:w="90" w:type="dxa"/>
              <w:right w:w="90" w:type="dxa"/>
            </w:tcMar>
            <w:textDirection w:val="btLr"/>
            <w:vAlign w:val="center"/>
          </w:tcPr>
          <w:p w14:paraId="057ECB07" w14:textId="77777777" w:rsidR="00770AC6" w:rsidRPr="00020D20" w:rsidRDefault="00770AC6" w:rsidP="00020D20">
            <w:pPr>
              <w:spacing w:before="0" w:after="0" w:line="240" w:lineRule="auto"/>
              <w:jc w:val="center"/>
              <w:rPr>
                <w:sz w:val="22"/>
              </w:rPr>
            </w:pPr>
            <w:r w:rsidRPr="00020D20">
              <w:rPr>
                <w:sz w:val="22"/>
              </w:rPr>
              <w:t>Federal</w:t>
            </w: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3F8802" w14:textId="6C0F0408" w:rsidR="00770AC6" w:rsidRPr="00020D20" w:rsidRDefault="00202C92">
            <w:pPr>
              <w:pStyle w:val="Title"/>
              <w:rPr>
                <w:sz w:val="16"/>
                <w:szCs w:val="16"/>
              </w:rPr>
            </w:pPr>
            <w:hyperlink r:id="rId1115" w:history="1">
              <w:r w:rsidR="00770AC6" w:rsidRPr="00020D20">
                <w:rPr>
                  <w:sz w:val="16"/>
                  <w:szCs w:val="16"/>
                </w:rPr>
                <w:t>ISTEA</w:t>
              </w:r>
            </w:hyperlink>
          </w:p>
        </w:tc>
        <w:tc>
          <w:tcPr>
            <w:tcW w:w="6125"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58" w:type="dxa"/>
              <w:bottom w:w="72" w:type="dxa"/>
              <w:right w:w="58" w:type="dxa"/>
            </w:tcMar>
            <w:vAlign w:val="center"/>
          </w:tcPr>
          <w:p w14:paraId="5C51A4F8" w14:textId="7B39D9FF" w:rsidR="00770AC6" w:rsidRPr="00020D20" w:rsidRDefault="00770AC6" w:rsidP="00020D20">
            <w:pPr>
              <w:pStyle w:val="Heading5"/>
              <w:spacing w:before="0" w:after="0" w:line="240" w:lineRule="auto"/>
              <w:jc w:val="both"/>
              <w:rPr>
                <w:i w:val="0"/>
                <w:color w:val="auto"/>
                <w:sz w:val="16"/>
                <w:szCs w:val="16"/>
              </w:rPr>
            </w:pPr>
            <w:r w:rsidRPr="00020D20">
              <w:rPr>
                <w:color w:val="auto"/>
                <w:w w:val="90"/>
                <w:sz w:val="16"/>
                <w:szCs w:val="16"/>
              </w:rPr>
              <w:t xml:space="preserve">These </w:t>
            </w:r>
            <w:r w:rsidR="00465363" w:rsidRPr="00020D20">
              <w:rPr>
                <w:color w:val="auto"/>
                <w:w w:val="90"/>
                <w:sz w:val="16"/>
                <w:szCs w:val="16"/>
              </w:rPr>
              <w:t xml:space="preserve">five </w:t>
            </w:r>
            <w:r w:rsidRPr="00020D20">
              <w:rPr>
                <w:color w:val="auto"/>
                <w:w w:val="90"/>
                <w:sz w:val="16"/>
                <w:szCs w:val="16"/>
              </w:rPr>
              <w:t>federal policies specifically impact all statewide and tribal transportation project development processes.</w:t>
            </w:r>
          </w:p>
        </w:tc>
      </w:tr>
      <w:tr w:rsidR="00770AC6" w:rsidRPr="002A3601" w14:paraId="0DCF4103"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0790F6C6" w14:textId="77777777" w:rsidR="00770AC6" w:rsidRPr="00020D20" w:rsidRDefault="00770AC6"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57CCD7" w14:textId="77777777" w:rsidR="00770AC6" w:rsidRPr="00020D20" w:rsidRDefault="00202C92">
            <w:pPr>
              <w:pStyle w:val="Title"/>
              <w:rPr>
                <w:sz w:val="16"/>
                <w:szCs w:val="16"/>
              </w:rPr>
            </w:pPr>
            <w:hyperlink r:id="rId1116" w:history="1">
              <w:r w:rsidR="00770AC6" w:rsidRPr="00020D20">
                <w:rPr>
                  <w:sz w:val="16"/>
                  <w:szCs w:val="16"/>
                </w:rPr>
                <w:t>TEA-21</w:t>
              </w:r>
            </w:hyperlink>
          </w:p>
        </w:tc>
        <w:tc>
          <w:tcPr>
            <w:tcW w:w="6125" w:type="dxa"/>
            <w:vMerge/>
            <w:tcBorders>
              <w:top w:val="single" w:sz="4" w:space="0" w:color="auto"/>
              <w:left w:val="single" w:sz="4" w:space="0" w:color="auto"/>
              <w:bottom w:val="single" w:sz="4" w:space="0" w:color="auto"/>
              <w:right w:val="single" w:sz="4" w:space="0" w:color="auto"/>
            </w:tcBorders>
            <w:shd w:val="clear" w:color="auto" w:fill="auto"/>
          </w:tcPr>
          <w:p w14:paraId="465A35D0" w14:textId="77777777" w:rsidR="00770AC6" w:rsidRPr="00020D20" w:rsidRDefault="00770AC6" w:rsidP="00020D20">
            <w:pPr>
              <w:pStyle w:val="Heading5"/>
              <w:spacing w:before="0" w:after="0" w:line="240" w:lineRule="auto"/>
              <w:jc w:val="both"/>
              <w:rPr>
                <w:i w:val="0"/>
                <w:color w:val="auto"/>
                <w:sz w:val="16"/>
                <w:szCs w:val="16"/>
              </w:rPr>
            </w:pPr>
          </w:p>
        </w:tc>
      </w:tr>
      <w:tr w:rsidR="00770AC6" w:rsidRPr="002A3601" w14:paraId="1703A739"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62FDB866" w14:textId="77777777" w:rsidR="00770AC6" w:rsidRPr="00020D20" w:rsidRDefault="00770AC6"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98169E" w14:textId="77777777" w:rsidR="00770AC6" w:rsidRPr="00020D20" w:rsidRDefault="00202C92">
            <w:pPr>
              <w:pStyle w:val="Title"/>
              <w:rPr>
                <w:sz w:val="16"/>
                <w:szCs w:val="16"/>
              </w:rPr>
            </w:pPr>
            <w:hyperlink r:id="rId1117" w:history="1">
              <w:r w:rsidR="00770AC6" w:rsidRPr="00020D20">
                <w:rPr>
                  <w:sz w:val="16"/>
                  <w:szCs w:val="16"/>
                </w:rPr>
                <w:t>SAFETEA-LU</w:t>
              </w:r>
            </w:hyperlink>
          </w:p>
        </w:tc>
        <w:tc>
          <w:tcPr>
            <w:tcW w:w="6125" w:type="dxa"/>
            <w:vMerge/>
            <w:tcBorders>
              <w:top w:val="single" w:sz="4" w:space="0" w:color="auto"/>
              <w:left w:val="single" w:sz="4" w:space="0" w:color="auto"/>
              <w:bottom w:val="single" w:sz="4" w:space="0" w:color="auto"/>
              <w:right w:val="single" w:sz="4" w:space="0" w:color="auto"/>
            </w:tcBorders>
            <w:shd w:val="clear" w:color="auto" w:fill="auto"/>
          </w:tcPr>
          <w:p w14:paraId="77A88502" w14:textId="77777777" w:rsidR="00770AC6" w:rsidRPr="00020D20" w:rsidRDefault="00770AC6" w:rsidP="00020D20">
            <w:pPr>
              <w:pStyle w:val="Heading5"/>
              <w:spacing w:before="0" w:after="0" w:line="240" w:lineRule="auto"/>
              <w:jc w:val="both"/>
              <w:rPr>
                <w:i w:val="0"/>
                <w:color w:val="auto"/>
                <w:sz w:val="16"/>
                <w:szCs w:val="16"/>
              </w:rPr>
            </w:pPr>
          </w:p>
        </w:tc>
      </w:tr>
      <w:tr w:rsidR="00770AC6" w:rsidRPr="002A3601" w14:paraId="1CC7B8F7"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0232F52D" w14:textId="77777777" w:rsidR="00770AC6" w:rsidRPr="00020D20" w:rsidRDefault="00770AC6"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F46D0D" w14:textId="77777777" w:rsidR="00770AC6" w:rsidRPr="00020D20" w:rsidRDefault="00202C92">
            <w:pPr>
              <w:pStyle w:val="Title"/>
              <w:rPr>
                <w:sz w:val="16"/>
                <w:szCs w:val="16"/>
              </w:rPr>
            </w:pPr>
            <w:hyperlink r:id="rId1118" w:history="1">
              <w:r w:rsidR="00770AC6" w:rsidRPr="00020D20">
                <w:rPr>
                  <w:sz w:val="16"/>
                  <w:szCs w:val="16"/>
                </w:rPr>
                <w:t>MAP-21</w:t>
              </w:r>
            </w:hyperlink>
          </w:p>
        </w:tc>
        <w:tc>
          <w:tcPr>
            <w:tcW w:w="6125" w:type="dxa"/>
            <w:vMerge/>
            <w:tcBorders>
              <w:top w:val="single" w:sz="4" w:space="0" w:color="auto"/>
              <w:left w:val="single" w:sz="4" w:space="0" w:color="auto"/>
              <w:bottom w:val="single" w:sz="4" w:space="0" w:color="auto"/>
              <w:right w:val="single" w:sz="4" w:space="0" w:color="auto"/>
            </w:tcBorders>
            <w:shd w:val="clear" w:color="auto" w:fill="auto"/>
          </w:tcPr>
          <w:p w14:paraId="77088448" w14:textId="77777777" w:rsidR="00770AC6" w:rsidRPr="00020D20" w:rsidRDefault="00770AC6" w:rsidP="00020D20">
            <w:pPr>
              <w:pStyle w:val="Heading5"/>
              <w:spacing w:before="0" w:after="0" w:line="240" w:lineRule="auto"/>
              <w:jc w:val="both"/>
              <w:rPr>
                <w:i w:val="0"/>
                <w:color w:val="auto"/>
                <w:sz w:val="16"/>
                <w:szCs w:val="16"/>
              </w:rPr>
            </w:pPr>
          </w:p>
        </w:tc>
      </w:tr>
      <w:tr w:rsidR="00770AC6" w:rsidRPr="002A3601" w14:paraId="719A4610"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4A9A8094" w14:textId="77777777" w:rsidR="00770AC6" w:rsidRPr="00020D20" w:rsidRDefault="00770AC6"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437B9E" w14:textId="25E5F05B" w:rsidR="00770AC6" w:rsidRPr="00020D20" w:rsidRDefault="00770AC6">
            <w:pPr>
              <w:pStyle w:val="Title"/>
              <w:rPr>
                <w:sz w:val="16"/>
                <w:szCs w:val="16"/>
              </w:rPr>
            </w:pPr>
            <w:r w:rsidRPr="00020D20">
              <w:rPr>
                <w:sz w:val="16"/>
                <w:szCs w:val="16"/>
              </w:rPr>
              <w:t>FAST Act</w:t>
            </w:r>
          </w:p>
        </w:tc>
        <w:tc>
          <w:tcPr>
            <w:tcW w:w="6125" w:type="dxa"/>
            <w:vMerge/>
            <w:tcBorders>
              <w:top w:val="single" w:sz="4" w:space="0" w:color="auto"/>
              <w:left w:val="single" w:sz="4" w:space="0" w:color="auto"/>
              <w:bottom w:val="single" w:sz="4" w:space="0" w:color="auto"/>
              <w:right w:val="single" w:sz="4" w:space="0" w:color="auto"/>
            </w:tcBorders>
            <w:shd w:val="clear" w:color="auto" w:fill="auto"/>
          </w:tcPr>
          <w:p w14:paraId="4BEA2BAC" w14:textId="61872972" w:rsidR="00770AC6" w:rsidRPr="00020D20" w:rsidRDefault="00770AC6" w:rsidP="00020D20">
            <w:pPr>
              <w:pStyle w:val="Heading5"/>
              <w:spacing w:before="0" w:after="0" w:line="240" w:lineRule="auto"/>
              <w:jc w:val="both"/>
              <w:rPr>
                <w:i w:val="0"/>
                <w:color w:val="auto"/>
                <w:sz w:val="16"/>
                <w:szCs w:val="16"/>
              </w:rPr>
            </w:pPr>
          </w:p>
        </w:tc>
      </w:tr>
      <w:tr w:rsidR="002A3601" w:rsidRPr="002A3601" w14:paraId="3C8D7971"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350FAA7B"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50C06DA" w14:textId="77777777" w:rsidR="002A3601" w:rsidRPr="00020D20" w:rsidRDefault="00202C92">
            <w:pPr>
              <w:pStyle w:val="Title"/>
              <w:rPr>
                <w:sz w:val="16"/>
                <w:szCs w:val="16"/>
              </w:rPr>
            </w:pPr>
            <w:hyperlink r:id="rId1119" w:history="1">
              <w:r w:rsidR="002A3601" w:rsidRPr="00020D20">
                <w:rPr>
                  <w:sz w:val="16"/>
                  <w:szCs w:val="16"/>
                </w:rPr>
                <w:t>23 U.S.C. §§ 201, 202</w:t>
              </w:r>
            </w:hyperlink>
          </w:p>
        </w:tc>
        <w:tc>
          <w:tcPr>
            <w:tcW w:w="6125" w:type="dxa"/>
            <w:tcBorders>
              <w:top w:val="single" w:sz="4" w:space="0" w:color="auto"/>
              <w:left w:val="single" w:sz="4" w:space="0" w:color="auto"/>
              <w:bottom w:val="single" w:sz="8" w:space="0" w:color="58585B"/>
              <w:right w:val="single" w:sz="8" w:space="0" w:color="58585B"/>
            </w:tcBorders>
            <w:shd w:val="clear" w:color="auto" w:fill="E7E6E6" w:themeFill="background2"/>
            <w:tcMar>
              <w:top w:w="72" w:type="dxa"/>
              <w:left w:w="58" w:type="dxa"/>
              <w:bottom w:w="72" w:type="dxa"/>
              <w:right w:w="58" w:type="dxa"/>
            </w:tcMar>
            <w:vAlign w:val="center"/>
          </w:tcPr>
          <w:p w14:paraId="296FAEB1" w14:textId="46B911E5"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 xml:space="preserve">This policy, Federal Lands and Tribal Transportation Programs is </w:t>
            </w:r>
            <w:r w:rsidR="00770AC6" w:rsidRPr="00020D20">
              <w:rPr>
                <w:i w:val="0"/>
                <w:color w:val="auto"/>
                <w:w w:val="90"/>
                <w:sz w:val="16"/>
                <w:szCs w:val="16"/>
              </w:rPr>
              <w:t>a part</w:t>
            </w:r>
            <w:r w:rsidRPr="00020D20">
              <w:rPr>
                <w:i w:val="0"/>
                <w:color w:val="auto"/>
                <w:w w:val="90"/>
                <w:sz w:val="16"/>
                <w:szCs w:val="16"/>
              </w:rPr>
              <w:t xml:space="preserve"> of </w:t>
            </w:r>
            <w:r w:rsidR="00FA5674" w:rsidRPr="00020D20">
              <w:rPr>
                <w:i w:val="0"/>
                <w:color w:val="auto"/>
                <w:w w:val="90"/>
                <w:sz w:val="16"/>
                <w:szCs w:val="16"/>
              </w:rPr>
              <w:t xml:space="preserve">FACT Act </w:t>
            </w:r>
            <w:r w:rsidRPr="00020D20">
              <w:rPr>
                <w:i w:val="0"/>
                <w:color w:val="auto"/>
                <w:w w:val="90"/>
                <w:sz w:val="16"/>
                <w:szCs w:val="16"/>
              </w:rPr>
              <w:t xml:space="preserve"> Section 111</w:t>
            </w:r>
            <w:r w:rsidR="00FA5674" w:rsidRPr="00020D20">
              <w:rPr>
                <w:i w:val="0"/>
                <w:color w:val="auto"/>
                <w:w w:val="90"/>
                <w:sz w:val="16"/>
                <w:szCs w:val="16"/>
              </w:rPr>
              <w:t>7</w:t>
            </w:r>
            <w:r w:rsidRPr="00020D20">
              <w:rPr>
                <w:i w:val="0"/>
                <w:color w:val="auto"/>
                <w:w w:val="90"/>
                <w:sz w:val="16"/>
                <w:szCs w:val="16"/>
              </w:rPr>
              <w:t xml:space="preserve">. The purpose of the TTP is to provide access to basic community services to enhance the quality of life in Indian communities. The TTP replaces the former </w:t>
            </w:r>
            <w:r w:rsidR="00593B4E" w:rsidRPr="00020D20">
              <w:rPr>
                <w:i w:val="0"/>
                <w:color w:val="auto"/>
                <w:w w:val="90"/>
                <w:sz w:val="16"/>
                <w:szCs w:val="16"/>
              </w:rPr>
              <w:t>Indian Reservations Road</w:t>
            </w:r>
            <w:r w:rsidRPr="00020D20">
              <w:rPr>
                <w:i w:val="0"/>
                <w:color w:val="auto"/>
                <w:w w:val="90"/>
                <w:sz w:val="16"/>
                <w:szCs w:val="16"/>
              </w:rPr>
              <w:t xml:space="preserve"> Program. The program set-asides include </w:t>
            </w:r>
            <w:r w:rsidR="00FA5674" w:rsidRPr="00020D20">
              <w:rPr>
                <w:i w:val="0"/>
                <w:color w:val="auto"/>
                <w:w w:val="90"/>
                <w:sz w:val="16"/>
                <w:szCs w:val="16"/>
              </w:rPr>
              <w:t xml:space="preserve">Administration, </w:t>
            </w:r>
            <w:r w:rsidRPr="00020D20">
              <w:rPr>
                <w:i w:val="0"/>
                <w:color w:val="auto"/>
                <w:w w:val="90"/>
                <w:sz w:val="16"/>
                <w:szCs w:val="16"/>
              </w:rPr>
              <w:t>Planning, Bridge, Tribal Safety, and</w:t>
            </w:r>
            <w:r w:rsidR="00FA5674" w:rsidRPr="00020D20">
              <w:rPr>
                <w:i w:val="0"/>
                <w:color w:val="auto"/>
                <w:w w:val="90"/>
                <w:sz w:val="16"/>
                <w:szCs w:val="16"/>
              </w:rPr>
              <w:t xml:space="preserve"> Supplemental Funding.</w:t>
            </w:r>
          </w:p>
        </w:tc>
      </w:tr>
      <w:tr w:rsidR="002A3601" w:rsidRPr="002A3601" w14:paraId="154CC480"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462C4B2A"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4C769B" w14:textId="77777777" w:rsidR="002A3601" w:rsidRPr="00020D20" w:rsidRDefault="00202C92">
            <w:pPr>
              <w:pStyle w:val="Title"/>
              <w:rPr>
                <w:sz w:val="16"/>
                <w:szCs w:val="16"/>
              </w:rPr>
            </w:pPr>
            <w:hyperlink r:id="rId1120" w:history="1">
              <w:r w:rsidR="002A3601" w:rsidRPr="00020D20">
                <w:rPr>
                  <w:sz w:val="16"/>
                  <w:szCs w:val="16"/>
                </w:rPr>
                <w:t>18 U.S.C. § 1151</w:t>
              </w:r>
            </w:hyperlink>
          </w:p>
        </w:tc>
        <w:tc>
          <w:tcPr>
            <w:tcW w:w="6125" w:type="dxa"/>
            <w:tcBorders>
              <w:top w:val="single" w:sz="8" w:space="0" w:color="58585B"/>
              <w:left w:val="single" w:sz="4" w:space="0" w:color="auto"/>
              <w:bottom w:val="single" w:sz="8" w:space="0" w:color="58585B"/>
              <w:right w:val="single" w:sz="8" w:space="0" w:color="58585B"/>
            </w:tcBorders>
            <w:shd w:val="clear" w:color="auto" w:fill="auto"/>
            <w:tcMar>
              <w:top w:w="72" w:type="dxa"/>
              <w:left w:w="58" w:type="dxa"/>
              <w:bottom w:w="72" w:type="dxa"/>
              <w:right w:w="58" w:type="dxa"/>
            </w:tcMar>
            <w:vAlign w:val="center"/>
          </w:tcPr>
          <w:p w14:paraId="0C6EE4D0"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Native nations and tribal governments have sovereign status and jurisdiction over lands within reservation boundaries.</w:t>
            </w:r>
          </w:p>
        </w:tc>
      </w:tr>
      <w:tr w:rsidR="002A3601" w:rsidRPr="002A3601" w14:paraId="3E9F84D7"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3D1B1A2C"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53C7E240" w14:textId="77777777" w:rsidR="002A3601" w:rsidRPr="00020D20" w:rsidRDefault="00202C92">
            <w:pPr>
              <w:pStyle w:val="Title"/>
              <w:rPr>
                <w:sz w:val="16"/>
                <w:szCs w:val="16"/>
              </w:rPr>
            </w:pPr>
            <w:hyperlink r:id="rId1121" w:history="1">
              <w:r w:rsidR="002A3601" w:rsidRPr="00020D20">
                <w:rPr>
                  <w:sz w:val="16"/>
                  <w:szCs w:val="16"/>
                </w:rPr>
                <w:t>23 U.S.C. § 135(d)(2)</w:t>
              </w:r>
            </w:hyperlink>
          </w:p>
        </w:tc>
        <w:tc>
          <w:tcPr>
            <w:tcW w:w="6125" w:type="dxa"/>
            <w:tcBorders>
              <w:top w:val="single" w:sz="8" w:space="0" w:color="58585B"/>
              <w:left w:val="single" w:sz="4" w:space="0" w:color="auto"/>
              <w:bottom w:val="single" w:sz="8" w:space="0" w:color="58585B"/>
              <w:right w:val="single" w:sz="8" w:space="0" w:color="58585B"/>
            </w:tcBorders>
            <w:shd w:val="clear" w:color="auto" w:fill="E7E6E6" w:themeFill="background2"/>
            <w:tcMar>
              <w:top w:w="72" w:type="dxa"/>
              <w:left w:w="58" w:type="dxa"/>
              <w:bottom w:w="72" w:type="dxa"/>
              <w:right w:w="58" w:type="dxa"/>
            </w:tcMar>
            <w:vAlign w:val="center"/>
          </w:tcPr>
          <w:p w14:paraId="363F8A0A"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Each state must consider the concerns of Indian tribal governments that have jurisdiction over land within the boundaries of the State</w:t>
            </w:r>
          </w:p>
        </w:tc>
      </w:tr>
      <w:tr w:rsidR="002A3601" w:rsidRPr="002A3601" w14:paraId="2B5EF49C"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08B7F278"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DD8837" w14:textId="44F06A50" w:rsidR="002A3601" w:rsidRPr="00020D20" w:rsidRDefault="00202C92">
            <w:pPr>
              <w:pStyle w:val="Title"/>
              <w:rPr>
                <w:sz w:val="16"/>
                <w:szCs w:val="16"/>
              </w:rPr>
            </w:pPr>
            <w:hyperlink r:id="rId1122" w:history="1">
              <w:r w:rsidR="002A3601" w:rsidRPr="00020D20">
                <w:rPr>
                  <w:sz w:val="16"/>
                  <w:szCs w:val="16"/>
                </w:rPr>
                <w:t>23 U.S.C. §§ 135 (e)(2)</w:t>
              </w:r>
            </w:hyperlink>
          </w:p>
        </w:tc>
        <w:tc>
          <w:tcPr>
            <w:tcW w:w="6125" w:type="dxa"/>
            <w:vMerge w:val="restart"/>
            <w:tcBorders>
              <w:top w:val="single" w:sz="8" w:space="0" w:color="58585B"/>
              <w:left w:val="single" w:sz="4" w:space="0" w:color="auto"/>
              <w:bottom w:val="single" w:sz="8" w:space="0" w:color="58585B"/>
              <w:right w:val="single" w:sz="8" w:space="0" w:color="58585B"/>
            </w:tcBorders>
            <w:shd w:val="clear" w:color="auto" w:fill="auto"/>
            <w:tcMar>
              <w:top w:w="72" w:type="dxa"/>
              <w:left w:w="58" w:type="dxa"/>
              <w:bottom w:w="72" w:type="dxa"/>
              <w:right w:w="58" w:type="dxa"/>
            </w:tcMar>
            <w:vAlign w:val="center"/>
          </w:tcPr>
          <w:p w14:paraId="34BF564F"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States are required to consult with Indian tribal governments and the secretary of the interior in the development of state transportation plans “with respect to each area of the State under the jurisdiction of an Indian tribal government.”</w:t>
            </w:r>
          </w:p>
        </w:tc>
      </w:tr>
      <w:tr w:rsidR="002A3601" w:rsidRPr="002A3601" w14:paraId="59F877FE"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74DACB54"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B73A5F" w14:textId="562B5D06" w:rsidR="002A3601" w:rsidRPr="00020D20" w:rsidRDefault="00202C92">
            <w:pPr>
              <w:pStyle w:val="Title"/>
              <w:rPr>
                <w:sz w:val="16"/>
                <w:szCs w:val="16"/>
              </w:rPr>
            </w:pPr>
            <w:hyperlink r:id="rId1123" w:history="1">
              <w:r w:rsidR="002A3601" w:rsidRPr="00020D20">
                <w:rPr>
                  <w:sz w:val="16"/>
                  <w:szCs w:val="16"/>
                </w:rPr>
                <w:t>23 U.S.C. § 135(f)</w:t>
              </w:r>
            </w:hyperlink>
            <w:r w:rsidR="00FA5674" w:rsidRPr="00020D20">
              <w:rPr>
                <w:sz w:val="16"/>
                <w:szCs w:val="16"/>
              </w:rPr>
              <w:t>(2)(D)(i)</w:t>
            </w:r>
          </w:p>
        </w:tc>
        <w:tc>
          <w:tcPr>
            <w:tcW w:w="6125" w:type="dxa"/>
            <w:vMerge/>
            <w:tcBorders>
              <w:top w:val="single" w:sz="8" w:space="0" w:color="58585B"/>
              <w:left w:val="single" w:sz="4" w:space="0" w:color="auto"/>
              <w:bottom w:val="single" w:sz="8" w:space="0" w:color="58585B"/>
              <w:right w:val="single" w:sz="8" w:space="0" w:color="58585B"/>
            </w:tcBorders>
            <w:shd w:val="clear" w:color="auto" w:fill="auto"/>
          </w:tcPr>
          <w:p w14:paraId="784714DE" w14:textId="77777777" w:rsidR="002A3601" w:rsidRPr="00020D20" w:rsidRDefault="002A3601" w:rsidP="00020D20">
            <w:pPr>
              <w:pStyle w:val="Heading5"/>
              <w:spacing w:before="0" w:after="0" w:line="240" w:lineRule="auto"/>
              <w:jc w:val="both"/>
              <w:rPr>
                <w:i w:val="0"/>
                <w:color w:val="auto"/>
                <w:sz w:val="16"/>
                <w:szCs w:val="16"/>
              </w:rPr>
            </w:pPr>
          </w:p>
        </w:tc>
      </w:tr>
      <w:tr w:rsidR="002A3601" w:rsidRPr="002A3601" w14:paraId="3EC7150E"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2C20221E"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7C9A061" w14:textId="23FB06A4" w:rsidR="002A3601" w:rsidRPr="00020D20" w:rsidRDefault="00202C92">
            <w:pPr>
              <w:pStyle w:val="Title"/>
              <w:rPr>
                <w:sz w:val="16"/>
                <w:szCs w:val="16"/>
              </w:rPr>
            </w:pPr>
            <w:hyperlink r:id="rId1124" w:history="1">
              <w:r w:rsidR="002A3601" w:rsidRPr="00020D20">
                <w:rPr>
                  <w:sz w:val="16"/>
                  <w:szCs w:val="16"/>
                </w:rPr>
                <w:t>USDOT Order 5301.1</w:t>
              </w:r>
            </w:hyperlink>
          </w:p>
        </w:tc>
        <w:tc>
          <w:tcPr>
            <w:tcW w:w="6125" w:type="dxa"/>
            <w:tcBorders>
              <w:top w:val="single" w:sz="8" w:space="0" w:color="58585B"/>
              <w:left w:val="single" w:sz="4" w:space="0" w:color="auto"/>
              <w:bottom w:val="single" w:sz="8" w:space="0" w:color="58585B"/>
              <w:right w:val="single" w:sz="8" w:space="0" w:color="58585B"/>
            </w:tcBorders>
            <w:shd w:val="clear" w:color="auto" w:fill="E7E6E6" w:themeFill="background2"/>
            <w:tcMar>
              <w:top w:w="72" w:type="dxa"/>
              <w:left w:w="58" w:type="dxa"/>
              <w:bottom w:w="72" w:type="dxa"/>
              <w:right w:w="58" w:type="dxa"/>
            </w:tcMar>
            <w:vAlign w:val="center"/>
          </w:tcPr>
          <w:p w14:paraId="3D1A8E04"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 xml:space="preserve">This order, “Department of Transportation Programs, Policies and Procedures Affecting American Indians, Alaska Natives and Tribes” provides 17 points of policy and specific guidelines with regard to how the USDOT conducts communication and consultation with Native nations/Indian tribes. </w:t>
            </w:r>
          </w:p>
        </w:tc>
      </w:tr>
      <w:tr w:rsidR="002A3601" w:rsidRPr="002A3601" w14:paraId="5D19E69A"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767F9F9C"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1B2899" w14:textId="77777777" w:rsidR="002A3601" w:rsidRPr="00020D20" w:rsidRDefault="00202C92">
            <w:pPr>
              <w:pStyle w:val="Title"/>
              <w:rPr>
                <w:sz w:val="16"/>
                <w:szCs w:val="16"/>
              </w:rPr>
            </w:pPr>
            <w:hyperlink r:id="rId1125" w:history="1">
              <w:r w:rsidR="002A3601" w:rsidRPr="00020D20">
                <w:rPr>
                  <w:sz w:val="16"/>
                  <w:szCs w:val="16"/>
                </w:rPr>
                <w:t>Executive Order 13175</w:t>
              </w:r>
            </w:hyperlink>
          </w:p>
        </w:tc>
        <w:tc>
          <w:tcPr>
            <w:tcW w:w="6125" w:type="dxa"/>
            <w:tcBorders>
              <w:top w:val="single" w:sz="8" w:space="0" w:color="58585B"/>
              <w:left w:val="single" w:sz="4" w:space="0" w:color="auto"/>
              <w:bottom w:val="single" w:sz="8" w:space="0" w:color="58585B"/>
              <w:right w:val="single" w:sz="8" w:space="0" w:color="58585B"/>
            </w:tcBorders>
            <w:shd w:val="clear" w:color="auto" w:fill="auto"/>
            <w:tcMar>
              <w:top w:w="72" w:type="dxa"/>
              <w:left w:w="58" w:type="dxa"/>
              <w:bottom w:w="72" w:type="dxa"/>
              <w:right w:w="58" w:type="dxa"/>
            </w:tcMar>
            <w:vAlign w:val="center"/>
          </w:tcPr>
          <w:p w14:paraId="41F1320D"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This order, “Consultation and Coordination with Indian Tribal Governments” requires consultation and collaboration with tribal officials in the development of federal policies with tribal implications to strengthen relationships and reduce imposition of unfunded mandates on Indian tribes.</w:t>
            </w:r>
          </w:p>
        </w:tc>
      </w:tr>
      <w:tr w:rsidR="002A3601" w:rsidRPr="002A3601" w14:paraId="2AE758AA"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45B07F88"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F19593A" w14:textId="589C807A" w:rsidR="002A3601" w:rsidRPr="00020D20" w:rsidRDefault="00202C92">
            <w:pPr>
              <w:pStyle w:val="Title"/>
              <w:rPr>
                <w:sz w:val="16"/>
                <w:szCs w:val="16"/>
              </w:rPr>
            </w:pPr>
            <w:hyperlink r:id="rId1126" w:history="1">
              <w:r w:rsidR="002A3601" w:rsidRPr="00020D20">
                <w:rPr>
                  <w:sz w:val="16"/>
                  <w:szCs w:val="16"/>
                </w:rPr>
                <w:t>Title VI and Executive Order 12898</w:t>
              </w:r>
            </w:hyperlink>
          </w:p>
        </w:tc>
        <w:tc>
          <w:tcPr>
            <w:tcW w:w="6125" w:type="dxa"/>
            <w:tcBorders>
              <w:top w:val="single" w:sz="8" w:space="0" w:color="58585B"/>
              <w:left w:val="single" w:sz="4" w:space="0" w:color="auto"/>
              <w:bottom w:val="single" w:sz="8" w:space="0" w:color="58585B"/>
              <w:right w:val="single" w:sz="8" w:space="0" w:color="58585B"/>
            </w:tcBorders>
            <w:shd w:val="clear" w:color="auto" w:fill="E7E6E6" w:themeFill="background2"/>
            <w:tcMar>
              <w:top w:w="72" w:type="dxa"/>
              <w:left w:w="58" w:type="dxa"/>
              <w:bottom w:w="72" w:type="dxa"/>
              <w:right w:w="58" w:type="dxa"/>
            </w:tcMar>
            <w:vAlign w:val="center"/>
          </w:tcPr>
          <w:p w14:paraId="2A80D13A"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 xml:space="preserve">These policies under “Federal Actions to Address Environmental Justice with Minority Populations and Low Income Populations,” ensure that individuals are not excluded from, denied the benefit of, or subjected to discrimination because of their race, color, national origin, age, sex, or disability. </w:t>
            </w:r>
          </w:p>
        </w:tc>
      </w:tr>
      <w:tr w:rsidR="002A3601" w:rsidRPr="002A3601" w14:paraId="462D220D" w14:textId="77777777" w:rsidTr="00020D20">
        <w:trPr>
          <w:trHeight w:val="288"/>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08414D40"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3D3B69" w14:textId="06F9A53C" w:rsidR="002A3601" w:rsidRPr="00020D20" w:rsidRDefault="00202C92">
            <w:pPr>
              <w:pStyle w:val="Title"/>
              <w:rPr>
                <w:sz w:val="16"/>
                <w:szCs w:val="16"/>
              </w:rPr>
            </w:pPr>
            <w:hyperlink r:id="rId1127" w:history="1">
              <w:r w:rsidR="002A3601" w:rsidRPr="00020D20">
                <w:rPr>
                  <w:sz w:val="16"/>
                  <w:szCs w:val="16"/>
                </w:rPr>
                <w:t>National Historic Preservation Act (NHPA) Section 106</w:t>
              </w:r>
            </w:hyperlink>
          </w:p>
        </w:tc>
        <w:tc>
          <w:tcPr>
            <w:tcW w:w="6125" w:type="dxa"/>
            <w:tcBorders>
              <w:top w:val="single" w:sz="8" w:space="0" w:color="58585B"/>
              <w:left w:val="single" w:sz="4" w:space="0" w:color="auto"/>
              <w:bottom w:val="single" w:sz="8" w:space="0" w:color="58585B"/>
              <w:right w:val="single" w:sz="8" w:space="0" w:color="58585B"/>
            </w:tcBorders>
            <w:shd w:val="clear" w:color="auto" w:fill="auto"/>
            <w:tcMar>
              <w:top w:w="72" w:type="dxa"/>
              <w:left w:w="58" w:type="dxa"/>
              <w:bottom w:w="72" w:type="dxa"/>
              <w:right w:w="58" w:type="dxa"/>
            </w:tcMar>
            <w:vAlign w:val="center"/>
          </w:tcPr>
          <w:p w14:paraId="641CF698" w14:textId="77777777"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 xml:space="preserve">Relevant federal legislative acts include protection of specific lands which require consultation with tribes and protection of freedoms to exercise. </w:t>
            </w:r>
          </w:p>
        </w:tc>
      </w:tr>
      <w:tr w:rsidR="002A3601" w:rsidRPr="002A3601" w14:paraId="6E787443"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4C8017BA"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91B0D97" w14:textId="77777777" w:rsidR="002A3601" w:rsidRPr="00020D20" w:rsidRDefault="00202C92">
            <w:pPr>
              <w:pStyle w:val="Title"/>
              <w:rPr>
                <w:sz w:val="16"/>
                <w:szCs w:val="16"/>
              </w:rPr>
            </w:pPr>
            <w:hyperlink r:id="rId1128" w:history="1">
              <w:r w:rsidR="002A3601" w:rsidRPr="00020D20">
                <w:rPr>
                  <w:sz w:val="16"/>
                  <w:szCs w:val="16"/>
                </w:rPr>
                <w:t>NEPA</w:t>
              </w:r>
            </w:hyperlink>
          </w:p>
        </w:tc>
        <w:tc>
          <w:tcPr>
            <w:tcW w:w="6125" w:type="dxa"/>
            <w:vMerge w:val="restart"/>
            <w:tcBorders>
              <w:top w:val="single" w:sz="8" w:space="0" w:color="58585B"/>
              <w:left w:val="single" w:sz="4" w:space="0" w:color="auto"/>
              <w:bottom w:val="single" w:sz="8" w:space="0" w:color="58585B"/>
              <w:right w:val="single" w:sz="8" w:space="0" w:color="58585B"/>
            </w:tcBorders>
            <w:shd w:val="clear" w:color="auto" w:fill="E7E6E6" w:themeFill="background2"/>
            <w:tcMar>
              <w:top w:w="72" w:type="dxa"/>
              <w:left w:w="58" w:type="dxa"/>
              <w:bottom w:w="72" w:type="dxa"/>
              <w:right w:w="58" w:type="dxa"/>
            </w:tcMar>
            <w:vAlign w:val="center"/>
          </w:tcPr>
          <w:p w14:paraId="4DE53D96" w14:textId="3244AB44" w:rsidR="002A3601" w:rsidRPr="00020D20" w:rsidRDefault="002A3601" w:rsidP="00020D20">
            <w:pPr>
              <w:pStyle w:val="Heading5"/>
              <w:spacing w:before="0" w:after="0" w:line="240" w:lineRule="auto"/>
              <w:jc w:val="both"/>
              <w:rPr>
                <w:i w:val="0"/>
                <w:color w:val="auto"/>
                <w:sz w:val="16"/>
                <w:szCs w:val="16"/>
              </w:rPr>
            </w:pPr>
            <w:r w:rsidRPr="00020D20">
              <w:rPr>
                <w:i w:val="0"/>
                <w:color w:val="auto"/>
                <w:w w:val="90"/>
                <w:sz w:val="16"/>
                <w:szCs w:val="16"/>
              </w:rPr>
              <w:t>ADOT monitors its tribal consultation efforts and provides a</w:t>
            </w:r>
            <w:r w:rsidR="00593B4E" w:rsidRPr="00020D20">
              <w:rPr>
                <w:i w:val="0"/>
                <w:color w:val="auto"/>
                <w:w w:val="90"/>
                <w:sz w:val="16"/>
                <w:szCs w:val="16"/>
              </w:rPr>
              <w:t>n</w:t>
            </w:r>
            <w:r w:rsidRPr="00020D20">
              <w:rPr>
                <w:i w:val="0"/>
                <w:color w:val="auto"/>
                <w:w w:val="90"/>
                <w:sz w:val="16"/>
                <w:szCs w:val="16"/>
              </w:rPr>
              <w:t xml:space="preserve"> </w:t>
            </w:r>
            <w:r w:rsidR="00593B4E" w:rsidRPr="00020D20">
              <w:rPr>
                <w:i w:val="0"/>
                <w:color w:val="auto"/>
                <w:w w:val="90"/>
                <w:sz w:val="16"/>
                <w:szCs w:val="16"/>
              </w:rPr>
              <w:t>annual</w:t>
            </w:r>
            <w:r w:rsidRPr="00020D20">
              <w:rPr>
                <w:i w:val="0"/>
                <w:color w:val="auto"/>
                <w:w w:val="90"/>
                <w:sz w:val="16"/>
                <w:szCs w:val="16"/>
              </w:rPr>
              <w:t xml:space="preserve"> report to the governor’s office for distribution to all tribal leaders. </w:t>
            </w:r>
          </w:p>
        </w:tc>
      </w:tr>
      <w:tr w:rsidR="002A3601" w:rsidRPr="002A3601" w14:paraId="64807255"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1E112734"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319A8EB" w14:textId="0F6B1996" w:rsidR="002A3601" w:rsidRPr="00020D20" w:rsidRDefault="00202C92">
            <w:pPr>
              <w:pStyle w:val="Title"/>
              <w:rPr>
                <w:sz w:val="16"/>
                <w:szCs w:val="16"/>
              </w:rPr>
            </w:pPr>
            <w:hyperlink r:id="rId1129" w:history="1">
              <w:r w:rsidR="002A3601" w:rsidRPr="00020D20">
                <w:rPr>
                  <w:sz w:val="16"/>
                  <w:szCs w:val="16"/>
                </w:rPr>
                <w:t>Archaeological Resources Protection Act (ARPA)</w:t>
              </w:r>
            </w:hyperlink>
          </w:p>
        </w:tc>
        <w:tc>
          <w:tcPr>
            <w:tcW w:w="6125" w:type="dxa"/>
            <w:vMerge/>
            <w:tcBorders>
              <w:top w:val="single" w:sz="8" w:space="0" w:color="58585B"/>
              <w:left w:val="single" w:sz="4" w:space="0" w:color="auto"/>
              <w:bottom w:val="single" w:sz="8" w:space="0" w:color="58585B"/>
              <w:right w:val="single" w:sz="8" w:space="0" w:color="58585B"/>
            </w:tcBorders>
            <w:shd w:val="clear" w:color="auto" w:fill="E7E6E6" w:themeFill="background2"/>
          </w:tcPr>
          <w:p w14:paraId="5A720D98" w14:textId="77777777" w:rsidR="002A3601" w:rsidRPr="00020D20" w:rsidRDefault="002A3601" w:rsidP="00020D20">
            <w:pPr>
              <w:pStyle w:val="Heading5"/>
              <w:spacing w:before="0" w:after="0" w:line="240" w:lineRule="auto"/>
              <w:jc w:val="both"/>
              <w:rPr>
                <w:i w:val="0"/>
                <w:sz w:val="16"/>
                <w:szCs w:val="16"/>
              </w:rPr>
            </w:pPr>
          </w:p>
        </w:tc>
      </w:tr>
      <w:tr w:rsidR="002A3601" w:rsidRPr="002A3601" w14:paraId="664A717F"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2EAF1939"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0E675A3B" w14:textId="1AC146B8" w:rsidR="002A3601" w:rsidRPr="00020D20" w:rsidRDefault="00202C92">
            <w:pPr>
              <w:pStyle w:val="Title"/>
              <w:rPr>
                <w:sz w:val="16"/>
                <w:szCs w:val="16"/>
              </w:rPr>
            </w:pPr>
            <w:hyperlink r:id="rId1130" w:history="1">
              <w:r w:rsidR="002A3601" w:rsidRPr="00020D20">
                <w:rPr>
                  <w:sz w:val="16"/>
                  <w:szCs w:val="16"/>
                </w:rPr>
                <w:t>Native American Graves Protection &amp; Repatriation Act (NAGPRA)</w:t>
              </w:r>
            </w:hyperlink>
          </w:p>
        </w:tc>
        <w:tc>
          <w:tcPr>
            <w:tcW w:w="6125" w:type="dxa"/>
            <w:vMerge/>
            <w:tcBorders>
              <w:top w:val="single" w:sz="8" w:space="0" w:color="58585B"/>
              <w:left w:val="single" w:sz="4" w:space="0" w:color="auto"/>
              <w:bottom w:val="single" w:sz="8" w:space="0" w:color="58585B"/>
              <w:right w:val="single" w:sz="8" w:space="0" w:color="58585B"/>
            </w:tcBorders>
            <w:shd w:val="clear" w:color="auto" w:fill="E7E6E6" w:themeFill="background2"/>
          </w:tcPr>
          <w:p w14:paraId="2DFD3797" w14:textId="77777777" w:rsidR="002A3601" w:rsidRPr="00020D20" w:rsidRDefault="002A3601" w:rsidP="00020D20">
            <w:pPr>
              <w:pStyle w:val="Heading5"/>
              <w:spacing w:before="0" w:after="0" w:line="240" w:lineRule="auto"/>
              <w:jc w:val="both"/>
              <w:rPr>
                <w:i w:val="0"/>
                <w:sz w:val="16"/>
                <w:szCs w:val="16"/>
              </w:rPr>
            </w:pPr>
          </w:p>
        </w:tc>
      </w:tr>
      <w:tr w:rsidR="002A3601" w:rsidRPr="002A3601" w14:paraId="6489E65A" w14:textId="77777777" w:rsidTr="00020D20">
        <w:trPr>
          <w:trHeight w:val="20"/>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50F10694"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499635C1" w14:textId="5E71DF12" w:rsidR="002A3601" w:rsidRPr="007A4D92" w:rsidRDefault="00202C92">
            <w:pPr>
              <w:pStyle w:val="Title"/>
            </w:pPr>
            <w:hyperlink r:id="rId1131" w:history="1">
              <w:r w:rsidR="002A3601" w:rsidRPr="00020D20">
                <w:rPr>
                  <w:rStyle w:val="Hyperlink"/>
                  <w:rFonts w:ascii="Calibri" w:hAnsi="Calibri" w:cstheme="majorBidi"/>
                  <w:i/>
                  <w:iCs w:val="0"/>
                  <w:color w:val="CE5B18"/>
                  <w:szCs w:val="56"/>
                  <w:u w:val="none"/>
                </w:rPr>
                <w:t>American Indian Religious Freedom Act (AIRFA)</w:t>
              </w:r>
            </w:hyperlink>
          </w:p>
        </w:tc>
        <w:tc>
          <w:tcPr>
            <w:tcW w:w="6125" w:type="dxa"/>
            <w:vMerge/>
            <w:tcBorders>
              <w:top w:val="single" w:sz="8" w:space="0" w:color="58585B"/>
              <w:left w:val="single" w:sz="4" w:space="0" w:color="auto"/>
              <w:bottom w:val="single" w:sz="8" w:space="0" w:color="58585B"/>
              <w:right w:val="single" w:sz="8" w:space="0" w:color="58585B"/>
            </w:tcBorders>
            <w:shd w:val="clear" w:color="auto" w:fill="E7E6E6" w:themeFill="background2"/>
          </w:tcPr>
          <w:p w14:paraId="22990CB9" w14:textId="77777777" w:rsidR="002A3601" w:rsidRPr="00020D20" w:rsidRDefault="002A3601" w:rsidP="00020D20">
            <w:pPr>
              <w:pStyle w:val="Heading5"/>
              <w:spacing w:before="0" w:after="0" w:line="240" w:lineRule="auto"/>
              <w:jc w:val="both"/>
              <w:rPr>
                <w:i w:val="0"/>
                <w:sz w:val="16"/>
                <w:szCs w:val="16"/>
              </w:rPr>
            </w:pPr>
          </w:p>
        </w:tc>
      </w:tr>
      <w:tr w:rsidR="002A3601" w:rsidRPr="002A3601" w14:paraId="3ABCB4B1" w14:textId="77777777" w:rsidTr="00020D20">
        <w:trPr>
          <w:trHeight w:val="228"/>
        </w:trPr>
        <w:tc>
          <w:tcPr>
            <w:tcW w:w="625" w:type="dxa"/>
            <w:vMerge/>
            <w:tcBorders>
              <w:top w:val="single" w:sz="8" w:space="0" w:color="auto"/>
              <w:left w:val="single" w:sz="8" w:space="0" w:color="auto"/>
              <w:bottom w:val="single" w:sz="8" w:space="0" w:color="auto"/>
              <w:right w:val="single" w:sz="4" w:space="0" w:color="auto"/>
            </w:tcBorders>
            <w:shd w:val="clear" w:color="auto" w:fill="012768"/>
          </w:tcPr>
          <w:p w14:paraId="19570009" w14:textId="77777777" w:rsidR="002A3601" w:rsidRPr="00020D20" w:rsidRDefault="002A3601" w:rsidP="00020D20">
            <w:pPr>
              <w:spacing w:before="0" w:after="0" w:line="240" w:lineRule="auto"/>
              <w:jc w:val="center"/>
              <w:rPr>
                <w:sz w:val="22"/>
              </w:rPr>
            </w:pPr>
          </w:p>
        </w:tc>
        <w:tc>
          <w:tcPr>
            <w:tcW w:w="261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9A91DFB" w14:textId="5ECBE820" w:rsidR="002A3601" w:rsidRPr="00020D20" w:rsidRDefault="00202C92">
            <w:pPr>
              <w:pStyle w:val="Title"/>
              <w:rPr>
                <w:sz w:val="16"/>
                <w:szCs w:val="16"/>
              </w:rPr>
            </w:pPr>
            <w:hyperlink r:id="rId1132" w:history="1">
              <w:r w:rsidR="002A3601" w:rsidRPr="00020D20">
                <w:rPr>
                  <w:rStyle w:val="Hyperlink"/>
                  <w:rFonts w:ascii="Calibri" w:hAnsi="Calibri" w:cstheme="majorBidi"/>
                  <w:i/>
                  <w:iCs w:val="0"/>
                  <w:color w:val="CE5B18"/>
                  <w:u w:val="none"/>
                </w:rPr>
                <w:t xml:space="preserve">Governor’s </w:t>
              </w:r>
              <w:r w:rsidR="00FA5674" w:rsidRPr="00020D20">
                <w:rPr>
                  <w:rStyle w:val="Hyperlink"/>
                  <w:rFonts w:ascii="Calibri" w:hAnsi="Calibri" w:cstheme="majorBidi"/>
                  <w:i/>
                  <w:iCs w:val="0"/>
                  <w:color w:val="CE5B18"/>
                  <w:u w:val="none"/>
                </w:rPr>
                <w:t xml:space="preserve">Bimonthly </w:t>
              </w:r>
              <w:r w:rsidR="002A3601" w:rsidRPr="00020D20">
                <w:rPr>
                  <w:rStyle w:val="Hyperlink"/>
                  <w:rFonts w:ascii="Calibri" w:hAnsi="Calibri" w:cstheme="majorBidi"/>
                  <w:i/>
                  <w:iCs w:val="0"/>
                  <w:color w:val="CE5B18"/>
                  <w:u w:val="none"/>
                </w:rPr>
                <w:t>Tribal Consultation</w:t>
              </w:r>
            </w:hyperlink>
          </w:p>
        </w:tc>
        <w:tc>
          <w:tcPr>
            <w:tcW w:w="6125" w:type="dxa"/>
            <w:vMerge/>
            <w:tcBorders>
              <w:top w:val="single" w:sz="8" w:space="0" w:color="58585B"/>
              <w:left w:val="single" w:sz="4" w:space="0" w:color="auto"/>
              <w:bottom w:val="single" w:sz="8" w:space="0" w:color="58585B"/>
              <w:right w:val="single" w:sz="8" w:space="0" w:color="58585B"/>
            </w:tcBorders>
            <w:shd w:val="clear" w:color="auto" w:fill="E7E6E6" w:themeFill="background2"/>
          </w:tcPr>
          <w:p w14:paraId="27EFEF51" w14:textId="77777777" w:rsidR="002A3601" w:rsidRPr="00020D20" w:rsidRDefault="002A3601" w:rsidP="00020D20">
            <w:pPr>
              <w:pStyle w:val="Heading5"/>
              <w:spacing w:before="0" w:after="0" w:line="240" w:lineRule="auto"/>
              <w:jc w:val="both"/>
              <w:rPr>
                <w:i w:val="0"/>
                <w:sz w:val="16"/>
                <w:szCs w:val="16"/>
              </w:rPr>
            </w:pPr>
          </w:p>
        </w:tc>
      </w:tr>
    </w:tbl>
    <w:p w14:paraId="250FAB76" w14:textId="7ADD3EC6" w:rsidR="00E34BF3" w:rsidRDefault="00E34BF3" w:rsidP="00020D20">
      <w:pPr>
        <w:jc w:val="both"/>
      </w:pPr>
      <w:r>
        <w:br w:type="page"/>
      </w:r>
    </w:p>
    <w:p w14:paraId="14BE1FDA" w14:textId="19265CE1" w:rsidR="00E34BF3" w:rsidRDefault="00E34BF3" w:rsidP="00020D20">
      <w:pPr>
        <w:pStyle w:val="Heading4"/>
        <w:jc w:val="both"/>
      </w:pPr>
      <w:r w:rsidRPr="002A3601">
        <w:t>Table 17.6-1 | Authority</w:t>
      </w:r>
      <w:r>
        <w:t xml:space="preserve"> (continued)</w:t>
      </w:r>
    </w:p>
    <w:tbl>
      <w:tblPr>
        <w:tblW w:w="9360" w:type="dxa"/>
        <w:tblInd w:w="-5" w:type="dxa"/>
        <w:tblLayout w:type="fixed"/>
        <w:tblCellMar>
          <w:left w:w="0" w:type="dxa"/>
          <w:right w:w="0" w:type="dxa"/>
        </w:tblCellMar>
        <w:tblLook w:val="0000" w:firstRow="0" w:lastRow="0" w:firstColumn="0" w:lastColumn="0" w:noHBand="0" w:noVBand="0"/>
      </w:tblPr>
      <w:tblGrid>
        <w:gridCol w:w="900"/>
        <w:gridCol w:w="2520"/>
        <w:gridCol w:w="5940"/>
      </w:tblGrid>
      <w:tr w:rsidR="00E34BF3" w:rsidRPr="00EE3154" w14:paraId="14515060" w14:textId="77777777" w:rsidTr="0053793A">
        <w:trPr>
          <w:trHeight w:val="15"/>
        </w:trPr>
        <w:tc>
          <w:tcPr>
            <w:tcW w:w="3420" w:type="dxa"/>
            <w:gridSpan w:val="2"/>
            <w:tcBorders>
              <w:top w:val="single" w:sz="8" w:space="0" w:color="auto"/>
              <w:left w:val="single" w:sz="8" w:space="0" w:color="auto"/>
              <w:bottom w:val="single" w:sz="4" w:space="0" w:color="FFFFFF" w:themeColor="background1"/>
              <w:right w:val="single" w:sz="4" w:space="0" w:color="FFFFFF" w:themeColor="background1"/>
            </w:tcBorders>
            <w:shd w:val="clear" w:color="auto" w:fill="012768"/>
            <w:tcMar>
              <w:top w:w="90" w:type="dxa"/>
              <w:left w:w="90" w:type="dxa"/>
              <w:bottom w:w="90" w:type="dxa"/>
              <w:right w:w="90" w:type="dxa"/>
            </w:tcMar>
            <w:vAlign w:val="center"/>
          </w:tcPr>
          <w:p w14:paraId="4FCEDA09" w14:textId="77777777" w:rsidR="00E34BF3" w:rsidRPr="00EE3154" w:rsidRDefault="00E34BF3">
            <w:pPr>
              <w:spacing w:before="0" w:after="0" w:line="240" w:lineRule="auto"/>
              <w:jc w:val="center"/>
              <w:rPr>
                <w:sz w:val="22"/>
              </w:rPr>
            </w:pPr>
            <w:r w:rsidRPr="00EE3154">
              <w:rPr>
                <w:sz w:val="22"/>
              </w:rPr>
              <w:t>Code</w:t>
            </w:r>
          </w:p>
        </w:tc>
        <w:tc>
          <w:tcPr>
            <w:tcW w:w="5940" w:type="dxa"/>
            <w:tcBorders>
              <w:top w:val="single" w:sz="8" w:space="0" w:color="auto"/>
              <w:left w:val="single" w:sz="4" w:space="0" w:color="FFFFFF" w:themeColor="background1"/>
              <w:bottom w:val="single" w:sz="4" w:space="0" w:color="FFFFFF" w:themeColor="background1"/>
              <w:right w:val="single" w:sz="8" w:space="0" w:color="auto"/>
            </w:tcBorders>
            <w:shd w:val="clear" w:color="auto" w:fill="012768"/>
            <w:tcMar>
              <w:top w:w="90" w:type="dxa"/>
              <w:left w:w="90" w:type="dxa"/>
              <w:bottom w:w="90" w:type="dxa"/>
              <w:right w:w="90" w:type="dxa"/>
            </w:tcMar>
            <w:vAlign w:val="center"/>
          </w:tcPr>
          <w:p w14:paraId="4D8F7A3D" w14:textId="77777777" w:rsidR="00E34BF3" w:rsidRPr="00EE3154" w:rsidRDefault="00E34BF3">
            <w:pPr>
              <w:spacing w:before="0" w:after="0" w:line="240" w:lineRule="auto"/>
              <w:jc w:val="center"/>
              <w:rPr>
                <w:sz w:val="22"/>
              </w:rPr>
            </w:pPr>
            <w:r w:rsidRPr="00EE3154">
              <w:rPr>
                <w:sz w:val="22"/>
              </w:rPr>
              <w:t>Description</w:t>
            </w:r>
          </w:p>
        </w:tc>
      </w:tr>
      <w:tr w:rsidR="00E34BF3" w:rsidRPr="00EE3154" w14:paraId="0F0AD38C" w14:textId="77777777" w:rsidTr="0053793A">
        <w:trPr>
          <w:trHeight w:val="20"/>
        </w:trPr>
        <w:tc>
          <w:tcPr>
            <w:tcW w:w="900" w:type="dxa"/>
            <w:vMerge w:val="restart"/>
            <w:tcBorders>
              <w:top w:val="single" w:sz="4" w:space="0" w:color="FFFFFF" w:themeColor="background1"/>
              <w:left w:val="single" w:sz="8" w:space="0" w:color="auto"/>
              <w:bottom w:val="single" w:sz="8" w:space="0" w:color="auto"/>
              <w:right w:val="single" w:sz="8" w:space="0" w:color="auto"/>
            </w:tcBorders>
            <w:shd w:val="clear" w:color="auto" w:fill="012768"/>
            <w:textDirection w:val="btLr"/>
            <w:vAlign w:val="center"/>
          </w:tcPr>
          <w:p w14:paraId="0E854107" w14:textId="77777777" w:rsidR="00E34BF3" w:rsidRPr="00EE3154" w:rsidRDefault="00E34BF3">
            <w:pPr>
              <w:spacing w:before="0" w:after="0" w:line="240" w:lineRule="auto"/>
              <w:ind w:left="113" w:right="113"/>
              <w:jc w:val="center"/>
              <w:rPr>
                <w:sz w:val="22"/>
              </w:rPr>
            </w:pPr>
            <w:r>
              <w:t>State</w:t>
            </w:r>
          </w:p>
        </w:tc>
        <w:tc>
          <w:tcPr>
            <w:tcW w:w="2520" w:type="dxa"/>
            <w:tcBorders>
              <w:top w:val="single" w:sz="8" w:space="0" w:color="auto"/>
              <w:left w:val="single" w:sz="8" w:space="0" w:color="auto"/>
              <w:bottom w:val="single" w:sz="8" w:space="0" w:color="auto"/>
              <w:right w:val="single" w:sz="8" w:space="0" w:color="auto"/>
            </w:tcBorders>
            <w:shd w:val="clear" w:color="auto" w:fill="E7E6E6" w:themeFill="background2"/>
            <w:tcMar>
              <w:top w:w="58" w:type="dxa"/>
              <w:left w:w="58" w:type="dxa"/>
              <w:bottom w:w="58" w:type="dxa"/>
              <w:right w:w="58" w:type="dxa"/>
            </w:tcMar>
            <w:vAlign w:val="center"/>
          </w:tcPr>
          <w:p w14:paraId="291C6E54" w14:textId="77777777" w:rsidR="00E34BF3" w:rsidRPr="00EE3154" w:rsidRDefault="00202C92">
            <w:pPr>
              <w:pStyle w:val="Title"/>
              <w:rPr>
                <w:sz w:val="16"/>
                <w:szCs w:val="16"/>
              </w:rPr>
            </w:pPr>
            <w:hyperlink r:id="rId1133" w:history="1">
              <w:r w:rsidR="00E34BF3" w:rsidRPr="00EE3154">
                <w:rPr>
                  <w:sz w:val="16"/>
                  <w:szCs w:val="16"/>
                </w:rPr>
                <w:t>A.R.S. § 41-2051(C)</w:t>
              </w:r>
              <w:r w:rsidR="00E34BF3" w:rsidRPr="00EE3154" w:rsidDel="00593B4E">
                <w:rPr>
                  <w:sz w:val="16"/>
                  <w:szCs w:val="16"/>
                </w:rPr>
                <w:t xml:space="preserve"> </w:t>
              </w:r>
            </w:hyperlink>
          </w:p>
        </w:tc>
        <w:tc>
          <w:tcPr>
            <w:tcW w:w="5940" w:type="dxa"/>
            <w:tcBorders>
              <w:top w:val="single" w:sz="8" w:space="0" w:color="auto"/>
              <w:left w:val="single" w:sz="8" w:space="0" w:color="auto"/>
              <w:bottom w:val="single" w:sz="8" w:space="0" w:color="auto"/>
              <w:right w:val="single" w:sz="8" w:space="0" w:color="auto"/>
            </w:tcBorders>
            <w:shd w:val="clear" w:color="auto" w:fill="E7E6E6" w:themeFill="background2"/>
            <w:tcMar>
              <w:top w:w="72" w:type="dxa"/>
              <w:left w:w="58" w:type="dxa"/>
              <w:bottom w:w="72" w:type="dxa"/>
              <w:right w:w="58" w:type="dxa"/>
            </w:tcMar>
            <w:vAlign w:val="center"/>
          </w:tcPr>
          <w:p w14:paraId="42C15C9D" w14:textId="77777777"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 xml:space="preserve">This statute, “Responsibility of State Agencies” directs all state agencies to develop and implement consultation policies, designate staff to be responsible for the policy and act as points of contact, review the policy each year, and submit a report to the governor, state legislature, and tribal leaders. </w:t>
            </w:r>
          </w:p>
        </w:tc>
      </w:tr>
      <w:tr w:rsidR="00E34BF3" w:rsidRPr="00EE3154" w14:paraId="1A7E916B" w14:textId="77777777" w:rsidTr="0053793A">
        <w:trPr>
          <w:trHeight w:val="20"/>
        </w:trPr>
        <w:tc>
          <w:tcPr>
            <w:tcW w:w="900" w:type="dxa"/>
            <w:vMerge/>
            <w:tcBorders>
              <w:top w:val="single" w:sz="8" w:space="0" w:color="auto"/>
              <w:left w:val="single" w:sz="8" w:space="0" w:color="auto"/>
              <w:bottom w:val="single" w:sz="8" w:space="0" w:color="auto"/>
              <w:right w:val="single" w:sz="8" w:space="0" w:color="auto"/>
            </w:tcBorders>
            <w:shd w:val="clear" w:color="auto" w:fill="012768"/>
          </w:tcPr>
          <w:p w14:paraId="2D62538A" w14:textId="77777777" w:rsidR="00E34BF3" w:rsidRPr="00EE3154" w:rsidRDefault="00E34BF3">
            <w:pPr>
              <w:spacing w:before="0" w:after="0" w:line="240" w:lineRule="auto"/>
              <w:jc w:val="center"/>
              <w:rPr>
                <w:sz w:val="22"/>
              </w:rPr>
            </w:pPr>
          </w:p>
        </w:tc>
        <w:tc>
          <w:tcPr>
            <w:tcW w:w="2520" w:type="dxa"/>
            <w:tcBorders>
              <w:top w:val="single" w:sz="8" w:space="0" w:color="auto"/>
              <w:left w:val="single" w:sz="8" w:space="0" w:color="auto"/>
              <w:bottom w:val="single" w:sz="8" w:space="0" w:color="auto"/>
              <w:right w:val="single" w:sz="8" w:space="0" w:color="auto"/>
            </w:tcBorders>
            <w:shd w:val="clear" w:color="auto" w:fill="auto"/>
            <w:tcMar>
              <w:top w:w="58" w:type="dxa"/>
              <w:left w:w="58" w:type="dxa"/>
              <w:bottom w:w="58" w:type="dxa"/>
              <w:right w:w="58" w:type="dxa"/>
            </w:tcMar>
            <w:vAlign w:val="center"/>
          </w:tcPr>
          <w:p w14:paraId="302B9905" w14:textId="77777777" w:rsidR="00E34BF3" w:rsidRPr="00EE3154" w:rsidRDefault="00202C92">
            <w:pPr>
              <w:pStyle w:val="Title"/>
              <w:rPr>
                <w:sz w:val="16"/>
                <w:szCs w:val="16"/>
              </w:rPr>
            </w:pPr>
            <w:hyperlink r:id="rId1134" w:history="1">
              <w:r w:rsidR="00E34BF3" w:rsidRPr="00EE3154">
                <w:rPr>
                  <w:sz w:val="16"/>
                  <w:szCs w:val="16"/>
                </w:rPr>
                <w:t>ADOT MGT-16.01</w:t>
              </w:r>
            </w:hyperlink>
          </w:p>
        </w:tc>
        <w:tc>
          <w:tcPr>
            <w:tcW w:w="5940" w:type="dxa"/>
            <w:tcBorders>
              <w:top w:val="single" w:sz="8" w:space="0" w:color="auto"/>
              <w:left w:val="single" w:sz="8" w:space="0" w:color="auto"/>
              <w:bottom w:val="single" w:sz="8" w:space="0" w:color="auto"/>
              <w:right w:val="single" w:sz="8" w:space="0" w:color="auto"/>
            </w:tcBorders>
            <w:shd w:val="clear" w:color="auto" w:fill="auto"/>
            <w:tcMar>
              <w:top w:w="72" w:type="dxa"/>
              <w:left w:w="58" w:type="dxa"/>
              <w:bottom w:w="72" w:type="dxa"/>
              <w:right w:w="58" w:type="dxa"/>
            </w:tcMar>
            <w:vAlign w:val="center"/>
          </w:tcPr>
          <w:p w14:paraId="139A1E06" w14:textId="77777777"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 xml:space="preserve">This policy, “Department-Wide Native Nation/Tribal Government Consultation Policy” provides additional guidance to ADOT personnel when working with tribal governments. </w:t>
            </w:r>
          </w:p>
        </w:tc>
      </w:tr>
      <w:tr w:rsidR="00E34BF3" w:rsidRPr="00EE3154" w14:paraId="52DE814E" w14:textId="77777777" w:rsidTr="0053793A">
        <w:trPr>
          <w:trHeight w:val="20"/>
        </w:trPr>
        <w:tc>
          <w:tcPr>
            <w:tcW w:w="900" w:type="dxa"/>
            <w:vMerge/>
            <w:tcBorders>
              <w:top w:val="single" w:sz="8" w:space="0" w:color="auto"/>
              <w:left w:val="single" w:sz="8" w:space="0" w:color="auto"/>
              <w:bottom w:val="single" w:sz="8" w:space="0" w:color="auto"/>
              <w:right w:val="single" w:sz="8" w:space="0" w:color="auto"/>
            </w:tcBorders>
            <w:shd w:val="clear" w:color="auto" w:fill="012768"/>
          </w:tcPr>
          <w:p w14:paraId="049D630F" w14:textId="77777777" w:rsidR="00E34BF3" w:rsidRPr="00EE3154" w:rsidRDefault="00E34BF3">
            <w:pPr>
              <w:spacing w:before="0" w:after="0" w:line="240" w:lineRule="auto"/>
              <w:jc w:val="center"/>
              <w:rPr>
                <w:sz w:val="22"/>
              </w:rPr>
            </w:pPr>
          </w:p>
        </w:tc>
        <w:tc>
          <w:tcPr>
            <w:tcW w:w="2520" w:type="dxa"/>
            <w:tcBorders>
              <w:top w:val="single" w:sz="8" w:space="0" w:color="auto"/>
              <w:left w:val="single" w:sz="8" w:space="0" w:color="auto"/>
              <w:bottom w:val="single" w:sz="8" w:space="0" w:color="auto"/>
              <w:right w:val="single" w:sz="8" w:space="0" w:color="auto"/>
            </w:tcBorders>
            <w:shd w:val="clear" w:color="auto" w:fill="E7E6E6" w:themeFill="background2"/>
            <w:tcMar>
              <w:top w:w="58" w:type="dxa"/>
              <w:left w:w="58" w:type="dxa"/>
              <w:bottom w:w="58" w:type="dxa"/>
              <w:right w:w="58" w:type="dxa"/>
            </w:tcMar>
            <w:vAlign w:val="center"/>
          </w:tcPr>
          <w:p w14:paraId="24EDD7DF" w14:textId="77777777" w:rsidR="00E34BF3" w:rsidRPr="00EE3154" w:rsidRDefault="00202C92">
            <w:pPr>
              <w:pStyle w:val="Title"/>
              <w:rPr>
                <w:sz w:val="16"/>
                <w:szCs w:val="16"/>
              </w:rPr>
            </w:pPr>
            <w:hyperlink r:id="rId1135" w:history="1">
              <w:r w:rsidR="00E34BF3" w:rsidRPr="00EE3154">
                <w:rPr>
                  <w:sz w:val="16"/>
                  <w:szCs w:val="16"/>
                </w:rPr>
                <w:t>ADOT Tribal Consultation Policy Priorities</w:t>
              </w:r>
            </w:hyperlink>
          </w:p>
        </w:tc>
        <w:tc>
          <w:tcPr>
            <w:tcW w:w="5940" w:type="dxa"/>
            <w:tcBorders>
              <w:top w:val="single" w:sz="8" w:space="0" w:color="auto"/>
              <w:left w:val="single" w:sz="8" w:space="0" w:color="auto"/>
              <w:bottom w:val="single" w:sz="8" w:space="0" w:color="auto"/>
              <w:right w:val="single" w:sz="8" w:space="0" w:color="auto"/>
            </w:tcBorders>
            <w:shd w:val="clear" w:color="auto" w:fill="E7E6E6" w:themeFill="background2"/>
            <w:tcMar>
              <w:top w:w="72" w:type="dxa"/>
              <w:left w:w="58" w:type="dxa"/>
              <w:bottom w:w="72" w:type="dxa"/>
              <w:right w:w="58" w:type="dxa"/>
            </w:tcMar>
            <w:vAlign w:val="center"/>
          </w:tcPr>
          <w:p w14:paraId="537F39F0" w14:textId="77777777"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 xml:space="preserve">ADOT has established 13 policy priorities that respect the values, culture, codes, laws, and work of Native nations and tribal governments. </w:t>
            </w:r>
          </w:p>
        </w:tc>
      </w:tr>
      <w:tr w:rsidR="00E34BF3" w:rsidRPr="00EE3154" w14:paraId="1AB78B2B" w14:textId="77777777" w:rsidTr="0053793A">
        <w:trPr>
          <w:trHeight w:val="600"/>
        </w:trPr>
        <w:tc>
          <w:tcPr>
            <w:tcW w:w="900" w:type="dxa"/>
            <w:vMerge/>
            <w:tcBorders>
              <w:top w:val="single" w:sz="8" w:space="0" w:color="auto"/>
              <w:left w:val="single" w:sz="8" w:space="0" w:color="auto"/>
              <w:bottom w:val="single" w:sz="8" w:space="0" w:color="auto"/>
              <w:right w:val="single" w:sz="8" w:space="0" w:color="auto"/>
            </w:tcBorders>
            <w:shd w:val="clear" w:color="auto" w:fill="012768"/>
          </w:tcPr>
          <w:p w14:paraId="3D13745D" w14:textId="77777777" w:rsidR="00E34BF3" w:rsidRPr="00EE3154" w:rsidRDefault="00E34BF3">
            <w:pPr>
              <w:spacing w:before="0" w:after="0" w:line="240" w:lineRule="auto"/>
              <w:jc w:val="center"/>
              <w:rPr>
                <w:sz w:val="22"/>
              </w:rPr>
            </w:pPr>
          </w:p>
        </w:tc>
        <w:tc>
          <w:tcPr>
            <w:tcW w:w="2520" w:type="dxa"/>
            <w:tcBorders>
              <w:top w:val="single" w:sz="8" w:space="0" w:color="auto"/>
              <w:left w:val="single" w:sz="8" w:space="0" w:color="auto"/>
              <w:bottom w:val="single" w:sz="8" w:space="0" w:color="auto"/>
              <w:right w:val="single" w:sz="8" w:space="0" w:color="auto"/>
            </w:tcBorders>
            <w:shd w:val="clear" w:color="auto" w:fill="auto"/>
            <w:tcMar>
              <w:top w:w="58" w:type="dxa"/>
              <w:left w:w="58" w:type="dxa"/>
              <w:bottom w:w="58" w:type="dxa"/>
              <w:right w:w="58" w:type="dxa"/>
            </w:tcMar>
            <w:vAlign w:val="center"/>
          </w:tcPr>
          <w:p w14:paraId="2E63E442" w14:textId="77777777" w:rsidR="00E34BF3" w:rsidRPr="00EE3154" w:rsidRDefault="00202C92">
            <w:pPr>
              <w:pStyle w:val="Title"/>
              <w:rPr>
                <w:sz w:val="16"/>
                <w:szCs w:val="16"/>
              </w:rPr>
            </w:pPr>
            <w:hyperlink r:id="rId1136" w:history="1">
              <w:r w:rsidR="00E34BF3" w:rsidRPr="00EE3154">
                <w:rPr>
                  <w:sz w:val="16"/>
                  <w:szCs w:val="16"/>
                </w:rPr>
                <w:t>A.R.S. § 28-332(A)</w:t>
              </w:r>
            </w:hyperlink>
          </w:p>
        </w:tc>
        <w:tc>
          <w:tcPr>
            <w:tcW w:w="5940" w:type="dxa"/>
            <w:tcBorders>
              <w:top w:val="single" w:sz="8" w:space="0" w:color="auto"/>
              <w:left w:val="single" w:sz="8" w:space="0" w:color="auto"/>
              <w:bottom w:val="single" w:sz="8" w:space="0" w:color="auto"/>
              <w:right w:val="single" w:sz="8" w:space="0" w:color="auto"/>
            </w:tcBorders>
            <w:shd w:val="clear" w:color="auto" w:fill="auto"/>
            <w:tcMar>
              <w:top w:w="72" w:type="dxa"/>
              <w:left w:w="58" w:type="dxa"/>
              <w:bottom w:w="72" w:type="dxa"/>
              <w:right w:w="58" w:type="dxa"/>
            </w:tcMar>
            <w:vAlign w:val="center"/>
          </w:tcPr>
          <w:p w14:paraId="493894F6" w14:textId="77777777"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ADOT has exclusive control and jurisdiction over state highways within reservation boundaries.</w:t>
            </w:r>
          </w:p>
        </w:tc>
      </w:tr>
      <w:tr w:rsidR="00E34BF3" w:rsidRPr="00EE3154" w14:paraId="3FA569A4" w14:textId="77777777" w:rsidTr="0053793A">
        <w:trPr>
          <w:trHeight w:val="20"/>
        </w:trPr>
        <w:tc>
          <w:tcPr>
            <w:tcW w:w="900" w:type="dxa"/>
            <w:vMerge/>
            <w:tcBorders>
              <w:top w:val="single" w:sz="8" w:space="0" w:color="auto"/>
              <w:left w:val="single" w:sz="8" w:space="0" w:color="auto"/>
              <w:bottom w:val="single" w:sz="8" w:space="0" w:color="auto"/>
              <w:right w:val="single" w:sz="8" w:space="0" w:color="auto"/>
            </w:tcBorders>
            <w:shd w:val="clear" w:color="auto" w:fill="012768"/>
          </w:tcPr>
          <w:p w14:paraId="0E62B662" w14:textId="77777777" w:rsidR="00E34BF3" w:rsidRPr="00EE3154" w:rsidRDefault="00E34BF3">
            <w:pPr>
              <w:spacing w:before="0" w:after="0" w:line="240" w:lineRule="auto"/>
              <w:jc w:val="center"/>
              <w:rPr>
                <w:sz w:val="22"/>
              </w:rPr>
            </w:pPr>
          </w:p>
        </w:tc>
        <w:tc>
          <w:tcPr>
            <w:tcW w:w="2520" w:type="dxa"/>
            <w:tcBorders>
              <w:top w:val="single" w:sz="8" w:space="0" w:color="auto"/>
              <w:left w:val="single" w:sz="8" w:space="0" w:color="auto"/>
              <w:bottom w:val="single" w:sz="8" w:space="0" w:color="auto"/>
              <w:right w:val="single" w:sz="8" w:space="0" w:color="auto"/>
            </w:tcBorders>
            <w:shd w:val="clear" w:color="auto" w:fill="E7E6E6" w:themeFill="background2"/>
            <w:tcMar>
              <w:top w:w="58" w:type="dxa"/>
              <w:left w:w="58" w:type="dxa"/>
              <w:bottom w:w="58" w:type="dxa"/>
              <w:right w:w="58" w:type="dxa"/>
            </w:tcMar>
            <w:vAlign w:val="center"/>
          </w:tcPr>
          <w:p w14:paraId="7BFB8532" w14:textId="77777777" w:rsidR="00E34BF3" w:rsidRPr="00EE3154" w:rsidRDefault="00202C92">
            <w:pPr>
              <w:pStyle w:val="Title"/>
              <w:rPr>
                <w:sz w:val="16"/>
                <w:szCs w:val="16"/>
              </w:rPr>
            </w:pPr>
            <w:hyperlink r:id="rId1137" w:history="1">
              <w:r w:rsidR="00E34BF3" w:rsidRPr="00EE3154">
                <w:rPr>
                  <w:sz w:val="16"/>
                  <w:szCs w:val="16"/>
                </w:rPr>
                <w:t>A.R.S. § 28-506</w:t>
              </w:r>
            </w:hyperlink>
          </w:p>
        </w:tc>
        <w:tc>
          <w:tcPr>
            <w:tcW w:w="5940" w:type="dxa"/>
            <w:tcBorders>
              <w:top w:val="single" w:sz="8" w:space="0" w:color="auto"/>
              <w:left w:val="single" w:sz="8" w:space="0" w:color="auto"/>
              <w:bottom w:val="single" w:sz="8" w:space="0" w:color="auto"/>
              <w:right w:val="single" w:sz="8" w:space="0" w:color="auto"/>
            </w:tcBorders>
            <w:shd w:val="clear" w:color="auto" w:fill="E7E6E6" w:themeFill="background2"/>
            <w:tcMar>
              <w:top w:w="72" w:type="dxa"/>
              <w:left w:w="58" w:type="dxa"/>
              <w:bottom w:w="72" w:type="dxa"/>
              <w:right w:w="58" w:type="dxa"/>
            </w:tcMar>
            <w:vAlign w:val="center"/>
          </w:tcPr>
          <w:p w14:paraId="7B31C6D2" w14:textId="77777777"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 xml:space="preserve">ADOT updates the statewide transportation plan as required by A.R.S. § 28-506. </w:t>
            </w:r>
          </w:p>
        </w:tc>
      </w:tr>
      <w:tr w:rsidR="00E34BF3" w:rsidRPr="00EE3154" w14:paraId="1B095358" w14:textId="77777777" w:rsidTr="0053793A">
        <w:trPr>
          <w:trHeight w:val="20"/>
        </w:trPr>
        <w:tc>
          <w:tcPr>
            <w:tcW w:w="900" w:type="dxa"/>
            <w:vMerge/>
            <w:tcBorders>
              <w:top w:val="single" w:sz="8" w:space="0" w:color="auto"/>
              <w:left w:val="single" w:sz="8" w:space="0" w:color="auto"/>
              <w:bottom w:val="single" w:sz="8" w:space="0" w:color="auto"/>
              <w:right w:val="single" w:sz="8" w:space="0" w:color="auto"/>
            </w:tcBorders>
            <w:shd w:val="clear" w:color="auto" w:fill="012768"/>
          </w:tcPr>
          <w:p w14:paraId="47D27C17" w14:textId="77777777" w:rsidR="00E34BF3" w:rsidRPr="00EE3154" w:rsidRDefault="00E34BF3">
            <w:pPr>
              <w:spacing w:before="0" w:after="0" w:line="240" w:lineRule="auto"/>
              <w:jc w:val="center"/>
              <w:rPr>
                <w:sz w:val="22"/>
              </w:rPr>
            </w:pPr>
          </w:p>
        </w:tc>
        <w:tc>
          <w:tcPr>
            <w:tcW w:w="2520" w:type="dxa"/>
            <w:tcBorders>
              <w:top w:val="single" w:sz="8" w:space="0" w:color="auto"/>
              <w:left w:val="single" w:sz="8" w:space="0" w:color="auto"/>
              <w:bottom w:val="single" w:sz="8" w:space="0" w:color="auto"/>
              <w:right w:val="single" w:sz="8" w:space="0" w:color="auto"/>
            </w:tcBorders>
            <w:shd w:val="clear" w:color="auto" w:fill="auto"/>
            <w:tcMar>
              <w:top w:w="58" w:type="dxa"/>
              <w:left w:w="58" w:type="dxa"/>
              <w:bottom w:w="58" w:type="dxa"/>
              <w:right w:w="58" w:type="dxa"/>
            </w:tcMar>
            <w:vAlign w:val="center"/>
          </w:tcPr>
          <w:p w14:paraId="70EF4B14" w14:textId="77777777" w:rsidR="00E34BF3" w:rsidRPr="00EE3154" w:rsidRDefault="00202C92">
            <w:pPr>
              <w:pStyle w:val="Title"/>
              <w:rPr>
                <w:sz w:val="16"/>
                <w:szCs w:val="16"/>
              </w:rPr>
            </w:pPr>
            <w:hyperlink r:id="rId1138" w:history="1">
              <w:r w:rsidR="00E34BF3" w:rsidRPr="00EE3154">
                <w:rPr>
                  <w:sz w:val="16"/>
                  <w:szCs w:val="16"/>
                </w:rPr>
                <w:t>A.R.S. § 28-307</w:t>
              </w:r>
            </w:hyperlink>
          </w:p>
        </w:tc>
        <w:tc>
          <w:tcPr>
            <w:tcW w:w="5940" w:type="dxa"/>
            <w:tcBorders>
              <w:top w:val="single" w:sz="8" w:space="0" w:color="auto"/>
              <w:left w:val="single" w:sz="8" w:space="0" w:color="auto"/>
              <w:bottom w:val="single" w:sz="8" w:space="0" w:color="auto"/>
              <w:right w:val="single" w:sz="8" w:space="0" w:color="auto"/>
            </w:tcBorders>
            <w:shd w:val="clear" w:color="auto" w:fill="auto"/>
            <w:tcMar>
              <w:top w:w="72" w:type="dxa"/>
              <w:left w:w="58" w:type="dxa"/>
              <w:bottom w:w="72" w:type="dxa"/>
              <w:right w:w="58" w:type="dxa"/>
            </w:tcMar>
            <w:vAlign w:val="center"/>
          </w:tcPr>
          <w:p w14:paraId="27203E78" w14:textId="77777777"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The Arizona State Transportation Board’s role in the development of ADOT’s planning process is described in A.R.S. § 28-307.</w:t>
            </w:r>
          </w:p>
        </w:tc>
      </w:tr>
      <w:tr w:rsidR="00E34BF3" w:rsidRPr="00EE3154" w14:paraId="3846C178" w14:textId="77777777" w:rsidTr="0053793A">
        <w:trPr>
          <w:trHeight w:val="20"/>
        </w:trPr>
        <w:tc>
          <w:tcPr>
            <w:tcW w:w="900" w:type="dxa"/>
            <w:vMerge/>
            <w:tcBorders>
              <w:top w:val="single" w:sz="8" w:space="0" w:color="auto"/>
              <w:left w:val="single" w:sz="8" w:space="0" w:color="auto"/>
              <w:bottom w:val="single" w:sz="8" w:space="0" w:color="auto"/>
              <w:right w:val="single" w:sz="8" w:space="0" w:color="auto"/>
            </w:tcBorders>
            <w:shd w:val="clear" w:color="auto" w:fill="012768"/>
          </w:tcPr>
          <w:p w14:paraId="4FCF10F6" w14:textId="77777777" w:rsidR="00E34BF3" w:rsidRPr="00EE3154" w:rsidRDefault="00E34BF3">
            <w:pPr>
              <w:spacing w:before="0" w:after="0" w:line="240" w:lineRule="auto"/>
              <w:jc w:val="center"/>
              <w:rPr>
                <w:sz w:val="22"/>
              </w:rPr>
            </w:pPr>
          </w:p>
        </w:tc>
        <w:tc>
          <w:tcPr>
            <w:tcW w:w="2520" w:type="dxa"/>
            <w:tcBorders>
              <w:top w:val="single" w:sz="8" w:space="0" w:color="auto"/>
              <w:left w:val="single" w:sz="8" w:space="0" w:color="auto"/>
              <w:bottom w:val="single" w:sz="8" w:space="0" w:color="auto"/>
              <w:right w:val="single" w:sz="8" w:space="0" w:color="auto"/>
            </w:tcBorders>
            <w:shd w:val="clear" w:color="auto" w:fill="E7E6E6" w:themeFill="background2"/>
            <w:tcMar>
              <w:top w:w="58" w:type="dxa"/>
              <w:left w:w="58" w:type="dxa"/>
              <w:bottom w:w="58" w:type="dxa"/>
              <w:right w:w="58" w:type="dxa"/>
            </w:tcMar>
            <w:vAlign w:val="center"/>
          </w:tcPr>
          <w:p w14:paraId="55CA9DD5" w14:textId="0C182CC2" w:rsidR="00E34BF3" w:rsidRPr="00EE3154" w:rsidRDefault="00202C92">
            <w:pPr>
              <w:pStyle w:val="Title"/>
              <w:rPr>
                <w:sz w:val="16"/>
                <w:szCs w:val="16"/>
              </w:rPr>
            </w:pPr>
            <w:hyperlink r:id="rId1139" w:history="1">
              <w:r w:rsidR="00E34BF3" w:rsidRPr="00EE3154">
                <w:rPr>
                  <w:sz w:val="16"/>
                  <w:szCs w:val="16"/>
                </w:rPr>
                <w:t>A.R.S. §</w:t>
              </w:r>
              <w:r w:rsidR="008216A0">
                <w:rPr>
                  <w:sz w:val="16"/>
                  <w:szCs w:val="16"/>
                </w:rPr>
                <w:t xml:space="preserve"> </w:t>
              </w:r>
              <w:r w:rsidR="00E34BF3" w:rsidRPr="00EE3154">
                <w:rPr>
                  <w:sz w:val="16"/>
                  <w:szCs w:val="16"/>
                </w:rPr>
                <w:t>28-6951</w:t>
              </w:r>
            </w:hyperlink>
          </w:p>
        </w:tc>
        <w:tc>
          <w:tcPr>
            <w:tcW w:w="5940" w:type="dxa"/>
            <w:tcBorders>
              <w:top w:val="single" w:sz="8" w:space="0" w:color="auto"/>
              <w:left w:val="single" w:sz="8" w:space="0" w:color="auto"/>
              <w:bottom w:val="single" w:sz="8" w:space="0" w:color="auto"/>
              <w:right w:val="single" w:sz="8" w:space="0" w:color="auto"/>
            </w:tcBorders>
            <w:shd w:val="clear" w:color="auto" w:fill="E7E6E6" w:themeFill="background2"/>
            <w:tcMar>
              <w:top w:w="72" w:type="dxa"/>
              <w:left w:w="58" w:type="dxa"/>
              <w:bottom w:w="72" w:type="dxa"/>
              <w:right w:w="58" w:type="dxa"/>
            </w:tcMar>
            <w:vAlign w:val="center"/>
          </w:tcPr>
          <w:p w14:paraId="5915E6DE" w14:textId="24CA9E79" w:rsidR="00E34BF3" w:rsidRPr="00020D20" w:rsidRDefault="00E34BF3" w:rsidP="00020D20">
            <w:pPr>
              <w:pStyle w:val="Heading5"/>
              <w:spacing w:before="0" w:after="0" w:line="240" w:lineRule="auto"/>
              <w:jc w:val="both"/>
              <w:rPr>
                <w:i w:val="0"/>
                <w:color w:val="auto"/>
                <w:sz w:val="16"/>
                <w:szCs w:val="16"/>
              </w:rPr>
            </w:pPr>
            <w:r w:rsidRPr="00020D20">
              <w:rPr>
                <w:i w:val="0"/>
                <w:color w:val="auto"/>
                <w:w w:val="90"/>
                <w:sz w:val="16"/>
                <w:szCs w:val="16"/>
              </w:rPr>
              <w:t>A.R.S. §</w:t>
            </w:r>
            <w:r w:rsidR="008216A0">
              <w:rPr>
                <w:i w:val="0"/>
                <w:color w:val="auto"/>
                <w:w w:val="90"/>
                <w:sz w:val="16"/>
                <w:szCs w:val="16"/>
              </w:rPr>
              <w:t xml:space="preserve"> </w:t>
            </w:r>
            <w:r w:rsidRPr="00020D20">
              <w:rPr>
                <w:i w:val="0"/>
                <w:color w:val="auto"/>
                <w:w w:val="90"/>
                <w:sz w:val="16"/>
                <w:szCs w:val="16"/>
              </w:rPr>
              <w:t>28-6951, also known as the Priority Programming Law, establishes processes and guidelines for the Arizona State Transportation Board to prioritize projects for the five-year transportation facilities construction program.</w:t>
            </w:r>
          </w:p>
        </w:tc>
      </w:tr>
    </w:tbl>
    <w:p w14:paraId="50FBE684" w14:textId="22783298" w:rsidR="00E34BF3" w:rsidRDefault="00E34BF3" w:rsidP="00020D20">
      <w:pPr>
        <w:jc w:val="both"/>
        <w:rPr>
          <w:rFonts w:cstheme="minorHAnsi"/>
        </w:rPr>
        <w:sectPr w:rsidR="00E34BF3" w:rsidSect="00020D20">
          <w:type w:val="continuous"/>
          <w:pgSz w:w="12240" w:h="15840"/>
          <w:pgMar w:top="1440" w:right="1440" w:bottom="1440" w:left="1440" w:header="720" w:footer="720" w:gutter="0"/>
          <w:pgNumType w:chapStyle="1"/>
          <w:cols w:space="720"/>
          <w:docGrid w:linePitch="360"/>
        </w:sectPr>
      </w:pPr>
    </w:p>
    <w:p w14:paraId="403C339F" w14:textId="77777777" w:rsidR="00E34BF3" w:rsidRDefault="00E34BF3" w:rsidP="00020D20">
      <w:pPr>
        <w:jc w:val="both"/>
        <w:rPr>
          <w:rFonts w:cstheme="minorHAnsi"/>
        </w:rPr>
      </w:pPr>
      <w:r>
        <w:rPr>
          <w:rFonts w:cstheme="minorHAnsi"/>
        </w:rPr>
        <w:br w:type="page"/>
      </w:r>
    </w:p>
    <w:p w14:paraId="005499EC" w14:textId="478D33A6" w:rsidR="002A3601" w:rsidRPr="002A3601" w:rsidRDefault="003513AF" w:rsidP="00020D20">
      <w:pPr>
        <w:jc w:val="both"/>
        <w:rPr>
          <w:rFonts w:cstheme="minorHAnsi"/>
          <w:b/>
        </w:rPr>
      </w:pPr>
      <w:r>
        <w:rPr>
          <w:rFonts w:cstheme="minorHAnsi"/>
          <w:noProof/>
        </w:rPr>
        <mc:AlternateContent>
          <mc:Choice Requires="wps">
            <w:drawing>
              <wp:anchor distT="0" distB="0" distL="114300" distR="114300" simplePos="0" relativeHeight="251618410" behindDoc="1" locked="0" layoutInCell="1" allowOverlap="1" wp14:anchorId="6AE7318D" wp14:editId="3BA1CE85">
                <wp:simplePos x="0" y="0"/>
                <wp:positionH relativeFrom="column">
                  <wp:posOffset>1323975</wp:posOffset>
                </wp:positionH>
                <wp:positionV relativeFrom="paragraph">
                  <wp:posOffset>95250</wp:posOffset>
                </wp:positionV>
                <wp:extent cx="1371600" cy="1352550"/>
                <wp:effectExtent l="95250" t="95250" r="95250" b="95250"/>
                <wp:wrapTight wrapText="bothSides">
                  <wp:wrapPolygon edited="0">
                    <wp:start x="-900" y="-1521"/>
                    <wp:lineTo x="-1500" y="-913"/>
                    <wp:lineTo x="-1200" y="22817"/>
                    <wp:lineTo x="22500" y="22817"/>
                    <wp:lineTo x="22800" y="3955"/>
                    <wp:lineTo x="22200" y="-608"/>
                    <wp:lineTo x="22200" y="-1521"/>
                    <wp:lineTo x="-900" y="-1521"/>
                  </wp:wrapPolygon>
                </wp:wrapTight>
                <wp:docPr id="816286292" name="Text Box 816286292"/>
                <wp:cNvGraphicFramePr/>
                <a:graphic xmlns:a="http://schemas.openxmlformats.org/drawingml/2006/main">
                  <a:graphicData uri="http://schemas.microsoft.com/office/word/2010/wordprocessingShape">
                    <wps:wsp>
                      <wps:cNvSpPr txBox="1"/>
                      <wps:spPr>
                        <a:xfrm>
                          <a:off x="0" y="0"/>
                          <a:ext cx="1371600" cy="13525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C539879" w14:textId="77777777" w:rsidR="00C6444C" w:rsidRDefault="00C6444C" w:rsidP="00020D20">
                            <w:pPr>
                              <w:jc w:val="center"/>
                            </w:pPr>
                            <w:r>
                              <w:rPr>
                                <w:noProof/>
                              </w:rPr>
                              <w:drawing>
                                <wp:inline distT="0" distB="0" distL="0" distR="0" wp14:anchorId="21A0A74C" wp14:editId="0DAF96FB">
                                  <wp:extent cx="457200" cy="457200"/>
                                  <wp:effectExtent l="0" t="0" r="0" b="0"/>
                                  <wp:docPr id="1690912772" name="Picture 169091277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D3DD733" w14:textId="573BDB82" w:rsidR="00C6444C" w:rsidRPr="005A6734" w:rsidRDefault="00C6444C" w:rsidP="00020D20">
                            <w:pPr>
                              <w:pStyle w:val="Calloutboxes"/>
                            </w:pPr>
                            <w:r w:rsidRPr="00394A74">
                              <w:t>FHWA Tribal Transportation Program Fact Sheet:</w:t>
                            </w:r>
                          </w:p>
                          <w:p w14:paraId="7FA83E0C" w14:textId="1125F856" w:rsidR="00C6444C" w:rsidRPr="00020D20" w:rsidRDefault="00202C92">
                            <w:pPr>
                              <w:pStyle w:val="Title"/>
                              <w:rPr>
                                <w:sz w:val="16"/>
                              </w:rPr>
                            </w:pPr>
                            <w:hyperlink r:id="rId1140" w:history="1">
                              <w:r w:rsidR="00C6444C" w:rsidRPr="00020D20">
                                <w:rPr>
                                  <w:rStyle w:val="Hyperlink"/>
                                  <w:rFonts w:ascii="Calibri" w:hAnsi="Calibri" w:cstheme="majorBidi"/>
                                  <w:i/>
                                  <w:iCs w:val="0"/>
                                  <w:color w:val="CE5B18"/>
                                  <w:szCs w:val="56"/>
                                  <w:u w:val="none"/>
                                </w:rPr>
                                <w:t>https://www.fhwa.dot.gov/fastact/factsheets/tribaltransportationfs.cfm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E7318D" id="Text Box 816286292" o:spid="_x0000_s1282" type="#_x0000_t202" style="position:absolute;left:0;text-align:left;margin-left:104.25pt;margin-top:7.5pt;width:108pt;height:106.5pt;z-index:-251698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" fillcolor="#f7f7f7" stroked="f" strokeweight=".5pt">
                <v:shadow on="t" type="perspective" color="black" opacity="26214f" offset="0,0" matrix="66847f,,,66847f"/>
                <v:textbox>
                  <w:txbxContent>
                    <w:p w14:paraId="6C539879" w14:textId="77777777" w:rsidR="00C6444C" w:rsidRDefault="00C6444C" w:rsidP="00020D20">
                      <w:pPr>
                        <w:jc w:val="center"/>
                      </w:pPr>
                      <w:r>
                        <w:rPr>
                          <w:noProof/>
                        </w:rPr>
                        <w:drawing>
                          <wp:inline distT="0" distB="0" distL="0" distR="0" wp14:anchorId="21A0A74C" wp14:editId="0DAF96FB">
                            <wp:extent cx="457200" cy="457200"/>
                            <wp:effectExtent l="0" t="0" r="0" b="0"/>
                            <wp:docPr id="1690912772" name="Picture 169091277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D3DD733" w14:textId="573BDB82" w:rsidR="00C6444C" w:rsidRPr="005A6734" w:rsidRDefault="00C6444C" w:rsidP="00020D20">
                      <w:pPr>
                        <w:pStyle w:val="Calloutboxes"/>
                      </w:pPr>
                      <w:r w:rsidRPr="00394A74">
                        <w:t>FHWA Tribal Transportation Program Fact Sheet:</w:t>
                      </w:r>
                    </w:p>
                    <w:p w14:paraId="7FA83E0C" w14:textId="1125F856" w:rsidR="00C6444C" w:rsidRPr="00020D20" w:rsidRDefault="00C6444C">
                      <w:pPr>
                        <w:pStyle w:val="Title"/>
                        <w:rPr>
                          <w:sz w:val="16"/>
                        </w:rPr>
                      </w:pPr>
                      <w:hyperlink r:id="rId1141" w:history="1">
                        <w:r w:rsidRPr="00020D20">
                          <w:rPr>
                            <w:rStyle w:val="Hyperlink"/>
                            <w:rFonts w:ascii="Calibri" w:hAnsi="Calibri" w:cstheme="majorBidi"/>
                            <w:i/>
                            <w:iCs w:val="0"/>
                            <w:color w:val="CE5B18"/>
                            <w:szCs w:val="56"/>
                            <w:u w:val="none"/>
                          </w:rPr>
                          <w:t>https://www.fhwa.dot.gov/fastact/factsheets/tribaltransportationfs.cfm</w:t>
                        </w:r>
                      </w:hyperlink>
                    </w:p>
                  </w:txbxContent>
                </v:textbox>
                <w10:wrap type="tight"/>
              </v:shape>
            </w:pict>
          </mc:Fallback>
        </mc:AlternateContent>
      </w:r>
      <w:r w:rsidR="00420795" w:rsidRPr="00420795">
        <w:rPr>
          <w:rFonts w:cstheme="minorHAnsi"/>
        </w:rPr>
        <w:t xml:space="preserve">Federal laws and regulations have several provisions pertaining to transportation planning on tribal lands, including a separate tribal funding program. Previously, tribal transportation planning and programs were handled under the </w:t>
      </w:r>
      <w:r w:rsidR="00593B4E">
        <w:rPr>
          <w:rFonts w:cstheme="minorHAnsi"/>
        </w:rPr>
        <w:t>Indian Reservations Roads (</w:t>
      </w:r>
      <w:r w:rsidR="00420795" w:rsidRPr="00420795">
        <w:rPr>
          <w:rFonts w:cstheme="minorHAnsi"/>
        </w:rPr>
        <w:t>IRR</w:t>
      </w:r>
      <w:r w:rsidR="00593B4E">
        <w:rPr>
          <w:rFonts w:cstheme="minorHAnsi"/>
        </w:rPr>
        <w:t>)</w:t>
      </w:r>
      <w:r w:rsidR="00420795" w:rsidRPr="00420795">
        <w:rPr>
          <w:rFonts w:cstheme="minorHAnsi"/>
        </w:rPr>
        <w:t xml:space="preserve"> Program, administered by the CFLHD of the FHWA. The new </w:t>
      </w:r>
      <w:r w:rsidR="00770AC6">
        <w:rPr>
          <w:rFonts w:cstheme="minorHAnsi"/>
        </w:rPr>
        <w:t xml:space="preserve">FAST Act </w:t>
      </w:r>
      <w:r w:rsidR="00420795" w:rsidRPr="00420795">
        <w:rPr>
          <w:rFonts w:cstheme="minorHAnsi"/>
        </w:rPr>
        <w:t>legislation is intended to maintain many of the same goals and obligations of tribal transportation planning; however, certain</w:t>
      </w:r>
      <w:r w:rsidR="002A3601">
        <w:rPr>
          <w:rFonts w:cstheme="minorHAnsi"/>
        </w:rPr>
        <w:t xml:space="preserve"> </w:t>
      </w:r>
      <w:r w:rsidR="002A3601" w:rsidRPr="002A3601">
        <w:rPr>
          <w:rFonts w:cstheme="minorHAnsi"/>
        </w:rPr>
        <w:t>stipulations, including funding formulas and program requirements, have been altered.</w:t>
      </w:r>
      <w:r w:rsidR="00842F3E" w:rsidRPr="00842F3E">
        <w:rPr>
          <w:rFonts w:cstheme="minorHAnsi"/>
        </w:rPr>
        <w:t xml:space="preserve"> </w:t>
      </w:r>
    </w:p>
    <w:p w14:paraId="48A1A7EF" w14:textId="2E2A56E8" w:rsidR="002A3601" w:rsidRPr="002A3601" w:rsidRDefault="00AD27D9" w:rsidP="00020D20">
      <w:pPr>
        <w:jc w:val="both"/>
        <w:rPr>
          <w:rFonts w:cstheme="minorHAnsi"/>
        </w:rPr>
      </w:pPr>
      <w:r>
        <w:rPr>
          <w:rFonts w:cstheme="minorHAnsi"/>
          <w:noProof/>
        </w:rPr>
        <mc:AlternateContent>
          <mc:Choice Requires="wps">
            <w:drawing>
              <wp:anchor distT="0" distB="0" distL="114300" distR="114300" simplePos="0" relativeHeight="251618411" behindDoc="1" locked="0" layoutInCell="1" allowOverlap="1" wp14:anchorId="1376EBA4" wp14:editId="497CA8A5">
                <wp:simplePos x="0" y="0"/>
                <wp:positionH relativeFrom="column">
                  <wp:posOffset>1259840</wp:posOffset>
                </wp:positionH>
                <wp:positionV relativeFrom="paragraph">
                  <wp:posOffset>96520</wp:posOffset>
                </wp:positionV>
                <wp:extent cx="1485900" cy="1996440"/>
                <wp:effectExtent l="95250" t="95250" r="95250" b="99060"/>
                <wp:wrapTight wrapText="bothSides">
                  <wp:wrapPolygon edited="0">
                    <wp:start x="-1108" y="-1031"/>
                    <wp:lineTo x="-1385" y="21435"/>
                    <wp:lineTo x="-831" y="22466"/>
                    <wp:lineTo x="22154" y="22466"/>
                    <wp:lineTo x="22708" y="19374"/>
                    <wp:lineTo x="22431" y="-1031"/>
                    <wp:lineTo x="-1108" y="-1031"/>
                  </wp:wrapPolygon>
                </wp:wrapTight>
                <wp:docPr id="816286294" name="Text Box 816286294"/>
                <wp:cNvGraphicFramePr/>
                <a:graphic xmlns:a="http://schemas.openxmlformats.org/drawingml/2006/main">
                  <a:graphicData uri="http://schemas.microsoft.com/office/word/2010/wordprocessingShape">
                    <wps:wsp>
                      <wps:cNvSpPr txBox="1"/>
                      <wps:spPr>
                        <a:xfrm>
                          <a:off x="0" y="0"/>
                          <a:ext cx="1485900" cy="199644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8BE292E" w14:textId="77777777" w:rsidR="00C6444C" w:rsidRDefault="00C6444C" w:rsidP="00020D20">
                            <w:pPr>
                              <w:jc w:val="center"/>
                            </w:pPr>
                            <w:r>
                              <w:rPr>
                                <w:noProof/>
                              </w:rPr>
                              <w:drawing>
                                <wp:inline distT="0" distB="0" distL="0" distR="0" wp14:anchorId="2C3FC449" wp14:editId="6D0D32F0">
                                  <wp:extent cx="457200" cy="457200"/>
                                  <wp:effectExtent l="0" t="0" r="0" b="0"/>
                                  <wp:docPr id="1690912773" name="Picture 169091277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55D8931" w14:textId="046D4710" w:rsidR="00C6444C" w:rsidRPr="00977A9B" w:rsidRDefault="00C6444C" w:rsidP="00020D20">
                            <w:pPr>
                              <w:pStyle w:val="Calloutboxes"/>
                            </w:pPr>
                            <w:r w:rsidRPr="00394A74">
                              <w:t xml:space="preserve">FTA Public </w:t>
                            </w:r>
                            <w:r w:rsidRPr="005A6734">
                              <w:t>Transportation Program for tribal lands:</w:t>
                            </w:r>
                          </w:p>
                          <w:p w14:paraId="50CAAEC9" w14:textId="37D5ADD1" w:rsidR="00C6444C" w:rsidRPr="00020D20" w:rsidRDefault="00202C92">
                            <w:pPr>
                              <w:pStyle w:val="Title"/>
                              <w:rPr>
                                <w:sz w:val="16"/>
                              </w:rPr>
                            </w:pPr>
                            <w:hyperlink r:id="rId1142" w:history="1">
                              <w:r w:rsidR="00C6444C" w:rsidRPr="00020D20">
                                <w:rPr>
                                  <w:rStyle w:val="Hyperlink"/>
                                  <w:rFonts w:ascii="Calibri" w:hAnsi="Calibri" w:cstheme="majorBidi"/>
                                  <w:i/>
                                  <w:iCs w:val="0"/>
                                  <w:color w:val="CE5B18"/>
                                  <w:szCs w:val="56"/>
                                  <w:u w:val="none"/>
                                </w:rPr>
                                <w:t>https://www.transit.dot.gov/funding/grants/applying/public-transportation-indian-reservations-2013-nofa</w:t>
                              </w:r>
                            </w:hyperlink>
                          </w:p>
                          <w:p w14:paraId="23A4793B" w14:textId="6D393B37" w:rsidR="00C6444C" w:rsidRPr="005A6734" w:rsidRDefault="00C6444C" w:rsidP="00020D20">
                            <w:pPr>
                              <w:pStyle w:val="Calloutboxes"/>
                            </w:pPr>
                            <w:r w:rsidRPr="00394A74">
                              <w:t>FTA Section 5311 Fact Sheet:</w:t>
                            </w:r>
                          </w:p>
                          <w:p w14:paraId="2BF8078A" w14:textId="6A9D94B3" w:rsidR="00C6444C" w:rsidRPr="00020D20" w:rsidRDefault="00202C92">
                            <w:pPr>
                              <w:pStyle w:val="Title"/>
                              <w:rPr>
                                <w:sz w:val="16"/>
                              </w:rPr>
                            </w:pPr>
                            <w:hyperlink r:id="rId1143" w:history="1">
                              <w:r w:rsidR="00C6444C" w:rsidRPr="00020D20">
                                <w:rPr>
                                  <w:rStyle w:val="Hyperlink"/>
                                  <w:rFonts w:ascii="Calibri" w:hAnsi="Calibri" w:cstheme="majorBidi"/>
                                  <w:i/>
                                  <w:iCs w:val="0"/>
                                  <w:color w:val="CE5B18"/>
                                  <w:szCs w:val="56"/>
                                  <w:u w:val="none"/>
                                </w:rPr>
                                <w:t>https://www.transit.dot.gov/funding/grants/formula-grants-rural-areas-fact-sheet-section-5311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76EBA4" id="Text Box 816286294" o:spid="_x0000_s1283" type="#_x0000_t202" style="position:absolute;left:0;text-align:left;margin-left:99.2pt;margin-top:7.6pt;width:117pt;height:157.2pt;z-index:-2516980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" fillcolor="#f7f7f7" stroked="f" strokeweight=".5pt">
                <v:shadow on="t" type="perspective" color="black" opacity="26214f" offset="0,0" matrix="66847f,,,66847f"/>
                <v:textbox>
                  <w:txbxContent>
                    <w:p w14:paraId="18BE292E" w14:textId="77777777" w:rsidR="00C6444C" w:rsidRDefault="00C6444C" w:rsidP="00020D20">
                      <w:pPr>
                        <w:jc w:val="center"/>
                      </w:pPr>
                      <w:r>
                        <w:rPr>
                          <w:noProof/>
                        </w:rPr>
                        <w:drawing>
                          <wp:inline distT="0" distB="0" distL="0" distR="0" wp14:anchorId="2C3FC449" wp14:editId="6D0D32F0">
                            <wp:extent cx="457200" cy="457200"/>
                            <wp:effectExtent l="0" t="0" r="0" b="0"/>
                            <wp:docPr id="1690912773" name="Picture 1690912773">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55D8931" w14:textId="046D4710" w:rsidR="00C6444C" w:rsidRPr="00977A9B" w:rsidRDefault="00C6444C" w:rsidP="00020D20">
                      <w:pPr>
                        <w:pStyle w:val="Calloutboxes"/>
                      </w:pPr>
                      <w:r w:rsidRPr="00394A74">
                        <w:t xml:space="preserve">FTA Public </w:t>
                      </w:r>
                      <w:r w:rsidRPr="005A6734">
                        <w:t>Transportation Program for tribal lands:</w:t>
                      </w:r>
                    </w:p>
                    <w:p w14:paraId="50CAAEC9" w14:textId="37D5ADD1" w:rsidR="00C6444C" w:rsidRPr="00020D20" w:rsidRDefault="00C6444C">
                      <w:pPr>
                        <w:pStyle w:val="Title"/>
                        <w:rPr>
                          <w:sz w:val="16"/>
                        </w:rPr>
                      </w:pPr>
                      <w:hyperlink r:id="rId1144" w:history="1">
                        <w:r w:rsidRPr="00020D20">
                          <w:rPr>
                            <w:rStyle w:val="Hyperlink"/>
                            <w:rFonts w:ascii="Calibri" w:hAnsi="Calibri" w:cstheme="majorBidi"/>
                            <w:i/>
                            <w:iCs w:val="0"/>
                            <w:color w:val="CE5B18"/>
                            <w:szCs w:val="56"/>
                            <w:u w:val="none"/>
                          </w:rPr>
                          <w:t>https://www.transit.dot.gov/funding/grants/applying/public-transportation-indian-reservations-2013-nofa</w:t>
                        </w:r>
                      </w:hyperlink>
                    </w:p>
                    <w:p w14:paraId="23A4793B" w14:textId="6D393B37" w:rsidR="00C6444C" w:rsidRPr="005A6734" w:rsidRDefault="00C6444C" w:rsidP="00020D20">
                      <w:pPr>
                        <w:pStyle w:val="Calloutboxes"/>
                      </w:pPr>
                      <w:r w:rsidRPr="00394A74">
                        <w:t>FTA Section 5311 Fact Sheet:</w:t>
                      </w:r>
                    </w:p>
                    <w:p w14:paraId="2BF8078A" w14:textId="6A9D94B3" w:rsidR="00C6444C" w:rsidRPr="00020D20" w:rsidRDefault="00C6444C">
                      <w:pPr>
                        <w:pStyle w:val="Title"/>
                        <w:rPr>
                          <w:sz w:val="16"/>
                        </w:rPr>
                      </w:pPr>
                      <w:hyperlink r:id="rId1145" w:history="1">
                        <w:r w:rsidRPr="00020D20">
                          <w:rPr>
                            <w:rStyle w:val="Hyperlink"/>
                            <w:rFonts w:ascii="Calibri" w:hAnsi="Calibri" w:cstheme="majorBidi"/>
                            <w:i/>
                            <w:iCs w:val="0"/>
                            <w:color w:val="CE5B18"/>
                            <w:szCs w:val="56"/>
                            <w:u w:val="none"/>
                          </w:rPr>
                          <w:t>https://www.transit.dot.gov/funding/grants/formula-grants-rural-areas-fact-sheet-section-5311</w:t>
                        </w:r>
                      </w:hyperlink>
                    </w:p>
                  </w:txbxContent>
                </v:textbox>
                <w10:wrap type="tight"/>
              </v:shape>
            </w:pict>
          </mc:Fallback>
        </mc:AlternateContent>
      </w:r>
      <w:r w:rsidR="002A3601" w:rsidRPr="002A3601">
        <w:rPr>
          <w:rFonts w:cstheme="minorHAnsi"/>
        </w:rPr>
        <w:t xml:space="preserve">The regulations for this program, found in </w:t>
      </w:r>
      <w:hyperlink r:id="rId1146" w:history="1">
        <w:r w:rsidR="002A3601" w:rsidRPr="00020D20">
          <w:rPr>
            <w:rStyle w:val="TitleChar"/>
          </w:rPr>
          <w:t xml:space="preserve">25 </w:t>
        </w:r>
        <w:r w:rsidR="009628C0">
          <w:rPr>
            <w:rStyle w:val="TitleChar"/>
          </w:rPr>
          <w:t xml:space="preserve">C.F.R. </w:t>
        </w:r>
        <w:r w:rsidR="002A3601" w:rsidRPr="00020D20">
          <w:rPr>
            <w:rStyle w:val="TitleChar"/>
          </w:rPr>
          <w:t>§ 170</w:t>
        </w:r>
      </w:hyperlink>
      <w:r w:rsidR="002A3601" w:rsidRPr="002A3601">
        <w:rPr>
          <w:rFonts w:cstheme="minorHAnsi"/>
        </w:rPr>
        <w:t>, state that a participating tribe must inform the state DOT and, as appropriate, any MPO of its transportation planning process to ensure any programs and projects adjacent to tribal lands are consistent and appropriate with tribal needs and interests. ADOT recommends that the same level of coordination occur with COGs as there are several tribal governments that conduct transportation planning activities but are not within an MPO.</w:t>
      </w:r>
    </w:p>
    <w:p w14:paraId="7CB45450" w14:textId="0F03536E" w:rsidR="002A3601" w:rsidRPr="002A3601" w:rsidRDefault="002A3601" w:rsidP="00020D20">
      <w:pPr>
        <w:jc w:val="both"/>
        <w:rPr>
          <w:rFonts w:cstheme="minorHAnsi"/>
        </w:rPr>
      </w:pPr>
      <w:r w:rsidRPr="002A3601">
        <w:rPr>
          <w:rFonts w:cstheme="minorHAnsi"/>
        </w:rPr>
        <w:t xml:space="preserve">The FHWA provides several resources related to Tribal Transportation and </w:t>
      </w:r>
      <w:r w:rsidR="00770AC6">
        <w:rPr>
          <w:rFonts w:cstheme="minorHAnsi"/>
        </w:rPr>
        <w:t>FAST Act</w:t>
      </w:r>
      <w:r w:rsidRPr="002A3601">
        <w:rPr>
          <w:rFonts w:cstheme="minorHAnsi"/>
        </w:rPr>
        <w:t xml:space="preserve"> regulations.</w:t>
      </w:r>
      <w:r w:rsidR="00AA3FC3" w:rsidRPr="002A3601">
        <w:rPr>
          <w:rFonts w:cstheme="minorHAnsi"/>
        </w:rPr>
        <w:t xml:space="preserve"> </w:t>
      </w:r>
      <w:r w:rsidRPr="002A3601">
        <w:rPr>
          <w:rFonts w:cstheme="minorHAnsi"/>
        </w:rPr>
        <w:t>The FTA provides specific grant information for public transportation on tribal lands.</w:t>
      </w:r>
    </w:p>
    <w:p w14:paraId="2D137D25" w14:textId="77777777" w:rsidR="002A3601" w:rsidRPr="002A3601" w:rsidRDefault="002A3601" w:rsidP="00020D20">
      <w:pPr>
        <w:pStyle w:val="Heading3"/>
        <w:jc w:val="both"/>
      </w:pPr>
      <w:bookmarkStart w:id="675" w:name="_Ref50049882"/>
      <w:r w:rsidRPr="002A3601">
        <w:t>17.6.4 | Tribes in Arizona</w:t>
      </w:r>
      <w:bookmarkEnd w:id="675"/>
    </w:p>
    <w:p w14:paraId="5FB4C67C" w14:textId="0DA45A90" w:rsidR="002B1DA4" w:rsidRDefault="002A3601" w:rsidP="00020D20">
      <w:pPr>
        <w:jc w:val="both"/>
        <w:rPr>
          <w:rFonts w:cstheme="minorHAnsi"/>
        </w:rPr>
      </w:pPr>
      <w:r w:rsidRPr="002A3601">
        <w:rPr>
          <w:rFonts w:cstheme="minorHAnsi"/>
        </w:rPr>
        <w:t xml:space="preserve">There are 22 federally recognized Indian tribes and Native nations in Arizona, which encompass more than 28 percent of the state land area. </w:t>
      </w:r>
      <w:r w:rsidR="007C203E">
        <w:rPr>
          <w:rFonts w:cstheme="minorHAnsi"/>
        </w:rPr>
        <w:t>T</w:t>
      </w:r>
      <w:r w:rsidRPr="002A3601">
        <w:rPr>
          <w:rFonts w:cstheme="minorHAnsi"/>
        </w:rPr>
        <w:t>here are</w:t>
      </w:r>
      <w:r w:rsidR="007C203E">
        <w:rPr>
          <w:rFonts w:cstheme="minorHAnsi"/>
        </w:rPr>
        <w:t xml:space="preserve"> also</w:t>
      </w:r>
      <w:r w:rsidRPr="002A3601">
        <w:rPr>
          <w:rFonts w:cstheme="minorHAnsi"/>
        </w:rPr>
        <w:t xml:space="preserve"> seven tribes from out of state that have ancestral land interests in Arizona.</w:t>
      </w:r>
    </w:p>
    <w:p w14:paraId="5D9637D0" w14:textId="02902A8C" w:rsidR="0087264D" w:rsidRDefault="0087264D" w:rsidP="00020D20">
      <w:pPr>
        <w:pStyle w:val="Heading4"/>
      </w:pPr>
      <w:r w:rsidRPr="002A3601">
        <w:t>Table 17.6-2 | Indian and Native Nations in Arizona</w:t>
      </w:r>
    </w:p>
    <w:tbl>
      <w:tblPr>
        <w:tblW w:w="4505" w:type="dxa"/>
        <w:tblInd w:w="-10" w:type="dxa"/>
        <w:tblLayout w:type="fixed"/>
        <w:tblCellMar>
          <w:left w:w="0" w:type="dxa"/>
          <w:right w:w="0" w:type="dxa"/>
        </w:tblCellMar>
        <w:tblLook w:val="0000" w:firstRow="0" w:lastRow="0" w:firstColumn="0" w:lastColumn="0" w:noHBand="0" w:noVBand="0"/>
      </w:tblPr>
      <w:tblGrid>
        <w:gridCol w:w="2435"/>
        <w:gridCol w:w="1041"/>
        <w:gridCol w:w="1029"/>
      </w:tblGrid>
      <w:tr w:rsidR="0087264D" w:rsidRPr="008A05BA" w14:paraId="5A5DB208" w14:textId="77777777" w:rsidTr="00020D20">
        <w:trPr>
          <w:trHeight w:val="215"/>
        </w:trPr>
        <w:tc>
          <w:tcPr>
            <w:tcW w:w="2435" w:type="dxa"/>
            <w:tcBorders>
              <w:top w:val="single" w:sz="4" w:space="0" w:color="auto"/>
              <w:left w:val="single" w:sz="4" w:space="0" w:color="auto"/>
              <w:bottom w:val="single" w:sz="4" w:space="0" w:color="auto"/>
              <w:right w:val="single" w:sz="4" w:space="0" w:color="FFFFFF" w:themeColor="background1"/>
            </w:tcBorders>
            <w:shd w:val="clear" w:color="auto" w:fill="012768"/>
            <w:tcMar>
              <w:top w:w="90" w:type="dxa"/>
              <w:left w:w="90" w:type="dxa"/>
              <w:bottom w:w="90" w:type="dxa"/>
              <w:right w:w="90" w:type="dxa"/>
            </w:tcMar>
            <w:vAlign w:val="center"/>
          </w:tcPr>
          <w:p w14:paraId="75B09C4D" w14:textId="77777777" w:rsidR="0087264D" w:rsidRPr="00020D20" w:rsidRDefault="0087264D">
            <w:pPr>
              <w:spacing w:before="0" w:after="0" w:line="240" w:lineRule="auto"/>
              <w:jc w:val="center"/>
            </w:pPr>
            <w:r w:rsidRPr="00020D20">
              <w:t>Tribes &amp; Native Nations</w:t>
            </w:r>
          </w:p>
        </w:tc>
        <w:tc>
          <w:tcPr>
            <w:tcW w:w="104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12768"/>
            <w:tcMar>
              <w:top w:w="90" w:type="dxa"/>
              <w:left w:w="90" w:type="dxa"/>
              <w:bottom w:w="90" w:type="dxa"/>
              <w:right w:w="90" w:type="dxa"/>
            </w:tcMar>
            <w:vAlign w:val="center"/>
          </w:tcPr>
          <w:p w14:paraId="13692024" w14:textId="77777777" w:rsidR="0087264D" w:rsidRPr="00020D20" w:rsidRDefault="0087264D">
            <w:pPr>
              <w:spacing w:before="0" w:after="0" w:line="240" w:lineRule="auto"/>
              <w:jc w:val="center"/>
            </w:pPr>
            <w:r w:rsidRPr="00020D20">
              <w:t>MPO</w:t>
            </w:r>
          </w:p>
        </w:tc>
        <w:tc>
          <w:tcPr>
            <w:tcW w:w="1029" w:type="dxa"/>
            <w:tcBorders>
              <w:top w:val="single" w:sz="4" w:space="0" w:color="auto"/>
              <w:left w:val="single" w:sz="4" w:space="0" w:color="FFFFFF" w:themeColor="background1"/>
              <w:bottom w:val="single" w:sz="4" w:space="0" w:color="auto"/>
              <w:right w:val="single" w:sz="4" w:space="0" w:color="auto"/>
            </w:tcBorders>
            <w:shd w:val="clear" w:color="auto" w:fill="012768"/>
            <w:tcMar>
              <w:top w:w="90" w:type="dxa"/>
              <w:left w:w="90" w:type="dxa"/>
              <w:bottom w:w="90" w:type="dxa"/>
              <w:right w:w="90" w:type="dxa"/>
            </w:tcMar>
            <w:vAlign w:val="center"/>
          </w:tcPr>
          <w:p w14:paraId="4302B81B" w14:textId="77777777" w:rsidR="0087264D" w:rsidRPr="00020D20" w:rsidRDefault="0087264D">
            <w:pPr>
              <w:spacing w:before="0" w:after="0" w:line="240" w:lineRule="auto"/>
              <w:jc w:val="center"/>
            </w:pPr>
            <w:r w:rsidRPr="00020D20">
              <w:t>COG</w:t>
            </w:r>
          </w:p>
        </w:tc>
      </w:tr>
      <w:tr w:rsidR="0087264D" w:rsidRPr="002A3601" w14:paraId="3287871A" w14:textId="77777777" w:rsidTr="00020D20">
        <w:trPr>
          <w:trHeight w:val="288"/>
        </w:trPr>
        <w:tc>
          <w:tcPr>
            <w:tcW w:w="2435" w:type="dxa"/>
            <w:tcBorders>
              <w:top w:val="single" w:sz="4" w:space="0" w:color="auto"/>
              <w:left w:val="single" w:sz="8" w:space="0" w:color="58585B"/>
              <w:bottom w:val="single" w:sz="4" w:space="0" w:color="auto"/>
              <w:right w:val="single" w:sz="8" w:space="0" w:color="58585B"/>
            </w:tcBorders>
            <w:tcMar>
              <w:top w:w="58" w:type="dxa"/>
              <w:left w:w="58" w:type="dxa"/>
              <w:bottom w:w="58" w:type="dxa"/>
              <w:right w:w="58" w:type="dxa"/>
            </w:tcMar>
            <w:vAlign w:val="center"/>
          </w:tcPr>
          <w:p w14:paraId="5783CF05" w14:textId="77777777" w:rsidR="0087264D" w:rsidRPr="00F45665" w:rsidRDefault="0087264D" w:rsidP="00AB1D58">
            <w:pPr>
              <w:spacing w:before="0" w:after="0" w:line="240" w:lineRule="auto"/>
              <w:jc w:val="center"/>
              <w:rPr>
                <w:sz w:val="16"/>
              </w:rPr>
            </w:pPr>
            <w:r w:rsidRPr="00F45665">
              <w:rPr>
                <w:sz w:val="16"/>
              </w:rPr>
              <w:t>Ak-Chin Indian Community</w:t>
            </w:r>
          </w:p>
        </w:tc>
        <w:tc>
          <w:tcPr>
            <w:tcW w:w="1041" w:type="dxa"/>
            <w:tcBorders>
              <w:top w:val="single" w:sz="4" w:space="0" w:color="auto"/>
              <w:left w:val="single" w:sz="8" w:space="0" w:color="58585B"/>
              <w:bottom w:val="single" w:sz="4" w:space="0" w:color="auto"/>
              <w:right w:val="single" w:sz="8" w:space="0" w:color="58585B"/>
            </w:tcBorders>
            <w:tcMar>
              <w:top w:w="58" w:type="dxa"/>
              <w:left w:w="58" w:type="dxa"/>
              <w:bottom w:w="58" w:type="dxa"/>
              <w:right w:w="58" w:type="dxa"/>
            </w:tcMar>
            <w:vAlign w:val="center"/>
          </w:tcPr>
          <w:p w14:paraId="76A9E527" w14:textId="77777777" w:rsidR="0087264D" w:rsidRPr="00F45665" w:rsidRDefault="0087264D" w:rsidP="00AB1D58">
            <w:pPr>
              <w:spacing w:before="0" w:after="0" w:line="240" w:lineRule="auto"/>
              <w:jc w:val="center"/>
              <w:rPr>
                <w:sz w:val="16"/>
              </w:rPr>
            </w:pPr>
            <w:r w:rsidRPr="00F45665">
              <w:rPr>
                <w:sz w:val="16"/>
              </w:rPr>
              <w:t>MAG</w:t>
            </w:r>
          </w:p>
        </w:tc>
        <w:tc>
          <w:tcPr>
            <w:tcW w:w="1029" w:type="dxa"/>
            <w:tcBorders>
              <w:top w:val="single" w:sz="4" w:space="0" w:color="auto"/>
              <w:left w:val="single" w:sz="8" w:space="0" w:color="58585B"/>
              <w:bottom w:val="single" w:sz="4" w:space="0" w:color="auto"/>
              <w:right w:val="single" w:sz="8" w:space="0" w:color="58585B"/>
            </w:tcBorders>
            <w:tcMar>
              <w:top w:w="58" w:type="dxa"/>
              <w:left w:w="58" w:type="dxa"/>
              <w:bottom w:w="58" w:type="dxa"/>
              <w:right w:w="58" w:type="dxa"/>
            </w:tcMar>
            <w:vAlign w:val="center"/>
          </w:tcPr>
          <w:p w14:paraId="6EC91069" w14:textId="77777777" w:rsidR="0087264D" w:rsidRPr="00F45665" w:rsidRDefault="0087264D" w:rsidP="00AB1D58">
            <w:pPr>
              <w:spacing w:before="0" w:after="0" w:line="240" w:lineRule="auto"/>
              <w:jc w:val="center"/>
              <w:rPr>
                <w:sz w:val="16"/>
              </w:rPr>
            </w:pPr>
            <w:r w:rsidRPr="00F45665">
              <w:rPr>
                <w:sz w:val="16"/>
              </w:rPr>
              <w:t>CAG</w:t>
            </w:r>
          </w:p>
        </w:tc>
      </w:tr>
      <w:tr w:rsidR="0087264D" w:rsidRPr="002A3601" w14:paraId="2D671EBC"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456CD22" w14:textId="77777777" w:rsidR="0087264D" w:rsidRPr="00F45665" w:rsidRDefault="0087264D" w:rsidP="00AB1D58">
            <w:pPr>
              <w:spacing w:before="0" w:after="0" w:line="240" w:lineRule="auto"/>
              <w:jc w:val="center"/>
              <w:rPr>
                <w:sz w:val="16"/>
              </w:rPr>
            </w:pPr>
            <w:r w:rsidRPr="00F45665">
              <w:rPr>
                <w:sz w:val="16"/>
              </w:rPr>
              <w:t>Cocopah Indian Tribe</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1085F46" w14:textId="77777777" w:rsidR="0087264D" w:rsidRPr="00F45665" w:rsidRDefault="0087264D" w:rsidP="00AB1D58">
            <w:pPr>
              <w:spacing w:before="0" w:after="0" w:line="240" w:lineRule="auto"/>
              <w:jc w:val="center"/>
              <w:rPr>
                <w:sz w:val="16"/>
              </w:rPr>
            </w:pPr>
            <w:r w:rsidRPr="00F45665">
              <w:rPr>
                <w:sz w:val="16"/>
              </w:rPr>
              <w:t>YMPO</w:t>
            </w: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93BFD0A" w14:textId="77777777" w:rsidR="0087264D" w:rsidRPr="00F45665" w:rsidRDefault="0087264D" w:rsidP="00AB1D58">
            <w:pPr>
              <w:spacing w:before="0" w:after="0" w:line="240" w:lineRule="auto"/>
              <w:jc w:val="center"/>
              <w:rPr>
                <w:sz w:val="16"/>
              </w:rPr>
            </w:pPr>
            <w:r w:rsidRPr="00F45665">
              <w:rPr>
                <w:sz w:val="16"/>
              </w:rPr>
              <w:t>WACOG</w:t>
            </w:r>
          </w:p>
        </w:tc>
      </w:tr>
      <w:tr w:rsidR="0087264D" w:rsidRPr="002A3601" w14:paraId="474EF779"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812CB51" w14:textId="77777777" w:rsidR="0087264D" w:rsidRPr="00F45665" w:rsidRDefault="0087264D" w:rsidP="00AB1D58">
            <w:pPr>
              <w:spacing w:before="0" w:after="0" w:line="240" w:lineRule="auto"/>
              <w:jc w:val="center"/>
              <w:rPr>
                <w:sz w:val="16"/>
              </w:rPr>
            </w:pPr>
            <w:r w:rsidRPr="00F45665">
              <w:rPr>
                <w:sz w:val="16"/>
              </w:rPr>
              <w:t>Colorado River Indian Tribes</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340EC508"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35A99F3F" w14:textId="77777777" w:rsidR="0087264D" w:rsidRPr="00F45665" w:rsidRDefault="0087264D" w:rsidP="00AB1D58">
            <w:pPr>
              <w:spacing w:before="0" w:after="0" w:line="240" w:lineRule="auto"/>
              <w:jc w:val="center"/>
              <w:rPr>
                <w:sz w:val="16"/>
              </w:rPr>
            </w:pPr>
            <w:r w:rsidRPr="00F45665">
              <w:rPr>
                <w:sz w:val="16"/>
              </w:rPr>
              <w:t>WACOG</w:t>
            </w:r>
          </w:p>
        </w:tc>
      </w:tr>
      <w:tr w:rsidR="0087264D" w:rsidRPr="002A3601" w14:paraId="7A0A7CF4"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B78B0A7" w14:textId="77777777" w:rsidR="0087264D" w:rsidRPr="00F45665" w:rsidRDefault="0087264D" w:rsidP="00AB1D58">
            <w:pPr>
              <w:spacing w:before="0" w:after="0" w:line="240" w:lineRule="auto"/>
              <w:jc w:val="center"/>
              <w:rPr>
                <w:sz w:val="16"/>
              </w:rPr>
            </w:pPr>
            <w:r w:rsidRPr="00F45665">
              <w:rPr>
                <w:sz w:val="16"/>
              </w:rPr>
              <w:t>Fort McDowell Yavapai Nation</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201DCC63" w14:textId="77777777" w:rsidR="0087264D" w:rsidRPr="00F45665" w:rsidRDefault="0087264D" w:rsidP="00AB1D58">
            <w:pPr>
              <w:spacing w:before="0" w:after="0" w:line="240" w:lineRule="auto"/>
              <w:jc w:val="center"/>
              <w:rPr>
                <w:sz w:val="16"/>
              </w:rPr>
            </w:pPr>
            <w:r w:rsidRPr="00F45665">
              <w:rPr>
                <w:sz w:val="16"/>
              </w:rPr>
              <w:t>MAG</w:t>
            </w: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236C403" w14:textId="77777777" w:rsidR="0087264D" w:rsidRPr="00F45665" w:rsidRDefault="0087264D" w:rsidP="00AB1D58">
            <w:pPr>
              <w:spacing w:before="0" w:after="0" w:line="240" w:lineRule="auto"/>
              <w:jc w:val="center"/>
              <w:rPr>
                <w:sz w:val="16"/>
              </w:rPr>
            </w:pPr>
          </w:p>
        </w:tc>
      </w:tr>
      <w:tr w:rsidR="0087264D" w:rsidRPr="002A3601" w14:paraId="70840648"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7F68A2FC" w14:textId="77777777" w:rsidR="0087264D" w:rsidRPr="00F45665" w:rsidRDefault="0087264D" w:rsidP="00AB1D58">
            <w:pPr>
              <w:spacing w:before="0" w:after="0" w:line="240" w:lineRule="auto"/>
              <w:jc w:val="center"/>
              <w:rPr>
                <w:sz w:val="16"/>
              </w:rPr>
            </w:pPr>
            <w:r w:rsidRPr="00F45665">
              <w:rPr>
                <w:sz w:val="16"/>
              </w:rPr>
              <w:t>Fort Mojave Indian Tribe</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C41919C"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2A7BF573" w14:textId="77777777" w:rsidR="0087264D" w:rsidRPr="00F45665" w:rsidRDefault="0087264D" w:rsidP="00AB1D58">
            <w:pPr>
              <w:spacing w:before="0" w:after="0" w:line="240" w:lineRule="auto"/>
              <w:jc w:val="center"/>
              <w:rPr>
                <w:sz w:val="16"/>
              </w:rPr>
            </w:pPr>
            <w:r w:rsidRPr="00F45665">
              <w:rPr>
                <w:sz w:val="16"/>
              </w:rPr>
              <w:t>WACOG</w:t>
            </w:r>
          </w:p>
        </w:tc>
      </w:tr>
      <w:tr w:rsidR="0087264D" w:rsidRPr="002A3601" w14:paraId="6F0CF13F"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3F1D944" w14:textId="77777777" w:rsidR="0087264D" w:rsidRPr="00F45665" w:rsidRDefault="0087264D" w:rsidP="00AB1D58">
            <w:pPr>
              <w:spacing w:before="0" w:after="0" w:line="240" w:lineRule="auto"/>
              <w:jc w:val="center"/>
              <w:rPr>
                <w:sz w:val="16"/>
              </w:rPr>
            </w:pPr>
            <w:r w:rsidRPr="00F45665">
              <w:rPr>
                <w:sz w:val="16"/>
              </w:rPr>
              <w:t>Fort Yuma Quechan Indian Tribe</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4028C8C4" w14:textId="77777777" w:rsidR="0087264D" w:rsidRPr="00F45665" w:rsidRDefault="0087264D" w:rsidP="00AB1D58">
            <w:pPr>
              <w:spacing w:before="0" w:after="0" w:line="240" w:lineRule="auto"/>
              <w:jc w:val="center"/>
              <w:rPr>
                <w:sz w:val="16"/>
              </w:rPr>
            </w:pPr>
            <w:r w:rsidRPr="00F45665">
              <w:rPr>
                <w:sz w:val="16"/>
              </w:rPr>
              <w:t>YMPO</w:t>
            </w: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77AAD07B" w14:textId="77777777" w:rsidR="0087264D" w:rsidRPr="00F45665" w:rsidRDefault="0087264D" w:rsidP="00AB1D58">
            <w:pPr>
              <w:spacing w:before="0" w:after="0" w:line="240" w:lineRule="auto"/>
              <w:jc w:val="center"/>
              <w:rPr>
                <w:sz w:val="16"/>
              </w:rPr>
            </w:pPr>
          </w:p>
        </w:tc>
      </w:tr>
      <w:tr w:rsidR="0087264D" w:rsidRPr="002A3601" w14:paraId="559757F5"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5E8FF3BF" w14:textId="77777777" w:rsidR="0087264D" w:rsidRPr="00F45665" w:rsidRDefault="0087264D" w:rsidP="00AB1D58">
            <w:pPr>
              <w:spacing w:before="0" w:after="0" w:line="240" w:lineRule="auto"/>
              <w:jc w:val="center"/>
              <w:rPr>
                <w:sz w:val="16"/>
              </w:rPr>
            </w:pPr>
            <w:r w:rsidRPr="00F45665">
              <w:rPr>
                <w:sz w:val="16"/>
              </w:rPr>
              <w:t>Gila River Indian Community</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5386DBF3" w14:textId="77777777" w:rsidR="0087264D" w:rsidRPr="00F45665" w:rsidRDefault="0087264D" w:rsidP="00AB1D58">
            <w:pPr>
              <w:spacing w:before="0" w:after="0" w:line="240" w:lineRule="auto"/>
              <w:jc w:val="center"/>
              <w:rPr>
                <w:sz w:val="16"/>
              </w:rPr>
            </w:pPr>
            <w:r w:rsidRPr="00F45665">
              <w:rPr>
                <w:sz w:val="16"/>
              </w:rPr>
              <w:t>MAG</w:t>
            </w: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77B0D2E3" w14:textId="77777777" w:rsidR="0087264D" w:rsidRPr="00F45665" w:rsidRDefault="0087264D" w:rsidP="00AB1D58">
            <w:pPr>
              <w:spacing w:before="0" w:after="0" w:line="240" w:lineRule="auto"/>
              <w:jc w:val="center"/>
              <w:rPr>
                <w:sz w:val="16"/>
              </w:rPr>
            </w:pPr>
            <w:r w:rsidRPr="00F45665">
              <w:rPr>
                <w:sz w:val="16"/>
              </w:rPr>
              <w:t>CAG</w:t>
            </w:r>
          </w:p>
        </w:tc>
      </w:tr>
      <w:tr w:rsidR="0087264D" w:rsidRPr="002A3601" w14:paraId="4D96F743"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2A1637D5" w14:textId="77777777" w:rsidR="0087264D" w:rsidRPr="00F45665" w:rsidRDefault="0087264D" w:rsidP="00AB1D58">
            <w:pPr>
              <w:spacing w:before="0" w:after="0" w:line="240" w:lineRule="auto"/>
              <w:jc w:val="center"/>
              <w:rPr>
                <w:sz w:val="16"/>
              </w:rPr>
            </w:pPr>
            <w:r w:rsidRPr="00F45665">
              <w:rPr>
                <w:sz w:val="16"/>
              </w:rPr>
              <w:t>Havasupai Tribe</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168BA73"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9C59FFA" w14:textId="77777777" w:rsidR="0087264D" w:rsidRPr="00F45665" w:rsidRDefault="0087264D" w:rsidP="00AB1D58">
            <w:pPr>
              <w:spacing w:before="0" w:after="0" w:line="240" w:lineRule="auto"/>
              <w:jc w:val="center"/>
              <w:rPr>
                <w:sz w:val="16"/>
              </w:rPr>
            </w:pPr>
            <w:r w:rsidRPr="00F45665">
              <w:rPr>
                <w:sz w:val="16"/>
              </w:rPr>
              <w:t>NACOG</w:t>
            </w:r>
          </w:p>
        </w:tc>
      </w:tr>
      <w:tr w:rsidR="0087264D" w:rsidRPr="002A3601" w14:paraId="131581D3"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33989D15" w14:textId="77777777" w:rsidR="0087264D" w:rsidRPr="00F45665" w:rsidRDefault="0087264D" w:rsidP="00AB1D58">
            <w:pPr>
              <w:spacing w:before="0" w:after="0" w:line="240" w:lineRule="auto"/>
              <w:jc w:val="center"/>
              <w:rPr>
                <w:sz w:val="16"/>
              </w:rPr>
            </w:pPr>
            <w:r w:rsidRPr="00F45665">
              <w:rPr>
                <w:sz w:val="16"/>
              </w:rPr>
              <w:t>Hopi Tribe</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00CEFD02"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1FCCE90E" w14:textId="77777777" w:rsidR="0087264D" w:rsidRPr="00F45665" w:rsidRDefault="0087264D" w:rsidP="00AB1D58">
            <w:pPr>
              <w:spacing w:before="0" w:after="0" w:line="240" w:lineRule="auto"/>
              <w:jc w:val="center"/>
              <w:rPr>
                <w:sz w:val="16"/>
              </w:rPr>
            </w:pPr>
            <w:r w:rsidRPr="00F45665">
              <w:rPr>
                <w:sz w:val="16"/>
              </w:rPr>
              <w:t>NACOG</w:t>
            </w:r>
          </w:p>
        </w:tc>
      </w:tr>
      <w:tr w:rsidR="0087264D" w:rsidRPr="002A3601" w14:paraId="281E2B86"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B22426C" w14:textId="77777777" w:rsidR="0087264D" w:rsidRPr="00F45665" w:rsidRDefault="0087264D" w:rsidP="00AB1D58">
            <w:pPr>
              <w:spacing w:before="0" w:after="0" w:line="240" w:lineRule="auto"/>
              <w:jc w:val="center"/>
              <w:rPr>
                <w:sz w:val="16"/>
              </w:rPr>
            </w:pPr>
            <w:r w:rsidRPr="00F45665">
              <w:rPr>
                <w:sz w:val="16"/>
              </w:rPr>
              <w:t>Hualapai Indian Tribe</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2C5B055C"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AE96D98" w14:textId="77777777" w:rsidR="0087264D" w:rsidRPr="00F45665" w:rsidRDefault="0087264D" w:rsidP="00AB1D58">
            <w:pPr>
              <w:spacing w:before="0" w:after="0" w:line="240" w:lineRule="auto"/>
              <w:jc w:val="center"/>
              <w:rPr>
                <w:sz w:val="16"/>
              </w:rPr>
            </w:pPr>
            <w:r w:rsidRPr="00F45665">
              <w:rPr>
                <w:sz w:val="16"/>
              </w:rPr>
              <w:t>NACOG, WACOG</w:t>
            </w:r>
          </w:p>
        </w:tc>
      </w:tr>
      <w:tr w:rsidR="0087264D" w:rsidRPr="002A3601" w14:paraId="35DA885C"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28787C36" w14:textId="77777777" w:rsidR="0087264D" w:rsidRPr="00F45665" w:rsidRDefault="0087264D" w:rsidP="00AB1D58">
            <w:pPr>
              <w:spacing w:before="0" w:after="0" w:line="240" w:lineRule="auto"/>
              <w:jc w:val="center"/>
              <w:rPr>
                <w:sz w:val="16"/>
              </w:rPr>
            </w:pPr>
            <w:r w:rsidRPr="00F45665">
              <w:rPr>
                <w:sz w:val="16"/>
              </w:rPr>
              <w:t>Kaibab Band of Paiute Indians</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3141F6DD"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4AA84E8E" w14:textId="77777777" w:rsidR="0087264D" w:rsidRPr="00F45665" w:rsidRDefault="0087264D" w:rsidP="00AB1D58">
            <w:pPr>
              <w:spacing w:before="0" w:after="0" w:line="240" w:lineRule="auto"/>
              <w:jc w:val="center"/>
              <w:rPr>
                <w:sz w:val="16"/>
              </w:rPr>
            </w:pPr>
            <w:r w:rsidRPr="00F45665">
              <w:rPr>
                <w:sz w:val="16"/>
              </w:rPr>
              <w:t>NACOG, WACOG</w:t>
            </w:r>
          </w:p>
        </w:tc>
      </w:tr>
      <w:tr w:rsidR="0087264D" w:rsidRPr="002A3601" w14:paraId="33DACB3B"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BAE050B" w14:textId="77777777" w:rsidR="0087264D" w:rsidRPr="00F45665" w:rsidRDefault="0087264D" w:rsidP="00AB1D58">
            <w:pPr>
              <w:spacing w:before="0" w:after="0" w:line="240" w:lineRule="auto"/>
              <w:jc w:val="center"/>
              <w:rPr>
                <w:sz w:val="16"/>
              </w:rPr>
            </w:pPr>
            <w:r w:rsidRPr="00F45665">
              <w:rPr>
                <w:sz w:val="16"/>
              </w:rPr>
              <w:t>Navajo Nation</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7E0445BE"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04F4868F" w14:textId="77777777" w:rsidR="0087264D" w:rsidRPr="00F45665" w:rsidRDefault="0087264D" w:rsidP="00AB1D58">
            <w:pPr>
              <w:spacing w:before="0" w:after="0" w:line="240" w:lineRule="auto"/>
              <w:jc w:val="center"/>
              <w:rPr>
                <w:sz w:val="16"/>
              </w:rPr>
            </w:pPr>
            <w:r w:rsidRPr="00F45665">
              <w:rPr>
                <w:sz w:val="16"/>
              </w:rPr>
              <w:t>NACOG</w:t>
            </w:r>
          </w:p>
        </w:tc>
      </w:tr>
      <w:tr w:rsidR="0087264D" w:rsidRPr="002A3601" w14:paraId="686044E4"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BB36182" w14:textId="77777777" w:rsidR="0087264D" w:rsidRPr="00F45665" w:rsidRDefault="0087264D" w:rsidP="00AB1D58">
            <w:pPr>
              <w:spacing w:before="0" w:after="0" w:line="240" w:lineRule="auto"/>
              <w:jc w:val="center"/>
              <w:rPr>
                <w:sz w:val="16"/>
              </w:rPr>
            </w:pPr>
            <w:r w:rsidRPr="00F45665">
              <w:rPr>
                <w:sz w:val="16"/>
              </w:rPr>
              <w:t>Pascua Yaqui Tribe</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5BB0B894" w14:textId="77777777" w:rsidR="0087264D" w:rsidRPr="00F45665" w:rsidRDefault="0087264D" w:rsidP="00AB1D58">
            <w:pPr>
              <w:spacing w:before="0" w:after="0" w:line="240" w:lineRule="auto"/>
              <w:jc w:val="center"/>
              <w:rPr>
                <w:sz w:val="16"/>
              </w:rPr>
            </w:pPr>
            <w:r w:rsidRPr="00F45665">
              <w:rPr>
                <w:sz w:val="16"/>
              </w:rPr>
              <w:t>PAG</w:t>
            </w: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25A5E573" w14:textId="77777777" w:rsidR="0087264D" w:rsidRPr="00F45665" w:rsidRDefault="0087264D" w:rsidP="00AB1D58">
            <w:pPr>
              <w:spacing w:before="0" w:after="0" w:line="240" w:lineRule="auto"/>
              <w:jc w:val="center"/>
              <w:rPr>
                <w:sz w:val="16"/>
              </w:rPr>
            </w:pPr>
          </w:p>
        </w:tc>
      </w:tr>
      <w:tr w:rsidR="0087264D" w:rsidRPr="002A3601" w14:paraId="6DA42E33"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503FD00B" w14:textId="77777777" w:rsidR="0087264D" w:rsidRPr="00F45665" w:rsidRDefault="0087264D" w:rsidP="00AB1D58">
            <w:pPr>
              <w:spacing w:before="0" w:after="0" w:line="240" w:lineRule="auto"/>
              <w:jc w:val="center"/>
              <w:rPr>
                <w:sz w:val="16"/>
              </w:rPr>
            </w:pPr>
            <w:r w:rsidRPr="00F45665">
              <w:rPr>
                <w:sz w:val="16"/>
              </w:rPr>
              <w:t>Pueblo of Zuni</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B1D2172"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798D805" w14:textId="77777777" w:rsidR="0087264D" w:rsidRPr="00F45665" w:rsidRDefault="0087264D" w:rsidP="00AB1D58">
            <w:pPr>
              <w:spacing w:before="0" w:after="0" w:line="240" w:lineRule="auto"/>
              <w:jc w:val="center"/>
              <w:rPr>
                <w:sz w:val="16"/>
              </w:rPr>
            </w:pPr>
            <w:r w:rsidRPr="00F45665">
              <w:rPr>
                <w:sz w:val="16"/>
              </w:rPr>
              <w:t>NACOG</w:t>
            </w:r>
          </w:p>
        </w:tc>
      </w:tr>
      <w:tr w:rsidR="0087264D" w:rsidRPr="002A3601" w14:paraId="3B084255"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4E8D5A6E" w14:textId="77777777" w:rsidR="0087264D" w:rsidRPr="00F45665" w:rsidRDefault="0087264D" w:rsidP="00AB1D58">
            <w:pPr>
              <w:spacing w:before="0" w:after="0" w:line="240" w:lineRule="auto"/>
              <w:jc w:val="center"/>
              <w:rPr>
                <w:sz w:val="16"/>
              </w:rPr>
            </w:pPr>
            <w:r w:rsidRPr="00F45665">
              <w:rPr>
                <w:sz w:val="16"/>
              </w:rPr>
              <w:t>Salt River Pima-Maricopa Indian Community</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1FD30A33" w14:textId="77777777" w:rsidR="0087264D" w:rsidRPr="00F45665" w:rsidRDefault="0087264D" w:rsidP="00AB1D58">
            <w:pPr>
              <w:spacing w:before="0" w:after="0" w:line="240" w:lineRule="auto"/>
              <w:jc w:val="center"/>
              <w:rPr>
                <w:sz w:val="16"/>
              </w:rPr>
            </w:pPr>
            <w:r w:rsidRPr="00F45665">
              <w:rPr>
                <w:sz w:val="16"/>
              </w:rPr>
              <w:t>MAG</w:t>
            </w: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7E3B1101" w14:textId="77777777" w:rsidR="0087264D" w:rsidRPr="00F45665" w:rsidRDefault="0087264D" w:rsidP="00AB1D58">
            <w:pPr>
              <w:spacing w:before="0" w:after="0" w:line="240" w:lineRule="auto"/>
              <w:jc w:val="center"/>
              <w:rPr>
                <w:sz w:val="16"/>
              </w:rPr>
            </w:pPr>
          </w:p>
        </w:tc>
      </w:tr>
      <w:tr w:rsidR="0087264D" w:rsidRPr="002A3601" w14:paraId="0D2AB07D"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46E5912B" w14:textId="77777777" w:rsidR="0087264D" w:rsidRPr="00F45665" w:rsidRDefault="0087264D" w:rsidP="00AB1D58">
            <w:pPr>
              <w:spacing w:before="0" w:after="0" w:line="240" w:lineRule="auto"/>
              <w:jc w:val="center"/>
              <w:rPr>
                <w:sz w:val="16"/>
              </w:rPr>
            </w:pPr>
            <w:r w:rsidRPr="00F45665">
              <w:rPr>
                <w:sz w:val="16"/>
              </w:rPr>
              <w:t>San Carlos Apache Tribe</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FFEF3BD"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22D980B0" w14:textId="77777777" w:rsidR="0087264D" w:rsidRPr="00F45665" w:rsidRDefault="0087264D" w:rsidP="00AB1D58">
            <w:pPr>
              <w:spacing w:before="0" w:after="0" w:line="240" w:lineRule="auto"/>
              <w:jc w:val="center"/>
              <w:rPr>
                <w:sz w:val="16"/>
              </w:rPr>
            </w:pPr>
            <w:r w:rsidRPr="00F45665">
              <w:rPr>
                <w:sz w:val="16"/>
              </w:rPr>
              <w:t>CAG, SEAGO</w:t>
            </w:r>
          </w:p>
        </w:tc>
      </w:tr>
      <w:tr w:rsidR="0087264D" w:rsidRPr="002A3601" w14:paraId="1F6CB969"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39C16900" w14:textId="77777777" w:rsidR="0087264D" w:rsidRPr="00F45665" w:rsidRDefault="0087264D" w:rsidP="00AB1D58">
            <w:pPr>
              <w:spacing w:before="0" w:after="0" w:line="240" w:lineRule="auto"/>
              <w:jc w:val="center"/>
              <w:rPr>
                <w:sz w:val="16"/>
              </w:rPr>
            </w:pPr>
            <w:r w:rsidRPr="00F45665">
              <w:rPr>
                <w:sz w:val="16"/>
              </w:rPr>
              <w:t>San Juan Southern Paiute Tribe</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4BE60AAD"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53347B58" w14:textId="77777777" w:rsidR="0087264D" w:rsidRPr="00F45665" w:rsidRDefault="0087264D" w:rsidP="00AB1D58">
            <w:pPr>
              <w:spacing w:before="0" w:after="0" w:line="240" w:lineRule="auto"/>
              <w:jc w:val="center"/>
              <w:rPr>
                <w:sz w:val="16"/>
              </w:rPr>
            </w:pPr>
            <w:r w:rsidRPr="00F45665">
              <w:rPr>
                <w:sz w:val="16"/>
              </w:rPr>
              <w:t>NACOG</w:t>
            </w:r>
          </w:p>
        </w:tc>
      </w:tr>
      <w:tr w:rsidR="0087264D" w:rsidRPr="002A3601" w14:paraId="24D933A6"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2911ADD7" w14:textId="77777777" w:rsidR="0087264D" w:rsidRPr="00F45665" w:rsidRDefault="0087264D" w:rsidP="00AB1D58">
            <w:pPr>
              <w:spacing w:before="0" w:after="0" w:line="240" w:lineRule="auto"/>
              <w:jc w:val="center"/>
              <w:rPr>
                <w:sz w:val="16"/>
              </w:rPr>
            </w:pPr>
            <w:r w:rsidRPr="00F45665">
              <w:rPr>
                <w:sz w:val="16"/>
              </w:rPr>
              <w:t>Tohono O’odham Nation</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2646C987" w14:textId="77777777" w:rsidR="0087264D" w:rsidRPr="00F45665" w:rsidRDefault="0087264D" w:rsidP="00AB1D58">
            <w:pPr>
              <w:spacing w:before="0" w:after="0" w:line="240" w:lineRule="auto"/>
              <w:jc w:val="center"/>
              <w:rPr>
                <w:sz w:val="16"/>
              </w:rPr>
            </w:pPr>
            <w:r w:rsidRPr="00F45665">
              <w:rPr>
                <w:sz w:val="16"/>
              </w:rPr>
              <w:t>PAG, MAG</w:t>
            </w: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04AE1145" w14:textId="77777777" w:rsidR="0087264D" w:rsidRPr="00F45665" w:rsidRDefault="0087264D" w:rsidP="00AB1D58">
            <w:pPr>
              <w:spacing w:before="0" w:after="0" w:line="240" w:lineRule="auto"/>
              <w:jc w:val="center"/>
              <w:rPr>
                <w:sz w:val="16"/>
              </w:rPr>
            </w:pPr>
            <w:r w:rsidRPr="00F45665">
              <w:rPr>
                <w:sz w:val="16"/>
              </w:rPr>
              <w:t>CAG</w:t>
            </w:r>
          </w:p>
        </w:tc>
      </w:tr>
      <w:tr w:rsidR="0087264D" w:rsidRPr="002A3601" w14:paraId="0137D4FF"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3B9F27E5" w14:textId="77777777" w:rsidR="0087264D" w:rsidRPr="00F45665" w:rsidRDefault="0087264D" w:rsidP="00AB1D58">
            <w:pPr>
              <w:spacing w:before="0" w:after="0" w:line="240" w:lineRule="auto"/>
              <w:jc w:val="center"/>
              <w:rPr>
                <w:sz w:val="16"/>
              </w:rPr>
            </w:pPr>
            <w:r w:rsidRPr="00F45665">
              <w:rPr>
                <w:sz w:val="16"/>
              </w:rPr>
              <w:t>Tonto Apache Tribe</w:t>
            </w:r>
          </w:p>
        </w:tc>
        <w:tc>
          <w:tcPr>
            <w:tcW w:w="1041"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3CA45B2"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1E09EC5" w14:textId="77777777" w:rsidR="0087264D" w:rsidRPr="00F45665" w:rsidRDefault="0087264D" w:rsidP="00AB1D58">
            <w:pPr>
              <w:spacing w:before="0" w:after="0" w:line="240" w:lineRule="auto"/>
              <w:jc w:val="center"/>
              <w:rPr>
                <w:sz w:val="16"/>
              </w:rPr>
            </w:pPr>
            <w:r w:rsidRPr="00F45665">
              <w:rPr>
                <w:sz w:val="16"/>
              </w:rPr>
              <w:t>CAG</w:t>
            </w:r>
          </w:p>
        </w:tc>
      </w:tr>
      <w:tr w:rsidR="0087264D" w:rsidRPr="002A3601" w14:paraId="14B01992" w14:textId="77777777" w:rsidTr="00020D20">
        <w:trPr>
          <w:trHeight w:val="288"/>
        </w:trPr>
        <w:tc>
          <w:tcPr>
            <w:tcW w:w="2435"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55F2DD8D" w14:textId="77777777" w:rsidR="0087264D" w:rsidRPr="00F45665" w:rsidRDefault="0087264D" w:rsidP="00AB1D58">
            <w:pPr>
              <w:spacing w:before="0" w:after="0" w:line="240" w:lineRule="auto"/>
              <w:jc w:val="center"/>
              <w:rPr>
                <w:sz w:val="16"/>
              </w:rPr>
            </w:pPr>
            <w:r w:rsidRPr="00F45665">
              <w:rPr>
                <w:sz w:val="16"/>
              </w:rPr>
              <w:t>White Mountain Apache Tribe</w:t>
            </w:r>
          </w:p>
        </w:tc>
        <w:tc>
          <w:tcPr>
            <w:tcW w:w="1041"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12A5CCA"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31368C46" w14:textId="77777777" w:rsidR="0087264D" w:rsidRPr="00F45665" w:rsidRDefault="0087264D" w:rsidP="00AB1D58">
            <w:pPr>
              <w:spacing w:before="0" w:after="0" w:line="240" w:lineRule="auto"/>
              <w:jc w:val="center"/>
              <w:rPr>
                <w:sz w:val="16"/>
              </w:rPr>
            </w:pPr>
            <w:r w:rsidRPr="00F45665">
              <w:rPr>
                <w:sz w:val="16"/>
              </w:rPr>
              <w:t>NACOG, CAG</w:t>
            </w:r>
          </w:p>
        </w:tc>
      </w:tr>
      <w:tr w:rsidR="0087264D" w:rsidRPr="002A3601" w14:paraId="0A6E5D78" w14:textId="77777777" w:rsidTr="00020D20">
        <w:trPr>
          <w:trHeight w:val="288"/>
        </w:trPr>
        <w:tc>
          <w:tcPr>
            <w:tcW w:w="2435" w:type="dxa"/>
            <w:tcBorders>
              <w:top w:val="single" w:sz="4"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42D1BC19" w14:textId="77777777" w:rsidR="0087264D" w:rsidRPr="00F45665" w:rsidRDefault="0087264D" w:rsidP="00AB1D58">
            <w:pPr>
              <w:spacing w:before="0" w:after="0" w:line="240" w:lineRule="auto"/>
              <w:jc w:val="center"/>
              <w:rPr>
                <w:sz w:val="16"/>
              </w:rPr>
            </w:pPr>
            <w:r w:rsidRPr="00F45665">
              <w:rPr>
                <w:sz w:val="16"/>
              </w:rPr>
              <w:t>Yavapai-Apache Nation</w:t>
            </w:r>
          </w:p>
        </w:tc>
        <w:tc>
          <w:tcPr>
            <w:tcW w:w="1041" w:type="dxa"/>
            <w:tcBorders>
              <w:top w:val="single" w:sz="4"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0329DE8E" w14:textId="77777777" w:rsidR="0087264D" w:rsidRPr="00F45665" w:rsidRDefault="0087264D" w:rsidP="00AB1D58">
            <w:pPr>
              <w:spacing w:before="0" w:after="0" w:line="240" w:lineRule="auto"/>
              <w:jc w:val="center"/>
              <w:rPr>
                <w:sz w:val="16"/>
              </w:rPr>
            </w:pPr>
          </w:p>
        </w:tc>
        <w:tc>
          <w:tcPr>
            <w:tcW w:w="1029" w:type="dxa"/>
            <w:tcBorders>
              <w:top w:val="single" w:sz="4"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784BAE65" w14:textId="77777777" w:rsidR="0087264D" w:rsidRPr="00F45665" w:rsidRDefault="0087264D" w:rsidP="00AB1D58">
            <w:pPr>
              <w:spacing w:before="0" w:after="0" w:line="240" w:lineRule="auto"/>
              <w:jc w:val="center"/>
              <w:rPr>
                <w:sz w:val="16"/>
              </w:rPr>
            </w:pPr>
            <w:r w:rsidRPr="00F45665">
              <w:rPr>
                <w:sz w:val="16"/>
              </w:rPr>
              <w:t>NACOG, CAG</w:t>
            </w:r>
          </w:p>
        </w:tc>
      </w:tr>
      <w:tr w:rsidR="0087264D" w:rsidRPr="002A3601" w14:paraId="1D72D49E" w14:textId="77777777" w:rsidTr="00020D20">
        <w:trPr>
          <w:trHeight w:val="288"/>
        </w:trPr>
        <w:tc>
          <w:tcPr>
            <w:tcW w:w="243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47048A0D" w14:textId="77777777" w:rsidR="0087264D" w:rsidRPr="00F45665" w:rsidRDefault="0087264D" w:rsidP="00AB1D58">
            <w:pPr>
              <w:spacing w:before="0" w:after="0" w:line="240" w:lineRule="auto"/>
              <w:jc w:val="center"/>
              <w:rPr>
                <w:sz w:val="16"/>
              </w:rPr>
            </w:pPr>
            <w:r w:rsidRPr="00F45665">
              <w:rPr>
                <w:sz w:val="16"/>
              </w:rPr>
              <w:t>Yavapai-Prescott Indian Tribe</w:t>
            </w:r>
          </w:p>
        </w:tc>
        <w:tc>
          <w:tcPr>
            <w:tcW w:w="1041"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1430FD2D" w14:textId="77777777" w:rsidR="0087264D" w:rsidRPr="00F45665" w:rsidRDefault="0087264D" w:rsidP="00AB1D58">
            <w:pPr>
              <w:spacing w:before="0" w:after="0" w:line="240" w:lineRule="auto"/>
              <w:jc w:val="center"/>
              <w:rPr>
                <w:sz w:val="16"/>
              </w:rPr>
            </w:pPr>
          </w:p>
        </w:tc>
        <w:tc>
          <w:tcPr>
            <w:tcW w:w="1029"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366D62C4" w14:textId="77777777" w:rsidR="0087264D" w:rsidRPr="00F45665" w:rsidRDefault="0087264D" w:rsidP="00AB1D58">
            <w:pPr>
              <w:spacing w:before="0" w:after="0" w:line="240" w:lineRule="auto"/>
              <w:jc w:val="center"/>
              <w:rPr>
                <w:sz w:val="16"/>
              </w:rPr>
            </w:pPr>
            <w:r w:rsidRPr="00F45665">
              <w:rPr>
                <w:sz w:val="16"/>
              </w:rPr>
              <w:t>NACOG</w:t>
            </w:r>
          </w:p>
        </w:tc>
      </w:tr>
    </w:tbl>
    <w:p w14:paraId="27A7DEA3" w14:textId="303C6B14" w:rsidR="00486824" w:rsidRPr="00486824" w:rsidRDefault="00486824" w:rsidP="00020D20">
      <w:pPr>
        <w:pStyle w:val="Heading3"/>
        <w:jc w:val="both"/>
      </w:pPr>
      <w:bookmarkStart w:id="676" w:name="_Ref50049886"/>
      <w:r w:rsidRPr="002A3601">
        <w:t>17.6.5 | Public Involvement</w:t>
      </w:r>
      <w:bookmarkEnd w:id="676"/>
    </w:p>
    <w:p w14:paraId="11B15D66" w14:textId="3B911AE7" w:rsidR="007A4D92" w:rsidRDefault="0087264D" w:rsidP="00020D20">
      <w:pPr>
        <w:jc w:val="both"/>
      </w:pPr>
      <w:r>
        <w:rPr>
          <w:rFonts w:cstheme="minorHAnsi"/>
          <w:noProof/>
        </w:rPr>
        <mc:AlternateContent>
          <mc:Choice Requires="wps">
            <w:drawing>
              <wp:anchor distT="0" distB="0" distL="114300" distR="114300" simplePos="0" relativeHeight="251618412" behindDoc="1" locked="0" layoutInCell="1" allowOverlap="1" wp14:anchorId="45627454" wp14:editId="4E5EA419">
                <wp:simplePos x="0" y="0"/>
                <wp:positionH relativeFrom="column">
                  <wp:posOffset>1370965</wp:posOffset>
                </wp:positionH>
                <wp:positionV relativeFrom="paragraph">
                  <wp:posOffset>208915</wp:posOffset>
                </wp:positionV>
                <wp:extent cx="1371600" cy="1256030"/>
                <wp:effectExtent l="95250" t="76200" r="95250" b="77470"/>
                <wp:wrapTight wrapText="bothSides">
                  <wp:wrapPolygon edited="0">
                    <wp:start x="-900" y="-1310"/>
                    <wp:lineTo x="-1500" y="-983"/>
                    <wp:lineTo x="-1200" y="22605"/>
                    <wp:lineTo x="22500" y="22605"/>
                    <wp:lineTo x="22800" y="4259"/>
                    <wp:lineTo x="22200" y="-655"/>
                    <wp:lineTo x="22200" y="-1310"/>
                    <wp:lineTo x="-900" y="-1310"/>
                  </wp:wrapPolygon>
                </wp:wrapTight>
                <wp:docPr id="816286296" name="Text Box 816286296"/>
                <wp:cNvGraphicFramePr/>
                <a:graphic xmlns:a="http://schemas.openxmlformats.org/drawingml/2006/main">
                  <a:graphicData uri="http://schemas.microsoft.com/office/word/2010/wordprocessingShape">
                    <wps:wsp>
                      <wps:cNvSpPr txBox="1"/>
                      <wps:spPr>
                        <a:xfrm>
                          <a:off x="0" y="0"/>
                          <a:ext cx="1371600" cy="125603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04EC7A8" w14:textId="77777777" w:rsidR="00C6444C" w:rsidRDefault="00C6444C" w:rsidP="00020D20">
                            <w:pPr>
                              <w:jc w:val="center"/>
                            </w:pPr>
                            <w:r>
                              <w:rPr>
                                <w:noProof/>
                              </w:rPr>
                              <w:drawing>
                                <wp:inline distT="0" distB="0" distL="0" distR="0" wp14:anchorId="42177DF3" wp14:editId="2F7002EA">
                                  <wp:extent cx="457200" cy="457200"/>
                                  <wp:effectExtent l="0" t="0" r="0" b="0"/>
                                  <wp:docPr id="1690912774" name="Picture 169091277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A23C2B5" w14:textId="3CF56610" w:rsidR="00C6444C" w:rsidRPr="005A6734" w:rsidRDefault="00C6444C" w:rsidP="00020D20">
                            <w:pPr>
                              <w:pStyle w:val="Calloutboxes"/>
                            </w:pPr>
                            <w:r w:rsidRPr="00394A74">
                              <w:t>Chapter 13, “Public Involvement,” of this manual describes the public involvement processes.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627454" id="Text Box 816286296" o:spid="_x0000_s1284" type="#_x0000_t202" style="position:absolute;left:0;text-align:left;margin-left:107.95pt;margin-top:16.45pt;width:108pt;height:98.9pt;z-index:-251698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" fillcolor="#f7f7f7" stroked="f" strokeweight=".5pt">
                <v:shadow on="t" type="perspective" color="black" opacity="26214f" offset="0,0" matrix="66847f,,,66847f"/>
                <v:textbox>
                  <w:txbxContent>
                    <w:p w14:paraId="004EC7A8" w14:textId="77777777" w:rsidR="00C6444C" w:rsidRDefault="00C6444C" w:rsidP="00020D20">
                      <w:pPr>
                        <w:jc w:val="center"/>
                      </w:pPr>
                      <w:r>
                        <w:rPr>
                          <w:noProof/>
                        </w:rPr>
                        <w:drawing>
                          <wp:inline distT="0" distB="0" distL="0" distR="0" wp14:anchorId="42177DF3" wp14:editId="2F7002EA">
                            <wp:extent cx="457200" cy="457200"/>
                            <wp:effectExtent l="0" t="0" r="0" b="0"/>
                            <wp:docPr id="1690912774" name="Picture 169091277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A23C2B5" w14:textId="3CF56610" w:rsidR="00C6444C" w:rsidRPr="005A6734" w:rsidRDefault="00C6444C" w:rsidP="00020D20">
                      <w:pPr>
                        <w:pStyle w:val="Calloutboxes"/>
                      </w:pPr>
                      <w:r w:rsidRPr="00394A74">
                        <w:t>Chapter 13, “Public Involvement,” of this manual describes the public involvement processes.</w:t>
                      </w:r>
                    </w:p>
                  </w:txbxContent>
                </v:textbox>
                <w10:wrap type="tight"/>
              </v:shape>
            </w:pict>
          </mc:Fallback>
        </mc:AlternateContent>
      </w:r>
      <w:r w:rsidR="006D38C1" w:rsidRPr="002A3601">
        <w:t>Public involvement is a critical component of any transportation planning process and includes the engagement of community citizens in the early stages of the planning project through completion of the project. Through careful consideration of input from citizens, the needs of all modes of transportation can become a shared vision and mission for technical planning staff and policy makers. The Public Participation Plan, described in chapter 13, officially describes the goals, policies, and procedures for successful public involvement. Tribes are encouraged to participate in all public</w:t>
      </w:r>
      <w:r w:rsidR="006D38C1">
        <w:t xml:space="preserve"> </w:t>
      </w:r>
      <w:r w:rsidR="006D38C1" w:rsidRPr="002A3601">
        <w:t>participation activities and must be considered in any Public Participation Plan.</w:t>
      </w:r>
    </w:p>
    <w:p w14:paraId="39A577B0" w14:textId="77777777" w:rsidR="002A3601" w:rsidRPr="002A3601" w:rsidRDefault="002A3601" w:rsidP="00020D20">
      <w:pPr>
        <w:pStyle w:val="Heading3"/>
        <w:jc w:val="both"/>
      </w:pPr>
      <w:bookmarkStart w:id="677" w:name="_Ref50049890"/>
      <w:r w:rsidRPr="002A3601">
        <w:t>17.6.6 | Consultation with Tribes</w:t>
      </w:r>
      <w:bookmarkEnd w:id="677"/>
    </w:p>
    <w:p w14:paraId="1BED70A8" w14:textId="41A4EDDA" w:rsidR="002A3601" w:rsidRPr="002A3601" w:rsidRDefault="002A3601" w:rsidP="00020D20">
      <w:pPr>
        <w:jc w:val="both"/>
        <w:rPr>
          <w:rFonts w:cstheme="minorHAnsi"/>
        </w:rPr>
      </w:pPr>
      <w:r w:rsidRPr="002A3601">
        <w:rPr>
          <w:rFonts w:cstheme="minorHAnsi"/>
        </w:rPr>
        <w:t xml:space="preserve">To carry out tribal consultation in the state program development process, including transportation planning, programming, and project development, ADOT works to comply with numerous presidential memorandums, USDOT executive orders, state executive orders, and state and federal laws and policies; which are outlined above in section 17.6.2, “Authority.” Any process, study, </w:t>
      </w:r>
      <w:r w:rsidR="00355893" w:rsidRPr="002A3601">
        <w:rPr>
          <w:rFonts w:cstheme="minorHAnsi"/>
        </w:rPr>
        <w:t>project,</w:t>
      </w:r>
      <w:r w:rsidRPr="002A3601">
        <w:rPr>
          <w:rFonts w:cstheme="minorHAnsi"/>
        </w:rPr>
        <w:t xml:space="preserve"> or initiative that a COG or MPO is conducting should include the following basic steps or </w:t>
      </w:r>
      <w:r w:rsidR="00F71457" w:rsidRPr="002A3601">
        <w:rPr>
          <w:rFonts w:cstheme="minorHAnsi"/>
        </w:rPr>
        <w:t>consultation</w:t>
      </w:r>
      <w:r w:rsidRPr="002A3601">
        <w:rPr>
          <w:rFonts w:cstheme="minorHAnsi"/>
        </w:rPr>
        <w:t xml:space="preserve"> protocols: </w:t>
      </w:r>
    </w:p>
    <w:p w14:paraId="7F07AF13" w14:textId="769E661F" w:rsidR="002A3601" w:rsidRPr="002A3601" w:rsidRDefault="002A3601" w:rsidP="00020D20">
      <w:pPr>
        <w:pStyle w:val="TableSub-HeaderADOTTable"/>
        <w:numPr>
          <w:ilvl w:val="0"/>
          <w:numId w:val="63"/>
        </w:numPr>
        <w:tabs>
          <w:tab w:val="clear" w:pos="540"/>
          <w:tab w:val="left" w:pos="450"/>
        </w:tabs>
        <w:jc w:val="both"/>
        <w:rPr>
          <w:rFonts w:cstheme="minorHAnsi"/>
        </w:rPr>
      </w:pPr>
      <w:r w:rsidRPr="002A3601">
        <w:rPr>
          <w:rFonts w:cstheme="minorHAnsi"/>
        </w:rPr>
        <w:t xml:space="preserve">Send a formal tribal consultation letter to tribal leaders; </w:t>
      </w:r>
    </w:p>
    <w:p w14:paraId="64D46822" w14:textId="77777777" w:rsidR="002A3601" w:rsidRPr="002A3601" w:rsidRDefault="002A3601" w:rsidP="00020D20">
      <w:pPr>
        <w:pStyle w:val="ListParagraph"/>
        <w:numPr>
          <w:ilvl w:val="0"/>
          <w:numId w:val="63"/>
        </w:numPr>
        <w:tabs>
          <w:tab w:val="clear" w:pos="540"/>
          <w:tab w:val="left" w:pos="450"/>
        </w:tabs>
        <w:jc w:val="both"/>
        <w:rPr>
          <w:rFonts w:cstheme="minorHAnsi"/>
        </w:rPr>
      </w:pPr>
      <w:r w:rsidRPr="002A3601">
        <w:rPr>
          <w:rFonts w:cstheme="minorHAnsi"/>
        </w:rPr>
        <w:t xml:space="preserve">Send copies of the letter to designated tribal staff; and </w:t>
      </w:r>
    </w:p>
    <w:p w14:paraId="43ABC07C" w14:textId="77777777" w:rsidR="002A3601" w:rsidRPr="002A3601" w:rsidRDefault="002A3601" w:rsidP="00020D20">
      <w:pPr>
        <w:pStyle w:val="ListParagraph"/>
        <w:numPr>
          <w:ilvl w:val="0"/>
          <w:numId w:val="63"/>
        </w:numPr>
        <w:tabs>
          <w:tab w:val="clear" w:pos="540"/>
          <w:tab w:val="left" w:pos="450"/>
        </w:tabs>
        <w:jc w:val="both"/>
        <w:rPr>
          <w:rFonts w:cstheme="minorHAnsi"/>
        </w:rPr>
      </w:pPr>
      <w:r w:rsidRPr="002A3601">
        <w:rPr>
          <w:rFonts w:cstheme="minorHAnsi"/>
        </w:rPr>
        <w:t>Follow-up on the correspondence with an email or phone call to the designated tribal staff.</w:t>
      </w:r>
    </w:p>
    <w:p w14:paraId="2F04309C" w14:textId="13F22C1A" w:rsidR="002A3601" w:rsidRDefault="00DF6340" w:rsidP="00020D20">
      <w:pPr>
        <w:jc w:val="both"/>
      </w:pPr>
      <w:r>
        <w:rPr>
          <w:rFonts w:cstheme="minorHAnsi"/>
          <w:noProof/>
        </w:rPr>
        <mc:AlternateContent>
          <mc:Choice Requires="wps">
            <w:drawing>
              <wp:anchor distT="0" distB="0" distL="114300" distR="114300" simplePos="0" relativeHeight="251618414" behindDoc="1" locked="0" layoutInCell="1" allowOverlap="1" wp14:anchorId="2813D7E7" wp14:editId="1FCA2AFA">
                <wp:simplePos x="0" y="0"/>
                <wp:positionH relativeFrom="column">
                  <wp:posOffset>0</wp:posOffset>
                </wp:positionH>
                <wp:positionV relativeFrom="paragraph">
                  <wp:posOffset>1512570</wp:posOffset>
                </wp:positionV>
                <wp:extent cx="1371600" cy="1146810"/>
                <wp:effectExtent l="95250" t="76200" r="95250" b="72390"/>
                <wp:wrapTight wrapText="bothSides">
                  <wp:wrapPolygon edited="0">
                    <wp:start x="-900" y="-1435"/>
                    <wp:lineTo x="-1500" y="-1076"/>
                    <wp:lineTo x="-1200" y="22605"/>
                    <wp:lineTo x="22500" y="22605"/>
                    <wp:lineTo x="22800" y="4664"/>
                    <wp:lineTo x="22200" y="-718"/>
                    <wp:lineTo x="22200" y="-1435"/>
                    <wp:lineTo x="-900" y="-1435"/>
                  </wp:wrapPolygon>
                </wp:wrapTight>
                <wp:docPr id="816286300" name="Text Box 816286300"/>
                <wp:cNvGraphicFramePr/>
                <a:graphic xmlns:a="http://schemas.openxmlformats.org/drawingml/2006/main">
                  <a:graphicData uri="http://schemas.microsoft.com/office/word/2010/wordprocessingShape">
                    <wps:wsp>
                      <wps:cNvSpPr txBox="1"/>
                      <wps:spPr>
                        <a:xfrm>
                          <a:off x="0" y="0"/>
                          <a:ext cx="1371600" cy="114681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16C399F" w14:textId="77777777" w:rsidR="00C6444C" w:rsidRDefault="00C6444C" w:rsidP="00020D20">
                            <w:pPr>
                              <w:jc w:val="center"/>
                            </w:pPr>
                            <w:r>
                              <w:rPr>
                                <w:noProof/>
                              </w:rPr>
                              <w:drawing>
                                <wp:inline distT="0" distB="0" distL="0" distR="0" wp14:anchorId="02C577B8" wp14:editId="4E69B0F7">
                                  <wp:extent cx="457200" cy="457200"/>
                                  <wp:effectExtent l="0" t="0" r="0" b="0"/>
                                  <wp:docPr id="1690912775" name="Picture 169091277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FEB6D9E" w14:textId="038BB4C7" w:rsidR="00C6444C" w:rsidRPr="00020D20" w:rsidRDefault="00202C92">
                            <w:pPr>
                              <w:pStyle w:val="Title"/>
                              <w:rPr>
                                <w:sz w:val="16"/>
                              </w:rPr>
                            </w:pPr>
                            <w:hyperlink r:id="rId1147" w:history="1">
                              <w:r w:rsidR="00C6444C" w:rsidRPr="00020D20">
                                <w:rPr>
                                  <w:rStyle w:val="Hyperlink"/>
                                  <w:rFonts w:ascii="Calibri" w:hAnsi="Calibri" w:cstheme="majorBidi"/>
                                  <w:i/>
                                  <w:iCs w:val="0"/>
                                  <w:color w:val="CE5B18"/>
                                  <w:szCs w:val="56"/>
                                  <w:u w:val="none"/>
                                </w:rPr>
                                <w:t>ADOT Department-Wide Native Nation/Tribal Government Consultation Policy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13D7E7" id="Text Box 816286300" o:spid="_x0000_s1285" type="#_x0000_t202" style="position:absolute;left:0;text-align:left;margin-left:0;margin-top:119.1pt;width:108pt;height:90.3pt;z-index:-2516980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" fillcolor="#f7f7f7" stroked="f" strokeweight=".5pt">
                <v:shadow on="t" type="perspective" color="black" opacity="26214f" offset="0,0" matrix="66847f,,,66847f"/>
                <v:textbox>
                  <w:txbxContent>
                    <w:p w14:paraId="616C399F" w14:textId="77777777" w:rsidR="00C6444C" w:rsidRDefault="00C6444C" w:rsidP="00020D20">
                      <w:pPr>
                        <w:jc w:val="center"/>
                      </w:pPr>
                      <w:r>
                        <w:rPr>
                          <w:noProof/>
                        </w:rPr>
                        <w:drawing>
                          <wp:inline distT="0" distB="0" distL="0" distR="0" wp14:anchorId="02C577B8" wp14:editId="4E69B0F7">
                            <wp:extent cx="457200" cy="457200"/>
                            <wp:effectExtent l="0" t="0" r="0" b="0"/>
                            <wp:docPr id="1690912775" name="Picture 169091277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FEB6D9E" w14:textId="038BB4C7" w:rsidR="00C6444C" w:rsidRPr="00020D20" w:rsidRDefault="00C6444C">
                      <w:pPr>
                        <w:pStyle w:val="Title"/>
                        <w:rPr>
                          <w:sz w:val="16"/>
                        </w:rPr>
                      </w:pPr>
                      <w:hyperlink r:id="rId1148" w:history="1">
                        <w:r w:rsidRPr="00020D20">
                          <w:rPr>
                            <w:rStyle w:val="Hyperlink"/>
                            <w:rFonts w:ascii="Calibri" w:hAnsi="Calibri" w:cstheme="majorBidi"/>
                            <w:i/>
                            <w:iCs w:val="0"/>
                            <w:color w:val="CE5B18"/>
                            <w:szCs w:val="56"/>
                            <w:u w:val="none"/>
                          </w:rPr>
                          <w:t>ADOT Department-Wide Native Nation/Tribal Government Consultation Policy</w:t>
                        </w:r>
                      </w:hyperlink>
                    </w:p>
                  </w:txbxContent>
                </v:textbox>
                <w10:wrap type="tight"/>
              </v:shape>
            </w:pict>
          </mc:Fallback>
        </mc:AlternateContent>
      </w:r>
      <w:r>
        <w:rPr>
          <w:rFonts w:cstheme="minorHAnsi"/>
          <w:noProof/>
        </w:rPr>
        <mc:AlternateContent>
          <mc:Choice Requires="wps">
            <w:drawing>
              <wp:anchor distT="0" distB="0" distL="114300" distR="114300" simplePos="0" relativeHeight="251618413" behindDoc="1" locked="0" layoutInCell="1" allowOverlap="1" wp14:anchorId="30CB2C26" wp14:editId="29DF6EC5">
                <wp:simplePos x="0" y="0"/>
                <wp:positionH relativeFrom="column">
                  <wp:posOffset>0</wp:posOffset>
                </wp:positionH>
                <wp:positionV relativeFrom="paragraph">
                  <wp:posOffset>141246</wp:posOffset>
                </wp:positionV>
                <wp:extent cx="1371600" cy="1256030"/>
                <wp:effectExtent l="95250" t="76200" r="95250" b="77470"/>
                <wp:wrapTight wrapText="bothSides">
                  <wp:wrapPolygon edited="0">
                    <wp:start x="-900" y="-1310"/>
                    <wp:lineTo x="-1500" y="-983"/>
                    <wp:lineTo x="-1200" y="22605"/>
                    <wp:lineTo x="22500" y="22605"/>
                    <wp:lineTo x="22800" y="4259"/>
                    <wp:lineTo x="22200" y="-655"/>
                    <wp:lineTo x="22200" y="-1310"/>
                    <wp:lineTo x="-900" y="-1310"/>
                  </wp:wrapPolygon>
                </wp:wrapTight>
                <wp:docPr id="816286298" name="Text Box 816286298"/>
                <wp:cNvGraphicFramePr/>
                <a:graphic xmlns:a="http://schemas.openxmlformats.org/drawingml/2006/main">
                  <a:graphicData uri="http://schemas.microsoft.com/office/word/2010/wordprocessingShape">
                    <wps:wsp>
                      <wps:cNvSpPr txBox="1"/>
                      <wps:spPr>
                        <a:xfrm>
                          <a:off x="0" y="0"/>
                          <a:ext cx="1371600" cy="125603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5F11B23" w14:textId="77777777" w:rsidR="00C6444C" w:rsidRDefault="00C6444C" w:rsidP="00020D20">
                            <w:pPr>
                              <w:jc w:val="center"/>
                            </w:pPr>
                            <w:r>
                              <w:rPr>
                                <w:noProof/>
                              </w:rPr>
                              <w:drawing>
                                <wp:inline distT="0" distB="0" distL="0" distR="0" wp14:anchorId="4124BD60" wp14:editId="280235B9">
                                  <wp:extent cx="457200" cy="457200"/>
                                  <wp:effectExtent l="0" t="0" r="0" b="0"/>
                                  <wp:docPr id="1690912776" name="Picture 1690912776">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DAB0021" w14:textId="74E178B9" w:rsidR="00C6444C" w:rsidRPr="00394A74" w:rsidRDefault="00C6444C" w:rsidP="00020D20">
                            <w:pPr>
                              <w:pStyle w:val="Calloutboxes"/>
                            </w:pPr>
                            <w:r w:rsidRPr="00394A74">
                              <w:t>ADOT Engineering Districts and Contact Information:</w:t>
                            </w:r>
                          </w:p>
                          <w:p w14:paraId="43BB8E80" w14:textId="108BAF56" w:rsidR="00C6444C" w:rsidRPr="00020D20" w:rsidRDefault="00202C92">
                            <w:pPr>
                              <w:pStyle w:val="Title"/>
                              <w:rPr>
                                <w:sz w:val="16"/>
                              </w:rPr>
                            </w:pPr>
                            <w:hyperlink r:id="rId1149" w:history="1">
                              <w:r w:rsidR="00C6444C" w:rsidRPr="00020D20">
                                <w:rPr>
                                  <w:rStyle w:val="Hyperlink"/>
                                  <w:rFonts w:ascii="Calibri" w:hAnsi="Calibri" w:cstheme="majorBidi"/>
                                  <w:i/>
                                  <w:iCs w:val="0"/>
                                  <w:color w:val="CE5B18"/>
                                  <w:szCs w:val="56"/>
                                  <w:u w:val="none"/>
                                </w:rPr>
                                <w:t>http://www.aztribaltransportation.org/contacts.asp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B2C26" id="Text Box 816286298" o:spid="_x0000_s1286" type="#_x0000_t202" style="position:absolute;left:0;text-align:left;margin-left:0;margin-top:11.1pt;width:108pt;height:98.9pt;z-index:-251698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" fillcolor="#f7f7f7" stroked="f" strokeweight=".5pt">
                <v:shadow on="t" type="perspective" color="black" opacity="26214f" offset="0,0" matrix="66847f,,,66847f"/>
                <v:textbox>
                  <w:txbxContent>
                    <w:p w14:paraId="75F11B23" w14:textId="77777777" w:rsidR="00C6444C" w:rsidRDefault="00C6444C" w:rsidP="00020D20">
                      <w:pPr>
                        <w:jc w:val="center"/>
                      </w:pPr>
                      <w:r>
                        <w:rPr>
                          <w:noProof/>
                        </w:rPr>
                        <w:drawing>
                          <wp:inline distT="0" distB="0" distL="0" distR="0" wp14:anchorId="4124BD60" wp14:editId="280235B9">
                            <wp:extent cx="457200" cy="457200"/>
                            <wp:effectExtent l="0" t="0" r="0" b="0"/>
                            <wp:docPr id="1690912776" name="Picture 1690912776">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DAB0021" w14:textId="74E178B9" w:rsidR="00C6444C" w:rsidRPr="00394A74" w:rsidRDefault="00C6444C" w:rsidP="00020D20">
                      <w:pPr>
                        <w:pStyle w:val="Calloutboxes"/>
                      </w:pPr>
                      <w:r w:rsidRPr="00394A74">
                        <w:t>ADOT Engineering Districts and Contact Information:</w:t>
                      </w:r>
                    </w:p>
                    <w:p w14:paraId="43BB8E80" w14:textId="108BAF56" w:rsidR="00C6444C" w:rsidRPr="00020D20" w:rsidRDefault="00C6444C">
                      <w:pPr>
                        <w:pStyle w:val="Title"/>
                        <w:rPr>
                          <w:sz w:val="16"/>
                        </w:rPr>
                      </w:pPr>
                      <w:hyperlink r:id="rId1150" w:history="1">
                        <w:r w:rsidRPr="00020D20">
                          <w:rPr>
                            <w:rStyle w:val="Hyperlink"/>
                            <w:rFonts w:ascii="Calibri" w:hAnsi="Calibri" w:cstheme="majorBidi"/>
                            <w:i/>
                            <w:iCs w:val="0"/>
                            <w:color w:val="CE5B18"/>
                            <w:szCs w:val="56"/>
                            <w:u w:val="none"/>
                          </w:rPr>
                          <w:t>http://www.aztribaltransportation.org/contacts.asp</w:t>
                        </w:r>
                      </w:hyperlink>
                    </w:p>
                  </w:txbxContent>
                </v:textbox>
                <w10:wrap type="tight"/>
              </v:shape>
            </w:pict>
          </mc:Fallback>
        </mc:AlternateContent>
      </w:r>
      <w:r w:rsidR="002A3601" w:rsidRPr="1E9AB11D">
        <w:t>In addition to the miles of state highway that cross tribal lands, 14 airports</w:t>
      </w:r>
      <w:r w:rsidR="00593B4E">
        <w:t xml:space="preserve"> and 7 public transportation systems</w:t>
      </w:r>
      <w:r w:rsidR="002A3601" w:rsidRPr="1E9AB11D">
        <w:t xml:space="preserve"> are maintained and operated by native nations or tribal governments. </w:t>
      </w:r>
      <w:r w:rsidR="00F71457" w:rsidRPr="1E9AB11D">
        <w:t>ADOT</w:t>
      </w:r>
      <w:r w:rsidR="002A3601" w:rsidRPr="1E9AB11D">
        <w:t xml:space="preserve">’s district engineers often serve as the primary points of contact for tribes regarding state transportation issues. Some tribes whose land overlaps district boundaries may need to coordinate with multiple district engineers. Figure 17.6-1 illustrates tribal reservation land in relation to the state highway routes, other jurisdictional boundaries, and ADOT engineering districts. </w:t>
      </w:r>
    </w:p>
    <w:p w14:paraId="54594536" w14:textId="04C0566A" w:rsidR="002A3601" w:rsidRDefault="002A3601" w:rsidP="00020D20">
      <w:pPr>
        <w:pStyle w:val="Heading4"/>
        <w:jc w:val="both"/>
      </w:pPr>
      <w:r w:rsidRPr="004C5B89">
        <w:t>Figure 17.6-1 | Indian and Native Nations in Arizona</w:t>
      </w:r>
    </w:p>
    <w:p w14:paraId="61BFC5E5" w14:textId="71343F31" w:rsidR="00CA17FF" w:rsidRPr="00CA17FF" w:rsidRDefault="006B3EFC" w:rsidP="00020D20">
      <w:pPr>
        <w:jc w:val="both"/>
      </w:pPr>
      <w:r>
        <w:rPr>
          <w:noProof/>
        </w:rPr>
        <w:drawing>
          <wp:inline distT="0" distB="0" distL="0" distR="0" wp14:anchorId="39514CAC" wp14:editId="7BA94D03">
            <wp:extent cx="2743200" cy="3464896"/>
            <wp:effectExtent l="0" t="0" r="0" b="2540"/>
            <wp:docPr id="27" name="Picture 27" descr="C:\Users\siffermanst\AppData\Local\Microsoft\Windows\INetCacheContent.Word\Fig_17_6_1_Res_D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ffermanst\AppData\Local\Microsoft\Windows\INetCacheContent.Word\Fig_17_6_1_Res_Dist.jpg"/>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2743200" cy="3464896"/>
                    </a:xfrm>
                    <a:prstGeom prst="rect">
                      <a:avLst/>
                    </a:prstGeom>
                    <a:noFill/>
                    <a:ln>
                      <a:noFill/>
                    </a:ln>
                  </pic:spPr>
                </pic:pic>
              </a:graphicData>
            </a:graphic>
          </wp:inline>
        </w:drawing>
      </w:r>
    </w:p>
    <w:p w14:paraId="4EC9A929" w14:textId="4805245B" w:rsidR="002A3601" w:rsidRPr="002A3601" w:rsidRDefault="002A3601" w:rsidP="00020D20">
      <w:pPr>
        <w:jc w:val="both"/>
        <w:rPr>
          <w:rFonts w:cstheme="minorHAnsi"/>
          <w:b/>
        </w:rPr>
      </w:pPr>
      <w:r w:rsidRPr="002A3601">
        <w:rPr>
          <w:rFonts w:cstheme="minorHAnsi"/>
        </w:rPr>
        <w:t>The ADOT Department-Wide Native Nation/Tribal Government Consultation Policy provides guidance to ADOT personnel when working with Native nations and tribal governments in Arizona regarding transportation-related issues. It provides ADOT and the nations and tribes a basis for mutual understanding in order to come to agreements to address state and tribal transportation issues, needs, and concerns</w:t>
      </w:r>
    </w:p>
    <w:p w14:paraId="296B7797" w14:textId="53C2D1A4" w:rsidR="002A3601" w:rsidRPr="002A3601" w:rsidRDefault="002A3601">
      <w:pPr>
        <w:pStyle w:val="SubHeading3"/>
      </w:pPr>
      <w:bookmarkStart w:id="678" w:name="_Ref50049997"/>
      <w:r w:rsidRPr="002A3601">
        <w:t>ADOT Tribal Consultation Actions</w:t>
      </w:r>
      <w:bookmarkEnd w:id="678"/>
    </w:p>
    <w:p w14:paraId="7A051243" w14:textId="66AFC87F" w:rsidR="00CC6D9B" w:rsidRPr="00CC6D9B" w:rsidRDefault="002A3601" w:rsidP="00020D20">
      <w:pPr>
        <w:jc w:val="both"/>
        <w:rPr>
          <w:rFonts w:cstheme="minorHAnsi"/>
        </w:rPr>
      </w:pPr>
      <w:r w:rsidRPr="002A3601">
        <w:rPr>
          <w:rFonts w:cstheme="minorHAnsi"/>
        </w:rPr>
        <w:t xml:space="preserve">Once a year ADOT MPD compiles a report that provides a summary of the tribal-related consultation and coordination activities conducted by the </w:t>
      </w:r>
      <w:r w:rsidR="00593B4E">
        <w:rPr>
          <w:rFonts w:cstheme="minorHAnsi"/>
        </w:rPr>
        <w:t xml:space="preserve">ADOT Tribal Liaisons in coordination with the </w:t>
      </w:r>
      <w:r w:rsidRPr="002A3601">
        <w:rPr>
          <w:rFonts w:cstheme="minorHAnsi"/>
        </w:rPr>
        <w:t>various ADOT divisions, districts, sections, and groups</w:t>
      </w:r>
      <w:r w:rsidR="00CC6D9B">
        <w:rPr>
          <w:rFonts w:cstheme="minorHAnsi"/>
        </w:rPr>
        <w:t xml:space="preserve"> </w:t>
      </w:r>
      <w:r w:rsidR="00CC6D9B" w:rsidRPr="00CC6D9B">
        <w:rPr>
          <w:rFonts w:cstheme="minorHAnsi"/>
        </w:rPr>
        <w:t>during the prior fiscal year. The annual report is submitted to the Governor</w:t>
      </w:r>
      <w:r w:rsidR="00355893">
        <w:rPr>
          <w:rFonts w:cstheme="minorHAnsi"/>
        </w:rPr>
        <w:t>’</w:t>
      </w:r>
      <w:r w:rsidR="00CC6D9B" w:rsidRPr="00CC6D9B">
        <w:rPr>
          <w:rFonts w:cstheme="minorHAnsi"/>
        </w:rPr>
        <w:t>s office and shared with Tribal leaders and legislators.</w:t>
      </w:r>
    </w:p>
    <w:p w14:paraId="2F9A918C" w14:textId="08509E8A" w:rsidR="00CC6D9B" w:rsidRDefault="0087264D" w:rsidP="00020D20">
      <w:pPr>
        <w:jc w:val="both"/>
        <w:rPr>
          <w:rFonts w:cstheme="minorHAnsi"/>
        </w:rPr>
      </w:pPr>
      <w:r>
        <w:rPr>
          <w:rFonts w:cstheme="minorHAnsi"/>
          <w:noProof/>
        </w:rPr>
        <mc:AlternateContent>
          <mc:Choice Requires="wps">
            <w:drawing>
              <wp:anchor distT="0" distB="0" distL="114300" distR="114300" simplePos="0" relativeHeight="251618415" behindDoc="1" locked="0" layoutInCell="1" allowOverlap="1" wp14:anchorId="5FE34A7E" wp14:editId="28FC56F0">
                <wp:simplePos x="0" y="0"/>
                <wp:positionH relativeFrom="column">
                  <wp:posOffset>1304925</wp:posOffset>
                </wp:positionH>
                <wp:positionV relativeFrom="paragraph">
                  <wp:posOffset>95250</wp:posOffset>
                </wp:positionV>
                <wp:extent cx="1485900" cy="1914525"/>
                <wp:effectExtent l="95250" t="95250" r="95250" b="104775"/>
                <wp:wrapTight wrapText="bothSides">
                  <wp:wrapPolygon edited="0">
                    <wp:start x="-1108" y="-1075"/>
                    <wp:lineTo x="-1385" y="19988"/>
                    <wp:lineTo x="-831" y="22567"/>
                    <wp:lineTo x="22154" y="22567"/>
                    <wp:lineTo x="22708" y="19988"/>
                    <wp:lineTo x="22431" y="-1075"/>
                    <wp:lineTo x="-1108" y="-1075"/>
                  </wp:wrapPolygon>
                </wp:wrapTight>
                <wp:docPr id="816286341" name="Text Box 816286341"/>
                <wp:cNvGraphicFramePr/>
                <a:graphic xmlns:a="http://schemas.openxmlformats.org/drawingml/2006/main">
                  <a:graphicData uri="http://schemas.microsoft.com/office/word/2010/wordprocessingShape">
                    <wps:wsp>
                      <wps:cNvSpPr txBox="1"/>
                      <wps:spPr>
                        <a:xfrm>
                          <a:off x="0" y="0"/>
                          <a:ext cx="1485900" cy="19145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D4282B9" w14:textId="77777777" w:rsidR="00C6444C" w:rsidRDefault="00C6444C" w:rsidP="00020D20">
                            <w:pPr>
                              <w:jc w:val="center"/>
                            </w:pPr>
                            <w:r>
                              <w:rPr>
                                <w:noProof/>
                              </w:rPr>
                              <w:drawing>
                                <wp:inline distT="0" distB="0" distL="0" distR="0" wp14:anchorId="1E346B09" wp14:editId="6E4BF5F9">
                                  <wp:extent cx="457200" cy="457200"/>
                                  <wp:effectExtent l="0" t="0" r="0" b="0"/>
                                  <wp:docPr id="1690912777" name="Picture 169091277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B9DE300" w14:textId="632DF211" w:rsidR="00C6444C" w:rsidRPr="00003E69" w:rsidRDefault="00C6444C" w:rsidP="00020D20">
                            <w:pPr>
                              <w:pStyle w:val="Calloutboxes"/>
                            </w:pPr>
                            <w:r w:rsidRPr="00394A74">
                              <w:t>The Arizona Tribal Strategic Partnering Team (ATSPT) brings together r</w:t>
                            </w:r>
                            <w:r w:rsidRPr="005A6734">
                              <w:t xml:space="preserve">epresentatives from state, tribal, </w:t>
                            </w:r>
                            <w:r w:rsidRPr="001E4049">
                              <w:t>federal, and local agencies to address tribal-related transportation issues</w:t>
                            </w:r>
                            <w:r w:rsidRPr="00003E69">
                              <w:t>:</w:t>
                            </w:r>
                          </w:p>
                          <w:p w14:paraId="531A5123" w14:textId="77777777" w:rsidR="00C6444C" w:rsidRPr="00020D20" w:rsidRDefault="00202C92" w:rsidP="00020D20">
                            <w:pPr>
                              <w:pStyle w:val="Title"/>
                              <w:rPr>
                                <w:sz w:val="16"/>
                              </w:rPr>
                            </w:pPr>
                            <w:hyperlink r:id="rId1152" w:history="1">
                              <w:r w:rsidR="00C6444C" w:rsidRPr="00020D20">
                                <w:rPr>
                                  <w:rStyle w:val="Hyperlink"/>
                                  <w:rFonts w:ascii="Calibri" w:hAnsi="Calibri" w:cstheme="majorBidi"/>
                                  <w:i/>
                                  <w:iCs w:val="0"/>
                                  <w:color w:val="CE5B18"/>
                                  <w:szCs w:val="56"/>
                                  <w:u w:val="none"/>
                                </w:rPr>
                                <w:t>http://www.aztribaltransportation.org/contacts.asp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E34A7E" id="Text Box 816286341" o:spid="_x0000_s1287" type="#_x0000_t202" style="position:absolute;left:0;text-align:left;margin-left:102.75pt;margin-top:7.5pt;width:117pt;height:150.75pt;z-index:-2516980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" fillcolor="#f7f7f7" stroked="f" strokeweight=".5pt">
                <v:shadow on="t" type="perspective" color="black" opacity="26214f" offset="0,0" matrix="66847f,,,66847f"/>
                <v:textbox>
                  <w:txbxContent>
                    <w:p w14:paraId="5D4282B9" w14:textId="77777777" w:rsidR="00C6444C" w:rsidRDefault="00C6444C" w:rsidP="00020D20">
                      <w:pPr>
                        <w:jc w:val="center"/>
                      </w:pPr>
                      <w:r>
                        <w:rPr>
                          <w:noProof/>
                        </w:rPr>
                        <w:drawing>
                          <wp:inline distT="0" distB="0" distL="0" distR="0" wp14:anchorId="1E346B09" wp14:editId="6E4BF5F9">
                            <wp:extent cx="457200" cy="457200"/>
                            <wp:effectExtent l="0" t="0" r="0" b="0"/>
                            <wp:docPr id="1690912777" name="Picture 169091277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B9DE300" w14:textId="632DF211" w:rsidR="00C6444C" w:rsidRPr="00003E69" w:rsidRDefault="00C6444C" w:rsidP="00020D20">
                      <w:pPr>
                        <w:pStyle w:val="Calloutboxes"/>
                      </w:pPr>
                      <w:r w:rsidRPr="00394A74">
                        <w:t>The Arizona Tribal Strategic Partnering Team (ATSPT) brings together r</w:t>
                      </w:r>
                      <w:r w:rsidRPr="005A6734">
                        <w:t xml:space="preserve">epresentatives from state, tribal, </w:t>
                      </w:r>
                      <w:r w:rsidRPr="001E4049">
                        <w:t>federal, and local agencies to address tribal-related transportation issues</w:t>
                      </w:r>
                      <w:r w:rsidRPr="00003E69">
                        <w:t>:</w:t>
                      </w:r>
                    </w:p>
                    <w:p w14:paraId="531A5123" w14:textId="77777777" w:rsidR="00C6444C" w:rsidRPr="00020D20" w:rsidRDefault="00C6444C" w:rsidP="00020D20">
                      <w:pPr>
                        <w:pStyle w:val="Title"/>
                        <w:rPr>
                          <w:sz w:val="16"/>
                        </w:rPr>
                      </w:pPr>
                      <w:hyperlink r:id="rId1153" w:history="1">
                        <w:r w:rsidRPr="00020D20">
                          <w:rPr>
                            <w:rStyle w:val="Hyperlink"/>
                            <w:rFonts w:ascii="Calibri" w:hAnsi="Calibri" w:cstheme="majorBidi"/>
                            <w:i/>
                            <w:iCs w:val="0"/>
                            <w:color w:val="CE5B18"/>
                            <w:szCs w:val="56"/>
                            <w:u w:val="none"/>
                          </w:rPr>
                          <w:t>http://www.aztribaltransportation.org/contacts.asp</w:t>
                        </w:r>
                      </w:hyperlink>
                    </w:p>
                  </w:txbxContent>
                </v:textbox>
                <w10:wrap type="tight"/>
              </v:shape>
            </w:pict>
          </mc:Fallback>
        </mc:AlternateContent>
      </w:r>
      <w:r w:rsidR="00CC6D9B" w:rsidRPr="00CC6D9B">
        <w:rPr>
          <w:rFonts w:cstheme="minorHAnsi"/>
        </w:rPr>
        <w:t>There are several methods by which ADOT and the tribal governments interact. The ADOT Tribal Consultation Report highlights studies</w:t>
      </w:r>
      <w:r w:rsidR="00593B4E">
        <w:rPr>
          <w:rFonts w:cstheme="minorHAnsi"/>
        </w:rPr>
        <w:t>, projects,</w:t>
      </w:r>
      <w:r w:rsidR="00CC6D9B" w:rsidRPr="00CC6D9B">
        <w:rPr>
          <w:rFonts w:cstheme="minorHAnsi"/>
        </w:rPr>
        <w:t xml:space="preserve"> and processes that are either completed or underway with regard to tribal consultation, cooperation, and coordination. Included in </w:t>
      </w:r>
      <w:r w:rsidR="00593B4E">
        <w:rPr>
          <w:rFonts w:cstheme="minorHAnsi"/>
        </w:rPr>
        <w:t>the report</w:t>
      </w:r>
      <w:r w:rsidR="00CC6D9B" w:rsidRPr="00CC6D9B">
        <w:rPr>
          <w:rFonts w:cstheme="minorHAnsi"/>
        </w:rPr>
        <w:t xml:space="preserve"> are specific partnership</w:t>
      </w:r>
      <w:r w:rsidR="00593B4E">
        <w:rPr>
          <w:rFonts w:cstheme="minorHAnsi"/>
        </w:rPr>
        <w:t xml:space="preserve"> accomplishment</w:t>
      </w:r>
      <w:r w:rsidR="00CC6D9B" w:rsidRPr="00CC6D9B">
        <w:rPr>
          <w:rFonts w:cstheme="minorHAnsi"/>
        </w:rPr>
        <w:t>s relevant to tribal transportation planning</w:t>
      </w:r>
      <w:r w:rsidR="00593B4E">
        <w:rPr>
          <w:rFonts w:cstheme="minorHAnsi"/>
        </w:rPr>
        <w:t>, outreach, and improved intergovernmental relations</w:t>
      </w:r>
      <w:r w:rsidR="00CC6D9B" w:rsidRPr="00CC6D9B">
        <w:rPr>
          <w:rFonts w:cstheme="minorHAnsi"/>
        </w:rPr>
        <w:t xml:space="preserve"> in Arizona. </w:t>
      </w:r>
    </w:p>
    <w:p w14:paraId="52AF1D78" w14:textId="77777777" w:rsidR="00934F7D" w:rsidRDefault="00934F7D" w:rsidP="00020D20">
      <w:pPr>
        <w:pStyle w:val="Heading5"/>
        <w:jc w:val="both"/>
        <w:rPr>
          <w:rFonts w:cstheme="minorHAnsi"/>
        </w:rPr>
        <w:sectPr w:rsidR="00934F7D" w:rsidSect="00020D20">
          <w:type w:val="continuous"/>
          <w:pgSz w:w="12240" w:h="15840"/>
          <w:pgMar w:top="1440" w:right="1440" w:bottom="1440" w:left="1440" w:header="720" w:footer="720" w:gutter="0"/>
          <w:pgNumType w:chapStyle="1"/>
          <w:cols w:num="2" w:space="720"/>
          <w:docGrid w:linePitch="360"/>
        </w:sectPr>
      </w:pPr>
    </w:p>
    <w:p w14:paraId="07363942" w14:textId="5C322EFF" w:rsidR="00CC6D9B" w:rsidRDefault="00BF2BBE" w:rsidP="00020D20">
      <w:pPr>
        <w:pStyle w:val="Heading4"/>
        <w:jc w:val="both"/>
      </w:pPr>
      <w:r>
        <w:rPr>
          <w:noProof/>
        </w:rPr>
        <mc:AlternateContent>
          <mc:Choice Requires="wps">
            <w:drawing>
              <wp:anchor distT="0" distB="0" distL="114300" distR="114300" simplePos="0" relativeHeight="251618417" behindDoc="1" locked="0" layoutInCell="1" allowOverlap="1" wp14:anchorId="6B8EEEFE" wp14:editId="73A00FEC">
                <wp:simplePos x="0" y="0"/>
                <wp:positionH relativeFrom="column">
                  <wp:posOffset>0</wp:posOffset>
                </wp:positionH>
                <wp:positionV relativeFrom="paragraph">
                  <wp:posOffset>2575560</wp:posOffset>
                </wp:positionV>
                <wp:extent cx="1257300" cy="1501775"/>
                <wp:effectExtent l="76200" t="95250" r="76200" b="98425"/>
                <wp:wrapTight wrapText="bothSides">
                  <wp:wrapPolygon edited="0">
                    <wp:start x="-1309" y="-1370"/>
                    <wp:lineTo x="-1309" y="22742"/>
                    <wp:lineTo x="22582" y="22742"/>
                    <wp:lineTo x="22582" y="-1370"/>
                    <wp:lineTo x="-1309" y="-1370"/>
                  </wp:wrapPolygon>
                </wp:wrapTight>
                <wp:docPr id="816286177" name="Text Box 816286177"/>
                <wp:cNvGraphicFramePr/>
                <a:graphic xmlns:a="http://schemas.openxmlformats.org/drawingml/2006/main">
                  <a:graphicData uri="http://schemas.microsoft.com/office/word/2010/wordprocessingShape">
                    <wps:wsp>
                      <wps:cNvSpPr txBox="1"/>
                      <wps:spPr>
                        <a:xfrm>
                          <a:off x="0" y="0"/>
                          <a:ext cx="1257300" cy="15017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EA650B1" w14:textId="77777777" w:rsidR="00C6444C" w:rsidRDefault="00C6444C" w:rsidP="00020D20">
                            <w:pPr>
                              <w:jc w:val="center"/>
                            </w:pPr>
                            <w:r>
                              <w:rPr>
                                <w:noProof/>
                              </w:rPr>
                              <w:drawing>
                                <wp:inline distT="0" distB="0" distL="0" distR="0" wp14:anchorId="17B1CF56" wp14:editId="1A4AB994">
                                  <wp:extent cx="457200" cy="457200"/>
                                  <wp:effectExtent l="0" t="0" r="0" b="0"/>
                                  <wp:docPr id="1690912778" name="Picture 169091277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D7284D2" w14:textId="7B9A5542" w:rsidR="00C6444C" w:rsidRPr="005A6734" w:rsidRDefault="00C6444C" w:rsidP="00020D20">
                            <w:pPr>
                              <w:pStyle w:val="Calloutboxes"/>
                            </w:pPr>
                            <w:r w:rsidRPr="00394A74">
                              <w:t>2012 ADOT Tribal Consultation Report:</w:t>
                            </w:r>
                          </w:p>
                          <w:p w14:paraId="47885B6B" w14:textId="3E675E89" w:rsidR="00C6444C" w:rsidRPr="00020D20" w:rsidRDefault="00202C92">
                            <w:pPr>
                              <w:pStyle w:val="Title"/>
                              <w:rPr>
                                <w:sz w:val="16"/>
                              </w:rPr>
                            </w:pPr>
                            <w:hyperlink r:id="rId1154" w:history="1">
                              <w:r w:rsidR="00C6444C" w:rsidRPr="00020D20">
                                <w:rPr>
                                  <w:rStyle w:val="Hyperlink"/>
                                  <w:rFonts w:ascii="Calibri" w:hAnsi="Calibri" w:cstheme="majorBidi"/>
                                  <w:i/>
                                  <w:iCs w:val="0"/>
                                  <w:color w:val="CE5B18"/>
                                  <w:szCs w:val="56"/>
                                  <w:u w:val="none"/>
                                </w:rPr>
                                <w:t>http://www.aztribaltransportation.org/PDF/FY19-ADOT-Annual-Tribal-Consultation-Report-100119.pdf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8EEEFE" id="Text Box 816286177" o:spid="_x0000_s1288" type="#_x0000_t202" style="position:absolute;left:0;text-align:left;margin-left:0;margin-top:202.8pt;width:99pt;height:118.25pt;z-index:-251698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" fillcolor="#f7f7f7" stroked="f" strokeweight=".5pt">
                <v:shadow on="t" type="perspective" color="black" opacity="26214f" offset="0,0" matrix="66847f,,,66847f"/>
                <v:textbox>
                  <w:txbxContent>
                    <w:p w14:paraId="6EA650B1" w14:textId="77777777" w:rsidR="00C6444C" w:rsidRDefault="00C6444C" w:rsidP="00020D20">
                      <w:pPr>
                        <w:jc w:val="center"/>
                      </w:pPr>
                      <w:r>
                        <w:rPr>
                          <w:noProof/>
                        </w:rPr>
                        <w:drawing>
                          <wp:inline distT="0" distB="0" distL="0" distR="0" wp14:anchorId="17B1CF56" wp14:editId="1A4AB994">
                            <wp:extent cx="457200" cy="457200"/>
                            <wp:effectExtent l="0" t="0" r="0" b="0"/>
                            <wp:docPr id="1690912778" name="Picture 169091277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D7284D2" w14:textId="7B9A5542" w:rsidR="00C6444C" w:rsidRPr="005A6734" w:rsidRDefault="00C6444C" w:rsidP="00020D20">
                      <w:pPr>
                        <w:pStyle w:val="Calloutboxes"/>
                      </w:pPr>
                      <w:r w:rsidRPr="00394A74">
                        <w:t>2012 ADOT Tribal Consultation Report:</w:t>
                      </w:r>
                    </w:p>
                    <w:p w14:paraId="47885B6B" w14:textId="3E675E89" w:rsidR="00C6444C" w:rsidRPr="00020D20" w:rsidRDefault="00C6444C">
                      <w:pPr>
                        <w:pStyle w:val="Title"/>
                        <w:rPr>
                          <w:sz w:val="16"/>
                        </w:rPr>
                      </w:pPr>
                      <w:hyperlink r:id="rId1155" w:history="1">
                        <w:r w:rsidRPr="00020D20">
                          <w:rPr>
                            <w:rStyle w:val="Hyperlink"/>
                            <w:rFonts w:ascii="Calibri" w:hAnsi="Calibri" w:cstheme="majorBidi"/>
                            <w:i/>
                            <w:iCs w:val="0"/>
                            <w:color w:val="CE5B18"/>
                            <w:szCs w:val="56"/>
                            <w:u w:val="none"/>
                          </w:rPr>
                          <w:t>http://www.aztribaltransportation.org/PDF/FY19-ADOT-Annual-Tribal-Consultation-Report-100119.pdf</w:t>
                        </w:r>
                      </w:hyperlink>
                    </w:p>
                  </w:txbxContent>
                </v:textbox>
                <w10:wrap type="tight"/>
              </v:shape>
            </w:pict>
          </mc:Fallback>
        </mc:AlternateContent>
      </w:r>
      <w:r>
        <w:rPr>
          <w:noProof/>
        </w:rPr>
        <mc:AlternateContent>
          <mc:Choice Requires="wps">
            <w:drawing>
              <wp:anchor distT="0" distB="0" distL="114300" distR="114300" simplePos="0" relativeHeight="251618416" behindDoc="1" locked="0" layoutInCell="1" allowOverlap="1" wp14:anchorId="65ED4B41" wp14:editId="5E8FCFA9">
                <wp:simplePos x="0" y="0"/>
                <wp:positionH relativeFrom="column">
                  <wp:posOffset>0</wp:posOffset>
                </wp:positionH>
                <wp:positionV relativeFrom="paragraph">
                  <wp:posOffset>222885</wp:posOffset>
                </wp:positionV>
                <wp:extent cx="1257300" cy="2238375"/>
                <wp:effectExtent l="76200" t="95250" r="76200" b="104775"/>
                <wp:wrapTight wrapText="bothSides">
                  <wp:wrapPolygon edited="0">
                    <wp:start x="-1309" y="-919"/>
                    <wp:lineTo x="-1309" y="21508"/>
                    <wp:lineTo x="-982" y="22427"/>
                    <wp:lineTo x="22255" y="22427"/>
                    <wp:lineTo x="22582" y="20221"/>
                    <wp:lineTo x="22582" y="-919"/>
                    <wp:lineTo x="-1309" y="-919"/>
                  </wp:wrapPolygon>
                </wp:wrapTight>
                <wp:docPr id="816286094" name="Text Box 816286094"/>
                <wp:cNvGraphicFramePr/>
                <a:graphic xmlns:a="http://schemas.openxmlformats.org/drawingml/2006/main">
                  <a:graphicData uri="http://schemas.microsoft.com/office/word/2010/wordprocessingShape">
                    <wps:wsp>
                      <wps:cNvSpPr txBox="1"/>
                      <wps:spPr>
                        <a:xfrm>
                          <a:off x="0" y="0"/>
                          <a:ext cx="1257300" cy="22383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0394A73" w14:textId="77777777" w:rsidR="00C6444C" w:rsidRDefault="00C6444C" w:rsidP="00020D20">
                            <w:pPr>
                              <w:jc w:val="center"/>
                            </w:pPr>
                            <w:r>
                              <w:rPr>
                                <w:noProof/>
                              </w:rPr>
                              <w:drawing>
                                <wp:inline distT="0" distB="0" distL="0" distR="0" wp14:anchorId="423D40E9" wp14:editId="1353FD03">
                                  <wp:extent cx="457200" cy="457200"/>
                                  <wp:effectExtent l="0" t="0" r="0" b="0"/>
                                  <wp:docPr id="1690912779" name="Picture 169091277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D7CBF3" w14:textId="0B3D7B57" w:rsidR="00C6444C" w:rsidRPr="00977A9B" w:rsidRDefault="00C6444C" w:rsidP="00020D20">
                            <w:pPr>
                              <w:pStyle w:val="Calloutboxes"/>
                            </w:pPr>
                            <w:r w:rsidRPr="00394A74">
                              <w:t xml:space="preserve">Promoting Partnerships: ADOT strives to actively involve tribes throughout the transportation planning and programming process. The key for successful </w:t>
                            </w:r>
                            <w:r w:rsidRPr="005A6734">
                              <w:t>interaction through the planning/programming process for all tribes is to participate, participate, participate.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ED4B41" id="Text Box 816286094" o:spid="_x0000_s1289" type="#_x0000_t202" style="position:absolute;left:0;text-align:left;margin-left:0;margin-top:17.55pt;width:99pt;height:176.25pt;z-index:-25169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" fillcolor="#f7f7f7" stroked="f" strokeweight=".5pt">
                <v:shadow on="t" type="perspective" color="black" opacity="26214f" offset="0,0" matrix="66847f,,,66847f"/>
                <v:textbox>
                  <w:txbxContent>
                    <w:p w14:paraId="10394A73" w14:textId="77777777" w:rsidR="00C6444C" w:rsidRDefault="00C6444C" w:rsidP="00020D20">
                      <w:pPr>
                        <w:jc w:val="center"/>
                      </w:pPr>
                      <w:r>
                        <w:rPr>
                          <w:noProof/>
                        </w:rPr>
                        <w:drawing>
                          <wp:inline distT="0" distB="0" distL="0" distR="0" wp14:anchorId="423D40E9" wp14:editId="1353FD03">
                            <wp:extent cx="457200" cy="457200"/>
                            <wp:effectExtent l="0" t="0" r="0" b="0"/>
                            <wp:docPr id="1690912779" name="Picture 169091277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6D7CBF3" w14:textId="0B3D7B57" w:rsidR="00C6444C" w:rsidRPr="00977A9B" w:rsidRDefault="00C6444C" w:rsidP="00020D20">
                      <w:pPr>
                        <w:pStyle w:val="Calloutboxes"/>
                      </w:pPr>
                      <w:r w:rsidRPr="00394A74">
                        <w:t xml:space="preserve">Promoting Partnerships: ADOT strives to actively involve tribes throughout the transportation planning and programming process. The key for successful </w:t>
                      </w:r>
                      <w:r w:rsidRPr="005A6734">
                        <w:t>interaction through the planning/programming process for all tribes is to participate, participate, participate.</w:t>
                      </w:r>
                    </w:p>
                  </w:txbxContent>
                </v:textbox>
                <w10:wrap type="tight"/>
              </v:shape>
            </w:pict>
          </mc:Fallback>
        </mc:AlternateContent>
      </w:r>
      <w:r w:rsidR="00CC6D9B" w:rsidRPr="00CC6D9B">
        <w:t>Table 17.6</w:t>
      </w:r>
      <w:r w:rsidR="00CC6D9B" w:rsidRPr="00020D20">
        <w:rPr>
          <w:rStyle w:val="Heading4Char"/>
        </w:rPr>
        <w:t>-</w:t>
      </w:r>
      <w:r w:rsidR="00CC6D9B" w:rsidRPr="00CC6D9B">
        <w:t>3 | Member &amp; Participating Tribes in Regional Planning Organizations</w:t>
      </w:r>
    </w:p>
    <w:tbl>
      <w:tblPr>
        <w:tblW w:w="0" w:type="auto"/>
        <w:tblInd w:w="-10" w:type="dxa"/>
        <w:tblLayout w:type="fixed"/>
        <w:tblCellMar>
          <w:left w:w="0" w:type="dxa"/>
          <w:right w:w="0" w:type="dxa"/>
        </w:tblCellMar>
        <w:tblLook w:val="0000" w:firstRow="0" w:lastRow="0" w:firstColumn="0" w:lastColumn="0" w:noHBand="0" w:noVBand="0"/>
      </w:tblPr>
      <w:tblGrid>
        <w:gridCol w:w="511"/>
        <w:gridCol w:w="1350"/>
        <w:gridCol w:w="2644"/>
        <w:gridCol w:w="2520"/>
      </w:tblGrid>
      <w:tr w:rsidR="00CA17FF" w:rsidRPr="00CA17FF" w14:paraId="0300082E" w14:textId="77777777" w:rsidTr="00020D20">
        <w:trPr>
          <w:trHeight w:val="270"/>
        </w:trPr>
        <w:tc>
          <w:tcPr>
            <w:tcW w:w="1861" w:type="dxa"/>
            <w:gridSpan w:val="2"/>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90" w:type="dxa"/>
              <w:left w:w="90" w:type="dxa"/>
              <w:bottom w:w="90" w:type="dxa"/>
              <w:right w:w="90" w:type="dxa"/>
            </w:tcMar>
            <w:vAlign w:val="center"/>
          </w:tcPr>
          <w:p w14:paraId="700F342E" w14:textId="77777777" w:rsidR="00CC6D9B" w:rsidRPr="006110AD" w:rsidRDefault="00CC6D9B" w:rsidP="00020D20">
            <w:pPr>
              <w:spacing w:before="0" w:after="0" w:line="240" w:lineRule="auto"/>
              <w:jc w:val="both"/>
            </w:pPr>
            <w:r w:rsidRPr="00121C12">
              <w:t>Regional Planning Organization</w:t>
            </w:r>
          </w:p>
        </w:tc>
        <w:tc>
          <w:tcPr>
            <w:tcW w:w="2644"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12768"/>
            <w:tcMar>
              <w:top w:w="90" w:type="dxa"/>
              <w:left w:w="90" w:type="dxa"/>
              <w:bottom w:w="90" w:type="dxa"/>
              <w:right w:w="90" w:type="dxa"/>
            </w:tcMar>
            <w:vAlign w:val="center"/>
          </w:tcPr>
          <w:p w14:paraId="1251A999" w14:textId="71BA31DC" w:rsidR="00CC6D9B" w:rsidRPr="005254D7" w:rsidRDefault="00CC6D9B" w:rsidP="00020D20">
            <w:pPr>
              <w:spacing w:before="0" w:after="0" w:line="240" w:lineRule="auto"/>
              <w:jc w:val="both"/>
            </w:pPr>
            <w:r w:rsidRPr="005254D7">
              <w:t>Member Tribes</w:t>
            </w:r>
          </w:p>
        </w:tc>
        <w:tc>
          <w:tcPr>
            <w:tcW w:w="252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12768"/>
            <w:tcMar>
              <w:top w:w="90" w:type="dxa"/>
              <w:left w:w="90" w:type="dxa"/>
              <w:bottom w:w="90" w:type="dxa"/>
              <w:right w:w="90" w:type="dxa"/>
            </w:tcMar>
            <w:vAlign w:val="center"/>
          </w:tcPr>
          <w:p w14:paraId="61E400D0" w14:textId="77777777" w:rsidR="00CC6D9B" w:rsidRPr="005254D7" w:rsidRDefault="00CC6D9B" w:rsidP="00020D20">
            <w:pPr>
              <w:spacing w:before="0" w:after="0" w:line="240" w:lineRule="auto"/>
              <w:jc w:val="both"/>
            </w:pPr>
            <w:r w:rsidRPr="005254D7">
              <w:t>Participating Tribes (non-voting)</w:t>
            </w:r>
          </w:p>
        </w:tc>
      </w:tr>
      <w:tr w:rsidR="00CC6D9B" w:rsidRPr="00CC6D9B" w14:paraId="30934155" w14:textId="77777777" w:rsidTr="00020D20">
        <w:trPr>
          <w:cantSplit/>
          <w:trHeight w:val="144"/>
        </w:trPr>
        <w:tc>
          <w:tcPr>
            <w:tcW w:w="511"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58" w:type="dxa"/>
              <w:left w:w="58" w:type="dxa"/>
              <w:bottom w:w="58" w:type="dxa"/>
              <w:right w:w="58" w:type="dxa"/>
            </w:tcMar>
            <w:textDirection w:val="btLr"/>
            <w:vAlign w:val="center"/>
          </w:tcPr>
          <w:p w14:paraId="33466D4E" w14:textId="77777777" w:rsidR="00CC6D9B" w:rsidRPr="005254D7" w:rsidRDefault="00CC6D9B" w:rsidP="00020D20">
            <w:pPr>
              <w:spacing w:before="0" w:after="0" w:line="240" w:lineRule="auto"/>
              <w:jc w:val="both"/>
            </w:pPr>
            <w:r w:rsidRPr="005254D7">
              <w:t>TMA</w:t>
            </w: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2FDC23B4" w14:textId="77777777" w:rsidR="00CC6D9B" w:rsidRPr="00020D20" w:rsidRDefault="00CC6D9B" w:rsidP="00020D20">
            <w:pPr>
              <w:pStyle w:val="Heading5"/>
              <w:spacing w:before="0" w:after="0" w:line="240" w:lineRule="auto"/>
              <w:jc w:val="both"/>
              <w:rPr>
                <w:i w:val="0"/>
                <w:color w:val="auto"/>
                <w:szCs w:val="17"/>
              </w:rPr>
            </w:pPr>
            <w:r w:rsidRPr="00020D20">
              <w:rPr>
                <w:i w:val="0"/>
                <w:color w:val="auto"/>
                <w:szCs w:val="17"/>
              </w:rPr>
              <w:t>MAG</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2B527D1E" w14:textId="77777777" w:rsidR="00CC6D9B" w:rsidRPr="00020D20" w:rsidRDefault="00CC6D9B" w:rsidP="00020D20">
            <w:pPr>
              <w:pStyle w:val="Heading5"/>
              <w:spacing w:before="0" w:after="0" w:line="240" w:lineRule="auto"/>
              <w:jc w:val="both"/>
              <w:rPr>
                <w:i w:val="0"/>
                <w:color w:val="auto"/>
                <w:szCs w:val="17"/>
              </w:rPr>
            </w:pPr>
            <w:r w:rsidRPr="00020D20">
              <w:rPr>
                <w:i w:val="0"/>
                <w:color w:val="auto"/>
                <w:szCs w:val="17"/>
              </w:rPr>
              <w:t>Fort McDowell Yavapai Nation, Gila River Indian Community, Salt River Pima-Maricopa Indian Community</w:t>
            </w: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1696C1BE" w14:textId="77777777" w:rsidR="00CC6D9B" w:rsidRPr="00020D20" w:rsidRDefault="00CC6D9B" w:rsidP="00020D20">
            <w:pPr>
              <w:pStyle w:val="Heading5"/>
              <w:spacing w:before="0" w:after="0" w:line="240" w:lineRule="auto"/>
              <w:jc w:val="both"/>
              <w:rPr>
                <w:i w:val="0"/>
                <w:color w:val="auto"/>
                <w:szCs w:val="17"/>
              </w:rPr>
            </w:pPr>
          </w:p>
        </w:tc>
      </w:tr>
      <w:tr w:rsidR="00CC6D9B" w:rsidRPr="00CC6D9B" w14:paraId="212683B4" w14:textId="77777777" w:rsidTr="00020D20">
        <w:trPr>
          <w:cantSplit/>
          <w:trHeight w:val="144"/>
        </w:trPr>
        <w:tc>
          <w:tcPr>
            <w:tcW w:w="511"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1C3E3345" w14:textId="77777777" w:rsidR="00CC6D9B" w:rsidRPr="005254D7" w:rsidRDefault="00CC6D9B" w:rsidP="00020D20">
            <w:pPr>
              <w:spacing w:before="0" w:after="0" w:line="240" w:lineRule="auto"/>
              <w:jc w:val="both"/>
            </w:pP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1941AC4B" w14:textId="77777777" w:rsidR="00CC6D9B" w:rsidRPr="00020D20" w:rsidRDefault="00CC6D9B" w:rsidP="00020D20">
            <w:pPr>
              <w:pStyle w:val="Heading5"/>
              <w:spacing w:before="0" w:after="0" w:line="240" w:lineRule="auto"/>
              <w:jc w:val="both"/>
              <w:rPr>
                <w:i w:val="0"/>
                <w:color w:val="auto"/>
                <w:szCs w:val="17"/>
              </w:rPr>
            </w:pPr>
            <w:r w:rsidRPr="00020D20">
              <w:rPr>
                <w:i w:val="0"/>
                <w:color w:val="auto"/>
                <w:szCs w:val="17"/>
              </w:rPr>
              <w:t>PAG</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077B8501" w14:textId="77777777" w:rsidR="00CC6D9B" w:rsidRPr="00020D20" w:rsidRDefault="00CC6D9B" w:rsidP="00020D20">
            <w:pPr>
              <w:pStyle w:val="Heading5"/>
              <w:spacing w:before="0" w:after="0" w:line="240" w:lineRule="auto"/>
              <w:jc w:val="both"/>
              <w:rPr>
                <w:i w:val="0"/>
                <w:color w:val="auto"/>
                <w:szCs w:val="17"/>
              </w:rPr>
            </w:pPr>
            <w:r w:rsidRPr="00020D20">
              <w:rPr>
                <w:i w:val="0"/>
                <w:color w:val="auto"/>
                <w:szCs w:val="17"/>
              </w:rPr>
              <w:t>Pascua Yaqui Tribe, Tohono O’odham Nation</w:t>
            </w: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28AA1CFB" w14:textId="77777777" w:rsidR="00CC6D9B" w:rsidRPr="00020D20" w:rsidRDefault="00CC6D9B" w:rsidP="00020D20">
            <w:pPr>
              <w:pStyle w:val="Heading5"/>
              <w:spacing w:before="0" w:after="0" w:line="240" w:lineRule="auto"/>
              <w:jc w:val="both"/>
              <w:rPr>
                <w:i w:val="0"/>
                <w:color w:val="auto"/>
                <w:szCs w:val="17"/>
              </w:rPr>
            </w:pPr>
          </w:p>
        </w:tc>
      </w:tr>
      <w:tr w:rsidR="005254D7" w:rsidRPr="00CC6D9B" w14:paraId="0AF40ABF" w14:textId="77777777" w:rsidTr="00020D20">
        <w:trPr>
          <w:cantSplit/>
          <w:trHeight w:val="144"/>
        </w:trPr>
        <w:tc>
          <w:tcPr>
            <w:tcW w:w="511"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Mar>
              <w:top w:w="58" w:type="dxa"/>
              <w:left w:w="58" w:type="dxa"/>
              <w:bottom w:w="58" w:type="dxa"/>
              <w:right w:w="58" w:type="dxa"/>
            </w:tcMar>
            <w:textDirection w:val="btLr"/>
            <w:vAlign w:val="center"/>
          </w:tcPr>
          <w:p w14:paraId="5D9764E9" w14:textId="77777777" w:rsidR="005254D7" w:rsidRPr="005254D7" w:rsidRDefault="005254D7" w:rsidP="00020D20">
            <w:pPr>
              <w:spacing w:before="0" w:after="0" w:line="240" w:lineRule="auto"/>
              <w:jc w:val="both"/>
            </w:pPr>
            <w:r w:rsidRPr="005254D7">
              <w:t>MPO</w:t>
            </w: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1407144A" w14:textId="5F1062C4"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CYMPO</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6EA225F5" w14:textId="77777777" w:rsidR="005254D7" w:rsidRPr="00020D20" w:rsidRDefault="005254D7" w:rsidP="00020D20">
            <w:pPr>
              <w:pStyle w:val="Heading5"/>
              <w:spacing w:before="0" w:after="0" w:line="240" w:lineRule="auto"/>
              <w:jc w:val="both"/>
              <w:rPr>
                <w:i w:val="0"/>
                <w:color w:val="auto"/>
                <w:szCs w:val="17"/>
              </w:rPr>
            </w:pP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5D97285B" w14:textId="5858F4FD"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Yavapai-Prescott Indian Tribe</w:t>
            </w:r>
          </w:p>
        </w:tc>
      </w:tr>
      <w:tr w:rsidR="005254D7" w:rsidRPr="00CC6D9B" w14:paraId="14C0B0A7" w14:textId="77777777" w:rsidTr="00020D20">
        <w:trPr>
          <w:cantSplit/>
          <w:trHeight w:val="144"/>
        </w:trPr>
        <w:tc>
          <w:tcPr>
            <w:tcW w:w="511" w:type="dxa"/>
            <w:vMerge/>
            <w:tcBorders>
              <w:top w:val="single" w:sz="4" w:space="0" w:color="FFFFFF" w:themeColor="background1"/>
              <w:left w:val="single" w:sz="4" w:space="0" w:color="auto"/>
              <w:bottom w:val="single" w:sz="4" w:space="0" w:color="FFFFFF" w:themeColor="background1"/>
              <w:right w:val="single" w:sz="4" w:space="0" w:color="auto"/>
            </w:tcBorders>
            <w:shd w:val="clear" w:color="auto" w:fill="012768"/>
          </w:tcPr>
          <w:p w14:paraId="02505DEC" w14:textId="77777777" w:rsidR="005254D7" w:rsidRPr="005254D7" w:rsidRDefault="005254D7" w:rsidP="00020D20">
            <w:pPr>
              <w:spacing w:before="0" w:after="0" w:line="240" w:lineRule="auto"/>
              <w:jc w:val="both"/>
            </w:pP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02FD1F7"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YMPO</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2596E985" w14:textId="4A3CE936"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Cocopah Indian Tribe</w:t>
            </w: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2989564E" w14:textId="77777777" w:rsidR="005254D7" w:rsidRPr="00020D20" w:rsidRDefault="005254D7" w:rsidP="00020D20">
            <w:pPr>
              <w:pStyle w:val="Heading5"/>
              <w:spacing w:before="0" w:after="0" w:line="240" w:lineRule="auto"/>
              <w:jc w:val="both"/>
              <w:rPr>
                <w:i w:val="0"/>
                <w:color w:val="auto"/>
                <w:szCs w:val="17"/>
              </w:rPr>
            </w:pPr>
          </w:p>
        </w:tc>
      </w:tr>
      <w:tr w:rsidR="005254D7" w:rsidRPr="00CC6D9B" w14:paraId="550401C8" w14:textId="77777777" w:rsidTr="00020D20">
        <w:trPr>
          <w:cantSplit/>
          <w:trHeight w:val="144"/>
        </w:trPr>
        <w:tc>
          <w:tcPr>
            <w:tcW w:w="511" w:type="dxa"/>
            <w:vMerge w:val="restart"/>
            <w:tcBorders>
              <w:top w:val="single" w:sz="4" w:space="0" w:color="FFFFFF" w:themeColor="background1"/>
              <w:left w:val="single" w:sz="4" w:space="0" w:color="auto"/>
              <w:bottom w:val="single" w:sz="4" w:space="0" w:color="auto"/>
              <w:right w:val="single" w:sz="4" w:space="0" w:color="auto"/>
            </w:tcBorders>
            <w:shd w:val="clear" w:color="auto" w:fill="012768"/>
            <w:tcMar>
              <w:top w:w="58" w:type="dxa"/>
              <w:left w:w="58" w:type="dxa"/>
              <w:bottom w:w="58" w:type="dxa"/>
              <w:right w:w="58" w:type="dxa"/>
            </w:tcMar>
            <w:textDirection w:val="btLr"/>
            <w:vAlign w:val="center"/>
          </w:tcPr>
          <w:p w14:paraId="3F45A0A1" w14:textId="77777777" w:rsidR="005254D7" w:rsidRPr="005254D7" w:rsidRDefault="005254D7" w:rsidP="00020D20">
            <w:pPr>
              <w:spacing w:before="0" w:after="0" w:line="240" w:lineRule="auto"/>
              <w:jc w:val="both"/>
            </w:pPr>
            <w:r w:rsidRPr="005254D7">
              <w:t>COG</w:t>
            </w: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6D300F89"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CAG</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67D0ECCF"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San Carlos Apache Tribe, Gila River Indian Community</w:t>
            </w: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5519ACB8"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Ak-Chin Indian Community, White Mountain Apache Tribe</w:t>
            </w:r>
          </w:p>
        </w:tc>
      </w:tr>
      <w:tr w:rsidR="005254D7" w:rsidRPr="00CC6D9B" w14:paraId="449E70AD" w14:textId="77777777" w:rsidTr="00020D20">
        <w:trPr>
          <w:trHeight w:val="288"/>
        </w:trPr>
        <w:tc>
          <w:tcPr>
            <w:tcW w:w="511"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15C547ED" w14:textId="77777777" w:rsidR="005254D7" w:rsidRPr="005254D7" w:rsidRDefault="005254D7" w:rsidP="00020D20">
            <w:pPr>
              <w:spacing w:before="0" w:after="0" w:line="240" w:lineRule="auto"/>
              <w:jc w:val="both"/>
              <w:rPr>
                <w:rFonts w:cstheme="minorHAnsi"/>
              </w:rPr>
            </w:pP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4C6502A6"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NACOG</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5A2372F2" w14:textId="77777777" w:rsidR="005254D7" w:rsidRPr="00020D20" w:rsidRDefault="005254D7" w:rsidP="00020D20">
            <w:pPr>
              <w:pStyle w:val="Heading5"/>
              <w:spacing w:before="0" w:after="0" w:line="240" w:lineRule="auto"/>
              <w:jc w:val="both"/>
              <w:rPr>
                <w:i w:val="0"/>
                <w:color w:val="auto"/>
                <w:szCs w:val="17"/>
              </w:rPr>
            </w:pP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1CFD832F"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Navajo Nation, Hopi Tribe, White Mountain Apache Tribe</w:t>
            </w:r>
          </w:p>
        </w:tc>
      </w:tr>
      <w:tr w:rsidR="005254D7" w:rsidRPr="00CC6D9B" w14:paraId="7E3550AB" w14:textId="77777777" w:rsidTr="00020D20">
        <w:trPr>
          <w:trHeight w:val="288"/>
        </w:trPr>
        <w:tc>
          <w:tcPr>
            <w:tcW w:w="511"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0D556515" w14:textId="77777777" w:rsidR="005254D7" w:rsidRPr="005254D7" w:rsidRDefault="005254D7" w:rsidP="00020D20">
            <w:pPr>
              <w:spacing w:before="0" w:after="0" w:line="240" w:lineRule="auto"/>
              <w:jc w:val="both"/>
              <w:rPr>
                <w:rFonts w:cstheme="minorHAnsi"/>
              </w:rPr>
            </w:pP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20138E01"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SEAGO</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293B78C2"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San Carlos Apache Tribe</w:t>
            </w: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69946D63" w14:textId="77777777" w:rsidR="005254D7" w:rsidRPr="00020D20" w:rsidRDefault="005254D7" w:rsidP="00020D20">
            <w:pPr>
              <w:pStyle w:val="Heading5"/>
              <w:spacing w:before="0" w:after="0" w:line="240" w:lineRule="auto"/>
              <w:jc w:val="both"/>
              <w:rPr>
                <w:i w:val="0"/>
                <w:color w:val="auto"/>
                <w:szCs w:val="17"/>
              </w:rPr>
            </w:pPr>
          </w:p>
        </w:tc>
      </w:tr>
      <w:tr w:rsidR="005254D7" w:rsidRPr="00CC6D9B" w14:paraId="5569652B" w14:textId="77777777" w:rsidTr="00020D20">
        <w:trPr>
          <w:trHeight w:val="288"/>
        </w:trPr>
        <w:tc>
          <w:tcPr>
            <w:tcW w:w="511" w:type="dxa"/>
            <w:vMerge/>
            <w:tcBorders>
              <w:top w:val="single" w:sz="4" w:space="0" w:color="FFFFFF" w:themeColor="background1"/>
              <w:left w:val="single" w:sz="4" w:space="0" w:color="auto"/>
              <w:bottom w:val="single" w:sz="4" w:space="0" w:color="auto"/>
              <w:right w:val="single" w:sz="4" w:space="0" w:color="auto"/>
            </w:tcBorders>
            <w:shd w:val="clear" w:color="auto" w:fill="012768"/>
          </w:tcPr>
          <w:p w14:paraId="5E64AAED" w14:textId="77777777" w:rsidR="005254D7" w:rsidRPr="005254D7" w:rsidRDefault="005254D7" w:rsidP="00020D20">
            <w:pPr>
              <w:spacing w:before="0" w:after="0" w:line="240" w:lineRule="auto"/>
              <w:jc w:val="both"/>
              <w:rPr>
                <w:rFonts w:cstheme="minorHAnsi"/>
              </w:rPr>
            </w:pPr>
          </w:p>
        </w:tc>
        <w:tc>
          <w:tcPr>
            <w:tcW w:w="135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56FE3B36"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WACOG</w:t>
            </w:r>
          </w:p>
        </w:tc>
        <w:tc>
          <w:tcPr>
            <w:tcW w:w="2644"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72325CC8" w14:textId="77777777" w:rsidR="005254D7" w:rsidRPr="00020D20" w:rsidRDefault="005254D7" w:rsidP="00020D20">
            <w:pPr>
              <w:pStyle w:val="Heading5"/>
              <w:spacing w:before="0" w:after="0" w:line="240" w:lineRule="auto"/>
              <w:jc w:val="both"/>
              <w:rPr>
                <w:i w:val="0"/>
                <w:color w:val="auto"/>
                <w:szCs w:val="17"/>
              </w:rPr>
            </w:pPr>
          </w:p>
        </w:tc>
        <w:tc>
          <w:tcPr>
            <w:tcW w:w="2520" w:type="dxa"/>
            <w:tcBorders>
              <w:top w:val="single" w:sz="4" w:space="0" w:color="auto"/>
              <w:left w:val="single" w:sz="4" w:space="0" w:color="auto"/>
              <w:bottom w:val="single" w:sz="4" w:space="0" w:color="auto"/>
              <w:right w:val="single" w:sz="4" w:space="0" w:color="auto"/>
            </w:tcBorders>
            <w:tcMar>
              <w:top w:w="72" w:type="dxa"/>
              <w:left w:w="72" w:type="dxa"/>
              <w:bottom w:w="72" w:type="dxa"/>
              <w:right w:w="72" w:type="dxa"/>
            </w:tcMar>
            <w:vAlign w:val="center"/>
          </w:tcPr>
          <w:p w14:paraId="111E6084" w14:textId="77777777" w:rsidR="005254D7" w:rsidRPr="00020D20" w:rsidRDefault="005254D7" w:rsidP="00020D20">
            <w:pPr>
              <w:pStyle w:val="Heading5"/>
              <w:spacing w:before="0" w:after="0" w:line="240" w:lineRule="auto"/>
              <w:jc w:val="both"/>
              <w:rPr>
                <w:i w:val="0"/>
                <w:color w:val="auto"/>
                <w:szCs w:val="17"/>
              </w:rPr>
            </w:pPr>
            <w:r w:rsidRPr="00020D20">
              <w:rPr>
                <w:i w:val="0"/>
                <w:color w:val="auto"/>
                <w:szCs w:val="17"/>
              </w:rPr>
              <w:t>Hualapai Indian Tribe, Colorado River Indian Tribe</w:t>
            </w:r>
          </w:p>
        </w:tc>
      </w:tr>
    </w:tbl>
    <w:p w14:paraId="3465AAE5" w14:textId="007A6FE7" w:rsidR="00934F7D" w:rsidRDefault="0087264D" w:rsidP="00020D20">
      <w:pPr>
        <w:jc w:val="both"/>
        <w:rPr>
          <w:rFonts w:cstheme="minorHAnsi"/>
        </w:rPr>
        <w:sectPr w:rsidR="00934F7D" w:rsidSect="00020D20">
          <w:type w:val="continuous"/>
          <w:pgSz w:w="12240" w:h="15840"/>
          <w:pgMar w:top="1440" w:right="1440" w:bottom="1440" w:left="1440" w:header="720" w:footer="720" w:gutter="0"/>
          <w:pgNumType w:chapStyle="1"/>
          <w:cols w:space="720"/>
          <w:docGrid w:linePitch="360"/>
        </w:sectPr>
      </w:pPr>
      <w:r>
        <w:rPr>
          <w:rFonts w:cstheme="minorHAnsi"/>
          <w:noProof/>
        </w:rPr>
        <mc:AlternateContent>
          <mc:Choice Requires="wps">
            <w:drawing>
              <wp:anchor distT="0" distB="0" distL="114300" distR="114300" simplePos="0" relativeHeight="251618419" behindDoc="1" locked="0" layoutInCell="1" allowOverlap="1" wp14:anchorId="61CA1064" wp14:editId="4E1E7B35">
                <wp:simplePos x="0" y="0"/>
                <wp:positionH relativeFrom="column">
                  <wp:posOffset>4591050</wp:posOffset>
                </wp:positionH>
                <wp:positionV relativeFrom="paragraph">
                  <wp:posOffset>327660</wp:posOffset>
                </wp:positionV>
                <wp:extent cx="1481455" cy="2047875"/>
                <wp:effectExtent l="76200" t="95250" r="99695" b="104775"/>
                <wp:wrapTight wrapText="bothSides">
                  <wp:wrapPolygon edited="0">
                    <wp:start x="-1111" y="-1005"/>
                    <wp:lineTo x="-1111" y="22303"/>
                    <wp:lineTo x="-833" y="22504"/>
                    <wp:lineTo x="22220" y="22504"/>
                    <wp:lineTo x="22776" y="21901"/>
                    <wp:lineTo x="22498" y="-1005"/>
                    <wp:lineTo x="-1111" y="-1005"/>
                  </wp:wrapPolygon>
                </wp:wrapTight>
                <wp:docPr id="816286182" name="Text Box 816286182"/>
                <wp:cNvGraphicFramePr/>
                <a:graphic xmlns:a="http://schemas.openxmlformats.org/drawingml/2006/main">
                  <a:graphicData uri="http://schemas.microsoft.com/office/word/2010/wordprocessingShape">
                    <wps:wsp>
                      <wps:cNvSpPr txBox="1"/>
                      <wps:spPr>
                        <a:xfrm>
                          <a:off x="0" y="0"/>
                          <a:ext cx="1481455" cy="20478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7B2196F" w14:textId="77777777" w:rsidR="00C6444C" w:rsidRDefault="00C6444C" w:rsidP="00020D20">
                            <w:pPr>
                              <w:jc w:val="center"/>
                            </w:pPr>
                            <w:r>
                              <w:rPr>
                                <w:noProof/>
                              </w:rPr>
                              <w:drawing>
                                <wp:inline distT="0" distB="0" distL="0" distR="0" wp14:anchorId="2C6DE268" wp14:editId="45183C4F">
                                  <wp:extent cx="457200" cy="457200"/>
                                  <wp:effectExtent l="0" t="0" r="0" b="0"/>
                                  <wp:docPr id="1690912752" name="Picture 169091275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6869F2D" w14:textId="170F64E1" w:rsidR="00C6444C" w:rsidRPr="00977A9B" w:rsidRDefault="00C6444C" w:rsidP="00020D20">
                            <w:pPr>
                              <w:pStyle w:val="Calloutboxes"/>
                            </w:pPr>
                            <w:r w:rsidRPr="00394A74">
                              <w:t>Previous chapters of this manual describe the processes of transportation planning including statewide long</w:t>
                            </w:r>
                            <w:r>
                              <w:t>-</w:t>
                            </w:r>
                            <w:r w:rsidRPr="00394A74">
                              <w:t xml:space="preserve">range transportation visioning, state transportation plan, specialized </w:t>
                            </w:r>
                            <w:r w:rsidRPr="005A6734">
                              <w:t>transportation studies, regional transportation system plans, and PARA.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CA1064" id="Text Box 816286182" o:spid="_x0000_s1290" type="#_x0000_t202" style="position:absolute;left:0;text-align:left;margin-left:361.5pt;margin-top:25.8pt;width:116.65pt;height:161.25pt;z-index:-2516980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" fillcolor="#f7f7f7" stroked="f" strokeweight=".5pt">
                <v:shadow on="t" type="perspective" color="black" opacity="26214f" offset="0,0" matrix="66847f,,,66847f"/>
                <v:textbox>
                  <w:txbxContent>
                    <w:p w14:paraId="67B2196F" w14:textId="77777777" w:rsidR="00C6444C" w:rsidRDefault="00C6444C" w:rsidP="00020D20">
                      <w:pPr>
                        <w:jc w:val="center"/>
                      </w:pPr>
                      <w:r>
                        <w:rPr>
                          <w:noProof/>
                        </w:rPr>
                        <w:drawing>
                          <wp:inline distT="0" distB="0" distL="0" distR="0" wp14:anchorId="2C6DE268" wp14:editId="45183C4F">
                            <wp:extent cx="457200" cy="457200"/>
                            <wp:effectExtent l="0" t="0" r="0" b="0"/>
                            <wp:docPr id="1690912752" name="Picture 169091275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6869F2D" w14:textId="170F64E1" w:rsidR="00C6444C" w:rsidRPr="00977A9B" w:rsidRDefault="00C6444C" w:rsidP="00020D20">
                      <w:pPr>
                        <w:pStyle w:val="Calloutboxes"/>
                      </w:pPr>
                      <w:r w:rsidRPr="00394A74">
                        <w:t>Previous chapters of this manual describe the processes of transportation planning including statewide long</w:t>
                      </w:r>
                      <w:r>
                        <w:t>-</w:t>
                      </w:r>
                      <w:r w:rsidRPr="00394A74">
                        <w:t xml:space="preserve">range transportation visioning, state transportation plan, specialized </w:t>
                      </w:r>
                      <w:r w:rsidRPr="005A6734">
                        <w:t>transportation studies, regional transportation system plans, and PARA.</w:t>
                      </w:r>
                    </w:p>
                  </w:txbxContent>
                </v:textbox>
                <w10:wrap type="tight"/>
              </v:shape>
            </w:pict>
          </mc:Fallback>
        </mc:AlternateContent>
      </w:r>
    </w:p>
    <w:p w14:paraId="57CE6F6A" w14:textId="77777777" w:rsidR="00CC6D9B" w:rsidRPr="00CC6D9B" w:rsidRDefault="00CC6D9B">
      <w:pPr>
        <w:pStyle w:val="SubHeading3"/>
      </w:pPr>
      <w:bookmarkStart w:id="679" w:name="_Ref50050009"/>
      <w:r w:rsidRPr="00CC6D9B">
        <w:t>Statewide &amp; Regional Tribal Consultation, Cooperation, &amp; Coordination</w:t>
      </w:r>
      <w:bookmarkEnd w:id="679"/>
    </w:p>
    <w:p w14:paraId="25952142" w14:textId="37A1587C" w:rsidR="00CC6D9B" w:rsidRPr="00CC6D9B" w:rsidRDefault="00CC6D9B" w:rsidP="00020D20">
      <w:pPr>
        <w:jc w:val="both"/>
        <w:rPr>
          <w:rFonts w:cstheme="minorHAnsi"/>
          <w:b/>
        </w:rPr>
      </w:pPr>
      <w:r w:rsidRPr="00CC6D9B">
        <w:rPr>
          <w:rFonts w:cstheme="minorHAnsi"/>
        </w:rPr>
        <w:t>When possible and where applicable, COG and MPO regional planners should participate in tribal related events, be appointed to project steering committees, and serve as the tribal liaisons for the regional organizations. The ADOT Tribal Consultation Report lists many ongoing efforts in which COGs and MPOs can contribute and participate.</w:t>
      </w:r>
      <w:r>
        <w:rPr>
          <w:rFonts w:cstheme="minorHAnsi"/>
        </w:rPr>
        <w:t xml:space="preserve"> </w:t>
      </w:r>
      <w:r w:rsidR="00593B4E">
        <w:rPr>
          <w:rFonts w:cstheme="minorHAnsi"/>
        </w:rPr>
        <w:t xml:space="preserve">It is also recommended that regional planners complete the </w:t>
      </w:r>
      <w:hyperlink r:id="rId1156" w:history="1">
        <w:r w:rsidR="00593B4E" w:rsidRPr="00020D20">
          <w:rPr>
            <w:rStyle w:val="TitleChar"/>
          </w:rPr>
          <w:t>ADOT Tribal Transportation Consultation Online Training Course</w:t>
        </w:r>
      </w:hyperlink>
      <w:r w:rsidR="00593B4E">
        <w:rPr>
          <w:rFonts w:cstheme="minorHAnsi"/>
        </w:rPr>
        <w:t xml:space="preserve"> available at the </w:t>
      </w:r>
      <w:hyperlink r:id="rId1157" w:history="1">
        <w:r w:rsidR="00593B4E" w:rsidRPr="00020D20">
          <w:rPr>
            <w:rStyle w:val="TitleChar"/>
          </w:rPr>
          <w:t>Arizona Tribal Transportation</w:t>
        </w:r>
      </w:hyperlink>
      <w:r w:rsidR="00593B4E">
        <w:rPr>
          <w:rFonts w:cstheme="minorHAnsi"/>
        </w:rPr>
        <w:t xml:space="preserve"> website.</w:t>
      </w:r>
    </w:p>
    <w:p w14:paraId="65299C18" w14:textId="1DDB5543" w:rsidR="00CC6D9B" w:rsidRPr="00CC6D9B" w:rsidRDefault="00CC6D9B">
      <w:pPr>
        <w:pStyle w:val="SubHeading3"/>
      </w:pPr>
      <w:bookmarkStart w:id="680" w:name="_Ref50050013"/>
      <w:r w:rsidRPr="00CC6D9B">
        <w:t>MPO &amp; COG Consultation with Tribes</w:t>
      </w:r>
      <w:bookmarkEnd w:id="680"/>
    </w:p>
    <w:p w14:paraId="2838D49C" w14:textId="73A0A0D1" w:rsidR="00CC6D9B" w:rsidRPr="00CC6D9B" w:rsidRDefault="0087264D" w:rsidP="00020D20">
      <w:pPr>
        <w:jc w:val="both"/>
        <w:rPr>
          <w:rFonts w:cstheme="minorHAnsi"/>
        </w:rPr>
      </w:pPr>
      <w:r>
        <w:rPr>
          <w:rFonts w:cstheme="minorHAnsi"/>
          <w:noProof/>
        </w:rPr>
        <mc:AlternateContent>
          <mc:Choice Requires="wps">
            <w:drawing>
              <wp:anchor distT="0" distB="0" distL="114300" distR="114300" simplePos="0" relativeHeight="251618418" behindDoc="1" locked="0" layoutInCell="1" allowOverlap="1" wp14:anchorId="455A9606" wp14:editId="026980EA">
                <wp:simplePos x="0" y="0"/>
                <wp:positionH relativeFrom="column">
                  <wp:posOffset>1409700</wp:posOffset>
                </wp:positionH>
                <wp:positionV relativeFrom="paragraph">
                  <wp:posOffset>184150</wp:posOffset>
                </wp:positionV>
                <wp:extent cx="1257300" cy="1371600"/>
                <wp:effectExtent l="76200" t="95250" r="76200" b="95250"/>
                <wp:wrapTight wrapText="bothSides">
                  <wp:wrapPolygon edited="0">
                    <wp:start x="-982" y="-1500"/>
                    <wp:lineTo x="-1309" y="-900"/>
                    <wp:lineTo x="-1309" y="22800"/>
                    <wp:lineTo x="22582" y="22800"/>
                    <wp:lineTo x="22582" y="3900"/>
                    <wp:lineTo x="22255" y="-600"/>
                    <wp:lineTo x="22255" y="-1500"/>
                    <wp:lineTo x="-982" y="-1500"/>
                  </wp:wrapPolygon>
                </wp:wrapTight>
                <wp:docPr id="816286180" name="Text Box 816286180"/>
                <wp:cNvGraphicFramePr/>
                <a:graphic xmlns:a="http://schemas.openxmlformats.org/drawingml/2006/main">
                  <a:graphicData uri="http://schemas.microsoft.com/office/word/2010/wordprocessingShape">
                    <wps:wsp>
                      <wps:cNvSpPr txBox="1"/>
                      <wps:spPr>
                        <a:xfrm>
                          <a:off x="0" y="0"/>
                          <a:ext cx="125730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4718419" w14:textId="77777777" w:rsidR="00C6444C" w:rsidRDefault="00C6444C" w:rsidP="00020D20">
                            <w:pPr>
                              <w:jc w:val="center"/>
                            </w:pPr>
                            <w:r>
                              <w:rPr>
                                <w:noProof/>
                              </w:rPr>
                              <w:drawing>
                                <wp:inline distT="0" distB="0" distL="0" distR="0" wp14:anchorId="19AEB423" wp14:editId="5E416001">
                                  <wp:extent cx="457200" cy="457200"/>
                                  <wp:effectExtent l="0" t="0" r="0" b="0"/>
                                  <wp:docPr id="1690912810" name="Picture 169091281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1E58E6B" w14:textId="755AC6BC" w:rsidR="00C6444C" w:rsidRPr="002506EE" w:rsidRDefault="00C6444C">
                            <w:pPr>
                              <w:pStyle w:val="Calloutboxes"/>
                            </w:pPr>
                            <w:r>
                              <w:t xml:space="preserve">COGs and MPOs can access ADOT’s </w:t>
                            </w:r>
                            <w:hyperlink r:id="rId1158" w:history="1">
                              <w:r w:rsidRPr="00020D20">
                                <w:rPr>
                                  <w:rStyle w:val="TitleChar"/>
                                  <w:sz w:val="16"/>
                                  <w:szCs w:val="16"/>
                                </w:rPr>
                                <w:t>“Tribal Transportation Consultation Process Reference Manual - For ADOT Personnel Use”</w:t>
                              </w:r>
                            </w:hyperlink>
                            <w:r w:rsidRPr="002506E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5A9606" id="Text Box 816286180" o:spid="_x0000_s1291" type="#_x0000_t202" style="position:absolute;left:0;text-align:left;margin-left:111pt;margin-top:14.5pt;width:99pt;height:108pt;z-index:-251698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" fillcolor="#f7f7f7" stroked="f" strokeweight=".5pt">
                <v:shadow on="t" type="perspective" color="black" opacity="26214f" offset="0,0" matrix="66847f,,,66847f"/>
                <v:textbox>
                  <w:txbxContent>
                    <w:p w14:paraId="64718419" w14:textId="77777777" w:rsidR="00C6444C" w:rsidRDefault="00C6444C" w:rsidP="00020D20">
                      <w:pPr>
                        <w:jc w:val="center"/>
                      </w:pPr>
                      <w:r>
                        <w:rPr>
                          <w:noProof/>
                        </w:rPr>
                        <w:drawing>
                          <wp:inline distT="0" distB="0" distL="0" distR="0" wp14:anchorId="19AEB423" wp14:editId="5E416001">
                            <wp:extent cx="457200" cy="457200"/>
                            <wp:effectExtent l="0" t="0" r="0" b="0"/>
                            <wp:docPr id="1690912810" name="Picture 169091281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71E58E6B" w14:textId="755AC6BC" w:rsidR="00C6444C" w:rsidRPr="002506EE" w:rsidRDefault="00C6444C">
                      <w:pPr>
                        <w:pStyle w:val="Calloutboxes"/>
                      </w:pPr>
                      <w:r>
                        <w:t xml:space="preserve">COGs and MPOs can access ADOT’s </w:t>
                      </w:r>
                      <w:hyperlink r:id="rId1159" w:history="1">
                        <w:r w:rsidRPr="00020D20">
                          <w:rPr>
                            <w:rStyle w:val="TitleChar"/>
                            <w:sz w:val="16"/>
                            <w:szCs w:val="16"/>
                          </w:rPr>
                          <w:t>“Tribal Transportation Consultation Process Reference Manual - For ADOT Personnel Use”</w:t>
                        </w:r>
                      </w:hyperlink>
                      <w:r w:rsidRPr="002506EE">
                        <w:t xml:space="preserve"> </w:t>
                      </w:r>
                    </w:p>
                  </w:txbxContent>
                </v:textbox>
                <w10:wrap type="tight"/>
              </v:shape>
            </w:pict>
          </mc:Fallback>
        </mc:AlternateContent>
      </w:r>
      <w:r w:rsidR="00CC6D9B" w:rsidRPr="00CC6D9B">
        <w:rPr>
          <w:rFonts w:cstheme="minorHAnsi"/>
        </w:rPr>
        <w:t>Tribal governments are encouraged to participate in regional planning activities coordinated by Arizona’s MPOs and COGs. Tribes that participate in MPOs or COGs are provided an opportunity to vote on transportation projects occurring in their region. Some of the MPOs and COGs do have a fee structure for membership. If there is a fee structure that is not acceptable to the tribe, all are still encouraged to participate at committee meetings in a nonvoting capacity. Table 17.6-3 illustrates</w:t>
      </w:r>
      <w:r w:rsidR="00CC6D9B">
        <w:rPr>
          <w:rFonts w:cstheme="minorHAnsi"/>
        </w:rPr>
        <w:t xml:space="preserve"> </w:t>
      </w:r>
      <w:r w:rsidR="00CC6D9B" w:rsidRPr="00CC6D9B">
        <w:rPr>
          <w:rFonts w:cstheme="minorHAnsi"/>
        </w:rPr>
        <w:t>tribes</w:t>
      </w:r>
      <w:r w:rsidR="00593B4E">
        <w:rPr>
          <w:rFonts w:cstheme="minorHAnsi"/>
        </w:rPr>
        <w:t xml:space="preserve"> that</w:t>
      </w:r>
      <w:r w:rsidR="00CC6D9B" w:rsidRPr="00CC6D9B">
        <w:rPr>
          <w:rFonts w:cstheme="minorHAnsi"/>
        </w:rPr>
        <w:t xml:space="preserve"> are members of or participate in MPO and COG committees. </w:t>
      </w:r>
    </w:p>
    <w:p w14:paraId="27412B08" w14:textId="3C82C989" w:rsidR="00CC6D9B" w:rsidRPr="00CC6D9B" w:rsidRDefault="00CC6D9B" w:rsidP="00020D20">
      <w:pPr>
        <w:pStyle w:val="Heading3"/>
        <w:jc w:val="both"/>
      </w:pPr>
      <w:bookmarkStart w:id="681" w:name="_Ref50049903"/>
      <w:r w:rsidRPr="00CC6D9B">
        <w:t>17.6.7 | ADOT Transportation Planning</w:t>
      </w:r>
      <w:bookmarkEnd w:id="681"/>
    </w:p>
    <w:p w14:paraId="0A1C9AE4" w14:textId="2A24B01A" w:rsidR="00CC6D9B" w:rsidRPr="00CC6D9B" w:rsidRDefault="00CC6D9B" w:rsidP="00020D20">
      <w:pPr>
        <w:jc w:val="both"/>
        <w:rPr>
          <w:rFonts w:cstheme="minorHAnsi"/>
          <w:b/>
        </w:rPr>
      </w:pPr>
      <w:r w:rsidRPr="00CC6D9B">
        <w:rPr>
          <w:rFonts w:cstheme="minorHAnsi"/>
        </w:rPr>
        <w:t>The planning and programming o</w:t>
      </w:r>
      <w:r w:rsidR="00A23BB0">
        <w:rPr>
          <w:rFonts w:cstheme="minorHAnsi"/>
        </w:rPr>
        <w:t>f</w:t>
      </w:r>
      <w:r w:rsidRPr="00CC6D9B">
        <w:rPr>
          <w:rFonts w:cstheme="minorHAnsi"/>
        </w:rPr>
        <w:t xml:space="preserve"> transportation improvements to the state highway system and other modes of transportation are the responsibility of ADOT MPD, which is divided into five sections as shown in figure 17.6-2. Within the Planning and Programming section of ADOT MPD is the Tribal Planning and Coordination staff. Several statewide transportation planning initiatives overlap with tribal transportation planning; these planning projects are further described in separate chapters of this manual.</w:t>
      </w:r>
      <w:r>
        <w:rPr>
          <w:rFonts w:cstheme="minorHAnsi"/>
        </w:rPr>
        <w:t xml:space="preserve"> </w:t>
      </w:r>
    </w:p>
    <w:p w14:paraId="066ECD29" w14:textId="5811E769" w:rsidR="00CC6D9B" w:rsidRPr="00CC6D9B" w:rsidRDefault="00481944" w:rsidP="00020D20">
      <w:pPr>
        <w:jc w:val="both"/>
        <w:rPr>
          <w:rFonts w:cstheme="minorHAnsi"/>
        </w:rPr>
      </w:pPr>
      <w:r>
        <w:rPr>
          <w:rFonts w:cstheme="minorHAnsi"/>
          <w:noProof/>
        </w:rPr>
        <mc:AlternateContent>
          <mc:Choice Requires="wps">
            <w:drawing>
              <wp:anchor distT="0" distB="0" distL="114300" distR="114300" simplePos="0" relativeHeight="251618420" behindDoc="1" locked="0" layoutInCell="1" allowOverlap="1" wp14:anchorId="1ED6A0C6" wp14:editId="248350A0">
                <wp:simplePos x="0" y="0"/>
                <wp:positionH relativeFrom="column">
                  <wp:posOffset>1394460</wp:posOffset>
                </wp:positionH>
                <wp:positionV relativeFrom="paragraph">
                  <wp:posOffset>1050925</wp:posOffset>
                </wp:positionV>
                <wp:extent cx="1481455" cy="1487805"/>
                <wp:effectExtent l="76200" t="95250" r="80645" b="93345"/>
                <wp:wrapTight wrapText="bothSides">
                  <wp:wrapPolygon edited="0">
                    <wp:start x="-1111" y="-1383"/>
                    <wp:lineTo x="-1111" y="22679"/>
                    <wp:lineTo x="22498" y="22679"/>
                    <wp:lineTo x="22498" y="-1383"/>
                    <wp:lineTo x="-1111" y="-1383"/>
                  </wp:wrapPolygon>
                </wp:wrapTight>
                <wp:docPr id="816286184" name="Text Box 816286184"/>
                <wp:cNvGraphicFramePr/>
                <a:graphic xmlns:a="http://schemas.openxmlformats.org/drawingml/2006/main">
                  <a:graphicData uri="http://schemas.microsoft.com/office/word/2010/wordprocessingShape">
                    <wps:wsp>
                      <wps:cNvSpPr txBox="1"/>
                      <wps:spPr>
                        <a:xfrm>
                          <a:off x="0" y="0"/>
                          <a:ext cx="1481455" cy="148780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880C28B" w14:textId="77777777" w:rsidR="00C6444C" w:rsidRDefault="00C6444C" w:rsidP="00020D20">
                            <w:pPr>
                              <w:jc w:val="center"/>
                            </w:pPr>
                            <w:r>
                              <w:rPr>
                                <w:noProof/>
                              </w:rPr>
                              <w:drawing>
                                <wp:inline distT="0" distB="0" distL="0" distR="0" wp14:anchorId="4E392AEC" wp14:editId="73290DD2">
                                  <wp:extent cx="457200" cy="457200"/>
                                  <wp:effectExtent l="0" t="0" r="0" b="0"/>
                                  <wp:docPr id="1690912750" name="Picture 169091275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EB42556" w14:textId="4F6EA17A" w:rsidR="00C6444C" w:rsidRPr="005A6734" w:rsidRDefault="00C6444C" w:rsidP="00020D20">
                            <w:pPr>
                              <w:pStyle w:val="Calloutboxes"/>
                            </w:pPr>
                            <w:r w:rsidRPr="00394A74">
                              <w:t>Chapter 10, “Financial Planning and Programming,” describes the priority programming and funding approval process including transportation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D6A0C6" id="Text Box 816286184" o:spid="_x0000_s1292" type="#_x0000_t202" style="position:absolute;left:0;text-align:left;margin-left:109.8pt;margin-top:82.75pt;width:116.65pt;height:117.15pt;z-index:-251698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" fillcolor="#f7f7f7" stroked="f" strokeweight=".5pt">
                <v:shadow on="t" type="perspective" color="black" opacity="26214f" offset="0,0" matrix="66847f,,,66847f"/>
                <v:textbox>
                  <w:txbxContent>
                    <w:p w14:paraId="2880C28B" w14:textId="77777777" w:rsidR="00C6444C" w:rsidRDefault="00C6444C" w:rsidP="00020D20">
                      <w:pPr>
                        <w:jc w:val="center"/>
                      </w:pPr>
                      <w:r>
                        <w:rPr>
                          <w:noProof/>
                        </w:rPr>
                        <w:drawing>
                          <wp:inline distT="0" distB="0" distL="0" distR="0" wp14:anchorId="4E392AEC" wp14:editId="73290DD2">
                            <wp:extent cx="457200" cy="457200"/>
                            <wp:effectExtent l="0" t="0" r="0" b="0"/>
                            <wp:docPr id="1690912750" name="Picture 169091275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EB42556" w14:textId="4F6EA17A" w:rsidR="00C6444C" w:rsidRPr="005A6734" w:rsidRDefault="00C6444C" w:rsidP="00020D20">
                      <w:pPr>
                        <w:pStyle w:val="Calloutboxes"/>
                      </w:pPr>
                      <w:r w:rsidRPr="00394A74">
                        <w:t>Chapter 10, “Financial Planning and Programming,” describes the priority programming and funding approval process including transportation funding sources.</w:t>
                      </w:r>
                    </w:p>
                  </w:txbxContent>
                </v:textbox>
                <w10:wrap type="tight"/>
              </v:shape>
            </w:pict>
          </mc:Fallback>
        </mc:AlternateContent>
      </w:r>
      <w:r w:rsidR="00CC6D9B" w:rsidRPr="00CC6D9B">
        <w:rPr>
          <w:rFonts w:cstheme="minorHAnsi"/>
        </w:rPr>
        <w:t xml:space="preserve">ADOT is responsible for planning, operating, and maintaining all interstate and state highways in Arizona and providing financial assistance to airports. Therefore, ADOT MPD uses the Public Participation Plan to solicit extensive public involvement and conducts technical evaluations to determine projects to include in the </w:t>
      </w:r>
      <w:r w:rsidR="00593B4E">
        <w:rPr>
          <w:rFonts w:cstheme="minorHAnsi"/>
        </w:rPr>
        <w:t xml:space="preserve">ADOT </w:t>
      </w:r>
      <w:r w:rsidR="00CC6D9B" w:rsidRPr="00CC6D9B">
        <w:rPr>
          <w:rFonts w:cstheme="minorHAnsi"/>
        </w:rPr>
        <w:t xml:space="preserve">Five-Year Transportation Facilities Construction Program. </w:t>
      </w:r>
    </w:p>
    <w:p w14:paraId="63C15770" w14:textId="77777777" w:rsidR="00CC6D9B" w:rsidRPr="00CC6D9B" w:rsidRDefault="00CC6D9B" w:rsidP="00020D20">
      <w:pPr>
        <w:pStyle w:val="Heading3"/>
        <w:jc w:val="both"/>
      </w:pPr>
      <w:bookmarkStart w:id="682" w:name="_Ref50049907"/>
      <w:r w:rsidRPr="00CC6D9B">
        <w:t>17.6.8 | Federal Transportation Funding Sources</w:t>
      </w:r>
      <w:bookmarkEnd w:id="682"/>
    </w:p>
    <w:p w14:paraId="50292DA8" w14:textId="024580F6" w:rsidR="00420795" w:rsidRDefault="0087264D" w:rsidP="00020D20">
      <w:pPr>
        <w:jc w:val="both"/>
        <w:rPr>
          <w:rFonts w:cstheme="minorHAnsi"/>
        </w:rPr>
      </w:pPr>
      <w:r>
        <w:rPr>
          <w:rFonts w:cstheme="minorHAnsi"/>
          <w:noProof/>
        </w:rPr>
        <mc:AlternateContent>
          <mc:Choice Requires="wps">
            <w:drawing>
              <wp:anchor distT="0" distB="0" distL="114300" distR="114300" simplePos="0" relativeHeight="251618421" behindDoc="1" locked="0" layoutInCell="1" allowOverlap="1" wp14:anchorId="71324860" wp14:editId="3787F786">
                <wp:simplePos x="0" y="0"/>
                <wp:positionH relativeFrom="column">
                  <wp:posOffset>1506855</wp:posOffset>
                </wp:positionH>
                <wp:positionV relativeFrom="paragraph">
                  <wp:posOffset>482600</wp:posOffset>
                </wp:positionV>
                <wp:extent cx="1489075" cy="1266825"/>
                <wp:effectExtent l="95250" t="95250" r="92075" b="104775"/>
                <wp:wrapTight wrapText="bothSides">
                  <wp:wrapPolygon edited="0">
                    <wp:start x="-829" y="-1624"/>
                    <wp:lineTo x="-1382" y="-974"/>
                    <wp:lineTo x="-1105" y="23062"/>
                    <wp:lineTo x="22383" y="23062"/>
                    <wp:lineTo x="22659" y="4223"/>
                    <wp:lineTo x="22107" y="-650"/>
                    <wp:lineTo x="22107" y="-1624"/>
                    <wp:lineTo x="-829" y="-1624"/>
                  </wp:wrapPolygon>
                </wp:wrapTight>
                <wp:docPr id="816286186" name="Text Box 816286186"/>
                <wp:cNvGraphicFramePr/>
                <a:graphic xmlns:a="http://schemas.openxmlformats.org/drawingml/2006/main">
                  <a:graphicData uri="http://schemas.microsoft.com/office/word/2010/wordprocessingShape">
                    <wps:wsp>
                      <wps:cNvSpPr txBox="1"/>
                      <wps:spPr>
                        <a:xfrm>
                          <a:off x="0" y="0"/>
                          <a:ext cx="1489075" cy="126682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DE4BBBF" w14:textId="77777777" w:rsidR="00C6444C" w:rsidRDefault="00C6444C" w:rsidP="00020D20">
                            <w:pPr>
                              <w:jc w:val="center"/>
                            </w:pPr>
                            <w:r>
                              <w:rPr>
                                <w:noProof/>
                              </w:rPr>
                              <w:drawing>
                                <wp:inline distT="0" distB="0" distL="0" distR="0" wp14:anchorId="41F0CA94" wp14:editId="0FB1363B">
                                  <wp:extent cx="457200" cy="457200"/>
                                  <wp:effectExtent l="0" t="0" r="0" b="0"/>
                                  <wp:docPr id="1690912809" name="Picture 169091280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B0357AB" w14:textId="4206B698" w:rsidR="00C6444C" w:rsidRPr="005A6734" w:rsidRDefault="00C6444C" w:rsidP="00020D20">
                            <w:pPr>
                              <w:pStyle w:val="Calloutboxes"/>
                            </w:pPr>
                            <w:r w:rsidRPr="00394A74">
                              <w:t>Chapter 2, “State &amp; Federal Planning Partners, describes the responsibilities of each ADOT division.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324860" id="Text Box 816286186" o:spid="_x0000_s1293" type="#_x0000_t202" style="position:absolute;left:0;text-align:left;margin-left:118.65pt;margin-top:38pt;width:117.25pt;height:99.75pt;z-index:-2516980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" fillcolor="#f7f7f7" stroked="f" strokeweight=".5pt">
                <v:shadow on="t" type="perspective" color="black" opacity="26214f" offset="0,0" matrix="66847f,,,66847f"/>
                <v:textbox>
                  <w:txbxContent>
                    <w:p w14:paraId="0DE4BBBF" w14:textId="77777777" w:rsidR="00C6444C" w:rsidRDefault="00C6444C" w:rsidP="00020D20">
                      <w:pPr>
                        <w:jc w:val="center"/>
                      </w:pPr>
                      <w:r>
                        <w:rPr>
                          <w:noProof/>
                        </w:rPr>
                        <w:drawing>
                          <wp:inline distT="0" distB="0" distL="0" distR="0" wp14:anchorId="41F0CA94" wp14:editId="0FB1363B">
                            <wp:extent cx="457200" cy="457200"/>
                            <wp:effectExtent l="0" t="0" r="0" b="0"/>
                            <wp:docPr id="1690912809" name="Picture 169091280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B0357AB" w14:textId="4206B698" w:rsidR="00C6444C" w:rsidRPr="005A6734" w:rsidRDefault="00C6444C" w:rsidP="00020D20">
                      <w:pPr>
                        <w:pStyle w:val="Calloutboxes"/>
                      </w:pPr>
                      <w:r w:rsidRPr="00394A74">
                        <w:t>Chapter 2, “State &amp; Federal Planning Partners, describes the responsibilities of each ADOT division.</w:t>
                      </w:r>
                    </w:p>
                  </w:txbxContent>
                </v:textbox>
                <w10:wrap type="tight"/>
              </v:shape>
            </w:pict>
          </mc:Fallback>
        </mc:AlternateContent>
      </w:r>
      <w:r w:rsidR="00CC6D9B" w:rsidRPr="00CC6D9B">
        <w:rPr>
          <w:rFonts w:cstheme="minorHAnsi"/>
        </w:rPr>
        <w:t>Both state and federal funding sources are used in funding transportation projects which typically fall into three categories: (1) inventory, (2) bridges, and (3) safety. The most significant funding comes from the federal government established in</w:t>
      </w:r>
      <w:r w:rsidR="00593B4E">
        <w:rPr>
          <w:rFonts w:cstheme="minorHAnsi"/>
        </w:rPr>
        <w:t xml:space="preserve"> the</w:t>
      </w:r>
      <w:r w:rsidR="00CC6D9B" w:rsidRPr="00CC6D9B">
        <w:rPr>
          <w:rFonts w:cstheme="minorHAnsi"/>
        </w:rPr>
        <w:t xml:space="preserve"> </w:t>
      </w:r>
      <w:r w:rsidR="00770AC6">
        <w:rPr>
          <w:rFonts w:cstheme="minorHAnsi"/>
        </w:rPr>
        <w:t>FAST Act</w:t>
      </w:r>
      <w:r w:rsidR="00CC6D9B" w:rsidRPr="00CC6D9B">
        <w:rPr>
          <w:rFonts w:cstheme="minorHAnsi"/>
        </w:rPr>
        <w:t>.</w:t>
      </w:r>
    </w:p>
    <w:p w14:paraId="27BB72A0" w14:textId="77777777" w:rsidR="00A35DB8" w:rsidRDefault="00A35DB8" w:rsidP="00020D20">
      <w:pPr>
        <w:pStyle w:val="Heading5"/>
        <w:jc w:val="both"/>
        <w:sectPr w:rsidR="00A35DB8" w:rsidSect="00F43B1D">
          <w:type w:val="continuous"/>
          <w:pgSz w:w="12240" w:h="15840"/>
          <w:pgMar w:top="1440" w:right="1440" w:bottom="1440" w:left="1440" w:header="720" w:footer="720" w:gutter="0"/>
          <w:cols w:num="2" w:space="720"/>
          <w:docGrid w:linePitch="360"/>
        </w:sectPr>
      </w:pPr>
    </w:p>
    <w:p w14:paraId="31A000B9" w14:textId="77777777" w:rsidR="001E2867" w:rsidRDefault="001E2867" w:rsidP="00020D20">
      <w:pPr>
        <w:pStyle w:val="Heading4"/>
        <w:jc w:val="both"/>
      </w:pPr>
      <w:r w:rsidRPr="004C5B89">
        <w:t>Figure 17.6-2 | Tribal Planning &amp; Coordination within ADOT MPD</w:t>
      </w:r>
    </w:p>
    <w:p w14:paraId="62489059" w14:textId="77777777" w:rsidR="001E2867" w:rsidRPr="00A35DB8" w:rsidRDefault="001E2867" w:rsidP="00020D20">
      <w:pPr>
        <w:jc w:val="both"/>
      </w:pPr>
      <w:r>
        <w:rPr>
          <w:noProof/>
        </w:rPr>
        <w:drawing>
          <wp:inline distT="0" distB="0" distL="0" distR="0" wp14:anchorId="299FE636" wp14:editId="762FAB2A">
            <wp:extent cx="5943600" cy="1784454"/>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6-1_MPD Coordination_Page_1.jpg"/>
                    <pic:cNvPicPr/>
                  </pic:nvPicPr>
                  <pic:blipFill>
                    <a:blip r:embed="rId1160" cstate="hqprint">
                      <a:extLst>
                        <a:ext uri="{28A0092B-C50C-407E-A947-70E740481C1C}">
                          <a14:useLocalDpi xmlns:a14="http://schemas.microsoft.com/office/drawing/2010/main" val="0"/>
                        </a:ext>
                      </a:extLst>
                    </a:blip>
                    <a:stretch>
                      <a:fillRect/>
                    </a:stretch>
                  </pic:blipFill>
                  <pic:spPr>
                    <a:xfrm>
                      <a:off x="0" y="0"/>
                      <a:ext cx="5943600" cy="1784454"/>
                    </a:xfrm>
                    <a:prstGeom prst="rect">
                      <a:avLst/>
                    </a:prstGeom>
                  </pic:spPr>
                </pic:pic>
              </a:graphicData>
            </a:graphic>
          </wp:inline>
        </w:drawing>
      </w:r>
    </w:p>
    <w:p w14:paraId="14D689B1" w14:textId="77777777" w:rsidR="001E2867" w:rsidRPr="00A35DB8" w:rsidRDefault="001E2867" w:rsidP="00020D20">
      <w:pPr>
        <w:jc w:val="both"/>
      </w:pPr>
    </w:p>
    <w:p w14:paraId="056CF93C" w14:textId="77777777" w:rsidR="001E2867" w:rsidRDefault="001E2867" w:rsidP="00020D20">
      <w:pPr>
        <w:jc w:val="both"/>
        <w:rPr>
          <w:rFonts w:cstheme="minorHAnsi"/>
        </w:rPr>
        <w:sectPr w:rsidR="001E2867" w:rsidSect="00020D20">
          <w:pgSz w:w="12240" w:h="15840"/>
          <w:pgMar w:top="1440" w:right="1440" w:bottom="1440" w:left="1440" w:header="720" w:footer="720" w:gutter="0"/>
          <w:pgNumType w:chapStyle="1"/>
          <w:cols w:space="720"/>
          <w:docGrid w:linePitch="360"/>
        </w:sectPr>
      </w:pPr>
    </w:p>
    <w:p w14:paraId="40A23389" w14:textId="77777777" w:rsidR="001E2867" w:rsidRDefault="001E2867" w:rsidP="00020D20">
      <w:pPr>
        <w:jc w:val="both"/>
        <w:rPr>
          <w:rFonts w:cstheme="minorHAnsi"/>
        </w:rPr>
        <w:sectPr w:rsidR="001E2867" w:rsidSect="008E695B">
          <w:type w:val="continuous"/>
          <w:pgSz w:w="12240" w:h="15840"/>
          <w:pgMar w:top="1440" w:right="1440" w:bottom="1440" w:left="1440" w:header="720" w:footer="720" w:gutter="0"/>
          <w:cols w:space="720"/>
          <w:docGrid w:linePitch="360"/>
        </w:sectPr>
      </w:pPr>
    </w:p>
    <w:p w14:paraId="6B50256D" w14:textId="622206ED" w:rsidR="003C2DDF" w:rsidRDefault="004D7C30" w:rsidP="00020D20">
      <w:pPr>
        <w:pStyle w:val="BodyTextTitle"/>
        <w:spacing w:before="0" w:after="0" w:line="240" w:lineRule="auto"/>
        <w:jc w:val="both"/>
      </w:pPr>
      <w:bookmarkStart w:id="683" w:name="_Ref50049599"/>
      <w:r>
        <w:t>17.7</w:t>
      </w:r>
      <w:r w:rsidR="002506EE">
        <w:t xml:space="preserve"> </w:t>
      </w:r>
      <w:r>
        <w:t>| BORDER PLANNING</w:t>
      </w:r>
    </w:p>
    <w:p w14:paraId="7B6CB6B7" w14:textId="4E70AA5B" w:rsidR="004D7C30" w:rsidRPr="00020D20" w:rsidRDefault="004D7C30" w:rsidP="00020D20">
      <w:pPr>
        <w:pStyle w:val="BodyTextTitle"/>
        <w:spacing w:before="0" w:line="240" w:lineRule="auto"/>
        <w:jc w:val="both"/>
        <w:rPr>
          <w:sz w:val="36"/>
        </w:rPr>
      </w:pPr>
      <w:r w:rsidRPr="00020D20">
        <w:rPr>
          <w:sz w:val="36"/>
        </w:rPr>
        <w:t>TABLE OF CONTENTS</w:t>
      </w:r>
      <w:bookmarkEnd w:id="683"/>
    </w:p>
    <w:p w14:paraId="5BA0961A" w14:textId="34F54364" w:rsidR="004D7C30" w:rsidRDefault="009E5DD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_Ref50050074 \h </w:instrText>
      </w:r>
      <w:r w:rsidR="002D38FC">
        <w:instrText xml:space="preserve"> \* MERGEFORMAT </w:instrText>
      </w:r>
      <w:r>
        <w:fldChar w:fldCharType="separate"/>
      </w:r>
      <w:r w:rsidR="00A7031E">
        <w:t xml:space="preserve">17.7.1 | </w:t>
      </w:r>
      <w:r w:rsidRPr="00770A35">
        <w:t>Introduction</w:t>
      </w:r>
      <w:r>
        <w:fldChar w:fldCharType="end"/>
      </w:r>
    </w:p>
    <w:p w14:paraId="0AA18E3F" w14:textId="40272B38" w:rsidR="009E5DDA" w:rsidRDefault="009E5DD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_Ref50050079 \h </w:instrText>
      </w:r>
      <w:r w:rsidR="002D38FC">
        <w:instrText xml:space="preserve"> \* MERGEFORMAT </w:instrText>
      </w:r>
      <w:r>
        <w:fldChar w:fldCharType="separate"/>
      </w:r>
      <w:r w:rsidRPr="00770A35">
        <w:t>17.7.2 |</w:t>
      </w:r>
      <w:r w:rsidR="00A7031E">
        <w:t xml:space="preserve"> </w:t>
      </w:r>
      <w:r w:rsidRPr="00770A35">
        <w:t>Border Master Plan</w:t>
      </w:r>
      <w:r>
        <w:fldChar w:fldCharType="end"/>
      </w:r>
    </w:p>
    <w:p w14:paraId="30E2C2FF" w14:textId="39B1DFA8" w:rsidR="009E5DDA" w:rsidRDefault="009E5DD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_Ref50050082 \h </w:instrText>
      </w:r>
      <w:r w:rsidR="002D38FC">
        <w:instrText xml:space="preserve"> \* MERGEFORMAT </w:instrText>
      </w:r>
      <w:r>
        <w:fldChar w:fldCharType="separate"/>
      </w:r>
      <w:r w:rsidRPr="00770A35">
        <w:t>1</w:t>
      </w:r>
      <w:r w:rsidR="00A7031E">
        <w:t xml:space="preserve">7.7.3 | </w:t>
      </w:r>
      <w:r w:rsidRPr="00770A35">
        <w:t>Relationship to MPOs &amp; COGs</w:t>
      </w:r>
      <w:r>
        <w:fldChar w:fldCharType="end"/>
      </w:r>
    </w:p>
    <w:p w14:paraId="78456CA0" w14:textId="39974632" w:rsidR="004D7C30" w:rsidRDefault="004D7C3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65A81D30" w14:textId="5EEF3983" w:rsidR="00770A35" w:rsidRPr="00770A35" w:rsidRDefault="006F2575" w:rsidP="00020D20">
      <w:pPr>
        <w:pStyle w:val="Chapter17Heading"/>
      </w:pPr>
      <w:bookmarkStart w:id="684" w:name="_Toc49861104"/>
      <w:bookmarkStart w:id="685" w:name="_Toc49866723"/>
      <w:bookmarkStart w:id="686" w:name="_Toc49868823"/>
      <w:bookmarkStart w:id="687" w:name="_Toc49868888"/>
      <w:bookmarkStart w:id="688" w:name="_Toc49868925"/>
      <w:bookmarkStart w:id="689" w:name="_Toc49868971"/>
      <w:bookmarkStart w:id="690" w:name="_Toc49869140"/>
      <w:bookmarkStart w:id="691" w:name="_Toc49869189"/>
      <w:bookmarkStart w:id="692" w:name="_Toc49870645"/>
      <w:bookmarkStart w:id="693" w:name="_Toc49870690"/>
      <w:bookmarkStart w:id="694" w:name="_Toc49861105"/>
      <w:bookmarkStart w:id="695" w:name="_Toc49866724"/>
      <w:bookmarkStart w:id="696" w:name="_Toc49868824"/>
      <w:bookmarkStart w:id="697" w:name="_Toc49868889"/>
      <w:bookmarkStart w:id="698" w:name="_Toc49868926"/>
      <w:bookmarkStart w:id="699" w:name="_Toc49868972"/>
      <w:bookmarkStart w:id="700" w:name="_Toc49869141"/>
      <w:bookmarkStart w:id="701" w:name="_Toc49869190"/>
      <w:bookmarkStart w:id="702" w:name="_Toc49870646"/>
      <w:bookmarkStart w:id="703" w:name="_Toc49870691"/>
      <w:bookmarkStart w:id="704" w:name="_Toc49861106"/>
      <w:bookmarkStart w:id="705" w:name="_Toc49866725"/>
      <w:bookmarkStart w:id="706" w:name="_Toc49868825"/>
      <w:bookmarkStart w:id="707" w:name="_Toc49868890"/>
      <w:bookmarkStart w:id="708" w:name="_Toc49868927"/>
      <w:bookmarkStart w:id="709" w:name="_Toc49868973"/>
      <w:bookmarkStart w:id="710" w:name="_Toc49869142"/>
      <w:bookmarkStart w:id="711" w:name="_Toc49869191"/>
      <w:bookmarkStart w:id="712" w:name="_Toc49870647"/>
      <w:bookmarkStart w:id="713" w:name="_Toc49870692"/>
      <w:bookmarkStart w:id="714" w:name="_Toc49862251"/>
      <w:bookmarkStart w:id="715" w:name="_Toc49870648"/>
      <w:bookmarkStart w:id="716" w:name="_Toc50540251"/>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rPr>
          <w:noProof/>
        </w:rPr>
        <mc:AlternateContent>
          <mc:Choice Requires="wpg">
            <w:drawing>
              <wp:anchor distT="0" distB="0" distL="114300" distR="114300" simplePos="0" relativeHeight="251618628" behindDoc="0" locked="0" layoutInCell="1" allowOverlap="1" wp14:anchorId="7DC3A5BF" wp14:editId="5EAFF0E5">
                <wp:simplePos x="0" y="0"/>
                <wp:positionH relativeFrom="column">
                  <wp:posOffset>3164619</wp:posOffset>
                </wp:positionH>
                <wp:positionV relativeFrom="paragraph">
                  <wp:posOffset>438675</wp:posOffset>
                </wp:positionV>
                <wp:extent cx="2771775" cy="909320"/>
                <wp:effectExtent l="95250" t="76200" r="104775" b="81280"/>
                <wp:wrapSquare wrapText="bothSides"/>
                <wp:docPr id="816286197" name="Group 816286197"/>
                <wp:cNvGraphicFramePr/>
                <a:graphic xmlns:a="http://schemas.openxmlformats.org/drawingml/2006/main">
                  <a:graphicData uri="http://schemas.microsoft.com/office/word/2010/wordprocessingGroup">
                    <wpg:wgp>
                      <wpg:cNvGrpSpPr/>
                      <wpg:grpSpPr>
                        <a:xfrm>
                          <a:off x="0" y="0"/>
                          <a:ext cx="2771775" cy="909320"/>
                          <a:chOff x="0" y="0"/>
                          <a:chExt cx="2771775" cy="909320"/>
                        </a:xfrm>
                      </wpg:grpSpPr>
                      <wps:wsp>
                        <wps:cNvPr id="816286191" name="Text Box 816286191"/>
                        <wps:cNvSpPr txBox="1"/>
                        <wps:spPr>
                          <a:xfrm>
                            <a:off x="0" y="0"/>
                            <a:ext cx="2771775" cy="90932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79BD5E7A" w14:textId="77777777" w:rsidTr="00020D20">
                                <w:trPr>
                                  <w:trHeight w:val="358"/>
                                </w:trPr>
                                <w:tc>
                                  <w:tcPr>
                                    <w:tcW w:w="3394" w:type="dxa"/>
                                    <w:shd w:val="clear" w:color="auto" w:fill="auto"/>
                                  </w:tcPr>
                                  <w:p w14:paraId="35761289" w14:textId="77777777" w:rsidR="00C6444C" w:rsidRPr="00020D20" w:rsidRDefault="00C6444C">
                                    <w:pPr>
                                      <w:pStyle w:val="Calloutboxes"/>
                                      <w:rPr>
                                        <w:color w:val="012768"/>
                                      </w:rPr>
                                    </w:pPr>
                                  </w:p>
                                </w:tc>
                                <w:tc>
                                  <w:tcPr>
                                    <w:tcW w:w="1106" w:type="dxa"/>
                                    <w:shd w:val="clear" w:color="auto" w:fill="auto"/>
                                  </w:tcPr>
                                  <w:p w14:paraId="0DB1D176" w14:textId="77777777" w:rsidR="00C6444C" w:rsidRPr="00020D20" w:rsidRDefault="00C6444C" w:rsidP="00D30138">
                                    <w:pPr>
                                      <w:pStyle w:val="Calloutboxes"/>
                                      <w:jc w:val="left"/>
                                      <w:rPr>
                                        <w:color w:val="FFFFFF" w:themeColor="background1"/>
                                        <w:sz w:val="24"/>
                                        <w:szCs w:val="24"/>
                                      </w:rPr>
                                    </w:pPr>
                                  </w:p>
                                </w:tc>
                              </w:tr>
                              <w:tr w:rsidR="00C6444C" w14:paraId="3C9BD15A" w14:textId="77777777" w:rsidTr="00020D20">
                                <w:trPr>
                                  <w:trHeight w:val="1087"/>
                                </w:trPr>
                                <w:tc>
                                  <w:tcPr>
                                    <w:tcW w:w="4500" w:type="dxa"/>
                                    <w:gridSpan w:val="2"/>
                                    <w:vAlign w:val="center"/>
                                  </w:tcPr>
                                  <w:p w14:paraId="1D435EE2" w14:textId="4BCD7354" w:rsidR="00C6444C" w:rsidRPr="001847F0" w:rsidRDefault="00C6444C" w:rsidP="00020D20">
                                    <w:pPr>
                                      <w:pStyle w:val="Calloutboxes"/>
                                    </w:pPr>
                                    <w:r w:rsidRPr="001847F0">
                                      <w:t>Based on the Arizona-Sonora BMP findings, the three LPOEs in Nogales account for 60 percent of all pedestrian crossings, 40 percent of privately owned vehicle crossings, and 75 percent of all commercial truck crossings.</w:t>
                                    </w:r>
                                  </w:p>
                                </w:tc>
                              </w:tr>
                            </w:tbl>
                            <w:p w14:paraId="03EEFCDC"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192" name="Group 816286192"/>
                        <wpg:cNvGrpSpPr/>
                        <wpg:grpSpPr>
                          <a:xfrm>
                            <a:off x="0" y="0"/>
                            <a:ext cx="2771775" cy="361315"/>
                            <a:chOff x="11875" y="29688"/>
                            <a:chExt cx="2772410" cy="456764"/>
                          </a:xfrm>
                        </wpg:grpSpPr>
                        <wps:wsp>
                          <wps:cNvPr id="816286193" name="Rectangle 816286193"/>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194" name="Text Box 816286194"/>
                          <wps:cNvSpPr txBox="1"/>
                          <wps:spPr>
                            <a:xfrm>
                              <a:off x="65323" y="29688"/>
                              <a:ext cx="2714509" cy="426646"/>
                            </a:xfrm>
                            <a:prstGeom prst="rect">
                              <a:avLst/>
                            </a:prstGeom>
                            <a:noFill/>
                            <a:ln w="6350">
                              <a:noFill/>
                            </a:ln>
                            <a:effectLst/>
                          </wps:spPr>
                          <wps:txbx>
                            <w:txbxContent>
                              <w:p w14:paraId="4C4C5B28" w14:textId="3D6D1A28" w:rsidR="00C6444C" w:rsidRPr="00020D20" w:rsidRDefault="00C6444C" w:rsidP="00020D20">
                                <w:pPr>
                                  <w:jc w:val="center"/>
                                  <w:rPr>
                                    <w:color w:val="FFFFFF" w:themeColor="background1"/>
                                    <w:sz w:val="22"/>
                                  </w:rPr>
                                </w:pPr>
                                <w:r w:rsidRPr="00020D20">
                                  <w:rPr>
                                    <w:color w:val="FFFFFF" w:themeColor="background1"/>
                                    <w:sz w:val="22"/>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DC3A5BF" id="Group 816286197" o:spid="_x0000_s1294" style="position:absolute;left:0;text-align:left;margin-left:249.2pt;margin-top:34.55pt;width:218.25pt;height:71.6pt;z-index:251618628" coordsize="27717,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">
                <v:shape id="Text Box 816286191" o:spid="_x0000_s1295" type="#_x0000_t202" style="position:absolute;width:27717;height:9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79BD5E7A" w14:textId="77777777" w:rsidTr="00020D20">
                          <w:trPr>
                            <w:trHeight w:val="358"/>
                          </w:trPr>
                          <w:tc>
                            <w:tcPr>
                              <w:tcW w:w="3394" w:type="dxa"/>
                              <w:shd w:val="clear" w:color="auto" w:fill="auto"/>
                            </w:tcPr>
                            <w:p w14:paraId="35761289" w14:textId="77777777" w:rsidR="00C6444C" w:rsidRPr="00020D20" w:rsidRDefault="00C6444C">
                              <w:pPr>
                                <w:pStyle w:val="Calloutboxes"/>
                                <w:rPr>
                                  <w:color w:val="012768"/>
                                </w:rPr>
                              </w:pPr>
                            </w:p>
                          </w:tc>
                          <w:tc>
                            <w:tcPr>
                              <w:tcW w:w="1106" w:type="dxa"/>
                              <w:shd w:val="clear" w:color="auto" w:fill="auto"/>
                            </w:tcPr>
                            <w:p w14:paraId="0DB1D176" w14:textId="77777777" w:rsidR="00C6444C" w:rsidRPr="00020D20" w:rsidRDefault="00C6444C" w:rsidP="00D30138">
                              <w:pPr>
                                <w:pStyle w:val="Calloutboxes"/>
                                <w:jc w:val="left"/>
                                <w:rPr>
                                  <w:color w:val="FFFFFF" w:themeColor="background1"/>
                                  <w:sz w:val="24"/>
                                  <w:szCs w:val="24"/>
                                </w:rPr>
                              </w:pPr>
                            </w:p>
                          </w:tc>
                        </w:tr>
                        <w:tr w:rsidR="00C6444C" w14:paraId="3C9BD15A" w14:textId="77777777" w:rsidTr="00020D20">
                          <w:trPr>
                            <w:trHeight w:val="1087"/>
                          </w:trPr>
                          <w:tc>
                            <w:tcPr>
                              <w:tcW w:w="4500" w:type="dxa"/>
                              <w:gridSpan w:val="2"/>
                              <w:vAlign w:val="center"/>
                            </w:tcPr>
                            <w:p w14:paraId="1D435EE2" w14:textId="4BCD7354" w:rsidR="00C6444C" w:rsidRPr="001847F0" w:rsidRDefault="00C6444C" w:rsidP="00020D20">
                              <w:pPr>
                                <w:pStyle w:val="Calloutboxes"/>
                              </w:pPr>
                              <w:r w:rsidRPr="001847F0">
                                <w:t>Based on the Arizona-Sonora BMP findings, the three LPOEs in Nogales account for 60 percent of all pedestrian crossings, 40 percent of privately owned vehicle crossings, and 75 percent of all commercial truck crossings.</w:t>
                              </w:r>
                            </w:p>
                          </w:tc>
                        </w:tr>
                      </w:tbl>
                      <w:p w14:paraId="03EEFCDC" w14:textId="77777777" w:rsidR="00C6444C" w:rsidRPr="00347D6E" w:rsidRDefault="00C6444C" w:rsidP="00020D20"/>
                    </w:txbxContent>
                  </v:textbox>
                </v:shape>
                <v:group id="Group 816286192" o:spid="_x0000_s1296" style="position:absolute;width:27717;height:3613"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">
                  <v:rect id="Rectangle 816286193" o:spid="_x0000_s1297"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" fillcolor="#012768" strokecolor="#1f4d78 [1604]" strokeweight="1pt"/>
                  <v:shape id="Text Box 816286194" o:spid="_x0000_s1298" type="#_x0000_t202" style="position:absolute;left:653;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" filled="f" stroked="f" strokeweight=".5pt">
                    <v:textbox>
                      <w:txbxContent>
                        <w:p w14:paraId="4C4C5B28" w14:textId="3D6D1A28" w:rsidR="00C6444C" w:rsidRPr="00020D20" w:rsidRDefault="00C6444C" w:rsidP="00020D20">
                          <w:pPr>
                            <w:jc w:val="center"/>
                            <w:rPr>
                              <w:color w:val="FFFFFF" w:themeColor="background1"/>
                              <w:sz w:val="22"/>
                            </w:rPr>
                          </w:pPr>
                          <w:r w:rsidRPr="00020D20">
                            <w:rPr>
                              <w:color w:val="FFFFFF" w:themeColor="background1"/>
                              <w:sz w:val="22"/>
                            </w:rPr>
                            <w:t>DID YOU KNOW</w:t>
                          </w:r>
                        </w:p>
                      </w:txbxContent>
                    </v:textbox>
                  </v:shape>
                </v:group>
                <w10:wrap type="square"/>
              </v:group>
            </w:pict>
          </mc:Fallback>
        </mc:AlternateContent>
      </w:r>
      <w:r w:rsidR="00940AB2">
        <w:t>17.7</w:t>
      </w:r>
      <w:r w:rsidR="00770A35" w:rsidRPr="00770A35">
        <w:t>|</w:t>
      </w:r>
      <w:r w:rsidR="000E518A">
        <w:t xml:space="preserve"> </w:t>
      </w:r>
      <w:r w:rsidR="00770A35" w:rsidRPr="00770A35">
        <w:t>Border Planning</w:t>
      </w:r>
      <w:bookmarkEnd w:id="714"/>
      <w:bookmarkEnd w:id="715"/>
      <w:bookmarkEnd w:id="716"/>
    </w:p>
    <w:p w14:paraId="3732938C" w14:textId="77777777" w:rsidR="00775BB7" w:rsidRDefault="00775BB7" w:rsidP="00020D20">
      <w:pPr>
        <w:jc w:val="both"/>
        <w:rPr>
          <w:rFonts w:cstheme="minorHAnsi"/>
        </w:rPr>
        <w:sectPr w:rsidR="00775BB7" w:rsidSect="00020D20">
          <w:pgSz w:w="12240" w:h="15840"/>
          <w:pgMar w:top="1440" w:right="1440" w:bottom="1440" w:left="1440" w:header="720" w:footer="720" w:gutter="0"/>
          <w:pgNumType w:chapStyle="1"/>
          <w:cols w:space="720"/>
          <w:docGrid w:linePitch="360"/>
        </w:sectPr>
      </w:pPr>
    </w:p>
    <w:p w14:paraId="2B4F6994" w14:textId="538883BC" w:rsidR="00770A35" w:rsidRPr="00770A35" w:rsidRDefault="00770A35" w:rsidP="00020D20">
      <w:pPr>
        <w:pStyle w:val="Heading3"/>
        <w:jc w:val="both"/>
      </w:pPr>
      <w:bookmarkStart w:id="717" w:name="_Ref50050074"/>
      <w:r w:rsidRPr="00770A35">
        <w:t>17.7.1 | Introduction</w:t>
      </w:r>
      <w:bookmarkEnd w:id="717"/>
      <w:r w:rsidRPr="00770A35">
        <w:t xml:space="preserve"> </w:t>
      </w:r>
    </w:p>
    <w:p w14:paraId="20920AAA" w14:textId="336530B9" w:rsidR="00770A35" w:rsidRPr="00770A35" w:rsidRDefault="00770A35" w:rsidP="00020D20">
      <w:pPr>
        <w:jc w:val="both"/>
        <w:rPr>
          <w:rFonts w:cstheme="minorHAnsi"/>
        </w:rPr>
      </w:pPr>
      <w:r w:rsidRPr="00770A35">
        <w:rPr>
          <w:rFonts w:cstheme="minorHAnsi"/>
        </w:rPr>
        <w:t>Travel between the state of Arizona in the United States and the state of Sonora in Mexico at the international border has increased over the last 10 years. There are nine specific LPOEs facilitating movement between the two states. The majority of LPOEs have experienced an increase in the movement of people and goods, and the increases are expected to continue to grow in future years as population and economic growth occur in the border region. This section provides additional resource material references for the MPOs and COGs that conduct planning activities in the border region.</w:t>
      </w:r>
    </w:p>
    <w:p w14:paraId="1DAFE291" w14:textId="77777777" w:rsidR="00770A35" w:rsidRPr="00770A35" w:rsidRDefault="00770A35" w:rsidP="00020D20">
      <w:pPr>
        <w:pStyle w:val="Heading3"/>
        <w:jc w:val="both"/>
      </w:pPr>
      <w:bookmarkStart w:id="718" w:name="_Ref50050079"/>
      <w:r w:rsidRPr="00770A35">
        <w:t>17.7.2 | Border Master Plan</w:t>
      </w:r>
      <w:bookmarkEnd w:id="718"/>
    </w:p>
    <w:p w14:paraId="7F93A119" w14:textId="34915616" w:rsidR="00770A35" w:rsidRPr="00770A35" w:rsidRDefault="00770A35" w:rsidP="00020D20">
      <w:pPr>
        <w:jc w:val="both"/>
        <w:rPr>
          <w:rFonts w:cstheme="minorHAnsi"/>
        </w:rPr>
      </w:pPr>
      <w:r w:rsidRPr="00770A35">
        <w:rPr>
          <w:rFonts w:cstheme="minorHAnsi"/>
        </w:rPr>
        <w:t xml:space="preserve">During February 2013, ADOT released the Arizona-Sonora BMP. The BMP was prepared by ADOT in collaboration with the FHWA, the SCT, and the State of Sonora, Mexico. The Arizona-Sonora BMP provides a roadmap for improving the efficiency and effectiveness of Arizona-Sonora transportation facilities supporting critical social and economic interactions across the international border. </w:t>
      </w:r>
    </w:p>
    <w:p w14:paraId="5D9846C6" w14:textId="77777777" w:rsidR="00770A35" w:rsidRPr="00770A35" w:rsidRDefault="00770A35" w:rsidP="00020D20">
      <w:pPr>
        <w:pStyle w:val="Heading3"/>
        <w:jc w:val="both"/>
      </w:pPr>
      <w:bookmarkStart w:id="719" w:name="_Ref50050082"/>
      <w:r w:rsidRPr="00770A35">
        <w:t>17.7.3 | Relationship to MPOs &amp; COGs</w:t>
      </w:r>
      <w:bookmarkEnd w:id="719"/>
    </w:p>
    <w:p w14:paraId="35DFFC29" w14:textId="6AD29B71" w:rsidR="00770A35" w:rsidRPr="00770A35" w:rsidRDefault="00770A35" w:rsidP="00020D20">
      <w:pPr>
        <w:jc w:val="both"/>
        <w:rPr>
          <w:rFonts w:cstheme="minorHAnsi"/>
          <w:b/>
        </w:rPr>
      </w:pPr>
      <w:r w:rsidRPr="00770A35">
        <w:rPr>
          <w:rFonts w:cstheme="minorHAnsi"/>
        </w:rPr>
        <w:t xml:space="preserve">During </w:t>
      </w:r>
      <w:r w:rsidR="00E24B87" w:rsidRPr="00770A35">
        <w:rPr>
          <w:rFonts w:cstheme="minorHAnsi"/>
        </w:rPr>
        <w:t>20</w:t>
      </w:r>
      <w:r w:rsidR="00E24B87">
        <w:rPr>
          <w:rFonts w:cstheme="minorHAnsi"/>
        </w:rPr>
        <w:t>17</w:t>
      </w:r>
      <w:r w:rsidR="00E24B87" w:rsidRPr="00770A35">
        <w:rPr>
          <w:rFonts w:cstheme="minorHAnsi"/>
        </w:rPr>
        <w:t xml:space="preserve"> </w:t>
      </w:r>
      <w:r w:rsidRPr="00770A35">
        <w:rPr>
          <w:rFonts w:cstheme="minorHAnsi"/>
        </w:rPr>
        <w:t xml:space="preserve">and </w:t>
      </w:r>
      <w:r w:rsidR="00E24B87" w:rsidRPr="00770A35">
        <w:rPr>
          <w:rFonts w:cstheme="minorHAnsi"/>
        </w:rPr>
        <w:t>20</w:t>
      </w:r>
      <w:r w:rsidR="00E24B87">
        <w:rPr>
          <w:rFonts w:cstheme="minorHAnsi"/>
        </w:rPr>
        <w:t>18</w:t>
      </w:r>
      <w:r w:rsidRPr="00770A35">
        <w:rPr>
          <w:rFonts w:cstheme="minorHAnsi"/>
        </w:rPr>
        <w:t xml:space="preserve">, ADOT worked with stakeholders throughout Arizona to develop and release the LRTP, </w:t>
      </w:r>
      <w:hyperlink r:id="rId1161" w:history="1">
        <w:r w:rsidRPr="004C5B89">
          <w:rPr>
            <w:rStyle w:val="TitleChar"/>
          </w:rPr>
          <w:t>What</w:t>
        </w:r>
        <w:r w:rsidR="0031078B" w:rsidRPr="004C5B89">
          <w:rPr>
            <w:rStyle w:val="TitleChar"/>
          </w:rPr>
          <w:t xml:space="preserve"> </w:t>
        </w:r>
        <w:r w:rsidRPr="004C5B89">
          <w:rPr>
            <w:rStyle w:val="TitleChar"/>
          </w:rPr>
          <w:t>Moves</w:t>
        </w:r>
        <w:r w:rsidR="0031078B" w:rsidRPr="004C5B89">
          <w:rPr>
            <w:rStyle w:val="TitleChar"/>
          </w:rPr>
          <w:t xml:space="preserve"> </w:t>
        </w:r>
        <w:r w:rsidRPr="004C5B89">
          <w:rPr>
            <w:rStyle w:val="TitleChar"/>
          </w:rPr>
          <w:t>You</w:t>
        </w:r>
        <w:r w:rsidR="0031078B" w:rsidRPr="004C5B89">
          <w:rPr>
            <w:rStyle w:val="TitleChar"/>
          </w:rPr>
          <w:t xml:space="preserve"> </w:t>
        </w:r>
        <w:r w:rsidRPr="004C5B89">
          <w:rPr>
            <w:rStyle w:val="TitleChar"/>
          </w:rPr>
          <w:t>Arizona</w:t>
        </w:r>
        <w:r w:rsidR="0031078B" w:rsidRPr="004C5B89">
          <w:rPr>
            <w:rStyle w:val="TitleChar"/>
          </w:rPr>
          <w:t xml:space="preserve"> 2040</w:t>
        </w:r>
      </w:hyperlink>
      <w:r w:rsidRPr="00770A35">
        <w:rPr>
          <w:rFonts w:cstheme="minorHAnsi"/>
        </w:rPr>
        <w:t>, in 201</w:t>
      </w:r>
      <w:r w:rsidR="0031078B">
        <w:rPr>
          <w:rFonts w:cstheme="minorHAnsi"/>
        </w:rPr>
        <w:t>8</w:t>
      </w:r>
      <w:r w:rsidRPr="00770A35">
        <w:rPr>
          <w:rFonts w:cstheme="minorHAnsi"/>
        </w:rPr>
        <w:t xml:space="preserve">. The plan identified </w:t>
      </w:r>
      <w:r w:rsidR="00E24B87">
        <w:rPr>
          <w:rFonts w:cstheme="minorHAnsi"/>
        </w:rPr>
        <w:t xml:space="preserve">$155 million of </w:t>
      </w:r>
      <w:r w:rsidRPr="00770A35">
        <w:rPr>
          <w:rFonts w:cstheme="minorHAnsi"/>
        </w:rPr>
        <w:t xml:space="preserve">improvements throughout the Arizona-Sonora border region, but did not specifically consider individual LPOEs. At each LPOE, heavy congestion and security issues affect daily pedestrian, commercial, and vehicular traffic traveling across the border. As such, </w:t>
      </w:r>
      <w:r w:rsidR="00E24B87">
        <w:rPr>
          <w:rFonts w:cstheme="minorHAnsi"/>
        </w:rPr>
        <w:t>from</w:t>
      </w:r>
      <w:r w:rsidR="00E24B87" w:rsidRPr="00770A35">
        <w:rPr>
          <w:rFonts w:cstheme="minorHAnsi"/>
        </w:rPr>
        <w:t xml:space="preserve"> </w:t>
      </w:r>
      <w:r w:rsidRPr="00770A35">
        <w:rPr>
          <w:rFonts w:cstheme="minorHAnsi"/>
        </w:rPr>
        <w:t>2012</w:t>
      </w:r>
      <w:r w:rsidR="00E24B87">
        <w:rPr>
          <w:rFonts w:cstheme="minorHAnsi"/>
        </w:rPr>
        <w:t>-</w:t>
      </w:r>
      <w:r w:rsidRPr="00770A35">
        <w:rPr>
          <w:rFonts w:cstheme="minorHAnsi"/>
        </w:rPr>
        <w:t xml:space="preserve">2013, stakeholders from both countries prepared the Arizona-Sonora BMP. </w:t>
      </w:r>
    </w:p>
    <w:p w14:paraId="6CD98FC0" w14:textId="53ED2E56" w:rsidR="00770A35" w:rsidRPr="00770A35" w:rsidRDefault="00A67C15" w:rsidP="00020D20">
      <w:pPr>
        <w:jc w:val="both"/>
        <w:rPr>
          <w:rFonts w:cstheme="minorHAnsi"/>
        </w:rPr>
      </w:pPr>
      <w:r>
        <w:rPr>
          <w:rFonts w:cstheme="minorHAnsi"/>
          <w:noProof/>
        </w:rPr>
        <mc:AlternateContent>
          <mc:Choice Requires="wps">
            <w:drawing>
              <wp:anchor distT="0" distB="0" distL="114300" distR="114300" simplePos="0" relativeHeight="251618422" behindDoc="1" locked="0" layoutInCell="1" allowOverlap="1" wp14:anchorId="7EC2FE7E" wp14:editId="1EB957A9">
                <wp:simplePos x="0" y="0"/>
                <wp:positionH relativeFrom="column">
                  <wp:posOffset>993140</wp:posOffset>
                </wp:positionH>
                <wp:positionV relativeFrom="paragraph">
                  <wp:posOffset>610235</wp:posOffset>
                </wp:positionV>
                <wp:extent cx="1489075" cy="1530350"/>
                <wp:effectExtent l="76200" t="95250" r="73025" b="88900"/>
                <wp:wrapTight wrapText="bothSides">
                  <wp:wrapPolygon edited="0">
                    <wp:start x="-1105" y="-1344"/>
                    <wp:lineTo x="-1105" y="22586"/>
                    <wp:lineTo x="22383" y="22586"/>
                    <wp:lineTo x="22383" y="-1344"/>
                    <wp:lineTo x="-1105" y="-1344"/>
                  </wp:wrapPolygon>
                </wp:wrapTight>
                <wp:docPr id="816286188" name="Text Box 816286188"/>
                <wp:cNvGraphicFramePr/>
                <a:graphic xmlns:a="http://schemas.openxmlformats.org/drawingml/2006/main">
                  <a:graphicData uri="http://schemas.microsoft.com/office/word/2010/wordprocessingShape">
                    <wps:wsp>
                      <wps:cNvSpPr txBox="1"/>
                      <wps:spPr>
                        <a:xfrm>
                          <a:off x="0" y="0"/>
                          <a:ext cx="1489075" cy="15303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EBB44E9" w14:textId="77777777" w:rsidR="00C6444C" w:rsidRDefault="00C6444C" w:rsidP="00020D20">
                            <w:pPr>
                              <w:jc w:val="center"/>
                            </w:pPr>
                            <w:r>
                              <w:rPr>
                                <w:noProof/>
                              </w:rPr>
                              <w:drawing>
                                <wp:inline distT="0" distB="0" distL="0" distR="0" wp14:anchorId="7ED043B6" wp14:editId="4838F9F4">
                                  <wp:extent cx="457200" cy="457200"/>
                                  <wp:effectExtent l="0" t="0" r="0" b="0"/>
                                  <wp:docPr id="1690912784" name="Picture 169091278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14F709D" w14:textId="3634C6E2" w:rsidR="00C6444C" w:rsidRPr="005A6734" w:rsidRDefault="00C6444C" w:rsidP="00020D20">
                            <w:pPr>
                              <w:pStyle w:val="Calloutboxes"/>
                            </w:pPr>
                            <w:r w:rsidRPr="00394A74">
                              <w:t>The Arizona-Sonora BMP can be found at:</w:t>
                            </w:r>
                          </w:p>
                          <w:p w14:paraId="58D8F194" w14:textId="12D630E4" w:rsidR="00C6444C" w:rsidRPr="00020D20" w:rsidRDefault="00202C92">
                            <w:pPr>
                              <w:pStyle w:val="Title"/>
                              <w:rPr>
                                <w:sz w:val="16"/>
                              </w:rPr>
                            </w:pPr>
                            <w:hyperlink r:id="rId1162" w:history="1">
                              <w:r w:rsidR="00C6444C" w:rsidRPr="00020D20">
                                <w:rPr>
                                  <w:rStyle w:val="Hyperlink"/>
                                  <w:rFonts w:ascii="Calibri" w:hAnsi="Calibri" w:cstheme="majorBidi"/>
                                  <w:i/>
                                  <w:iCs w:val="0"/>
                                  <w:color w:val="CE5B18"/>
                                  <w:szCs w:val="56"/>
                                  <w:u w:val="none"/>
                                </w:rPr>
                                <w:t>https://azdot.gov/planning/transportation-studies/completed-transportation-studies/arizona-sonora-border-master-plan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C2FE7E" id="Text Box 816286188" o:spid="_x0000_s1299" type="#_x0000_t202" style="position:absolute;left:0;text-align:left;margin-left:78.2pt;margin-top:48.05pt;width:117.25pt;height:120.5pt;z-index:-2516980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" fillcolor="#f7f7f7" stroked="f" strokeweight=".5pt">
                <v:shadow on="t" type="perspective" color="black" opacity="26214f" offset="0,0" matrix="66847f,,,66847f"/>
                <v:textbox>
                  <w:txbxContent>
                    <w:p w14:paraId="2EBB44E9" w14:textId="77777777" w:rsidR="00C6444C" w:rsidRDefault="00C6444C" w:rsidP="00020D20">
                      <w:pPr>
                        <w:jc w:val="center"/>
                      </w:pPr>
                      <w:r>
                        <w:rPr>
                          <w:noProof/>
                        </w:rPr>
                        <w:drawing>
                          <wp:inline distT="0" distB="0" distL="0" distR="0" wp14:anchorId="7ED043B6" wp14:editId="4838F9F4">
                            <wp:extent cx="457200" cy="457200"/>
                            <wp:effectExtent l="0" t="0" r="0" b="0"/>
                            <wp:docPr id="1690912784" name="Picture 169091278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14F709D" w14:textId="3634C6E2" w:rsidR="00C6444C" w:rsidRPr="005A6734" w:rsidRDefault="00C6444C" w:rsidP="00020D20">
                      <w:pPr>
                        <w:pStyle w:val="Calloutboxes"/>
                      </w:pPr>
                      <w:r w:rsidRPr="00394A74">
                        <w:t>The Arizona-Sonora BMP can be found at:</w:t>
                      </w:r>
                    </w:p>
                    <w:p w14:paraId="58D8F194" w14:textId="12D630E4" w:rsidR="00C6444C" w:rsidRPr="00020D20" w:rsidRDefault="00C6444C">
                      <w:pPr>
                        <w:pStyle w:val="Title"/>
                        <w:rPr>
                          <w:sz w:val="16"/>
                        </w:rPr>
                      </w:pPr>
                      <w:hyperlink r:id="rId1163" w:history="1">
                        <w:r w:rsidRPr="00020D20">
                          <w:rPr>
                            <w:rStyle w:val="Hyperlink"/>
                            <w:rFonts w:ascii="Calibri" w:hAnsi="Calibri" w:cstheme="majorBidi"/>
                            <w:i/>
                            <w:iCs w:val="0"/>
                            <w:color w:val="CE5B18"/>
                            <w:szCs w:val="56"/>
                            <w:u w:val="none"/>
                          </w:rPr>
                          <w:t>https://azdot.gov/planning/transportation-studies/completed-transportation-studies/arizona-sonora-border-master-plan</w:t>
                        </w:r>
                      </w:hyperlink>
                    </w:p>
                  </w:txbxContent>
                </v:textbox>
                <w10:wrap type="tight"/>
              </v:shape>
            </w:pict>
          </mc:Fallback>
        </mc:AlternateContent>
      </w:r>
      <w:r w:rsidR="00770A35" w:rsidRPr="00770A35">
        <w:rPr>
          <w:rFonts w:cstheme="minorHAnsi"/>
        </w:rPr>
        <w:t>This BMP provides key details on planning and programming of improvements for all of the Arizona-Sonora LPOEs. The study area for the Arizona-Sonora BMP generally extends 10 miles north of the Arizona-Sonora international border, with expanded areas in the vicinity of Yuma, Nogales, and Douglas as displayed in Figure 17.7-1. As the figure illustrates, the Arizona-Sonora BMP has influences in the following MPOs and COGs:</w:t>
      </w:r>
    </w:p>
    <w:p w14:paraId="716CB74D" w14:textId="15BEBDBB" w:rsidR="00770A35" w:rsidRPr="00770A35" w:rsidRDefault="00770A35" w:rsidP="00020D20">
      <w:pPr>
        <w:pStyle w:val="Body-Bullets"/>
        <w:jc w:val="both"/>
      </w:pPr>
      <w:r w:rsidRPr="00770A35">
        <w:t>YMPO</w:t>
      </w:r>
    </w:p>
    <w:p w14:paraId="72C0FD3B" w14:textId="77777777" w:rsidR="00770A35" w:rsidRPr="00770A35" w:rsidRDefault="00770A35" w:rsidP="00020D20">
      <w:pPr>
        <w:pStyle w:val="Body-Bullets"/>
        <w:jc w:val="both"/>
      </w:pPr>
      <w:r w:rsidRPr="00770A35">
        <w:t>SVMPO</w:t>
      </w:r>
    </w:p>
    <w:p w14:paraId="70BFAECD" w14:textId="679F8763" w:rsidR="00770A35" w:rsidRPr="00770A35" w:rsidRDefault="00770A35" w:rsidP="00020D20">
      <w:pPr>
        <w:pStyle w:val="Body-Bullets"/>
        <w:jc w:val="both"/>
      </w:pPr>
      <w:r w:rsidRPr="00770A35">
        <w:t>WACOG</w:t>
      </w:r>
    </w:p>
    <w:p w14:paraId="53E69AEC" w14:textId="7026E180" w:rsidR="00FE115D" w:rsidRDefault="00770A35" w:rsidP="00020D20">
      <w:pPr>
        <w:pStyle w:val="Body-Bullets"/>
        <w:jc w:val="both"/>
      </w:pPr>
      <w:r w:rsidRPr="00770A35">
        <w:t>SEAGO</w:t>
      </w:r>
    </w:p>
    <w:p w14:paraId="3A3DA09A" w14:textId="77777777" w:rsidR="00A35DB8" w:rsidRDefault="00A35DB8" w:rsidP="00020D20">
      <w:pPr>
        <w:jc w:val="both"/>
        <w:rPr>
          <w:i/>
        </w:rPr>
        <w:sectPr w:rsidR="00A35DB8" w:rsidSect="00F43B1D">
          <w:type w:val="continuous"/>
          <w:pgSz w:w="12240" w:h="15840"/>
          <w:pgMar w:top="1440" w:right="1440" w:bottom="1440" w:left="1440" w:header="720" w:footer="720" w:gutter="0"/>
          <w:cols w:num="2" w:space="720"/>
          <w:docGrid w:linePitch="360"/>
        </w:sectPr>
      </w:pPr>
    </w:p>
    <w:p w14:paraId="27E7F515" w14:textId="77777777" w:rsidR="001E2867" w:rsidRDefault="001E2867" w:rsidP="00020D20">
      <w:pPr>
        <w:jc w:val="both"/>
      </w:pPr>
    </w:p>
    <w:p w14:paraId="1EA5EFE7" w14:textId="5581E17F" w:rsidR="00556EF8" w:rsidRDefault="00556EF8" w:rsidP="00020D20">
      <w:pPr>
        <w:pStyle w:val="Heading4"/>
        <w:jc w:val="both"/>
      </w:pPr>
      <w:r w:rsidRPr="004C5B89">
        <w:t>Figure 17.7-1 | Arizona-Sonora Land Ports of Entry</w:t>
      </w:r>
    </w:p>
    <w:p w14:paraId="537CD259" w14:textId="1F09C1B1" w:rsidR="00775BB7" w:rsidRDefault="001E2867" w:rsidP="00020D20">
      <w:pPr>
        <w:jc w:val="both"/>
        <w:sectPr w:rsidR="00775BB7" w:rsidSect="00020D20">
          <w:type w:val="continuous"/>
          <w:pgSz w:w="12240" w:h="15840"/>
          <w:pgMar w:top="1440" w:right="1440" w:bottom="1440" w:left="1440" w:header="720" w:footer="720" w:gutter="0"/>
          <w:pgNumType w:chapStyle="1"/>
          <w:cols w:space="720"/>
          <w:docGrid w:linePitch="360"/>
        </w:sectPr>
      </w:pPr>
      <w:r>
        <w:object w:dxaOrig="11880" w:dyaOrig="9180" w14:anchorId="1F23F40E">
          <v:shape id="_x0000_i1027" type="#_x0000_t75" style="width:508.45pt;height:339.2pt" o:ole="">
            <v:imagedata r:id="rId1164" o:title="" croptop="2256f" cropbottom="6641f"/>
          </v:shape>
          <o:OLEObject Type="Embed" ProgID="Acrobat.Document.DC" ShapeID="_x0000_i1027" DrawAspect="Content" ObjectID="_1669193154" r:id="rId1165"/>
        </w:object>
      </w:r>
    </w:p>
    <w:p w14:paraId="55E83E85" w14:textId="2A5329F1" w:rsidR="00775BB7" w:rsidRDefault="00775BB7" w:rsidP="00020D20">
      <w:pPr>
        <w:jc w:val="both"/>
        <w:sectPr w:rsidR="00775BB7" w:rsidSect="008E695B">
          <w:type w:val="continuous"/>
          <w:pgSz w:w="12240" w:h="15840"/>
          <w:pgMar w:top="1440" w:right="1440" w:bottom="1440" w:left="1440" w:header="720" w:footer="720" w:gutter="0"/>
          <w:cols w:space="720"/>
          <w:docGrid w:linePitch="360"/>
        </w:sectPr>
      </w:pPr>
    </w:p>
    <w:p w14:paraId="493AC26A" w14:textId="54587280" w:rsidR="003C2DDF" w:rsidRDefault="007C23DB" w:rsidP="00020D20">
      <w:pPr>
        <w:pStyle w:val="BodyTextTitle"/>
        <w:spacing w:before="0" w:after="0" w:line="240" w:lineRule="auto"/>
        <w:jc w:val="both"/>
      </w:pPr>
      <w:bookmarkStart w:id="720" w:name="_Ref50049812"/>
      <w:bookmarkStart w:id="721" w:name="_Toc49862252"/>
      <w:r>
        <w:t>17.8</w:t>
      </w:r>
      <w:r w:rsidR="002D2D69">
        <w:t xml:space="preserve"> </w:t>
      </w:r>
      <w:r>
        <w:t>| PUBLIC PRIVATE PARTNERSHIPS</w:t>
      </w:r>
    </w:p>
    <w:p w14:paraId="0B38D71E" w14:textId="602D721D" w:rsidR="007C23DB" w:rsidRPr="00020D20" w:rsidRDefault="007C23DB" w:rsidP="00020D20">
      <w:pPr>
        <w:pStyle w:val="BodyTextTitle"/>
        <w:spacing w:before="0" w:line="240" w:lineRule="auto"/>
        <w:jc w:val="both"/>
        <w:rPr>
          <w:sz w:val="36"/>
        </w:rPr>
      </w:pPr>
      <w:r w:rsidRPr="00020D20">
        <w:rPr>
          <w:sz w:val="36"/>
        </w:rPr>
        <w:t>TABLE OF CONTENTS</w:t>
      </w:r>
      <w:bookmarkEnd w:id="720"/>
    </w:p>
    <w:p w14:paraId="03884D41" w14:textId="77DE017A" w:rsidR="007C23DB" w:rsidRDefault="009E5DDA" w:rsidP="00020D20">
      <w:pPr>
        <w:spacing w:before="0" w:after="40" w:line="240" w:lineRule="auto"/>
        <w:ind w:left="504"/>
        <w:jc w:val="both"/>
      </w:pPr>
      <w:r>
        <w:fldChar w:fldCharType="begin"/>
      </w:r>
      <w:r>
        <w:instrText xml:space="preserve"> REF _Ref50050140 \h </w:instrText>
      </w:r>
      <w:r w:rsidR="002D38FC">
        <w:instrText xml:space="preserve"> \* MERGEFORMAT </w:instrText>
      </w:r>
      <w:r>
        <w:fldChar w:fldCharType="separate"/>
      </w:r>
      <w:r w:rsidRPr="00102BBF">
        <w:t>17.8.1 | Introduction</w:t>
      </w:r>
      <w:r>
        <w:fldChar w:fldCharType="end"/>
      </w:r>
    </w:p>
    <w:p w14:paraId="11680EC0" w14:textId="1AEB902C" w:rsidR="009E5DDA" w:rsidRDefault="009E5DDA">
      <w:pPr>
        <w:spacing w:before="0" w:after="40" w:line="240" w:lineRule="auto"/>
        <w:ind w:left="504"/>
        <w:jc w:val="both"/>
      </w:pPr>
      <w:r>
        <w:fldChar w:fldCharType="begin"/>
      </w:r>
      <w:r>
        <w:instrText xml:space="preserve"> REF _Ref50050143 \h </w:instrText>
      </w:r>
      <w:r w:rsidR="002D38FC">
        <w:instrText xml:space="preserve"> \* MERGEFORMAT </w:instrText>
      </w:r>
      <w:r>
        <w:fldChar w:fldCharType="separate"/>
      </w:r>
      <w:r w:rsidRPr="00102BBF">
        <w:t>17.8.2 | Authority</w:t>
      </w:r>
      <w:r>
        <w:fldChar w:fldCharType="end"/>
      </w:r>
    </w:p>
    <w:p w14:paraId="3D18316D" w14:textId="5A069C5C" w:rsidR="009E5DDA" w:rsidRDefault="009E5DDA">
      <w:pPr>
        <w:spacing w:before="0" w:after="40" w:line="240" w:lineRule="auto"/>
        <w:ind w:left="504"/>
        <w:jc w:val="both"/>
      </w:pPr>
      <w:r>
        <w:fldChar w:fldCharType="begin"/>
      </w:r>
      <w:r>
        <w:instrText xml:space="preserve"> REF _Ref50050146 \h </w:instrText>
      </w:r>
      <w:r w:rsidR="002D38FC">
        <w:instrText xml:space="preserve"> \* MERGEFORMAT </w:instrText>
      </w:r>
      <w:r>
        <w:fldChar w:fldCharType="separate"/>
      </w:r>
      <w:r w:rsidRPr="00102BBF">
        <w:t>17.8.3 | Background</w:t>
      </w:r>
      <w:r>
        <w:fldChar w:fldCharType="end"/>
      </w:r>
    </w:p>
    <w:p w14:paraId="4A17CE42" w14:textId="4AA94DFD" w:rsidR="009E5DDA" w:rsidRDefault="009E5DDA">
      <w:pPr>
        <w:spacing w:before="0" w:after="40" w:line="240" w:lineRule="auto"/>
        <w:ind w:left="504"/>
        <w:jc w:val="both"/>
      </w:pPr>
      <w:r>
        <w:fldChar w:fldCharType="begin"/>
      </w:r>
      <w:r>
        <w:instrText xml:space="preserve"> REF _Ref50050149 \h </w:instrText>
      </w:r>
      <w:r w:rsidR="002D38FC">
        <w:instrText xml:space="preserve"> \* MERGEFORMAT </w:instrText>
      </w:r>
      <w:r>
        <w:fldChar w:fldCharType="separate"/>
      </w:r>
      <w:r w:rsidR="00A7031E" w:rsidRPr="00102BBF">
        <w:t>17</w:t>
      </w:r>
      <w:r w:rsidR="00A7031E">
        <w:t xml:space="preserve">.8.4 | </w:t>
      </w:r>
      <w:r w:rsidR="00A7031E" w:rsidRPr="00102BBF">
        <w:t xml:space="preserve">ADOT </w:t>
      </w:r>
      <w:r w:rsidR="00A7031E" w:rsidRPr="00305187">
        <w:t>Responsibility</w:t>
      </w:r>
      <w:r w:rsidR="00A7031E" w:rsidRPr="00102BBF">
        <w:t xml:space="preserve"> &amp; Guidelines</w:t>
      </w:r>
      <w:r>
        <w:fldChar w:fldCharType="end"/>
      </w:r>
    </w:p>
    <w:p w14:paraId="3E068342" w14:textId="5C21B135" w:rsidR="009E5DDA" w:rsidRDefault="009E5DDA">
      <w:pPr>
        <w:spacing w:before="0" w:after="40" w:line="240" w:lineRule="auto"/>
        <w:ind w:left="504"/>
        <w:jc w:val="both"/>
      </w:pPr>
      <w:r>
        <w:fldChar w:fldCharType="begin"/>
      </w:r>
      <w:r>
        <w:instrText xml:space="preserve"> REF _Ref50050152 \h </w:instrText>
      </w:r>
      <w:r w:rsidR="002D38FC">
        <w:instrText xml:space="preserve"> \* MERGEFORMAT </w:instrText>
      </w:r>
      <w:r>
        <w:fldChar w:fldCharType="separate"/>
      </w:r>
      <w:r w:rsidRPr="00675174">
        <w:t>17.8.5 | Proposal Processes</w:t>
      </w:r>
      <w:r>
        <w:fldChar w:fldCharType="end"/>
      </w:r>
    </w:p>
    <w:p w14:paraId="310F6A5C" w14:textId="13983757" w:rsidR="009E5DDA" w:rsidRPr="00394A74" w:rsidRDefault="009E5DDA">
      <w:pPr>
        <w:spacing w:before="0" w:after="40" w:line="240" w:lineRule="auto"/>
        <w:ind w:left="504"/>
        <w:jc w:val="both"/>
      </w:pPr>
      <w:r>
        <w:fldChar w:fldCharType="begin"/>
      </w:r>
      <w:r>
        <w:instrText xml:space="preserve"> REF _Ref50050156 \h </w:instrText>
      </w:r>
      <w:r w:rsidR="002D38FC">
        <w:instrText xml:space="preserve"> \* MERGEFORMAT </w:instrText>
      </w:r>
      <w:r>
        <w:fldChar w:fldCharType="separate"/>
      </w:r>
      <w:r w:rsidRPr="00675174">
        <w:t>17.8.6 | FHWA Resources</w:t>
      </w:r>
      <w:r>
        <w:fldChar w:fldCharType="end"/>
      </w:r>
    </w:p>
    <w:p w14:paraId="1BFC5CF7" w14:textId="644FFC68" w:rsidR="007C23DB" w:rsidRDefault="007C23DB"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75111E8E" w14:textId="1A926DAD" w:rsidR="00102BBF" w:rsidRPr="00102BBF" w:rsidRDefault="002D2D69" w:rsidP="00020D20">
      <w:pPr>
        <w:pStyle w:val="Chapter17Heading"/>
      </w:pPr>
      <w:bookmarkStart w:id="722" w:name="_Toc50540252"/>
      <w:r>
        <w:t xml:space="preserve">17.8 </w:t>
      </w:r>
      <w:bookmarkStart w:id="723" w:name="_Toc49870649"/>
      <w:r w:rsidR="00102BBF" w:rsidRPr="00102BBF">
        <w:t>|</w:t>
      </w:r>
      <w:r w:rsidR="000E518A">
        <w:t xml:space="preserve"> </w:t>
      </w:r>
      <w:r w:rsidR="00102BBF" w:rsidRPr="00102BBF">
        <w:t>Public Private Partnerships</w:t>
      </w:r>
      <w:bookmarkEnd w:id="721"/>
      <w:bookmarkEnd w:id="723"/>
      <w:bookmarkEnd w:id="722"/>
    </w:p>
    <w:p w14:paraId="36172392" w14:textId="77777777" w:rsidR="00775BB7" w:rsidRDefault="00775BB7" w:rsidP="00020D20">
      <w:pPr>
        <w:pStyle w:val="SectionHeadersADOTText"/>
        <w:jc w:val="both"/>
        <w:sectPr w:rsidR="00775BB7" w:rsidSect="00020D20">
          <w:pgSz w:w="12240" w:h="15840"/>
          <w:pgMar w:top="1440" w:right="1440" w:bottom="1440" w:left="1440" w:header="720" w:footer="720" w:gutter="0"/>
          <w:pgNumType w:chapStyle="1"/>
          <w:cols w:space="720"/>
          <w:docGrid w:linePitch="360"/>
        </w:sectPr>
      </w:pPr>
    </w:p>
    <w:p w14:paraId="46014C72" w14:textId="77777777" w:rsidR="007C249F" w:rsidRPr="00102BBF" w:rsidRDefault="007C249F" w:rsidP="00020D20">
      <w:pPr>
        <w:pStyle w:val="Heading3"/>
        <w:jc w:val="both"/>
        <w:rPr>
          <w:rFonts w:cstheme="minorHAnsi"/>
          <w:bCs/>
        </w:rPr>
      </w:pPr>
      <w:bookmarkStart w:id="724" w:name="_Ref50050140"/>
      <w:r w:rsidRPr="00102BBF">
        <w:t>17.8.1 | Introduction</w:t>
      </w:r>
      <w:bookmarkEnd w:id="724"/>
    </w:p>
    <w:p w14:paraId="3ADE83FC" w14:textId="77777777" w:rsidR="007C249F" w:rsidRPr="00102BBF" w:rsidRDefault="007C249F" w:rsidP="00020D20">
      <w:pPr>
        <w:jc w:val="both"/>
      </w:pPr>
      <w:r w:rsidRPr="00102BBF">
        <w:t xml:space="preserve">This section provides guidance to ADOT on compliance with federal and state processes for P3s. </w:t>
      </w:r>
    </w:p>
    <w:p w14:paraId="067F8D4E" w14:textId="77777777" w:rsidR="00102BBF" w:rsidRPr="00102BBF" w:rsidRDefault="00102BBF" w:rsidP="00020D20">
      <w:pPr>
        <w:pStyle w:val="Heading3"/>
        <w:jc w:val="both"/>
        <w:rPr>
          <w:rFonts w:asciiTheme="minorHAnsi" w:hAnsiTheme="minorHAnsi" w:cstheme="minorHAnsi"/>
          <w:bCs/>
          <w:color w:val="auto"/>
          <w:szCs w:val="20"/>
        </w:rPr>
      </w:pPr>
      <w:bookmarkStart w:id="725" w:name="_Ref50050143"/>
      <w:r w:rsidRPr="00102BBF">
        <w:t>17.8.2 | Authority</w:t>
      </w:r>
      <w:bookmarkEnd w:id="725"/>
    </w:p>
    <w:p w14:paraId="665CAB7F" w14:textId="4BDE5D41" w:rsidR="00102BBF" w:rsidRPr="00102BBF" w:rsidRDefault="00102BBF" w:rsidP="00020D20">
      <w:pPr>
        <w:jc w:val="both"/>
        <w:rPr>
          <w:b/>
        </w:rPr>
      </w:pPr>
      <w:r w:rsidRPr="00102BBF">
        <w:t xml:space="preserve">Congress mandated increased financial innovation in the 1991 Intermodal Surface Transportation Efficiency Act ISTEA, and as of 2012, 33 states have enacted statutes that enable the use of various P3 approaches for funding transportation projects. In 2009, enactment of Arizona’s </w:t>
      </w:r>
      <w:hyperlink r:id="rId1166" w:history="1">
        <w:r w:rsidRPr="00087F39">
          <w:rPr>
            <w:rStyle w:val="TitleChar"/>
          </w:rPr>
          <w:t>House Bill 2396</w:t>
        </w:r>
      </w:hyperlink>
      <w:r w:rsidRPr="007B6EEE">
        <w:rPr>
          <w:rStyle w:val="TitleChar"/>
        </w:rPr>
        <w:t xml:space="preserve"> </w:t>
      </w:r>
      <w:r w:rsidRPr="00020D20">
        <w:rPr>
          <w:rFonts w:cstheme="minorHAnsi"/>
        </w:rPr>
        <w:t xml:space="preserve">added Chapter 22 (“Public-Private Partnerships in Transportation”) to Title 28 of the Arizona Revised Statutes to guide P3 use in Arizona. </w:t>
      </w:r>
    </w:p>
    <w:p w14:paraId="0C2C0FE4" w14:textId="7B5B3E19" w:rsidR="00102BBF" w:rsidRPr="00102BBF" w:rsidRDefault="00102BBF" w:rsidP="00020D20">
      <w:pPr>
        <w:pStyle w:val="Heading3"/>
        <w:jc w:val="both"/>
        <w:rPr>
          <w:rFonts w:asciiTheme="minorHAnsi" w:hAnsiTheme="minorHAnsi" w:cstheme="minorHAnsi"/>
          <w:bCs/>
          <w:color w:val="auto"/>
          <w:szCs w:val="20"/>
        </w:rPr>
      </w:pPr>
      <w:bookmarkStart w:id="726" w:name="_Ref50050146"/>
      <w:r w:rsidRPr="00102BBF">
        <w:t>17.8.3 | Background</w:t>
      </w:r>
      <w:bookmarkEnd w:id="726"/>
    </w:p>
    <w:p w14:paraId="116A4EC2" w14:textId="5C95D7BA" w:rsidR="00102BBF" w:rsidRPr="00102BBF" w:rsidRDefault="00102BBF" w:rsidP="00020D20">
      <w:pPr>
        <w:jc w:val="both"/>
      </w:pPr>
      <w:r w:rsidRPr="00102BBF">
        <w:t>A P3 is a contractual agreement formed between a public agency and a private sector entity that allows for private sector participation in the delivery and financing of public infrastructure such as transportation projects. Public-private partnerships are not a new model for funding surface transportation infrastructure, but their use has become more common since the early 1990s as gasoline fuel tax revenues have not kept pace with escalating construction costs.</w:t>
      </w:r>
    </w:p>
    <w:p w14:paraId="365C3368" w14:textId="7D876B77" w:rsidR="00102BBF" w:rsidRPr="00102BBF" w:rsidRDefault="00F627F4" w:rsidP="00020D20">
      <w:pPr>
        <w:jc w:val="both"/>
      </w:pPr>
      <w:r>
        <w:rPr>
          <w:rFonts w:cstheme="minorHAnsi"/>
          <w:noProof/>
        </w:rPr>
        <mc:AlternateContent>
          <mc:Choice Requires="wps">
            <w:drawing>
              <wp:anchor distT="0" distB="0" distL="114300" distR="114300" simplePos="0" relativeHeight="251618423" behindDoc="1" locked="0" layoutInCell="1" allowOverlap="1" wp14:anchorId="752033B1" wp14:editId="4764B966">
                <wp:simplePos x="0" y="0"/>
                <wp:positionH relativeFrom="column">
                  <wp:align>right</wp:align>
                </wp:positionH>
                <wp:positionV relativeFrom="paragraph">
                  <wp:posOffset>103505</wp:posOffset>
                </wp:positionV>
                <wp:extent cx="1489075" cy="1370330"/>
                <wp:effectExtent l="95250" t="95250" r="92075" b="96520"/>
                <wp:wrapTight wrapText="bothSides">
                  <wp:wrapPolygon edited="0">
                    <wp:start x="-829" y="-1501"/>
                    <wp:lineTo x="-1382" y="-901"/>
                    <wp:lineTo x="-1105" y="22821"/>
                    <wp:lineTo x="22383" y="22821"/>
                    <wp:lineTo x="22659" y="3904"/>
                    <wp:lineTo x="22107" y="-601"/>
                    <wp:lineTo x="22107" y="-1501"/>
                    <wp:lineTo x="-829" y="-1501"/>
                  </wp:wrapPolygon>
                </wp:wrapTight>
                <wp:docPr id="816286195" name="Text Box 816286195"/>
                <wp:cNvGraphicFramePr/>
                <a:graphic xmlns:a="http://schemas.openxmlformats.org/drawingml/2006/main">
                  <a:graphicData uri="http://schemas.microsoft.com/office/word/2010/wordprocessingShape">
                    <wps:wsp>
                      <wps:cNvSpPr txBox="1"/>
                      <wps:spPr>
                        <a:xfrm>
                          <a:off x="0" y="0"/>
                          <a:ext cx="1489075" cy="137033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ADCCFA2" w14:textId="77777777" w:rsidR="00C6444C" w:rsidRDefault="00C6444C" w:rsidP="00020D20">
                            <w:pPr>
                              <w:jc w:val="center"/>
                            </w:pPr>
                            <w:r>
                              <w:rPr>
                                <w:noProof/>
                              </w:rPr>
                              <w:drawing>
                                <wp:inline distT="0" distB="0" distL="0" distR="0" wp14:anchorId="5B63FFF4" wp14:editId="265F25FC">
                                  <wp:extent cx="457200" cy="457200"/>
                                  <wp:effectExtent l="0" t="0" r="0" b="0"/>
                                  <wp:docPr id="1690912785" name="Picture 169091278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65C2D13" w14:textId="61716E79" w:rsidR="00C6444C" w:rsidRPr="005A6734" w:rsidRDefault="00C6444C" w:rsidP="00020D20">
                            <w:pPr>
                              <w:pStyle w:val="Calloutboxes"/>
                            </w:pPr>
                            <w:r w:rsidRPr="00394A74">
                              <w:t>The ADOT P3 web page provides many resources for P3 programs.</w:t>
                            </w:r>
                          </w:p>
                          <w:p w14:paraId="5BCB7CEC" w14:textId="0AECAC3E" w:rsidR="00C6444C" w:rsidRPr="00020D20" w:rsidRDefault="00202C92">
                            <w:pPr>
                              <w:pStyle w:val="Title"/>
                              <w:rPr>
                                <w:sz w:val="16"/>
                              </w:rPr>
                            </w:pPr>
                            <w:hyperlink r:id="rId1167" w:history="1">
                              <w:r w:rsidR="00C6444C" w:rsidRPr="00020D20">
                                <w:rPr>
                                  <w:rStyle w:val="Hyperlink"/>
                                  <w:rFonts w:ascii="Calibri" w:hAnsi="Calibri" w:cstheme="majorBidi"/>
                                  <w:i/>
                                  <w:iCs w:val="0"/>
                                  <w:color w:val="CE5B18"/>
                                  <w:szCs w:val="56"/>
                                  <w:u w:val="none"/>
                                </w:rPr>
                                <w:t>https://azdot.gov/business/programs-and-partnerships/p3-initiatives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2033B1" id="Text Box 816286195" o:spid="_x0000_s1300" type="#_x0000_t202" style="position:absolute;left:0;text-align:left;margin-left:66.05pt;margin-top:8.15pt;width:117.25pt;height:107.9pt;z-index:-251698057;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" fillcolor="#f7f7f7" stroked="f" strokeweight=".5pt">
                <v:shadow on="t" type="perspective" color="black" opacity="26214f" offset="0,0" matrix="66847f,,,66847f"/>
                <v:textbox>
                  <w:txbxContent>
                    <w:p w14:paraId="1ADCCFA2" w14:textId="77777777" w:rsidR="00C6444C" w:rsidRDefault="00C6444C" w:rsidP="00020D20">
                      <w:pPr>
                        <w:jc w:val="center"/>
                      </w:pPr>
                      <w:r>
                        <w:rPr>
                          <w:noProof/>
                        </w:rPr>
                        <w:drawing>
                          <wp:inline distT="0" distB="0" distL="0" distR="0" wp14:anchorId="5B63FFF4" wp14:editId="265F25FC">
                            <wp:extent cx="457200" cy="457200"/>
                            <wp:effectExtent l="0" t="0" r="0" b="0"/>
                            <wp:docPr id="1690912785" name="Picture 169091278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65C2D13" w14:textId="61716E79" w:rsidR="00C6444C" w:rsidRPr="005A6734" w:rsidRDefault="00C6444C" w:rsidP="00020D20">
                      <w:pPr>
                        <w:pStyle w:val="Calloutboxes"/>
                      </w:pPr>
                      <w:r w:rsidRPr="00394A74">
                        <w:t>The ADOT P3 web page provides many resources for P3 programs.</w:t>
                      </w:r>
                    </w:p>
                    <w:p w14:paraId="5BCB7CEC" w14:textId="0AECAC3E" w:rsidR="00C6444C" w:rsidRPr="00020D20" w:rsidRDefault="00C6444C">
                      <w:pPr>
                        <w:pStyle w:val="Title"/>
                        <w:rPr>
                          <w:sz w:val="16"/>
                        </w:rPr>
                      </w:pPr>
                      <w:hyperlink r:id="rId1168" w:history="1">
                        <w:r w:rsidRPr="00020D20">
                          <w:rPr>
                            <w:rStyle w:val="Hyperlink"/>
                            <w:rFonts w:ascii="Calibri" w:hAnsi="Calibri" w:cstheme="majorBidi"/>
                            <w:i/>
                            <w:iCs w:val="0"/>
                            <w:color w:val="CE5B18"/>
                            <w:szCs w:val="56"/>
                            <w:u w:val="none"/>
                          </w:rPr>
                          <w:t>https://azdot.gov/business/programs-and-partnerships/p3-initiatives</w:t>
                        </w:r>
                      </w:hyperlink>
                    </w:p>
                  </w:txbxContent>
                </v:textbox>
                <w10:wrap type="tight"/>
              </v:shape>
            </w:pict>
          </mc:Fallback>
        </mc:AlternateContent>
      </w:r>
      <w:r w:rsidR="00102BBF" w:rsidRPr="00102BBF">
        <w:t>Common types of P3 facilities are toll lanes and toll roads, where the State might contract with a private party to build new freeway lanes or even entirely new highways and maintain them for a fixed number of years in exchange for the right to collect tolls on those roadways. Other facility types eligible for P3 agreements under Arizona’s statutes include the following:</w:t>
      </w:r>
    </w:p>
    <w:p w14:paraId="0A2CE8D6" w14:textId="77777777" w:rsidR="00102BBF" w:rsidRPr="00102BBF" w:rsidRDefault="00102BBF" w:rsidP="00020D20">
      <w:pPr>
        <w:pStyle w:val="Body-Bullets"/>
        <w:jc w:val="both"/>
      </w:pPr>
      <w:r w:rsidRPr="00102BBF">
        <w:t>Highways</w:t>
      </w:r>
    </w:p>
    <w:p w14:paraId="77ED1B3A" w14:textId="77777777" w:rsidR="00102BBF" w:rsidRPr="00102BBF" w:rsidRDefault="00102BBF" w:rsidP="00020D20">
      <w:pPr>
        <w:pStyle w:val="Body-Bullets"/>
        <w:jc w:val="both"/>
      </w:pPr>
      <w:r w:rsidRPr="00102BBF">
        <w:t>Railways</w:t>
      </w:r>
    </w:p>
    <w:p w14:paraId="5E3A76D5" w14:textId="77777777" w:rsidR="00102BBF" w:rsidRPr="00102BBF" w:rsidRDefault="00102BBF" w:rsidP="00020D20">
      <w:pPr>
        <w:pStyle w:val="Body-Bullets"/>
        <w:jc w:val="both"/>
      </w:pPr>
      <w:r w:rsidRPr="00102BBF">
        <w:t xml:space="preserve">Monorails </w:t>
      </w:r>
    </w:p>
    <w:p w14:paraId="03ED9F7A" w14:textId="77777777" w:rsidR="00102BBF" w:rsidRPr="00102BBF" w:rsidRDefault="00102BBF" w:rsidP="00020D20">
      <w:pPr>
        <w:pStyle w:val="Body-Bullets"/>
        <w:jc w:val="both"/>
      </w:pPr>
      <w:r w:rsidRPr="00102BBF">
        <w:t>Transit</w:t>
      </w:r>
    </w:p>
    <w:p w14:paraId="4E0BB37B" w14:textId="63B04D04" w:rsidR="00102BBF" w:rsidRPr="00102BBF" w:rsidRDefault="00102BBF" w:rsidP="00020D20">
      <w:pPr>
        <w:pStyle w:val="Body-Bullets"/>
        <w:jc w:val="both"/>
      </w:pPr>
      <w:r w:rsidRPr="00102BBF">
        <w:t xml:space="preserve">Bus Systems </w:t>
      </w:r>
    </w:p>
    <w:p w14:paraId="31F15D50" w14:textId="03DE093C" w:rsidR="00102BBF" w:rsidRPr="00102BBF" w:rsidRDefault="00102BBF" w:rsidP="00020D20">
      <w:pPr>
        <w:pStyle w:val="Body-Bullets"/>
        <w:jc w:val="both"/>
      </w:pPr>
      <w:r w:rsidRPr="00102BBF">
        <w:t>Vehicles</w:t>
      </w:r>
    </w:p>
    <w:p w14:paraId="1395818F" w14:textId="194CAA0E" w:rsidR="00102BBF" w:rsidRPr="00102BBF" w:rsidRDefault="00102BBF" w:rsidP="00020D20">
      <w:pPr>
        <w:pStyle w:val="Body-Bullets"/>
        <w:jc w:val="both"/>
      </w:pPr>
      <w:r w:rsidRPr="00102BBF">
        <w:t>Parking facilities</w:t>
      </w:r>
    </w:p>
    <w:p w14:paraId="699806F7" w14:textId="037A3B20" w:rsidR="00102BBF" w:rsidRPr="00102BBF" w:rsidRDefault="00102BBF" w:rsidP="00020D20">
      <w:pPr>
        <w:pStyle w:val="Body-Bullets"/>
        <w:jc w:val="both"/>
      </w:pPr>
      <w:r w:rsidRPr="00102BBF">
        <w:t>Guided rapid transit</w:t>
      </w:r>
    </w:p>
    <w:p w14:paraId="08501E88" w14:textId="681BD899" w:rsidR="00102BBF" w:rsidRPr="00102BBF" w:rsidRDefault="00102BBF" w:rsidP="00020D20">
      <w:pPr>
        <w:pStyle w:val="Body-Bullets"/>
        <w:jc w:val="both"/>
      </w:pPr>
      <w:r w:rsidRPr="00102BBF">
        <w:t>Rail yard and storage</w:t>
      </w:r>
    </w:p>
    <w:p w14:paraId="04AFF0FF" w14:textId="1FFE8382" w:rsidR="00102BBF" w:rsidRPr="00102BBF" w:rsidRDefault="00102BBF" w:rsidP="00020D20">
      <w:pPr>
        <w:pStyle w:val="Body-Bullets"/>
        <w:jc w:val="both"/>
      </w:pPr>
      <w:r w:rsidRPr="00102BBF">
        <w:t>Rolling stock and other related equipment, or property</w:t>
      </w:r>
    </w:p>
    <w:p w14:paraId="6CBD12D8" w14:textId="6979F9BE" w:rsidR="00102BBF" w:rsidRPr="00102BBF" w:rsidRDefault="00102BBF" w:rsidP="00020D20">
      <w:pPr>
        <w:pStyle w:val="Body-Bullets"/>
        <w:jc w:val="both"/>
      </w:pPr>
      <w:r w:rsidRPr="00102BBF">
        <w:t xml:space="preserve">Other ADOT related facilities and structures </w:t>
      </w:r>
    </w:p>
    <w:p w14:paraId="2C88C8C1" w14:textId="094E1900" w:rsidR="00102BBF" w:rsidRDefault="006D0C37" w:rsidP="00020D20">
      <w:pPr>
        <w:pStyle w:val="Heading3"/>
        <w:jc w:val="both"/>
      </w:pPr>
      <w:bookmarkStart w:id="727" w:name="_Ref50050149"/>
      <w:r>
        <w:rPr>
          <w:noProof/>
        </w:rPr>
        <mc:AlternateContent>
          <mc:Choice Requires="wpg">
            <w:drawing>
              <wp:anchor distT="0" distB="0" distL="114300" distR="114300" simplePos="0" relativeHeight="251618629" behindDoc="0" locked="0" layoutInCell="1" allowOverlap="1" wp14:anchorId="415446C3" wp14:editId="7E295112">
                <wp:simplePos x="0" y="0"/>
                <wp:positionH relativeFrom="column">
                  <wp:posOffset>-41275</wp:posOffset>
                </wp:positionH>
                <wp:positionV relativeFrom="paragraph">
                  <wp:posOffset>351790</wp:posOffset>
                </wp:positionV>
                <wp:extent cx="2771775" cy="2396490"/>
                <wp:effectExtent l="95250" t="95250" r="104775" b="99060"/>
                <wp:wrapSquare wrapText="bothSides"/>
                <wp:docPr id="816286055" name="Group 816286055"/>
                <wp:cNvGraphicFramePr/>
                <a:graphic xmlns:a="http://schemas.openxmlformats.org/drawingml/2006/main">
                  <a:graphicData uri="http://schemas.microsoft.com/office/word/2010/wordprocessingGroup">
                    <wpg:wgp>
                      <wpg:cNvGrpSpPr/>
                      <wpg:grpSpPr>
                        <a:xfrm>
                          <a:off x="0" y="0"/>
                          <a:ext cx="2771775" cy="2396490"/>
                          <a:chOff x="0" y="0"/>
                          <a:chExt cx="2771775" cy="2282190"/>
                        </a:xfrm>
                      </wpg:grpSpPr>
                      <wps:wsp>
                        <wps:cNvPr id="816286199" name="Text Box 816286199"/>
                        <wps:cNvSpPr txBox="1"/>
                        <wps:spPr>
                          <a:xfrm>
                            <a:off x="0" y="0"/>
                            <a:ext cx="2771775" cy="228219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3F710CF0" w14:textId="77777777" w:rsidTr="00020D20">
                                <w:trPr>
                                  <w:trHeight w:val="358"/>
                                </w:trPr>
                                <w:tc>
                                  <w:tcPr>
                                    <w:tcW w:w="3394" w:type="dxa"/>
                                    <w:shd w:val="clear" w:color="auto" w:fill="auto"/>
                                  </w:tcPr>
                                  <w:p w14:paraId="5DBFFCE0" w14:textId="77777777" w:rsidR="00C6444C" w:rsidRPr="00020D20" w:rsidRDefault="00C6444C">
                                    <w:pPr>
                                      <w:pStyle w:val="Calloutboxes"/>
                                      <w:rPr>
                                        <w:color w:val="012768"/>
                                      </w:rPr>
                                    </w:pPr>
                                  </w:p>
                                </w:tc>
                                <w:tc>
                                  <w:tcPr>
                                    <w:tcW w:w="1106" w:type="dxa"/>
                                    <w:shd w:val="clear" w:color="auto" w:fill="auto"/>
                                  </w:tcPr>
                                  <w:p w14:paraId="295510C5" w14:textId="77777777" w:rsidR="00C6444C" w:rsidRPr="00020D20" w:rsidRDefault="00C6444C" w:rsidP="00D30138">
                                    <w:pPr>
                                      <w:pStyle w:val="Calloutboxes"/>
                                      <w:jc w:val="left"/>
                                      <w:rPr>
                                        <w:color w:val="FFFFFF" w:themeColor="background1"/>
                                        <w:sz w:val="24"/>
                                        <w:szCs w:val="24"/>
                                      </w:rPr>
                                    </w:pPr>
                                  </w:p>
                                </w:tc>
                              </w:tr>
                              <w:tr w:rsidR="00C6444C" w14:paraId="75C447D2" w14:textId="77777777" w:rsidTr="00020D20">
                                <w:trPr>
                                  <w:trHeight w:val="3249"/>
                                </w:trPr>
                                <w:tc>
                                  <w:tcPr>
                                    <w:tcW w:w="4500" w:type="dxa"/>
                                    <w:gridSpan w:val="2"/>
                                  </w:tcPr>
                                  <w:p w14:paraId="2D5DCC77" w14:textId="77777777" w:rsidR="00C6444C" w:rsidRDefault="00C6444C">
                                    <w:pPr>
                                      <w:pStyle w:val="Calloutboxes"/>
                                      <w:jc w:val="left"/>
                                    </w:pPr>
                                  </w:p>
                                  <w:p w14:paraId="23083DF1" w14:textId="77777777" w:rsidR="00C6444C" w:rsidRDefault="00C6444C" w:rsidP="00020D20">
                                    <w:pPr>
                                      <w:pStyle w:val="Calloutboxes"/>
                                    </w:pPr>
                                    <w:r>
                                      <w:t>The Arizona statute authorizes a wide range of allowable P3 agreement types, including:</w:t>
                                    </w:r>
                                  </w:p>
                                  <w:p w14:paraId="3295A44A" w14:textId="77777777" w:rsidR="00C6444C" w:rsidRDefault="00C6444C" w:rsidP="00020D20">
                                    <w:pPr>
                                      <w:pStyle w:val="Calloutboxes"/>
                                      <w:numPr>
                                        <w:ilvl w:val="0"/>
                                        <w:numId w:val="333"/>
                                      </w:numPr>
                                      <w:ind w:left="609" w:hanging="249"/>
                                      <w:jc w:val="left"/>
                                    </w:pPr>
                                    <w:r>
                                      <w:t>pre-development agreements leading to other implementing agreements.</w:t>
                                    </w:r>
                                  </w:p>
                                  <w:p w14:paraId="2E1F9D39" w14:textId="77777777" w:rsidR="00C6444C" w:rsidRDefault="00C6444C" w:rsidP="00020D20">
                                    <w:pPr>
                                      <w:pStyle w:val="Calloutboxes"/>
                                      <w:numPr>
                                        <w:ilvl w:val="0"/>
                                        <w:numId w:val="333"/>
                                      </w:numPr>
                                      <w:ind w:left="609" w:hanging="249"/>
                                      <w:jc w:val="left"/>
                                    </w:pPr>
                                    <w:r>
                                      <w:t>design-build agreements.</w:t>
                                    </w:r>
                                  </w:p>
                                  <w:p w14:paraId="0D3DFAAC" w14:textId="77777777" w:rsidR="00C6444C" w:rsidRDefault="00C6444C" w:rsidP="00020D20">
                                    <w:pPr>
                                      <w:pStyle w:val="Calloutboxes"/>
                                      <w:numPr>
                                        <w:ilvl w:val="0"/>
                                        <w:numId w:val="333"/>
                                      </w:numPr>
                                      <w:ind w:left="609" w:hanging="249"/>
                                      <w:jc w:val="left"/>
                                    </w:pPr>
                                    <w:r>
                                      <w:t>design-build-maintain agreements.</w:t>
                                    </w:r>
                                  </w:p>
                                  <w:p w14:paraId="53A3475B" w14:textId="597A65BB" w:rsidR="00C6444C" w:rsidRDefault="00C6444C" w:rsidP="00020D20">
                                    <w:pPr>
                                      <w:pStyle w:val="Calloutboxes"/>
                                      <w:numPr>
                                        <w:ilvl w:val="0"/>
                                        <w:numId w:val="333"/>
                                      </w:numPr>
                                      <w:ind w:left="609" w:hanging="249"/>
                                      <w:jc w:val="left"/>
                                    </w:pPr>
                                    <w:r>
                                      <w:t>design-build-finance-operate agreements.</w:t>
                                    </w:r>
                                  </w:p>
                                  <w:p w14:paraId="6EAB0861" w14:textId="77777777" w:rsidR="00C6444C" w:rsidRDefault="00C6444C" w:rsidP="00020D20">
                                    <w:pPr>
                                      <w:pStyle w:val="Calloutboxes"/>
                                      <w:numPr>
                                        <w:ilvl w:val="0"/>
                                        <w:numId w:val="333"/>
                                      </w:numPr>
                                      <w:ind w:left="609" w:hanging="249"/>
                                      <w:jc w:val="left"/>
                                    </w:pPr>
                                    <w:r>
                                      <w:t>design-build-operate-maintain agreements.</w:t>
                                    </w:r>
                                  </w:p>
                                  <w:p w14:paraId="6F0B49D8" w14:textId="77777777" w:rsidR="00C6444C" w:rsidRDefault="00C6444C" w:rsidP="00020D20">
                                    <w:pPr>
                                      <w:pStyle w:val="Calloutboxes"/>
                                      <w:numPr>
                                        <w:ilvl w:val="0"/>
                                        <w:numId w:val="333"/>
                                      </w:numPr>
                                      <w:ind w:left="609" w:hanging="249"/>
                                      <w:jc w:val="left"/>
                                    </w:pPr>
                                    <w:r>
                                      <w:t>design-build-finance-operate-maintain agreements.</w:t>
                                    </w:r>
                                  </w:p>
                                  <w:p w14:paraId="6A75B186" w14:textId="77777777" w:rsidR="00C6444C" w:rsidRDefault="00C6444C" w:rsidP="00020D20">
                                    <w:pPr>
                                      <w:pStyle w:val="Calloutboxes"/>
                                      <w:numPr>
                                        <w:ilvl w:val="0"/>
                                        <w:numId w:val="333"/>
                                      </w:numPr>
                                      <w:ind w:left="609" w:hanging="249"/>
                                      <w:jc w:val="left"/>
                                    </w:pPr>
                                    <w:r>
                                      <w:t>concessions providing for the private partners to design, build, operate, maintain, manage, or lease eligible facilities.</w:t>
                                    </w:r>
                                  </w:p>
                                  <w:p w14:paraId="6F0A35F1" w14:textId="02192498" w:rsidR="00C6444C" w:rsidRPr="001847F0" w:rsidRDefault="00C6444C" w:rsidP="00020D20">
                                    <w:pPr>
                                      <w:pStyle w:val="Calloutboxes"/>
                                      <w:numPr>
                                        <w:ilvl w:val="0"/>
                                        <w:numId w:val="333"/>
                                      </w:numPr>
                                      <w:ind w:left="609" w:hanging="249"/>
                                      <w:jc w:val="left"/>
                                    </w:pPr>
                                    <w:r>
                                      <w:t>any other project delivery methods or agreements or combination of methods or agreements that the department determines will serve the public interest.</w:t>
                                    </w:r>
                                  </w:p>
                                </w:tc>
                              </w:tr>
                            </w:tbl>
                            <w:p w14:paraId="06044B70"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6200" name="Group 816286200"/>
                        <wpg:cNvGrpSpPr/>
                        <wpg:grpSpPr>
                          <a:xfrm>
                            <a:off x="0" y="0"/>
                            <a:ext cx="2771775" cy="361315"/>
                            <a:chOff x="11875" y="29688"/>
                            <a:chExt cx="2772410" cy="456764"/>
                          </a:xfrm>
                        </wpg:grpSpPr>
                        <wps:wsp>
                          <wps:cNvPr id="816286201" name="Rectangle 816286201"/>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202" name="Text Box 816286202"/>
                          <wps:cNvSpPr txBox="1"/>
                          <wps:spPr>
                            <a:xfrm>
                              <a:off x="65323" y="29688"/>
                              <a:ext cx="2714509" cy="426646"/>
                            </a:xfrm>
                            <a:prstGeom prst="rect">
                              <a:avLst/>
                            </a:prstGeom>
                            <a:noFill/>
                            <a:ln w="6350">
                              <a:noFill/>
                            </a:ln>
                            <a:effectLst/>
                          </wps:spPr>
                          <wps:txbx>
                            <w:txbxContent>
                              <w:p w14:paraId="2F2E4916"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15446C3" id="Group 816286055" o:spid="_x0000_s1301" style="position:absolute;left:0;text-align:left;margin-left:-3.25pt;margin-top:27.7pt;width:218.25pt;height:188.7pt;z-index:251618629;mso-height-relative:margin" coordsize="27717,2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">
                <v:shape id="Text Box 816286199" o:spid="_x0000_s1302" type="#_x0000_t202" style="position:absolute;width:27717;height:2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3F710CF0" w14:textId="77777777" w:rsidTr="00020D20">
                          <w:trPr>
                            <w:trHeight w:val="358"/>
                          </w:trPr>
                          <w:tc>
                            <w:tcPr>
                              <w:tcW w:w="3394" w:type="dxa"/>
                              <w:shd w:val="clear" w:color="auto" w:fill="auto"/>
                            </w:tcPr>
                            <w:p w14:paraId="5DBFFCE0" w14:textId="77777777" w:rsidR="00C6444C" w:rsidRPr="00020D20" w:rsidRDefault="00C6444C">
                              <w:pPr>
                                <w:pStyle w:val="Calloutboxes"/>
                                <w:rPr>
                                  <w:color w:val="012768"/>
                                </w:rPr>
                              </w:pPr>
                            </w:p>
                          </w:tc>
                          <w:tc>
                            <w:tcPr>
                              <w:tcW w:w="1106" w:type="dxa"/>
                              <w:shd w:val="clear" w:color="auto" w:fill="auto"/>
                            </w:tcPr>
                            <w:p w14:paraId="295510C5" w14:textId="77777777" w:rsidR="00C6444C" w:rsidRPr="00020D20" w:rsidRDefault="00C6444C" w:rsidP="00D30138">
                              <w:pPr>
                                <w:pStyle w:val="Calloutboxes"/>
                                <w:jc w:val="left"/>
                                <w:rPr>
                                  <w:color w:val="FFFFFF" w:themeColor="background1"/>
                                  <w:sz w:val="24"/>
                                  <w:szCs w:val="24"/>
                                </w:rPr>
                              </w:pPr>
                            </w:p>
                          </w:tc>
                        </w:tr>
                        <w:tr w:rsidR="00C6444C" w14:paraId="75C447D2" w14:textId="77777777" w:rsidTr="00020D20">
                          <w:trPr>
                            <w:trHeight w:val="3249"/>
                          </w:trPr>
                          <w:tc>
                            <w:tcPr>
                              <w:tcW w:w="4500" w:type="dxa"/>
                              <w:gridSpan w:val="2"/>
                            </w:tcPr>
                            <w:p w14:paraId="2D5DCC77" w14:textId="77777777" w:rsidR="00C6444C" w:rsidRDefault="00C6444C">
                              <w:pPr>
                                <w:pStyle w:val="Calloutboxes"/>
                                <w:jc w:val="left"/>
                              </w:pPr>
                            </w:p>
                            <w:p w14:paraId="23083DF1" w14:textId="77777777" w:rsidR="00C6444C" w:rsidRDefault="00C6444C" w:rsidP="00020D20">
                              <w:pPr>
                                <w:pStyle w:val="Calloutboxes"/>
                              </w:pPr>
                              <w:r>
                                <w:t>The Arizona statute authorizes a wide range of allowable P3 agreement types, including:</w:t>
                              </w:r>
                            </w:p>
                            <w:p w14:paraId="3295A44A" w14:textId="77777777" w:rsidR="00C6444C" w:rsidRDefault="00C6444C" w:rsidP="00020D20">
                              <w:pPr>
                                <w:pStyle w:val="Calloutboxes"/>
                                <w:numPr>
                                  <w:ilvl w:val="0"/>
                                  <w:numId w:val="333"/>
                                </w:numPr>
                                <w:ind w:left="609" w:hanging="249"/>
                                <w:jc w:val="left"/>
                              </w:pPr>
                              <w:r>
                                <w:t>pre-development agreements leading to other implementing agreements.</w:t>
                              </w:r>
                            </w:p>
                            <w:p w14:paraId="2E1F9D39" w14:textId="77777777" w:rsidR="00C6444C" w:rsidRDefault="00C6444C" w:rsidP="00020D20">
                              <w:pPr>
                                <w:pStyle w:val="Calloutboxes"/>
                                <w:numPr>
                                  <w:ilvl w:val="0"/>
                                  <w:numId w:val="333"/>
                                </w:numPr>
                                <w:ind w:left="609" w:hanging="249"/>
                                <w:jc w:val="left"/>
                              </w:pPr>
                              <w:r>
                                <w:t>design-build agreements.</w:t>
                              </w:r>
                            </w:p>
                            <w:p w14:paraId="0D3DFAAC" w14:textId="77777777" w:rsidR="00C6444C" w:rsidRDefault="00C6444C" w:rsidP="00020D20">
                              <w:pPr>
                                <w:pStyle w:val="Calloutboxes"/>
                                <w:numPr>
                                  <w:ilvl w:val="0"/>
                                  <w:numId w:val="333"/>
                                </w:numPr>
                                <w:ind w:left="609" w:hanging="249"/>
                                <w:jc w:val="left"/>
                              </w:pPr>
                              <w:r>
                                <w:t>design-build-maintain agreements.</w:t>
                              </w:r>
                            </w:p>
                            <w:p w14:paraId="53A3475B" w14:textId="597A65BB" w:rsidR="00C6444C" w:rsidRDefault="00C6444C" w:rsidP="00020D20">
                              <w:pPr>
                                <w:pStyle w:val="Calloutboxes"/>
                                <w:numPr>
                                  <w:ilvl w:val="0"/>
                                  <w:numId w:val="333"/>
                                </w:numPr>
                                <w:ind w:left="609" w:hanging="249"/>
                                <w:jc w:val="left"/>
                              </w:pPr>
                              <w:r>
                                <w:t>design-build-finance-operate agreements.</w:t>
                              </w:r>
                            </w:p>
                            <w:p w14:paraId="6EAB0861" w14:textId="77777777" w:rsidR="00C6444C" w:rsidRDefault="00C6444C" w:rsidP="00020D20">
                              <w:pPr>
                                <w:pStyle w:val="Calloutboxes"/>
                                <w:numPr>
                                  <w:ilvl w:val="0"/>
                                  <w:numId w:val="333"/>
                                </w:numPr>
                                <w:ind w:left="609" w:hanging="249"/>
                                <w:jc w:val="left"/>
                              </w:pPr>
                              <w:r>
                                <w:t>design-build-operate-maintain agreements.</w:t>
                              </w:r>
                            </w:p>
                            <w:p w14:paraId="6F0B49D8" w14:textId="77777777" w:rsidR="00C6444C" w:rsidRDefault="00C6444C" w:rsidP="00020D20">
                              <w:pPr>
                                <w:pStyle w:val="Calloutboxes"/>
                                <w:numPr>
                                  <w:ilvl w:val="0"/>
                                  <w:numId w:val="333"/>
                                </w:numPr>
                                <w:ind w:left="609" w:hanging="249"/>
                                <w:jc w:val="left"/>
                              </w:pPr>
                              <w:r>
                                <w:t>design-build-finance-operate-maintain agreements.</w:t>
                              </w:r>
                            </w:p>
                            <w:p w14:paraId="6A75B186" w14:textId="77777777" w:rsidR="00C6444C" w:rsidRDefault="00C6444C" w:rsidP="00020D20">
                              <w:pPr>
                                <w:pStyle w:val="Calloutboxes"/>
                                <w:numPr>
                                  <w:ilvl w:val="0"/>
                                  <w:numId w:val="333"/>
                                </w:numPr>
                                <w:ind w:left="609" w:hanging="249"/>
                                <w:jc w:val="left"/>
                              </w:pPr>
                              <w:r>
                                <w:t>concessions providing for the private partners to design, build, operate, maintain, manage, or lease eligible facilities.</w:t>
                              </w:r>
                            </w:p>
                            <w:p w14:paraId="6F0A35F1" w14:textId="02192498" w:rsidR="00C6444C" w:rsidRPr="001847F0" w:rsidRDefault="00C6444C" w:rsidP="00020D20">
                              <w:pPr>
                                <w:pStyle w:val="Calloutboxes"/>
                                <w:numPr>
                                  <w:ilvl w:val="0"/>
                                  <w:numId w:val="333"/>
                                </w:numPr>
                                <w:ind w:left="609" w:hanging="249"/>
                                <w:jc w:val="left"/>
                              </w:pPr>
                              <w:r>
                                <w:t>any other project delivery methods or agreements or combination of methods or agreements that the department determines will serve the public interest.</w:t>
                              </w:r>
                            </w:p>
                          </w:tc>
                        </w:tr>
                      </w:tbl>
                      <w:p w14:paraId="06044B70" w14:textId="77777777" w:rsidR="00C6444C" w:rsidRPr="00347D6E" w:rsidRDefault="00C6444C" w:rsidP="00020D20"/>
                    </w:txbxContent>
                  </v:textbox>
                </v:shape>
                <v:group id="Group 816286200" o:spid="_x0000_s1303" style="position:absolute;width:27717;height:3613"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">
                  <v:rect id="Rectangle 816286201" o:spid="_x0000_s1304"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" fillcolor="#012768" strokecolor="#1f4d78 [1604]" strokeweight="1pt"/>
                  <v:shape id="Text Box 816286202" o:spid="_x0000_s1305" type="#_x0000_t202" style="position:absolute;left:653;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" filled="f" stroked="f" strokeweight=".5pt">
                    <v:textbox>
                      <w:txbxContent>
                        <w:p w14:paraId="2F2E4916"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v:textbox>
                  </v:shape>
                </v:group>
                <w10:wrap type="square"/>
              </v:group>
            </w:pict>
          </mc:Fallback>
        </mc:AlternateContent>
      </w:r>
      <w:r w:rsidR="00102BBF" w:rsidRPr="00102BBF">
        <w:t>17</w:t>
      </w:r>
      <w:r w:rsidR="00102BBF">
        <w:t xml:space="preserve">.8.4 </w:t>
      </w:r>
      <w:r w:rsidR="00A7031E">
        <w:t xml:space="preserve">| </w:t>
      </w:r>
      <w:r w:rsidR="00102BBF" w:rsidRPr="00102BBF">
        <w:t xml:space="preserve">ADOT </w:t>
      </w:r>
      <w:r w:rsidR="00102BBF" w:rsidRPr="00305187">
        <w:t>Responsibility</w:t>
      </w:r>
      <w:r w:rsidR="00102BBF" w:rsidRPr="00102BBF">
        <w:t xml:space="preserve"> &amp; Guidelines</w:t>
      </w:r>
      <w:bookmarkEnd w:id="727"/>
    </w:p>
    <w:p w14:paraId="5BB151DD" w14:textId="3F00AED8" w:rsidR="00102BBF" w:rsidRDefault="00102BBF" w:rsidP="00020D20">
      <w:pPr>
        <w:jc w:val="both"/>
        <w:rPr>
          <w:rFonts w:cstheme="minorHAnsi"/>
        </w:rPr>
      </w:pPr>
      <w:r w:rsidRPr="00102BBF">
        <w:rPr>
          <w:rFonts w:cstheme="minorHAnsi"/>
        </w:rPr>
        <w:t xml:space="preserve">ADOT’s Office of P3 Initiatives and </w:t>
      </w:r>
      <w:r w:rsidR="00E7327F">
        <w:rPr>
          <w:rFonts w:cstheme="minorHAnsi"/>
        </w:rPr>
        <w:t>Major Projects</w:t>
      </w:r>
      <w:r w:rsidRPr="00102BBF">
        <w:rPr>
          <w:rFonts w:cstheme="minorHAnsi"/>
        </w:rPr>
        <w:t xml:space="preserve"> is responsible for developing P3 agreements with interested private parties. This ADOT office has in-house legal and financial expertise and retains engineering management experts to assess the extremely technical details of such agreements.</w:t>
      </w:r>
    </w:p>
    <w:p w14:paraId="765E86B4" w14:textId="459F3975" w:rsidR="00675174" w:rsidRPr="00675174" w:rsidRDefault="00675174" w:rsidP="00020D20">
      <w:pPr>
        <w:pStyle w:val="Heading3"/>
        <w:jc w:val="both"/>
      </w:pPr>
      <w:bookmarkStart w:id="728" w:name="_Ref50050152"/>
      <w:r w:rsidRPr="00675174">
        <w:t>17.8.5 | Proposal Processes</w:t>
      </w:r>
      <w:bookmarkEnd w:id="728"/>
    </w:p>
    <w:p w14:paraId="23628C05" w14:textId="58C8C6D0" w:rsidR="00675174" w:rsidRPr="00675174" w:rsidRDefault="00636F89" w:rsidP="00020D20">
      <w:pPr>
        <w:jc w:val="both"/>
        <w:rPr>
          <w:rFonts w:cstheme="minorHAnsi"/>
        </w:rPr>
      </w:pPr>
      <w:r>
        <w:rPr>
          <w:rFonts w:cstheme="minorHAnsi"/>
          <w:noProof/>
        </w:rPr>
        <mc:AlternateContent>
          <mc:Choice Requires="wps">
            <w:drawing>
              <wp:anchor distT="0" distB="0" distL="114300" distR="114300" simplePos="0" relativeHeight="251618424" behindDoc="1" locked="0" layoutInCell="1" allowOverlap="1" wp14:anchorId="29B18097" wp14:editId="121829A3">
                <wp:simplePos x="0" y="0"/>
                <wp:positionH relativeFrom="column">
                  <wp:posOffset>0</wp:posOffset>
                </wp:positionH>
                <wp:positionV relativeFrom="paragraph">
                  <wp:posOffset>436245</wp:posOffset>
                </wp:positionV>
                <wp:extent cx="1489075" cy="1601470"/>
                <wp:effectExtent l="76200" t="95250" r="73025" b="93980"/>
                <wp:wrapTight wrapText="bothSides">
                  <wp:wrapPolygon edited="0">
                    <wp:start x="-1105" y="-1285"/>
                    <wp:lineTo x="-1105" y="22611"/>
                    <wp:lineTo x="22383" y="22611"/>
                    <wp:lineTo x="22383" y="-1285"/>
                    <wp:lineTo x="-1105" y="-1285"/>
                  </wp:wrapPolygon>
                </wp:wrapTight>
                <wp:docPr id="816286072" name="Text Box 816286072"/>
                <wp:cNvGraphicFramePr/>
                <a:graphic xmlns:a="http://schemas.openxmlformats.org/drawingml/2006/main">
                  <a:graphicData uri="http://schemas.microsoft.com/office/word/2010/wordprocessingShape">
                    <wps:wsp>
                      <wps:cNvSpPr txBox="1"/>
                      <wps:spPr>
                        <a:xfrm>
                          <a:off x="0" y="0"/>
                          <a:ext cx="1489075" cy="16014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CD962BB" w14:textId="77777777" w:rsidR="00C6444C" w:rsidRDefault="00C6444C" w:rsidP="00020D20">
                            <w:pPr>
                              <w:jc w:val="center"/>
                            </w:pPr>
                            <w:r>
                              <w:rPr>
                                <w:noProof/>
                              </w:rPr>
                              <w:drawing>
                                <wp:inline distT="0" distB="0" distL="0" distR="0" wp14:anchorId="623B28B4" wp14:editId="129579CE">
                                  <wp:extent cx="457200" cy="457200"/>
                                  <wp:effectExtent l="0" t="0" r="0" b="0"/>
                                  <wp:docPr id="1690912786" name="Picture 1690912786">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69F323B" w14:textId="301F5631" w:rsidR="00C6444C" w:rsidRPr="001E4049" w:rsidRDefault="00C6444C" w:rsidP="00020D20">
                            <w:pPr>
                              <w:pStyle w:val="Calloutboxes"/>
                            </w:pPr>
                            <w:r w:rsidRPr="00394A74">
                              <w:t>The ADOT P3 Program Guidelines is a resource that outlines the procedures for managing an ADOT public</w:t>
                            </w:r>
                            <w:r w:rsidRPr="005A6734">
                              <w:t>-</w:t>
                            </w:r>
                            <w:r w:rsidRPr="00977A9B">
                              <w:t>private partnership.</w:t>
                            </w:r>
                          </w:p>
                          <w:p w14:paraId="58B0B27B" w14:textId="637AE069" w:rsidR="00C6444C" w:rsidRPr="00020D20" w:rsidRDefault="00202C92">
                            <w:pPr>
                              <w:pStyle w:val="Title"/>
                              <w:rPr>
                                <w:sz w:val="16"/>
                              </w:rPr>
                            </w:pPr>
                            <w:hyperlink r:id="rId1169" w:history="1">
                              <w:r w:rsidR="00C6444C" w:rsidRPr="00020D20">
                                <w:rPr>
                                  <w:rStyle w:val="Hyperlink"/>
                                  <w:rFonts w:ascii="Calibri" w:hAnsi="Calibri" w:cstheme="majorBidi"/>
                                  <w:i/>
                                  <w:iCs w:val="0"/>
                                  <w:color w:val="CE5B18"/>
                                  <w:szCs w:val="56"/>
                                  <w:u w:val="none"/>
                                </w:rPr>
                                <w:t>https://azdot.gov/sites/default/files/2019/07/p3-program-guidelines.pdf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B18097" id="Text Box 816286072" o:spid="_x0000_s1306" type="#_x0000_t202" style="position:absolute;left:0;text-align:left;margin-left:0;margin-top:34.35pt;width:117.25pt;height:126.1pt;z-index:-251698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" fillcolor="#f7f7f7" stroked="f" strokeweight=".5pt">
                <v:shadow on="t" type="perspective" color="black" opacity="26214f" offset="0,0" matrix="66847f,,,66847f"/>
                <v:textbox>
                  <w:txbxContent>
                    <w:p w14:paraId="0CD962BB" w14:textId="77777777" w:rsidR="00C6444C" w:rsidRDefault="00C6444C" w:rsidP="00020D20">
                      <w:pPr>
                        <w:jc w:val="center"/>
                      </w:pPr>
                      <w:r>
                        <w:rPr>
                          <w:noProof/>
                        </w:rPr>
                        <w:drawing>
                          <wp:inline distT="0" distB="0" distL="0" distR="0" wp14:anchorId="623B28B4" wp14:editId="129579CE">
                            <wp:extent cx="457200" cy="457200"/>
                            <wp:effectExtent l="0" t="0" r="0" b="0"/>
                            <wp:docPr id="1690912786" name="Picture 1690912786">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69F323B" w14:textId="301F5631" w:rsidR="00C6444C" w:rsidRPr="001E4049" w:rsidRDefault="00C6444C" w:rsidP="00020D20">
                      <w:pPr>
                        <w:pStyle w:val="Calloutboxes"/>
                      </w:pPr>
                      <w:r w:rsidRPr="00394A74">
                        <w:t>The ADOT P3 Program Guidelines is a resource that outlines the procedures for managing an ADOT public</w:t>
                      </w:r>
                      <w:r w:rsidRPr="005A6734">
                        <w:t>-</w:t>
                      </w:r>
                      <w:r w:rsidRPr="00977A9B">
                        <w:t>private partnership.</w:t>
                      </w:r>
                    </w:p>
                    <w:p w14:paraId="58B0B27B" w14:textId="637AE069" w:rsidR="00C6444C" w:rsidRPr="00020D20" w:rsidRDefault="00C6444C">
                      <w:pPr>
                        <w:pStyle w:val="Title"/>
                        <w:rPr>
                          <w:sz w:val="16"/>
                        </w:rPr>
                      </w:pPr>
                      <w:hyperlink r:id="rId1170" w:history="1">
                        <w:r w:rsidRPr="00020D20">
                          <w:rPr>
                            <w:rStyle w:val="Hyperlink"/>
                            <w:rFonts w:ascii="Calibri" w:hAnsi="Calibri" w:cstheme="majorBidi"/>
                            <w:i/>
                            <w:iCs w:val="0"/>
                            <w:color w:val="CE5B18"/>
                            <w:szCs w:val="56"/>
                            <w:u w:val="none"/>
                          </w:rPr>
                          <w:t>https://azdot.gov/sites/default/files/2019/07/p3-program-guidelines.pdf</w:t>
                        </w:r>
                      </w:hyperlink>
                    </w:p>
                  </w:txbxContent>
                </v:textbox>
                <w10:wrap type="tight"/>
              </v:shape>
            </w:pict>
          </mc:Fallback>
        </mc:AlternateContent>
      </w:r>
      <w:r w:rsidR="00675174" w:rsidRPr="00675174">
        <w:rPr>
          <w:rFonts w:cstheme="minorHAnsi"/>
        </w:rPr>
        <w:t xml:space="preserve">Arizona has processes in place to consider solicited as well as unsolicited P3 proposals. Solicited means that ADOT has identified a transportation need and invited the private sector to respond with proposed solutions. </w:t>
      </w:r>
    </w:p>
    <w:p w14:paraId="16A2738F" w14:textId="78117E2F" w:rsidR="00675174" w:rsidRPr="00675174" w:rsidRDefault="00675174" w:rsidP="00020D20">
      <w:pPr>
        <w:jc w:val="both"/>
        <w:rPr>
          <w:rFonts w:cstheme="minorHAnsi"/>
          <w:b/>
        </w:rPr>
      </w:pPr>
      <w:r w:rsidRPr="00675174">
        <w:rPr>
          <w:rFonts w:cstheme="minorHAnsi"/>
        </w:rPr>
        <w:t>An unsolicited proposal means that a private entity identifies a transportation need and proposes a P3 approach for addressing it. In either case, the Arizona procedures involve transparent processes designed to encourage competition and innovation. Figure 17.8-2 illustrates the ADOT process for P3 solicited proposals. Figure 17.8-3 illustrates the ADOT process for P3 unsolicited proposals.</w:t>
      </w:r>
    </w:p>
    <w:p w14:paraId="71380352" w14:textId="440A2C43" w:rsidR="00675174" w:rsidRPr="00675174" w:rsidRDefault="00675174" w:rsidP="00020D20">
      <w:pPr>
        <w:pStyle w:val="Heading3"/>
        <w:jc w:val="both"/>
      </w:pPr>
      <w:bookmarkStart w:id="729" w:name="_Ref50050156"/>
      <w:r w:rsidRPr="00675174">
        <w:t>17.8.6 | FHWA Resources</w:t>
      </w:r>
      <w:bookmarkEnd w:id="729"/>
    </w:p>
    <w:p w14:paraId="05AF267A" w14:textId="5550DD55" w:rsidR="00675174" w:rsidRDefault="002D2D69" w:rsidP="00020D20">
      <w:pPr>
        <w:jc w:val="both"/>
        <w:rPr>
          <w:rFonts w:cstheme="minorHAnsi"/>
        </w:rPr>
      </w:pPr>
      <w:r>
        <w:rPr>
          <w:rFonts w:cstheme="minorHAnsi"/>
          <w:noProof/>
        </w:rPr>
        <mc:AlternateContent>
          <mc:Choice Requires="wps">
            <w:drawing>
              <wp:anchor distT="0" distB="0" distL="114300" distR="114300" simplePos="0" relativeHeight="251618425" behindDoc="1" locked="0" layoutInCell="1" allowOverlap="1" wp14:anchorId="686D1092" wp14:editId="4401FCB3">
                <wp:simplePos x="0" y="0"/>
                <wp:positionH relativeFrom="column">
                  <wp:posOffset>1495425</wp:posOffset>
                </wp:positionH>
                <wp:positionV relativeFrom="paragraph">
                  <wp:posOffset>203200</wp:posOffset>
                </wp:positionV>
                <wp:extent cx="1372870" cy="1365885"/>
                <wp:effectExtent l="95250" t="95250" r="93980" b="100965"/>
                <wp:wrapTight wrapText="bothSides">
                  <wp:wrapPolygon edited="0">
                    <wp:start x="-899" y="-1506"/>
                    <wp:lineTo x="-1499" y="-904"/>
                    <wp:lineTo x="-1199" y="22895"/>
                    <wp:lineTo x="22479" y="22895"/>
                    <wp:lineTo x="22779" y="3916"/>
                    <wp:lineTo x="22179" y="-603"/>
                    <wp:lineTo x="22179" y="-1506"/>
                    <wp:lineTo x="-899" y="-1506"/>
                  </wp:wrapPolygon>
                </wp:wrapTight>
                <wp:docPr id="816286198" name="Text Box 816286198"/>
                <wp:cNvGraphicFramePr/>
                <a:graphic xmlns:a="http://schemas.openxmlformats.org/drawingml/2006/main">
                  <a:graphicData uri="http://schemas.microsoft.com/office/word/2010/wordprocessingShape">
                    <wps:wsp>
                      <wps:cNvSpPr txBox="1"/>
                      <wps:spPr>
                        <a:xfrm>
                          <a:off x="0" y="0"/>
                          <a:ext cx="1372870" cy="136588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A923769" w14:textId="77777777" w:rsidR="00C6444C" w:rsidRDefault="00C6444C" w:rsidP="00020D20">
                            <w:pPr>
                              <w:jc w:val="center"/>
                            </w:pPr>
                            <w:r>
                              <w:rPr>
                                <w:noProof/>
                              </w:rPr>
                              <w:drawing>
                                <wp:inline distT="0" distB="0" distL="0" distR="0" wp14:anchorId="65CF7624" wp14:editId="3E2BBBB3">
                                  <wp:extent cx="457200" cy="457200"/>
                                  <wp:effectExtent l="0" t="0" r="0" b="0"/>
                                  <wp:docPr id="1690912787" name="Picture 1690912787">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8C22040" w14:textId="47C3EA77" w:rsidR="00C6444C" w:rsidRPr="005A6734" w:rsidRDefault="00C6444C" w:rsidP="00020D20">
                            <w:pPr>
                              <w:pStyle w:val="Calloutboxes"/>
                            </w:pPr>
                            <w:r w:rsidRPr="00394A74">
                              <w:t>The FHWA P3 website provides many resources for P3 programs.</w:t>
                            </w:r>
                          </w:p>
                          <w:p w14:paraId="4206AB86" w14:textId="5F9A32AD" w:rsidR="00C6444C" w:rsidRPr="00020D20" w:rsidRDefault="00202C92">
                            <w:pPr>
                              <w:pStyle w:val="Title"/>
                              <w:rPr>
                                <w:sz w:val="16"/>
                              </w:rPr>
                            </w:pPr>
                            <w:hyperlink r:id="rId1171" w:history="1">
                              <w:r w:rsidR="00C6444C" w:rsidRPr="00020D20">
                                <w:rPr>
                                  <w:rStyle w:val="Hyperlink"/>
                                  <w:rFonts w:ascii="Calibri" w:hAnsi="Calibri" w:cstheme="majorBidi"/>
                                  <w:i/>
                                  <w:iCs w:val="0"/>
                                  <w:color w:val="CE5B18"/>
                                  <w:szCs w:val="56"/>
                                  <w:u w:val="none"/>
                                </w:rPr>
                                <w:t>https://www.fhwa.dot.gov/ipd/p3/default.aspx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6D1092" id="Text Box 816286198" o:spid="_x0000_s1307" type="#_x0000_t202" style="position:absolute;left:0;text-align:left;margin-left:117.75pt;margin-top:16pt;width:108.1pt;height:107.55pt;z-index:-251698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" fillcolor="#f7f7f7" stroked="f" strokeweight=".5pt">
                <v:shadow on="t" type="perspective" color="black" opacity="26214f" offset="0,0" matrix="66847f,,,66847f"/>
                <v:textbox>
                  <w:txbxContent>
                    <w:p w14:paraId="2A923769" w14:textId="77777777" w:rsidR="00C6444C" w:rsidRDefault="00C6444C" w:rsidP="00020D20">
                      <w:pPr>
                        <w:jc w:val="center"/>
                      </w:pPr>
                      <w:r>
                        <w:rPr>
                          <w:noProof/>
                        </w:rPr>
                        <w:drawing>
                          <wp:inline distT="0" distB="0" distL="0" distR="0" wp14:anchorId="65CF7624" wp14:editId="3E2BBBB3">
                            <wp:extent cx="457200" cy="457200"/>
                            <wp:effectExtent l="0" t="0" r="0" b="0"/>
                            <wp:docPr id="1690912787" name="Picture 1690912787">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8C22040" w14:textId="47C3EA77" w:rsidR="00C6444C" w:rsidRPr="005A6734" w:rsidRDefault="00C6444C" w:rsidP="00020D20">
                      <w:pPr>
                        <w:pStyle w:val="Calloutboxes"/>
                      </w:pPr>
                      <w:r w:rsidRPr="00394A74">
                        <w:t>The FHWA P3 website provides many resources for P3 programs.</w:t>
                      </w:r>
                    </w:p>
                    <w:p w14:paraId="4206AB86" w14:textId="5F9A32AD" w:rsidR="00C6444C" w:rsidRPr="00020D20" w:rsidRDefault="00C6444C">
                      <w:pPr>
                        <w:pStyle w:val="Title"/>
                        <w:rPr>
                          <w:sz w:val="16"/>
                        </w:rPr>
                      </w:pPr>
                      <w:hyperlink r:id="rId1172" w:history="1">
                        <w:r w:rsidRPr="00020D20">
                          <w:rPr>
                            <w:rStyle w:val="Hyperlink"/>
                            <w:rFonts w:ascii="Calibri" w:hAnsi="Calibri" w:cstheme="majorBidi"/>
                            <w:i/>
                            <w:iCs w:val="0"/>
                            <w:color w:val="CE5B18"/>
                            <w:szCs w:val="56"/>
                            <w:u w:val="none"/>
                          </w:rPr>
                          <w:t>https://www.fhwa.dot.gov/ipd/p3/default.aspx</w:t>
                        </w:r>
                      </w:hyperlink>
                    </w:p>
                  </w:txbxContent>
                </v:textbox>
                <w10:wrap type="tight"/>
              </v:shape>
            </w:pict>
          </mc:Fallback>
        </mc:AlternateContent>
      </w:r>
      <w:r w:rsidR="00675174" w:rsidRPr="00675174">
        <w:rPr>
          <w:rFonts w:cstheme="minorHAnsi"/>
        </w:rPr>
        <w:t>FHWA’s Office of Innovative Project Delivery developed a summary of the various P3 options included in Figure 17.8-1 to compare some of the above project delivery methods, in terms of the degree of private sector involvement in various phases of project delivery.</w:t>
      </w:r>
    </w:p>
    <w:p w14:paraId="14C6591F" w14:textId="77777777" w:rsidR="000D7482" w:rsidRDefault="000D7482" w:rsidP="00020D20">
      <w:pPr>
        <w:jc w:val="both"/>
        <w:sectPr w:rsidR="000D7482" w:rsidSect="00020D20">
          <w:type w:val="continuous"/>
          <w:pgSz w:w="12240" w:h="15840"/>
          <w:pgMar w:top="1440" w:right="1440" w:bottom="1440" w:left="1440" w:header="720" w:footer="720" w:gutter="0"/>
          <w:pgNumType w:chapStyle="1"/>
          <w:cols w:num="2" w:space="720"/>
          <w:docGrid w:linePitch="360"/>
        </w:sectPr>
      </w:pPr>
    </w:p>
    <w:p w14:paraId="6E2D4E22" w14:textId="77777777" w:rsidR="007D213E" w:rsidRDefault="007D213E" w:rsidP="00020D20">
      <w:pPr>
        <w:pStyle w:val="Heading5"/>
        <w:jc w:val="both"/>
        <w:sectPr w:rsidR="007D213E" w:rsidSect="00F43B1D">
          <w:type w:val="continuous"/>
          <w:pgSz w:w="12240" w:h="15840"/>
          <w:pgMar w:top="1440" w:right="1440" w:bottom="1440" w:left="1440" w:header="720" w:footer="720" w:gutter="0"/>
          <w:cols w:num="2" w:space="720"/>
          <w:docGrid w:linePitch="360"/>
        </w:sectPr>
      </w:pPr>
    </w:p>
    <w:p w14:paraId="7929FF39" w14:textId="572E6144" w:rsidR="00675174" w:rsidRDefault="00675174" w:rsidP="00020D20">
      <w:pPr>
        <w:pStyle w:val="Heading4"/>
        <w:jc w:val="both"/>
      </w:pPr>
      <w:r w:rsidRPr="004C5B89">
        <w:t>Figure 17.8-1 | P3 Options</w:t>
      </w:r>
    </w:p>
    <w:p w14:paraId="39530182" w14:textId="1C187BC1" w:rsidR="00A2144E" w:rsidRPr="004C5B89" w:rsidRDefault="007941FF" w:rsidP="00020D20">
      <w:pPr>
        <w:jc w:val="both"/>
      </w:pPr>
      <w:r>
        <w:rPr>
          <w:noProof/>
        </w:rPr>
        <w:drawing>
          <wp:inline distT="0" distB="0" distL="0" distR="0" wp14:anchorId="72505777" wp14:editId="1B48387F">
            <wp:extent cx="5388864" cy="2923032"/>
            <wp:effectExtent l="0" t="0" r="2540" b="0"/>
            <wp:docPr id="24" name="Picture 2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8_Figure17.8-1_P3Options.jpg"/>
                    <pic:cNvPicPr/>
                  </pic:nvPicPr>
                  <pic:blipFill>
                    <a:blip r:embed="rId1173" cstate="print">
                      <a:extLst>
                        <a:ext uri="{28A0092B-C50C-407E-A947-70E740481C1C}">
                          <a14:useLocalDpi xmlns:a14="http://schemas.microsoft.com/office/drawing/2010/main" val="0"/>
                        </a:ext>
                      </a:extLst>
                    </a:blip>
                    <a:stretch>
                      <a:fillRect/>
                    </a:stretch>
                  </pic:blipFill>
                  <pic:spPr>
                    <a:xfrm>
                      <a:off x="0" y="0"/>
                      <a:ext cx="5388864" cy="2923032"/>
                    </a:xfrm>
                    <a:prstGeom prst="rect">
                      <a:avLst/>
                    </a:prstGeom>
                  </pic:spPr>
                </pic:pic>
              </a:graphicData>
            </a:graphic>
          </wp:inline>
        </w:drawing>
      </w:r>
    </w:p>
    <w:p w14:paraId="24B75884" w14:textId="1C4CCDC6" w:rsidR="00675174" w:rsidRDefault="00675174" w:rsidP="00020D20">
      <w:pPr>
        <w:pStyle w:val="Heading4"/>
        <w:jc w:val="both"/>
      </w:pPr>
      <w:r w:rsidRPr="004C5B89">
        <w:t>Figure 17.8-2 | Process for P3 Solicited Proposals</w:t>
      </w:r>
    </w:p>
    <w:p w14:paraId="22B4C527" w14:textId="6B503E94" w:rsidR="007941FF" w:rsidRPr="004C5B89" w:rsidRDefault="00202C92" w:rsidP="00020D20">
      <w:pPr>
        <w:jc w:val="both"/>
      </w:pPr>
      <w:r>
        <w:pict w14:anchorId="4B76A311">
          <v:shape id="_x0000_i1028" type="#_x0000_t75" style="width:467.75pt;height:361.45pt">
            <v:imagedata r:id="rId1174" o:title="17"/>
          </v:shape>
        </w:pict>
      </w:r>
    </w:p>
    <w:p w14:paraId="2956593A" w14:textId="1061D1F6" w:rsidR="00675174" w:rsidRDefault="00675174" w:rsidP="00020D20">
      <w:pPr>
        <w:pStyle w:val="Heading4"/>
        <w:jc w:val="both"/>
      </w:pPr>
      <w:r w:rsidRPr="004C5B89">
        <w:t>Figure 17.8-3 | Process for P3 Unsolicited Proposals</w:t>
      </w:r>
    </w:p>
    <w:p w14:paraId="643E3758" w14:textId="007DB0AD" w:rsidR="00775BB7" w:rsidRDefault="009B6A08" w:rsidP="00020D20">
      <w:pPr>
        <w:jc w:val="both"/>
      </w:pPr>
      <w:r>
        <w:rPr>
          <w:noProof/>
        </w:rPr>
        <w:drawing>
          <wp:inline distT="0" distB="0" distL="0" distR="0" wp14:anchorId="12F699F9" wp14:editId="3CAC0EF8">
            <wp:extent cx="5943600" cy="4591050"/>
            <wp:effectExtent l="0" t="0" r="0" b="0"/>
            <wp:docPr id="816286429" name="Picture 816286429" descr="C:\Users\siffermanst\AppData\Local\Microsoft\Windows\INetCacheContent.Word\17.8_Figure17.8-2_solicited_proposal_guidelin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siffermanst\AppData\Local\Microsoft\Windows\INetCacheContent.Word\17.8_Figure17.8-2_solicited_proposal_guidelines-1.png"/>
                    <pic:cNvPicPr>
                      <a:picLocks noChangeAspect="1" noChangeArrowheads="1"/>
                    </pic:cNvPicPr>
                  </pic:nvPicPr>
                  <pic:blipFill>
                    <a:blip r:embed="rId1175" cstate="hqprint">
                      <a:extLst>
                        <a:ext uri="{28A0092B-C50C-407E-A947-70E740481C1C}">
                          <a14:useLocalDpi xmlns:a14="http://schemas.microsoft.com/office/drawing/2010/main" val="0"/>
                        </a:ext>
                      </a:extLst>
                    </a:blip>
                    <a:srcRect/>
                    <a:stretch>
                      <a:fillRect/>
                    </a:stretch>
                  </pic:blipFill>
                  <pic:spPr bwMode="auto">
                    <a:xfrm>
                      <a:off x="0" y="0"/>
                      <a:ext cx="5943600" cy="4591050"/>
                    </a:xfrm>
                    <a:prstGeom prst="rect">
                      <a:avLst/>
                    </a:prstGeom>
                    <a:noFill/>
                    <a:ln>
                      <a:noFill/>
                    </a:ln>
                  </pic:spPr>
                </pic:pic>
              </a:graphicData>
            </a:graphic>
          </wp:inline>
        </w:drawing>
      </w:r>
    </w:p>
    <w:p w14:paraId="09A27784" w14:textId="56C46AE4" w:rsidR="007D213E" w:rsidRDefault="007D213E" w:rsidP="00020D20">
      <w:pPr>
        <w:jc w:val="both"/>
      </w:pPr>
    </w:p>
    <w:p w14:paraId="4845817F" w14:textId="77777777" w:rsidR="00775BB7" w:rsidRDefault="00775BB7" w:rsidP="00020D20">
      <w:pPr>
        <w:jc w:val="both"/>
        <w:sectPr w:rsidR="00775BB7" w:rsidSect="00020D20">
          <w:type w:val="continuous"/>
          <w:pgSz w:w="12240" w:h="15840"/>
          <w:pgMar w:top="1440" w:right="1440" w:bottom="1440" w:left="1440" w:header="720" w:footer="720" w:gutter="0"/>
          <w:pgNumType w:chapStyle="1"/>
          <w:cols w:space="720"/>
          <w:docGrid w:linePitch="360"/>
        </w:sectPr>
      </w:pPr>
    </w:p>
    <w:p w14:paraId="26303599" w14:textId="30BC7447" w:rsidR="00775BB7" w:rsidRDefault="00775BB7" w:rsidP="00020D20">
      <w:pPr>
        <w:jc w:val="both"/>
        <w:sectPr w:rsidR="00775BB7" w:rsidSect="008E695B">
          <w:type w:val="continuous"/>
          <w:pgSz w:w="12240" w:h="15840"/>
          <w:pgMar w:top="1440" w:right="1440" w:bottom="1440" w:left="1440" w:header="720" w:footer="720" w:gutter="0"/>
          <w:cols w:space="720"/>
          <w:docGrid w:linePitch="360"/>
        </w:sectPr>
      </w:pPr>
    </w:p>
    <w:p w14:paraId="567C4E84" w14:textId="30559F47" w:rsidR="003C2DDF" w:rsidRDefault="007C23DB" w:rsidP="00020D20">
      <w:pPr>
        <w:pStyle w:val="BodyTextTitle"/>
        <w:spacing w:before="0" w:after="0" w:line="240" w:lineRule="auto"/>
        <w:jc w:val="both"/>
      </w:pPr>
      <w:bookmarkStart w:id="730" w:name="_Ref50049612"/>
      <w:bookmarkStart w:id="731" w:name="_Toc49862253"/>
      <w:r>
        <w:t>17.9</w:t>
      </w:r>
      <w:r w:rsidR="002D2D69">
        <w:t xml:space="preserve"> </w:t>
      </w:r>
      <w:r>
        <w:t xml:space="preserve">| PLANNING </w:t>
      </w:r>
      <w:r w:rsidR="003C2DDF">
        <w:t>AND</w:t>
      </w:r>
      <w:r>
        <w:t xml:space="preserve"> ENVIRONMENTAL LINKAGES</w:t>
      </w:r>
    </w:p>
    <w:p w14:paraId="3182D81B" w14:textId="36BEFC38" w:rsidR="007C23DB" w:rsidRPr="00020D20" w:rsidRDefault="007C23DB" w:rsidP="00020D20">
      <w:pPr>
        <w:pStyle w:val="BodyTextTitle"/>
        <w:spacing w:before="0" w:line="240" w:lineRule="auto"/>
        <w:jc w:val="both"/>
        <w:rPr>
          <w:sz w:val="36"/>
        </w:rPr>
      </w:pPr>
      <w:r w:rsidRPr="00020D20">
        <w:rPr>
          <w:sz w:val="36"/>
        </w:rPr>
        <w:t>TABLE OF CONTENTS</w:t>
      </w:r>
      <w:bookmarkEnd w:id="730"/>
    </w:p>
    <w:p w14:paraId="2FA98EB8" w14:textId="518FCC76" w:rsidR="007C23DB" w:rsidRDefault="009E5DD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_Ref50050222 \h </w:instrText>
      </w:r>
      <w:r w:rsidR="002D38FC">
        <w:instrText xml:space="preserve"> \* MERGEFORMAT </w:instrText>
      </w:r>
      <w:r>
        <w:fldChar w:fldCharType="separate"/>
      </w:r>
      <w:r w:rsidRPr="51D8F970">
        <w:t>17.9.1 | PEL Documentation Outline</w:t>
      </w:r>
      <w:r>
        <w:fldChar w:fldCharType="end"/>
      </w:r>
    </w:p>
    <w:p w14:paraId="329459CC" w14:textId="14A3AC21" w:rsidR="009E5DDA" w:rsidRDefault="009E5DD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_Ref50050226 \h </w:instrText>
      </w:r>
      <w:r w:rsidR="002D38FC">
        <w:instrText xml:space="preserve"> \* MERGEFORMAT </w:instrText>
      </w:r>
      <w:r>
        <w:fldChar w:fldCharType="separate"/>
      </w:r>
      <w:r w:rsidRPr="00675174">
        <w:t>17.9.2 | MPO/COG Role in PEL Documents</w:t>
      </w:r>
      <w:r>
        <w:fldChar w:fldCharType="end"/>
      </w:r>
    </w:p>
    <w:p w14:paraId="6F675935" w14:textId="660F189F" w:rsidR="009E5DDA" w:rsidRDefault="009E5DDA"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_Ref50050230 \h </w:instrText>
      </w:r>
      <w:r w:rsidR="002D38FC">
        <w:instrText xml:space="preserve"> \* MERGEFORMAT </w:instrText>
      </w:r>
      <w:r>
        <w:fldChar w:fldCharType="separate"/>
      </w:r>
      <w:r w:rsidRPr="00675174">
        <w:t>17.9.3 | PEL Resource Material</w:t>
      </w:r>
      <w:r>
        <w:fldChar w:fldCharType="end"/>
      </w:r>
    </w:p>
    <w:p w14:paraId="7B9E2CA2" w14:textId="1C2AC3E3" w:rsidR="007C23DB" w:rsidRDefault="007C23DB"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1742D77E" w14:textId="44A766C9" w:rsidR="007C23DB" w:rsidRDefault="00F94BBB" w:rsidP="00020D20">
      <w:pPr>
        <w:pStyle w:val="Chapter17Heading"/>
      </w:pPr>
      <w:bookmarkStart w:id="732" w:name="_Toc50540253"/>
      <w:r>
        <w:t xml:space="preserve">17.9 </w:t>
      </w:r>
      <w:r w:rsidRPr="00675174">
        <w:t>|</w:t>
      </w:r>
      <w:r>
        <w:t xml:space="preserve"> </w:t>
      </w:r>
      <w:r w:rsidR="003C2DDF">
        <w:t>Planning and</w:t>
      </w:r>
      <w:r w:rsidRPr="00675174">
        <w:t xml:space="preserve"> Environmental Linkages</w:t>
      </w:r>
      <w:bookmarkEnd w:id="732"/>
    </w:p>
    <w:bookmarkEnd w:id="731"/>
    <w:p w14:paraId="21FAD4EA" w14:textId="77777777" w:rsidR="00775BB7" w:rsidRDefault="00775BB7" w:rsidP="00020D20">
      <w:pPr>
        <w:jc w:val="both"/>
        <w:rPr>
          <w:rFonts w:cstheme="minorHAnsi"/>
        </w:rPr>
        <w:sectPr w:rsidR="00775BB7" w:rsidSect="00020D20">
          <w:pgSz w:w="12240" w:h="15840"/>
          <w:pgMar w:top="1440" w:right="1440" w:bottom="1440" w:left="1440" w:header="720" w:footer="720" w:gutter="0"/>
          <w:pgNumType w:chapStyle="1"/>
          <w:cols w:space="720"/>
          <w:docGrid w:linePitch="360"/>
        </w:sectPr>
      </w:pPr>
    </w:p>
    <w:p w14:paraId="6ABC3EAB" w14:textId="5E552787" w:rsidR="00675174" w:rsidRPr="004C5B89" w:rsidRDefault="00675174" w:rsidP="00020D20">
      <w:pPr>
        <w:jc w:val="both"/>
      </w:pPr>
      <w:r w:rsidRPr="004C5B89">
        <w:t xml:space="preserve">The Planning and Environmental Linkages (PEL) Program was a major step in federal legislation to streamline environmental clearances and integrate previous planning studies in NEPA-related work. In the past, transportation </w:t>
      </w:r>
      <w:r w:rsidRPr="00020D20">
        <w:t>planning</w:t>
      </w:r>
      <w:r w:rsidRPr="004C5B89">
        <w:t xml:space="preserve"> processes have led to allocation of funding for recommended transportation projects that have run into obstacles in the subsequent environmental analysis required under NEPA, thereby delaying project delivery. The need to streamline project delivery for transportation projects has been a congressional concern since the 1990s and received emphasis in the 2005 SAFETEA-LU legislation, leading to a new FHWA approach called Planning and Environmental Linkages. Responding to congressional mandates in SAFETEA-LU, FHWA added an appendix </w:t>
      </w:r>
      <w:hyperlink r:id="rId1176">
        <w:r w:rsidRPr="00020D20">
          <w:rPr>
            <w:rStyle w:val="TitleChar"/>
          </w:rPr>
          <w:t>(“Appendix A to Part 450—Linking the Transportation Planning and NEPA Processes)</w:t>
        </w:r>
      </w:hyperlink>
      <w:r w:rsidRPr="004C5B89">
        <w:t xml:space="preserve"> to its regulations on metropolitan transportation planning and programming </w:t>
      </w:r>
      <w:hyperlink r:id="rId1177">
        <w:r w:rsidRPr="00020D20">
          <w:rPr>
            <w:rStyle w:val="TitleChar"/>
          </w:rPr>
          <w:t xml:space="preserve">(23 </w:t>
        </w:r>
        <w:r w:rsidR="009628C0">
          <w:rPr>
            <w:rStyle w:val="TitleChar"/>
          </w:rPr>
          <w:t xml:space="preserve">C.F.R. </w:t>
        </w:r>
        <w:r w:rsidRPr="00020D20">
          <w:rPr>
            <w:rStyle w:val="TitleChar"/>
          </w:rPr>
          <w:t>§ 450)</w:t>
        </w:r>
      </w:hyperlink>
      <w:r w:rsidRPr="004C5B89">
        <w:t xml:space="preserve">. More recently, the PEL Program has been incorporated into </w:t>
      </w:r>
      <w:hyperlink r:id="rId1178">
        <w:r w:rsidRPr="00020D20">
          <w:rPr>
            <w:rStyle w:val="TitleChar"/>
          </w:rPr>
          <w:t>FHWA’s Every Day Counts (EDC)</w:t>
        </w:r>
      </w:hyperlink>
      <w:r w:rsidRPr="004C5B89">
        <w:t xml:space="preserve"> initiative, and the MAP-21 transportation law in 2012 added new language </w:t>
      </w:r>
      <w:hyperlink r:id="rId1179">
        <w:r w:rsidRPr="00020D20">
          <w:rPr>
            <w:rStyle w:val="TitleChar"/>
          </w:rPr>
          <w:t>(23 U.S.C. § 168)</w:t>
        </w:r>
      </w:hyperlink>
      <w:r w:rsidRPr="00020D20">
        <w:rPr>
          <w:i/>
        </w:rPr>
        <w:t xml:space="preserve"> </w:t>
      </w:r>
      <w:r w:rsidRPr="004C5B89">
        <w:t>guiding the integration of planning and environmental review.</w:t>
      </w:r>
      <w:r w:rsidR="00240863" w:rsidRPr="004C5B89">
        <w:t xml:space="preserve"> In 2015, FAST Act continued the PEL Program. However, the new legislation allows states with more or equally stringent environmental laws may use those own review processes instead of NEPA, which reduces requirements that encourage greater use of the PEL process. </w:t>
      </w:r>
    </w:p>
    <w:p w14:paraId="0AB96339" w14:textId="3DA72171" w:rsidR="00675174" w:rsidRDefault="00675174" w:rsidP="00020D20">
      <w:pPr>
        <w:jc w:val="both"/>
        <w:rPr>
          <w:rFonts w:cstheme="minorHAnsi"/>
        </w:rPr>
      </w:pPr>
      <w:r w:rsidRPr="00675174">
        <w:rPr>
          <w:rFonts w:cstheme="minorHAnsi"/>
        </w:rPr>
        <w:t>The focus of PEL efforts is to ensure that advance planning efforts, such as corridor or area studies, are undertaken in cooperation with affected agencies and stakeholders. Additionally, advanced planning efforts should take into account understood environmental resources prior to beginning the NEPA process. Done properly, this allows the findings of the pre-NEPA studies to be incorporated into the NEPA process without the need for major backtracking. For example, a PEL study may result in a NEPA-approvable project purpose and need, a range of reasonable alternatives that have been screened through a technical and public process, and a proposed action. Important to successfully incorporating PEL findings into the NEPA process is the need to plan this approach from the outset, with review and input from ADOT, FHWA, and the COGs and MPOs representing the area under study.</w:t>
      </w:r>
    </w:p>
    <w:p w14:paraId="3BB683DF" w14:textId="11762462" w:rsidR="00675174" w:rsidRPr="00675174" w:rsidRDefault="00F94BBB" w:rsidP="00020D20">
      <w:pPr>
        <w:jc w:val="both"/>
        <w:rPr>
          <w:b/>
        </w:rPr>
      </w:pPr>
      <w:r>
        <w:rPr>
          <w:rFonts w:cstheme="minorHAnsi"/>
          <w:noProof/>
        </w:rPr>
        <mc:AlternateContent>
          <mc:Choice Requires="wps">
            <w:drawing>
              <wp:anchor distT="0" distB="0" distL="114300" distR="114300" simplePos="0" relativeHeight="251618427" behindDoc="1" locked="0" layoutInCell="1" allowOverlap="1" wp14:anchorId="322BA57A" wp14:editId="2FC707BA">
                <wp:simplePos x="0" y="0"/>
                <wp:positionH relativeFrom="column">
                  <wp:posOffset>1304925</wp:posOffset>
                </wp:positionH>
                <wp:positionV relativeFrom="paragraph">
                  <wp:posOffset>2066290</wp:posOffset>
                </wp:positionV>
                <wp:extent cx="1439545" cy="1871345"/>
                <wp:effectExtent l="76200" t="95250" r="84455" b="90805"/>
                <wp:wrapTight wrapText="bothSides">
                  <wp:wrapPolygon edited="0">
                    <wp:start x="-1143" y="-1099"/>
                    <wp:lineTo x="-1143" y="22428"/>
                    <wp:lineTo x="22581" y="22428"/>
                    <wp:lineTo x="22581" y="-1099"/>
                    <wp:lineTo x="-1143" y="-1099"/>
                  </wp:wrapPolygon>
                </wp:wrapTight>
                <wp:docPr id="816286206" name="Text Box 816286206"/>
                <wp:cNvGraphicFramePr/>
                <a:graphic xmlns:a="http://schemas.openxmlformats.org/drawingml/2006/main">
                  <a:graphicData uri="http://schemas.microsoft.com/office/word/2010/wordprocessingShape">
                    <wps:wsp>
                      <wps:cNvSpPr txBox="1"/>
                      <wps:spPr>
                        <a:xfrm>
                          <a:off x="0" y="0"/>
                          <a:ext cx="1439545" cy="187134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592E622" w14:textId="77777777" w:rsidR="00C6444C" w:rsidRDefault="00C6444C" w:rsidP="00020D20">
                            <w:pPr>
                              <w:jc w:val="center"/>
                            </w:pPr>
                            <w:r>
                              <w:rPr>
                                <w:noProof/>
                              </w:rPr>
                              <w:drawing>
                                <wp:inline distT="0" distB="0" distL="0" distR="0" wp14:anchorId="5C87F80F" wp14:editId="67442EE3">
                                  <wp:extent cx="457200" cy="457200"/>
                                  <wp:effectExtent l="0" t="0" r="0" b="0"/>
                                  <wp:docPr id="1690912788" name="Picture 169091278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470DA1A" w14:textId="683A2070" w:rsidR="00C6444C" w:rsidRPr="001E4049" w:rsidRDefault="00C6444C" w:rsidP="00020D20">
                            <w:pPr>
                              <w:pStyle w:val="Calloutboxes"/>
                            </w:pPr>
                            <w:r w:rsidRPr="00394A74">
                              <w:t>Applicable federal guidance relating to PE</w:t>
                            </w:r>
                            <w:r w:rsidRPr="005A6734">
                              <w:t xml:space="preserve">L is in </w:t>
                            </w:r>
                            <w:r w:rsidRPr="00977A9B">
                              <w:t>the April 5, 2011 publication, Guidance on Using Corridor and Subarea Planning to Inform NEPA:</w:t>
                            </w:r>
                          </w:p>
                          <w:p w14:paraId="18FB67EB" w14:textId="35C8F780" w:rsidR="00C6444C" w:rsidRPr="00020D20" w:rsidRDefault="00202C92">
                            <w:pPr>
                              <w:pStyle w:val="Title"/>
                              <w:rPr>
                                <w:sz w:val="16"/>
                              </w:rPr>
                            </w:pPr>
                            <w:hyperlink r:id="rId1180" w:history="1">
                              <w:r w:rsidR="00C6444C" w:rsidRPr="00020D20">
                                <w:rPr>
                                  <w:rStyle w:val="Hyperlink"/>
                                  <w:rFonts w:ascii="Calibri" w:hAnsi="Calibri" w:cstheme="majorBidi"/>
                                  <w:i/>
                                  <w:iCs w:val="0"/>
                                  <w:color w:val="CE5B18"/>
                                  <w:szCs w:val="56"/>
                                  <w:u w:val="none"/>
                                </w:rPr>
                                <w:t>https://www.environment.fhwa.dot.gov/env_initiatives/pel/corridor_nepa_guidance.aspx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2BA57A" id="Text Box 816286206" o:spid="_x0000_s1308" type="#_x0000_t202" style="position:absolute;left:0;text-align:left;margin-left:102.75pt;margin-top:162.7pt;width:113.35pt;height:147.35pt;z-index:-2516980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" fillcolor="#f7f7f7" stroked="f" strokeweight=".5pt">
                <v:shadow on="t" type="perspective" color="black" opacity="26214f" offset="0,0" matrix="66847f,,,66847f"/>
                <v:textbox>
                  <w:txbxContent>
                    <w:p w14:paraId="0592E622" w14:textId="77777777" w:rsidR="00C6444C" w:rsidRDefault="00C6444C" w:rsidP="00020D20">
                      <w:pPr>
                        <w:jc w:val="center"/>
                      </w:pPr>
                      <w:r>
                        <w:rPr>
                          <w:noProof/>
                        </w:rPr>
                        <w:drawing>
                          <wp:inline distT="0" distB="0" distL="0" distR="0" wp14:anchorId="5C87F80F" wp14:editId="67442EE3">
                            <wp:extent cx="457200" cy="457200"/>
                            <wp:effectExtent l="0" t="0" r="0" b="0"/>
                            <wp:docPr id="1690912788" name="Picture 169091278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470DA1A" w14:textId="683A2070" w:rsidR="00C6444C" w:rsidRPr="001E4049" w:rsidRDefault="00C6444C" w:rsidP="00020D20">
                      <w:pPr>
                        <w:pStyle w:val="Calloutboxes"/>
                      </w:pPr>
                      <w:r w:rsidRPr="00394A74">
                        <w:t>Applicable federal guidance relating to PE</w:t>
                      </w:r>
                      <w:r w:rsidRPr="005A6734">
                        <w:t xml:space="preserve">L is in </w:t>
                      </w:r>
                      <w:r w:rsidRPr="00977A9B">
                        <w:t>the April 5, 2011 publication, Guidance on Using Corridor and Subarea Planning to Inform NEPA:</w:t>
                      </w:r>
                    </w:p>
                    <w:p w14:paraId="18FB67EB" w14:textId="35C8F780" w:rsidR="00C6444C" w:rsidRPr="00020D20" w:rsidRDefault="00C6444C">
                      <w:pPr>
                        <w:pStyle w:val="Title"/>
                        <w:rPr>
                          <w:sz w:val="16"/>
                        </w:rPr>
                      </w:pPr>
                      <w:hyperlink r:id="rId1181" w:history="1">
                        <w:r w:rsidRPr="00020D20">
                          <w:rPr>
                            <w:rStyle w:val="Hyperlink"/>
                            <w:rFonts w:ascii="Calibri" w:hAnsi="Calibri" w:cstheme="majorBidi"/>
                            <w:i/>
                            <w:iCs w:val="0"/>
                            <w:color w:val="CE5B18"/>
                            <w:szCs w:val="56"/>
                            <w:u w:val="none"/>
                          </w:rPr>
                          <w:t>https://www.environment.fhwa.dot.gov/env_initiatives/pel/corridor_nepa_guidance.aspx</w:t>
                        </w:r>
                      </w:hyperlink>
                    </w:p>
                  </w:txbxContent>
                </v:textbox>
                <w10:wrap type="tight"/>
              </v:shape>
            </w:pict>
          </mc:Fallback>
        </mc:AlternateContent>
      </w:r>
      <w:r>
        <w:rPr>
          <w:rFonts w:cstheme="minorHAnsi"/>
          <w:noProof/>
        </w:rPr>
        <mc:AlternateContent>
          <mc:Choice Requires="wps">
            <w:drawing>
              <wp:anchor distT="0" distB="0" distL="114300" distR="114300" simplePos="0" relativeHeight="251618426" behindDoc="1" locked="0" layoutInCell="1" allowOverlap="1" wp14:anchorId="71157015" wp14:editId="018036ED">
                <wp:simplePos x="0" y="0"/>
                <wp:positionH relativeFrom="column">
                  <wp:posOffset>1304925</wp:posOffset>
                </wp:positionH>
                <wp:positionV relativeFrom="paragraph">
                  <wp:posOffset>580390</wp:posOffset>
                </wp:positionV>
                <wp:extent cx="1449070" cy="1371600"/>
                <wp:effectExtent l="95250" t="95250" r="93980" b="95250"/>
                <wp:wrapTight wrapText="bothSides">
                  <wp:wrapPolygon edited="0">
                    <wp:start x="-852" y="-1500"/>
                    <wp:lineTo x="-1420" y="-900"/>
                    <wp:lineTo x="-1136" y="22800"/>
                    <wp:lineTo x="22433" y="22800"/>
                    <wp:lineTo x="22717" y="3900"/>
                    <wp:lineTo x="22149" y="-600"/>
                    <wp:lineTo x="22149" y="-1500"/>
                    <wp:lineTo x="-852" y="-1500"/>
                  </wp:wrapPolygon>
                </wp:wrapTight>
                <wp:docPr id="816286204" name="Text Box 816286204"/>
                <wp:cNvGraphicFramePr/>
                <a:graphic xmlns:a="http://schemas.openxmlformats.org/drawingml/2006/main">
                  <a:graphicData uri="http://schemas.microsoft.com/office/word/2010/wordprocessingShape">
                    <wps:wsp>
                      <wps:cNvSpPr txBox="1"/>
                      <wps:spPr>
                        <a:xfrm>
                          <a:off x="0" y="0"/>
                          <a:ext cx="144907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DED0798" w14:textId="77777777" w:rsidR="00C6444C" w:rsidRDefault="00C6444C" w:rsidP="00020D20">
                            <w:pPr>
                              <w:jc w:val="center"/>
                            </w:pPr>
                            <w:r>
                              <w:rPr>
                                <w:noProof/>
                              </w:rPr>
                              <w:drawing>
                                <wp:inline distT="0" distB="0" distL="0" distR="0" wp14:anchorId="73A91DAE" wp14:editId="6A7E1721">
                                  <wp:extent cx="457200" cy="457200"/>
                                  <wp:effectExtent l="0" t="0" r="0" b="0"/>
                                  <wp:docPr id="1690912789" name="Picture 169091278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EF8454" w14:textId="25F590C2" w:rsidR="00C6444C" w:rsidRPr="005A6734" w:rsidRDefault="00C6444C" w:rsidP="00020D20">
                            <w:pPr>
                              <w:pStyle w:val="Calloutboxes"/>
                            </w:pPr>
                            <w:r w:rsidRPr="00394A74">
                              <w:t>The PEL Questionnaire and Checklist is available online at:</w:t>
                            </w:r>
                          </w:p>
                          <w:p w14:paraId="58BF302D" w14:textId="360913EB" w:rsidR="00C6444C" w:rsidRPr="00020D20" w:rsidRDefault="00202C92">
                            <w:pPr>
                              <w:pStyle w:val="Title"/>
                              <w:rPr>
                                <w:sz w:val="16"/>
                              </w:rPr>
                            </w:pPr>
                            <w:hyperlink r:id="rId1182" w:history="1">
                              <w:r w:rsidR="00C6444C" w:rsidRPr="00020D20">
                                <w:rPr>
                                  <w:rStyle w:val="Hyperlink"/>
                                  <w:rFonts w:ascii="Calibri" w:hAnsi="Calibri" w:cstheme="majorBidi"/>
                                  <w:i/>
                                  <w:iCs w:val="0"/>
                                  <w:color w:val="CE5B18"/>
                                  <w:szCs w:val="56"/>
                                  <w:u w:val="none"/>
                                </w:rPr>
                                <w:t>https://azdot.gov/sites/default/files/2019/05/pel-questionnaire-checklist-022712.pdf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157015" id="Text Box 816286204" o:spid="_x0000_s1309" type="#_x0000_t202" style="position:absolute;left:0;text-align:left;margin-left:102.75pt;margin-top:45.7pt;width:114.1pt;height:108pt;z-index:-251698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" fillcolor="#f7f7f7" stroked="f" strokeweight=".5pt">
                <v:shadow on="t" type="perspective" color="black" opacity="26214f" offset="0,0" matrix="66847f,,,66847f"/>
                <v:textbox>
                  <w:txbxContent>
                    <w:p w14:paraId="5DED0798" w14:textId="77777777" w:rsidR="00C6444C" w:rsidRDefault="00C6444C" w:rsidP="00020D20">
                      <w:pPr>
                        <w:jc w:val="center"/>
                      </w:pPr>
                      <w:r>
                        <w:rPr>
                          <w:noProof/>
                        </w:rPr>
                        <w:drawing>
                          <wp:inline distT="0" distB="0" distL="0" distR="0" wp14:anchorId="73A91DAE" wp14:editId="6A7E1721">
                            <wp:extent cx="457200" cy="457200"/>
                            <wp:effectExtent l="0" t="0" r="0" b="0"/>
                            <wp:docPr id="1690912789" name="Picture 169091278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7EF8454" w14:textId="25F590C2" w:rsidR="00C6444C" w:rsidRPr="005A6734" w:rsidRDefault="00C6444C" w:rsidP="00020D20">
                      <w:pPr>
                        <w:pStyle w:val="Calloutboxes"/>
                      </w:pPr>
                      <w:r w:rsidRPr="00394A74">
                        <w:t>The PEL Questionnaire and Checklist is available online at:</w:t>
                      </w:r>
                    </w:p>
                    <w:p w14:paraId="58BF302D" w14:textId="360913EB" w:rsidR="00C6444C" w:rsidRPr="00020D20" w:rsidRDefault="00C6444C">
                      <w:pPr>
                        <w:pStyle w:val="Title"/>
                        <w:rPr>
                          <w:sz w:val="16"/>
                        </w:rPr>
                      </w:pPr>
                      <w:hyperlink r:id="rId1183" w:history="1">
                        <w:r w:rsidRPr="00020D20">
                          <w:rPr>
                            <w:rStyle w:val="Hyperlink"/>
                            <w:rFonts w:ascii="Calibri" w:hAnsi="Calibri" w:cstheme="majorBidi"/>
                            <w:i/>
                            <w:iCs w:val="0"/>
                            <w:color w:val="CE5B18"/>
                            <w:szCs w:val="56"/>
                            <w:u w:val="none"/>
                          </w:rPr>
                          <w:t>https://azdot.gov/sites/default/files/2019/05/pel-questionnaire-checklist-022712.pdf</w:t>
                        </w:r>
                      </w:hyperlink>
                    </w:p>
                  </w:txbxContent>
                </v:textbox>
                <w10:wrap type="tight"/>
              </v:shape>
            </w:pict>
          </mc:Fallback>
        </mc:AlternateContent>
      </w:r>
      <w:r w:rsidR="00675174" w:rsidRPr="51D8F970">
        <w:t xml:space="preserve">Arizona is one of a growing number of states that have embraced the PEL approach. ADOT’s MPD has assigned staff resources to support PEL studies. ADOT has developed the project-level </w:t>
      </w:r>
      <w:hyperlink r:id="rId1184">
        <w:r w:rsidR="00675174" w:rsidRPr="51D8F970">
          <w:rPr>
            <w:rStyle w:val="TitleChar"/>
          </w:rPr>
          <w:t>PEL Questionnaire and Checklist</w:t>
        </w:r>
      </w:hyperlink>
      <w:r w:rsidR="00675174" w:rsidRPr="51D8F970">
        <w:t xml:space="preserve"> to provide guidance, particularly to transportation planners and environmental planners. By considering the questions and issues raised in this questionnaire, transportation planners become more aware of potential gaps in their subarea and corridor studies, better understand the needs of future users of the studies, and are reminded of the benefits of broader and/or deeper collaboration with agencies, the public, and other stakeholders.  Environmental planners who fill out the checklist are able to advocate for early awareness of environmental issues before the NEPA process begins</w:t>
      </w:r>
      <w:r w:rsidR="006C0A7E">
        <w:t>.</w:t>
      </w:r>
      <w:r w:rsidR="009D1719" w:rsidRPr="009D1719">
        <w:rPr>
          <w:rFonts w:cstheme="minorHAnsi"/>
        </w:rPr>
        <w:t xml:space="preserve"> </w:t>
      </w:r>
    </w:p>
    <w:p w14:paraId="63EDCDFD" w14:textId="4A1CB245" w:rsidR="00675174" w:rsidRPr="00675174" w:rsidRDefault="00675174" w:rsidP="00020D20">
      <w:pPr>
        <w:pStyle w:val="Heading3"/>
        <w:jc w:val="both"/>
      </w:pPr>
      <w:bookmarkStart w:id="733" w:name="_Ref50050222"/>
      <w:r w:rsidRPr="51D8F970">
        <w:t>17.9.1 | PEL Documentation Outline</w:t>
      </w:r>
      <w:bookmarkEnd w:id="733"/>
    </w:p>
    <w:p w14:paraId="29C04C7B" w14:textId="25108231" w:rsidR="00675174" w:rsidRPr="00675174" w:rsidRDefault="00675174" w:rsidP="00020D20">
      <w:pPr>
        <w:jc w:val="both"/>
      </w:pPr>
      <w:r w:rsidRPr="51D8F970">
        <w:t>ADOT has developed draft PEL document outlines to provide guidance for PEL evaluation and context. The two outlines are directed towards developing PEL documents for corridor/spot location and subarea studies.</w:t>
      </w:r>
    </w:p>
    <w:p w14:paraId="7FA99743" w14:textId="1D54F26A" w:rsidR="00675174" w:rsidRPr="00675174" w:rsidRDefault="00675174" w:rsidP="00020D20">
      <w:pPr>
        <w:pStyle w:val="Heading3"/>
        <w:jc w:val="both"/>
      </w:pPr>
      <w:bookmarkStart w:id="734" w:name="_Ref50050226"/>
      <w:r w:rsidRPr="00675174">
        <w:t>17.9.2 | MPO/COG Role in PEL Documents</w:t>
      </w:r>
      <w:bookmarkEnd w:id="734"/>
    </w:p>
    <w:p w14:paraId="23E22CF8" w14:textId="7B1FAFA7" w:rsidR="00675174" w:rsidRPr="00675174" w:rsidRDefault="00675174" w:rsidP="00020D20">
      <w:pPr>
        <w:jc w:val="both"/>
        <w:rPr>
          <w:rFonts w:cstheme="minorHAnsi"/>
        </w:rPr>
      </w:pPr>
      <w:r w:rsidRPr="00675174">
        <w:rPr>
          <w:rFonts w:cstheme="minorHAnsi"/>
        </w:rPr>
        <w:t>The MPO and/or COG role in PEL document</w:t>
      </w:r>
      <w:r w:rsidR="00B8641E">
        <w:rPr>
          <w:rFonts w:cstheme="minorHAnsi"/>
        </w:rPr>
        <w:t xml:space="preserve"> </w:t>
      </w:r>
      <w:r w:rsidRPr="00675174">
        <w:rPr>
          <w:rFonts w:cstheme="minorHAnsi"/>
        </w:rPr>
        <w:t>development is critical for the ultimate success of the accepted PEL document. Arizona MPOs and COGs are the most familiar with relevant past study documents that are critical input to a PEL study. The MPO/COG role in developing relevant study reference documents that pertain to the PEL study corridor or area study is fundamental to the role of regional planning responsibility. Ideally, Arizona MPOs and COGs make the organized list of documents available electronically to those conducting the PEL study. This critical interaction helps to provide those that may not be as familiar with the study area the additional history and context necessary for a successful PEL document.</w:t>
      </w:r>
    </w:p>
    <w:p w14:paraId="36E3E93B" w14:textId="77777777" w:rsidR="00675174" w:rsidRPr="00675174" w:rsidRDefault="00675174" w:rsidP="00020D20">
      <w:pPr>
        <w:jc w:val="both"/>
        <w:rPr>
          <w:rFonts w:cstheme="minorHAnsi"/>
        </w:rPr>
      </w:pPr>
      <w:r w:rsidRPr="00675174">
        <w:rPr>
          <w:rFonts w:cstheme="minorHAnsi"/>
        </w:rPr>
        <w:t>MPOs and COGs are encouraged to organize and make available key information to support the PEL document development, including:</w:t>
      </w:r>
    </w:p>
    <w:p w14:paraId="60774CAE" w14:textId="77777777" w:rsidR="00675174" w:rsidRPr="00675174" w:rsidRDefault="00675174" w:rsidP="00020D20">
      <w:pPr>
        <w:pStyle w:val="Body-Bullets"/>
        <w:jc w:val="both"/>
      </w:pPr>
      <w:r w:rsidRPr="00675174">
        <w:t>socioeconomic projections,</w:t>
      </w:r>
    </w:p>
    <w:p w14:paraId="5BC59DA7" w14:textId="77777777" w:rsidR="00675174" w:rsidRPr="00675174" w:rsidRDefault="00675174" w:rsidP="00020D20">
      <w:pPr>
        <w:pStyle w:val="Body-Bullets"/>
        <w:jc w:val="both"/>
      </w:pPr>
      <w:r w:rsidRPr="00675174">
        <w:t>the RTP,</w:t>
      </w:r>
    </w:p>
    <w:p w14:paraId="473E05D4" w14:textId="77777777" w:rsidR="00675174" w:rsidRPr="00675174" w:rsidRDefault="00675174" w:rsidP="00020D20">
      <w:pPr>
        <w:pStyle w:val="Body-Bullets"/>
        <w:jc w:val="both"/>
      </w:pPr>
      <w:r w:rsidRPr="00675174">
        <w:t>approved TIP projects,</w:t>
      </w:r>
    </w:p>
    <w:p w14:paraId="31728104" w14:textId="77777777" w:rsidR="00675174" w:rsidRPr="00675174" w:rsidRDefault="00675174" w:rsidP="00020D20">
      <w:pPr>
        <w:pStyle w:val="Body-Bullets"/>
        <w:jc w:val="both"/>
      </w:pPr>
      <w:r w:rsidRPr="00675174">
        <w:t>stakeholder contacts,</w:t>
      </w:r>
    </w:p>
    <w:p w14:paraId="10CC389E" w14:textId="77777777" w:rsidR="00675174" w:rsidRPr="00675174" w:rsidRDefault="00675174" w:rsidP="00020D20">
      <w:pPr>
        <w:pStyle w:val="Body-Bullets"/>
        <w:jc w:val="both"/>
      </w:pPr>
      <w:r w:rsidRPr="00675174">
        <w:t>MPO/COG Technical Advisory Committee participation/facilitation relating to the project,</w:t>
      </w:r>
    </w:p>
    <w:p w14:paraId="05A4C7CA" w14:textId="77777777" w:rsidR="00675174" w:rsidRPr="00675174" w:rsidRDefault="00675174" w:rsidP="00020D20">
      <w:pPr>
        <w:pStyle w:val="Body-Bullets"/>
        <w:jc w:val="both"/>
      </w:pPr>
      <w:r w:rsidRPr="00675174">
        <w:t>public involvement support to ensure consistent public participation,</w:t>
      </w:r>
    </w:p>
    <w:p w14:paraId="1D914150" w14:textId="23FDECDF" w:rsidR="00675174" w:rsidRPr="00675174" w:rsidRDefault="00675174" w:rsidP="00020D20">
      <w:pPr>
        <w:pStyle w:val="Body-Bullets"/>
        <w:jc w:val="both"/>
      </w:pPr>
      <w:r w:rsidRPr="00675174">
        <w:t>any known environmental datasets not readily available, and</w:t>
      </w:r>
    </w:p>
    <w:p w14:paraId="688364FD" w14:textId="77777777" w:rsidR="00675174" w:rsidRPr="00675174" w:rsidRDefault="00675174" w:rsidP="00020D20">
      <w:pPr>
        <w:pStyle w:val="Body-Bullets"/>
        <w:jc w:val="both"/>
      </w:pPr>
      <w:r w:rsidRPr="00675174">
        <w:t>relevant GIS datasets</w:t>
      </w:r>
    </w:p>
    <w:p w14:paraId="13C63054" w14:textId="77777777" w:rsidR="00675174" w:rsidRPr="00675174" w:rsidRDefault="00675174" w:rsidP="00020D20">
      <w:pPr>
        <w:pStyle w:val="Heading3"/>
        <w:jc w:val="both"/>
      </w:pPr>
      <w:bookmarkStart w:id="735" w:name="_Ref50050230"/>
      <w:r w:rsidRPr="00675174">
        <w:t>17.9.3 | PEL Resource Material</w:t>
      </w:r>
      <w:bookmarkEnd w:id="735"/>
    </w:p>
    <w:p w14:paraId="1C1760A3" w14:textId="7C5E84C9" w:rsidR="00392227" w:rsidRDefault="00675174" w:rsidP="00020D20">
      <w:pPr>
        <w:jc w:val="both"/>
        <w:sectPr w:rsidR="00392227" w:rsidSect="00020D20">
          <w:type w:val="continuous"/>
          <w:pgSz w:w="12240" w:h="15840"/>
          <w:pgMar w:top="1440" w:right="1440" w:bottom="1440" w:left="1440" w:header="720" w:footer="720" w:gutter="0"/>
          <w:pgNumType w:chapStyle="1"/>
          <w:cols w:num="2" w:space="720"/>
          <w:docGrid w:linePitch="360"/>
        </w:sectPr>
      </w:pPr>
      <w:r w:rsidRPr="00675174">
        <w:rPr>
          <w:rFonts w:cstheme="minorHAnsi"/>
        </w:rPr>
        <w:t xml:space="preserve">The PEL process requires a planning level evaluation of natural, cultural, and physical resources within the study area. Many of the resources that need to be examined in the PEL process can be evaluated using readily available GIS datasets. Much of this information can be extracted from the </w:t>
      </w:r>
      <w:r w:rsidR="00A14F08">
        <w:rPr>
          <w:rFonts w:cstheme="minorHAnsi"/>
        </w:rPr>
        <w:t>Arizon</w:t>
      </w:r>
      <w:r w:rsidR="00307F93">
        <w:rPr>
          <w:rFonts w:cstheme="minorHAnsi"/>
        </w:rPr>
        <w:t xml:space="preserve">a Geographic Information Council </w:t>
      </w:r>
      <w:r w:rsidR="00A14F08">
        <w:rPr>
          <w:rFonts w:cstheme="minorHAnsi"/>
        </w:rPr>
        <w:t>(</w:t>
      </w:r>
      <w:r w:rsidRPr="00675174">
        <w:rPr>
          <w:rFonts w:cstheme="minorHAnsi"/>
        </w:rPr>
        <w:t>AGIC</w:t>
      </w:r>
      <w:r w:rsidR="00A14F08">
        <w:rPr>
          <w:rFonts w:cstheme="minorHAnsi"/>
        </w:rPr>
        <w:t>)</w:t>
      </w:r>
      <w:r w:rsidRPr="00675174">
        <w:rPr>
          <w:rFonts w:cstheme="minorHAnsi"/>
        </w:rPr>
        <w:t>, Bureau of Land Management (BLM), Habimap, and U.S. Geological Survey (USGS) websites. Table 17.9.1 includes links to download typical key resource data for PEL documentation.</w:t>
      </w:r>
      <w:r w:rsidR="00D91257">
        <w:rPr>
          <w:rFonts w:cstheme="minorHAnsi"/>
        </w:rPr>
        <w:t xml:space="preserve"> County resources are also frequently available.</w:t>
      </w:r>
    </w:p>
    <w:p w14:paraId="226BECEA" w14:textId="77777777" w:rsidR="00392227" w:rsidRDefault="00392227"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color w:val="767171" w:themeColor="background2" w:themeShade="80"/>
        </w:rPr>
      </w:pPr>
      <w:r>
        <w:rPr>
          <w:rFonts w:cstheme="minorHAnsi"/>
        </w:rPr>
        <w:br w:type="page"/>
      </w:r>
    </w:p>
    <w:p w14:paraId="2BD7BD4C" w14:textId="51191445" w:rsidR="00675174" w:rsidRDefault="00675174" w:rsidP="00020D20">
      <w:pPr>
        <w:pStyle w:val="Heading4"/>
        <w:jc w:val="both"/>
      </w:pPr>
      <w:r w:rsidRPr="00675174">
        <w:t>Table 17.9</w:t>
      </w:r>
      <w:r w:rsidR="00406600">
        <w:t>-</w:t>
      </w:r>
      <w:r w:rsidRPr="00675174">
        <w:t>1 | Resource Evaluation Links</w:t>
      </w:r>
    </w:p>
    <w:tbl>
      <w:tblPr>
        <w:tblW w:w="9360" w:type="dxa"/>
        <w:tblInd w:w="-5" w:type="dxa"/>
        <w:tblLayout w:type="fixed"/>
        <w:tblCellMar>
          <w:left w:w="0" w:type="dxa"/>
          <w:right w:w="0" w:type="dxa"/>
        </w:tblCellMar>
        <w:tblLook w:val="0000" w:firstRow="0" w:lastRow="0" w:firstColumn="0" w:lastColumn="0" w:noHBand="0" w:noVBand="0"/>
      </w:tblPr>
      <w:tblGrid>
        <w:gridCol w:w="1620"/>
        <w:gridCol w:w="2700"/>
        <w:gridCol w:w="5040"/>
      </w:tblGrid>
      <w:tr w:rsidR="007F6BE8" w14:paraId="4C0E88AB" w14:textId="77777777" w:rsidTr="00020D20">
        <w:trPr>
          <w:trHeight w:val="125"/>
        </w:trPr>
        <w:tc>
          <w:tcPr>
            <w:tcW w:w="1620" w:type="dxa"/>
            <w:tcBorders>
              <w:top w:val="single" w:sz="8" w:space="0" w:color="auto"/>
              <w:left w:val="single" w:sz="8" w:space="0" w:color="auto"/>
              <w:bottom w:val="single" w:sz="8" w:space="0" w:color="auto"/>
              <w:right w:val="single" w:sz="4" w:space="0" w:color="FFFFFF" w:themeColor="background1"/>
            </w:tcBorders>
            <w:shd w:val="clear" w:color="auto" w:fill="012768"/>
            <w:tcMar>
              <w:top w:w="90" w:type="dxa"/>
              <w:left w:w="90" w:type="dxa"/>
              <w:bottom w:w="90" w:type="dxa"/>
              <w:right w:w="90" w:type="dxa"/>
            </w:tcMar>
            <w:vAlign w:val="center"/>
          </w:tcPr>
          <w:p w14:paraId="792A8C26" w14:textId="77777777" w:rsidR="00675174" w:rsidRPr="00020D20" w:rsidRDefault="00675174" w:rsidP="00020D20">
            <w:pPr>
              <w:pStyle w:val="TableSideSub-HeaderBOLDADOTTable"/>
              <w:spacing w:before="0" w:after="0" w:line="240" w:lineRule="auto"/>
              <w:rPr>
                <w:rFonts w:asciiTheme="minorHAnsi" w:hAnsiTheme="minorHAnsi"/>
                <w:b w:val="0"/>
                <w:color w:val="FFFFFF" w:themeColor="background1"/>
                <w:sz w:val="22"/>
              </w:rPr>
            </w:pPr>
            <w:r w:rsidRPr="00020D20">
              <w:rPr>
                <w:rFonts w:asciiTheme="minorHAnsi" w:hAnsiTheme="minorHAnsi"/>
                <w:b w:val="0"/>
                <w:color w:val="FFFFFF" w:themeColor="background1"/>
                <w:sz w:val="22"/>
              </w:rPr>
              <w:t>Resource</w:t>
            </w:r>
          </w:p>
        </w:tc>
        <w:tc>
          <w:tcPr>
            <w:tcW w:w="2700" w:type="dxa"/>
            <w:tcBorders>
              <w:top w:val="single" w:sz="8" w:space="0" w:color="auto"/>
              <w:left w:val="single" w:sz="4" w:space="0" w:color="FFFFFF" w:themeColor="background1"/>
              <w:bottom w:val="single" w:sz="8" w:space="0" w:color="auto"/>
              <w:right w:val="single" w:sz="4" w:space="0" w:color="FFFFFF" w:themeColor="background1"/>
            </w:tcBorders>
            <w:shd w:val="clear" w:color="auto" w:fill="012768"/>
            <w:tcMar>
              <w:top w:w="90" w:type="dxa"/>
              <w:left w:w="90" w:type="dxa"/>
              <w:bottom w:w="90" w:type="dxa"/>
              <w:right w:w="90" w:type="dxa"/>
            </w:tcMar>
            <w:vAlign w:val="center"/>
          </w:tcPr>
          <w:p w14:paraId="704F750E" w14:textId="77777777" w:rsidR="00675174" w:rsidRPr="00020D20" w:rsidRDefault="00675174" w:rsidP="00020D20">
            <w:pPr>
              <w:pStyle w:val="TableSideSub-HeaderBOLDADOTTable"/>
              <w:spacing w:before="0" w:after="0" w:line="240" w:lineRule="auto"/>
              <w:rPr>
                <w:rFonts w:asciiTheme="minorHAnsi" w:hAnsiTheme="minorHAnsi"/>
                <w:b w:val="0"/>
                <w:color w:val="FFFFFF" w:themeColor="background1"/>
                <w:sz w:val="22"/>
              </w:rPr>
            </w:pPr>
            <w:r w:rsidRPr="00020D20">
              <w:rPr>
                <w:rFonts w:asciiTheme="minorHAnsi" w:hAnsiTheme="minorHAnsi"/>
                <w:b w:val="0"/>
                <w:color w:val="FFFFFF" w:themeColor="background1"/>
                <w:sz w:val="22"/>
              </w:rPr>
              <w:t>Agency</w:t>
            </w:r>
          </w:p>
        </w:tc>
        <w:tc>
          <w:tcPr>
            <w:tcW w:w="5040" w:type="dxa"/>
            <w:tcBorders>
              <w:top w:val="single" w:sz="8" w:space="0" w:color="auto"/>
              <w:left w:val="single" w:sz="4" w:space="0" w:color="FFFFFF" w:themeColor="background1"/>
              <w:bottom w:val="single" w:sz="8" w:space="0" w:color="auto"/>
              <w:right w:val="single" w:sz="8" w:space="0" w:color="auto"/>
            </w:tcBorders>
            <w:shd w:val="clear" w:color="auto" w:fill="012768"/>
            <w:tcMar>
              <w:top w:w="90" w:type="dxa"/>
              <w:left w:w="90" w:type="dxa"/>
              <w:bottom w:w="90" w:type="dxa"/>
              <w:right w:w="90" w:type="dxa"/>
            </w:tcMar>
            <w:vAlign w:val="center"/>
          </w:tcPr>
          <w:p w14:paraId="334A7F9D" w14:textId="77777777" w:rsidR="00675174" w:rsidRPr="00020D20" w:rsidRDefault="00675174" w:rsidP="00020D20">
            <w:pPr>
              <w:pStyle w:val="TableSideSub-HeaderBOLDADOTTable"/>
              <w:spacing w:before="0" w:after="0" w:line="240" w:lineRule="auto"/>
              <w:rPr>
                <w:rFonts w:asciiTheme="minorHAnsi" w:hAnsiTheme="minorHAnsi"/>
                <w:b w:val="0"/>
                <w:color w:val="FFFFFF" w:themeColor="background1"/>
                <w:sz w:val="22"/>
              </w:rPr>
            </w:pPr>
            <w:r w:rsidRPr="00020D20">
              <w:rPr>
                <w:rFonts w:asciiTheme="minorHAnsi" w:hAnsiTheme="minorHAnsi"/>
                <w:b w:val="0"/>
                <w:color w:val="FFFFFF" w:themeColor="background1"/>
                <w:sz w:val="22"/>
              </w:rPr>
              <w:t>Link</w:t>
            </w:r>
          </w:p>
        </w:tc>
      </w:tr>
      <w:tr w:rsidR="00392227" w14:paraId="2CF3F302" w14:textId="77777777" w:rsidTr="00020D20">
        <w:trPr>
          <w:trHeight w:val="432"/>
        </w:trPr>
        <w:tc>
          <w:tcPr>
            <w:tcW w:w="1620" w:type="dxa"/>
            <w:tcBorders>
              <w:top w:val="single" w:sz="8"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649DF1C5" w14:textId="77777777" w:rsidR="00675174" w:rsidRPr="00977A9B" w:rsidRDefault="00675174" w:rsidP="00020D20">
            <w:pPr>
              <w:spacing w:before="0" w:after="0" w:line="216" w:lineRule="auto"/>
              <w:jc w:val="center"/>
              <w:rPr>
                <w:szCs w:val="16"/>
              </w:rPr>
            </w:pPr>
            <w:r w:rsidRPr="005A6734">
              <w:rPr>
                <w:szCs w:val="16"/>
              </w:rPr>
              <w:t>Soils</w:t>
            </w:r>
          </w:p>
        </w:tc>
        <w:tc>
          <w:tcPr>
            <w:tcW w:w="2700" w:type="dxa"/>
            <w:tcBorders>
              <w:top w:val="single" w:sz="8"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1A50F0C1"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Soil Conservation Service</w:t>
            </w:r>
          </w:p>
        </w:tc>
        <w:tc>
          <w:tcPr>
            <w:tcW w:w="5040" w:type="dxa"/>
            <w:tcBorders>
              <w:top w:val="single" w:sz="8"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2E30DBF4" w14:textId="77777777" w:rsidR="00675174" w:rsidRPr="00020D20" w:rsidRDefault="00202C92" w:rsidP="00020D20">
            <w:pPr>
              <w:pStyle w:val="Title"/>
              <w:spacing w:line="216" w:lineRule="auto"/>
              <w:rPr>
                <w:rStyle w:val="HyperlinkADOT"/>
                <w:rFonts w:asciiTheme="minorHAnsi" w:hAnsiTheme="minorHAnsi" w:cstheme="majorBidi"/>
                <w:i/>
                <w:iCs w:val="0"/>
                <w:color w:val="CE5B18"/>
                <w:spacing w:val="-10"/>
                <w:sz w:val="20"/>
                <w:u w:val="none"/>
              </w:rPr>
            </w:pPr>
            <w:hyperlink r:id="rId1185" w:history="1">
              <w:r w:rsidR="00675174" w:rsidRPr="00020D20">
                <w:rPr>
                  <w:rStyle w:val="Hyperlink"/>
                  <w:rFonts w:asciiTheme="minorHAnsi" w:hAnsiTheme="minorHAnsi" w:cstheme="majorBidi"/>
                  <w:i/>
                  <w:iCs w:val="0"/>
                  <w:color w:val="CE5B18"/>
                  <w:sz w:val="20"/>
                  <w:u w:val="none"/>
                </w:rPr>
                <w:t>http://soils.usda.gov/</w:t>
              </w:r>
            </w:hyperlink>
          </w:p>
          <w:p w14:paraId="0B754565" w14:textId="4A2B81A5" w:rsidR="00675174" w:rsidRPr="00977A9B" w:rsidRDefault="00202C92" w:rsidP="00020D20">
            <w:pPr>
              <w:pStyle w:val="Title"/>
              <w:spacing w:line="216" w:lineRule="auto"/>
              <w:rPr>
                <w:szCs w:val="16"/>
              </w:rPr>
            </w:pPr>
            <w:hyperlink r:id="rId1186" w:history="1">
              <w:r w:rsidR="00675174" w:rsidRPr="00977A9B">
                <w:rPr>
                  <w:rStyle w:val="HyperlinkADOT"/>
                  <w:rFonts w:asciiTheme="minorHAnsi" w:hAnsiTheme="minorHAnsi" w:cstheme="majorBidi"/>
                  <w:i/>
                  <w:iCs w:val="0"/>
                  <w:color w:val="CE5B18"/>
                  <w:spacing w:val="-10"/>
                  <w:sz w:val="20"/>
                  <w:u w:val="none"/>
                </w:rPr>
                <w:t>http://websoilsurvey.sc.egov.usda.gov/app/WebSoilSurvey.aspx</w:t>
              </w:r>
            </w:hyperlink>
          </w:p>
        </w:tc>
      </w:tr>
      <w:tr w:rsidR="00392227" w14:paraId="0F9B421C"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25BE59DD" w14:textId="77777777" w:rsidR="00675174" w:rsidRPr="00977A9B" w:rsidRDefault="00675174" w:rsidP="00020D20">
            <w:pPr>
              <w:spacing w:before="0" w:after="0" w:line="216" w:lineRule="auto"/>
              <w:jc w:val="center"/>
              <w:rPr>
                <w:szCs w:val="16"/>
              </w:rPr>
            </w:pPr>
            <w:r w:rsidRPr="005A6734">
              <w:rPr>
                <w:szCs w:val="16"/>
              </w:rPr>
              <w:t>Topography</w:t>
            </w:r>
          </w:p>
        </w:tc>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128A275D"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USGS</w:t>
            </w:r>
          </w:p>
        </w:tc>
        <w:tc>
          <w:tcPr>
            <w:tcW w:w="50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5914D77A" w14:textId="5FCFC551" w:rsidR="00675174" w:rsidRPr="005A6734" w:rsidRDefault="00202C92" w:rsidP="00020D20">
            <w:pPr>
              <w:pStyle w:val="Title"/>
              <w:spacing w:line="216" w:lineRule="auto"/>
              <w:rPr>
                <w:szCs w:val="16"/>
              </w:rPr>
            </w:pPr>
            <w:hyperlink r:id="rId1187" w:history="1">
              <w:r w:rsidR="0022137F" w:rsidRPr="00977A9B">
                <w:rPr>
                  <w:rStyle w:val="Hyperlink"/>
                  <w:rFonts w:asciiTheme="minorHAnsi" w:hAnsiTheme="minorHAnsi" w:cstheme="majorBidi"/>
                  <w:i/>
                  <w:iCs w:val="0"/>
                  <w:color w:val="CE5B18"/>
                  <w:sz w:val="20"/>
                  <w:u w:val="none"/>
                </w:rPr>
                <w:t>https://www.usgs.gov/core-science-systems/national-geospatial-program/topographic-maps</w:t>
              </w:r>
            </w:hyperlink>
          </w:p>
        </w:tc>
      </w:tr>
      <w:tr w:rsidR="007F6BE8" w14:paraId="1AC44287"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5243D708" w14:textId="77777777" w:rsidR="00675174" w:rsidRPr="00977A9B" w:rsidRDefault="00675174" w:rsidP="00020D20">
            <w:pPr>
              <w:spacing w:before="0" w:after="0" w:line="216" w:lineRule="auto"/>
              <w:jc w:val="center"/>
              <w:rPr>
                <w:szCs w:val="16"/>
              </w:rPr>
            </w:pPr>
            <w:r w:rsidRPr="005A6734">
              <w:rPr>
                <w:szCs w:val="16"/>
              </w:rPr>
              <w:t>Sensitive Biological</w:t>
            </w:r>
          </w:p>
        </w:tc>
        <w:tc>
          <w:tcPr>
            <w:tcW w:w="270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0F9D23DA"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Habimap</w:t>
            </w:r>
          </w:p>
        </w:tc>
        <w:tc>
          <w:tcPr>
            <w:tcW w:w="504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1A7522C9" w14:textId="77777777" w:rsidR="00675174" w:rsidRPr="005A6734" w:rsidRDefault="00202C92" w:rsidP="00020D20">
            <w:pPr>
              <w:pStyle w:val="Title"/>
              <w:spacing w:line="216" w:lineRule="auto"/>
              <w:rPr>
                <w:szCs w:val="16"/>
              </w:rPr>
            </w:pPr>
            <w:hyperlink r:id="rId1188" w:history="1">
              <w:r w:rsidR="00675174" w:rsidRPr="00977A9B">
                <w:rPr>
                  <w:rStyle w:val="HyperlinkADOT"/>
                  <w:rFonts w:asciiTheme="minorHAnsi" w:hAnsiTheme="minorHAnsi" w:cstheme="majorBidi"/>
                  <w:i/>
                  <w:iCs w:val="0"/>
                  <w:color w:val="CE5B18"/>
                  <w:spacing w:val="-10"/>
                  <w:sz w:val="20"/>
                  <w:u w:val="none"/>
                </w:rPr>
                <w:t>http://www.habimap.org/</w:t>
              </w:r>
            </w:hyperlink>
          </w:p>
        </w:tc>
      </w:tr>
      <w:tr w:rsidR="007F6BE8" w14:paraId="3C7DF1BD"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7638EFC9" w14:textId="77777777" w:rsidR="00675174" w:rsidRPr="00977A9B" w:rsidRDefault="00675174" w:rsidP="00020D20">
            <w:pPr>
              <w:spacing w:before="0" w:after="0" w:line="216" w:lineRule="auto"/>
              <w:jc w:val="center"/>
              <w:rPr>
                <w:szCs w:val="16"/>
              </w:rPr>
            </w:pPr>
            <w:r w:rsidRPr="005A6734">
              <w:rPr>
                <w:szCs w:val="16"/>
              </w:rPr>
              <w:t>Surface Waters</w:t>
            </w:r>
          </w:p>
        </w:tc>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0153DB73" w14:textId="736556D1" w:rsidR="00675174" w:rsidRPr="00020D20" w:rsidRDefault="00E030DA"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Federal Emergency Man</w:t>
            </w:r>
            <w:r w:rsidR="00C207DD" w:rsidRPr="00020D20">
              <w:rPr>
                <w:rFonts w:asciiTheme="minorHAnsi" w:hAnsiTheme="minorHAnsi"/>
                <w:sz w:val="20"/>
                <w:szCs w:val="16"/>
              </w:rPr>
              <w:t>agement Agency (</w:t>
            </w:r>
            <w:r w:rsidR="00675174" w:rsidRPr="00020D20">
              <w:rPr>
                <w:rFonts w:asciiTheme="minorHAnsi" w:hAnsiTheme="minorHAnsi"/>
                <w:sz w:val="20"/>
                <w:szCs w:val="16"/>
              </w:rPr>
              <w:t>FEMA</w:t>
            </w:r>
            <w:r w:rsidR="00C207DD" w:rsidRPr="00020D20">
              <w:rPr>
                <w:rFonts w:asciiTheme="minorHAnsi" w:hAnsiTheme="minorHAnsi"/>
                <w:sz w:val="20"/>
                <w:szCs w:val="16"/>
              </w:rPr>
              <w:t>)</w:t>
            </w:r>
          </w:p>
        </w:tc>
        <w:tc>
          <w:tcPr>
            <w:tcW w:w="50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09166DC6" w14:textId="77777777" w:rsidR="00675174" w:rsidRPr="005A6734" w:rsidRDefault="00202C92" w:rsidP="00020D20">
            <w:pPr>
              <w:pStyle w:val="Title"/>
              <w:spacing w:line="216" w:lineRule="auto"/>
              <w:rPr>
                <w:szCs w:val="16"/>
              </w:rPr>
            </w:pPr>
            <w:hyperlink r:id="rId1189" w:history="1">
              <w:r w:rsidR="00675174" w:rsidRPr="00977A9B">
                <w:rPr>
                  <w:rStyle w:val="HyperlinkADOT"/>
                  <w:rFonts w:asciiTheme="minorHAnsi" w:hAnsiTheme="minorHAnsi" w:cstheme="majorBidi"/>
                  <w:i/>
                  <w:iCs w:val="0"/>
                  <w:color w:val="CE5B18"/>
                  <w:spacing w:val="-10"/>
                  <w:sz w:val="20"/>
                  <w:u w:val="none"/>
                </w:rPr>
                <w:t>https://hazards.fema.gov/femaportal/wps/portal</w:t>
              </w:r>
            </w:hyperlink>
          </w:p>
        </w:tc>
      </w:tr>
      <w:tr w:rsidR="00392227" w14:paraId="56985FD5"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46AFB677" w14:textId="77777777" w:rsidR="00675174" w:rsidRPr="00977A9B" w:rsidRDefault="00675174" w:rsidP="00020D20">
            <w:pPr>
              <w:spacing w:before="0" w:after="0" w:line="216" w:lineRule="auto"/>
              <w:jc w:val="center"/>
              <w:rPr>
                <w:szCs w:val="16"/>
              </w:rPr>
            </w:pPr>
            <w:r w:rsidRPr="005A6734">
              <w:rPr>
                <w:szCs w:val="16"/>
              </w:rPr>
              <w:t>Wetlands</w:t>
            </w:r>
          </w:p>
        </w:tc>
        <w:tc>
          <w:tcPr>
            <w:tcW w:w="270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5DF7CA72" w14:textId="284DA08A"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U.S. Fish and Wildlife Service</w:t>
            </w:r>
            <w:r w:rsidR="00DD5155" w:rsidRPr="00020D20">
              <w:rPr>
                <w:rFonts w:asciiTheme="minorHAnsi" w:hAnsiTheme="minorHAnsi"/>
                <w:sz w:val="20"/>
                <w:szCs w:val="16"/>
              </w:rPr>
              <w:t xml:space="preserve"> (USFWS)</w:t>
            </w:r>
          </w:p>
        </w:tc>
        <w:tc>
          <w:tcPr>
            <w:tcW w:w="504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061E61BE" w14:textId="77777777" w:rsidR="00675174" w:rsidRPr="005A6734" w:rsidRDefault="00202C92" w:rsidP="00020D20">
            <w:pPr>
              <w:pStyle w:val="Title"/>
              <w:spacing w:line="216" w:lineRule="auto"/>
              <w:rPr>
                <w:szCs w:val="16"/>
              </w:rPr>
            </w:pPr>
            <w:hyperlink r:id="rId1190" w:history="1">
              <w:r w:rsidR="00675174" w:rsidRPr="00977A9B">
                <w:rPr>
                  <w:rStyle w:val="HyperlinkADOT"/>
                  <w:rFonts w:asciiTheme="minorHAnsi" w:hAnsiTheme="minorHAnsi" w:cstheme="majorBidi"/>
                  <w:i/>
                  <w:iCs w:val="0"/>
                  <w:color w:val="CE5B18"/>
                  <w:spacing w:val="-10"/>
                  <w:sz w:val="20"/>
                  <w:u w:val="none"/>
                </w:rPr>
                <w:t>http://www.fws.gov/wetlands/Data/State-Downloads.html</w:t>
              </w:r>
            </w:hyperlink>
          </w:p>
        </w:tc>
      </w:tr>
      <w:tr w:rsidR="00392227" w14:paraId="3E2869AC"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7FEC3566" w14:textId="77777777" w:rsidR="00DA7472" w:rsidRDefault="00675174" w:rsidP="00020D20">
            <w:pPr>
              <w:spacing w:before="0" w:after="0" w:line="216" w:lineRule="auto"/>
              <w:jc w:val="center"/>
              <w:rPr>
                <w:szCs w:val="16"/>
              </w:rPr>
            </w:pPr>
            <w:r w:rsidRPr="005A6734">
              <w:rPr>
                <w:szCs w:val="16"/>
              </w:rPr>
              <w:t>Archaeological/</w:t>
            </w:r>
          </w:p>
          <w:p w14:paraId="2EA155DB" w14:textId="6A84B3A2" w:rsidR="00675174" w:rsidRPr="00977A9B" w:rsidRDefault="00675174" w:rsidP="00020D20">
            <w:pPr>
              <w:spacing w:before="0" w:after="0" w:line="216" w:lineRule="auto"/>
              <w:jc w:val="center"/>
              <w:rPr>
                <w:szCs w:val="16"/>
              </w:rPr>
            </w:pPr>
            <w:r w:rsidRPr="005A6734">
              <w:rPr>
                <w:szCs w:val="16"/>
              </w:rPr>
              <w:t>Historical</w:t>
            </w:r>
          </w:p>
        </w:tc>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7E67867A"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State Historic Preservation Office</w:t>
            </w:r>
          </w:p>
        </w:tc>
        <w:tc>
          <w:tcPr>
            <w:tcW w:w="50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649EE0F1" w14:textId="77777777" w:rsidR="00675174" w:rsidRPr="005A6734" w:rsidRDefault="00202C92" w:rsidP="00020D20">
            <w:pPr>
              <w:pStyle w:val="Title"/>
              <w:spacing w:line="216" w:lineRule="auto"/>
              <w:rPr>
                <w:szCs w:val="16"/>
              </w:rPr>
            </w:pPr>
            <w:hyperlink r:id="rId1191" w:history="1">
              <w:r w:rsidR="00675174" w:rsidRPr="00977A9B">
                <w:rPr>
                  <w:rStyle w:val="HyperlinkADOT"/>
                  <w:rFonts w:asciiTheme="minorHAnsi" w:hAnsiTheme="minorHAnsi" w:cstheme="majorBidi"/>
                  <w:i/>
                  <w:iCs w:val="0"/>
                  <w:color w:val="CE5B18"/>
                  <w:spacing w:val="-10"/>
                  <w:sz w:val="20"/>
                  <w:u w:val="none"/>
                </w:rPr>
                <w:t>http://azstateparks.com/SHPO/</w:t>
              </w:r>
            </w:hyperlink>
          </w:p>
        </w:tc>
      </w:tr>
      <w:tr w:rsidR="00392227" w14:paraId="6A3A295F"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2F6AC972" w14:textId="77777777" w:rsidR="00675174" w:rsidRPr="00977A9B" w:rsidRDefault="00675174" w:rsidP="00020D20">
            <w:pPr>
              <w:spacing w:before="0" w:after="0" w:line="216" w:lineRule="auto"/>
              <w:jc w:val="center"/>
              <w:rPr>
                <w:szCs w:val="16"/>
              </w:rPr>
            </w:pPr>
            <w:r w:rsidRPr="005A6734">
              <w:rPr>
                <w:szCs w:val="16"/>
              </w:rPr>
              <w:t>Section 4(f)</w:t>
            </w:r>
          </w:p>
        </w:tc>
        <w:tc>
          <w:tcPr>
            <w:tcW w:w="270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2EBEEBB6"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Local Agency Information</w:t>
            </w:r>
          </w:p>
        </w:tc>
        <w:tc>
          <w:tcPr>
            <w:tcW w:w="504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6D658207" w14:textId="021963F9" w:rsidR="00675174" w:rsidRPr="00B83DD3" w:rsidRDefault="00202C92">
            <w:pPr>
              <w:pStyle w:val="Title"/>
            </w:pPr>
            <w:hyperlink r:id="rId1192" w:history="1">
              <w:r w:rsidR="00B83DD3" w:rsidRPr="00020D20">
                <w:rPr>
                  <w:rStyle w:val="Hyperlink"/>
                  <w:rFonts w:ascii="Calibri" w:hAnsi="Calibri" w:cstheme="majorBidi"/>
                  <w:i/>
                  <w:iCs w:val="0"/>
                  <w:color w:val="CE5B18"/>
                  <w:sz w:val="20"/>
                  <w:szCs w:val="56"/>
                  <w:u w:val="none"/>
                </w:rPr>
                <w:t>https://www.environment.fhwa.dot.gov/env_topics/4f_tutorial/default.aspx</w:t>
              </w:r>
            </w:hyperlink>
          </w:p>
        </w:tc>
      </w:tr>
      <w:tr w:rsidR="00392227" w14:paraId="48C17143"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545211D4" w14:textId="77777777" w:rsidR="00675174" w:rsidRPr="00977A9B" w:rsidRDefault="00675174" w:rsidP="00020D20">
            <w:pPr>
              <w:spacing w:before="0" w:after="0" w:line="216" w:lineRule="auto"/>
              <w:jc w:val="center"/>
              <w:rPr>
                <w:szCs w:val="16"/>
              </w:rPr>
            </w:pPr>
            <w:r w:rsidRPr="005A6734">
              <w:rPr>
                <w:szCs w:val="16"/>
              </w:rPr>
              <w:t>Section 6(f)</w:t>
            </w:r>
          </w:p>
        </w:tc>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6B82D691"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Arizona State Parks- Land and Water Conservation Fund</w:t>
            </w:r>
          </w:p>
        </w:tc>
        <w:tc>
          <w:tcPr>
            <w:tcW w:w="50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156E6FBD" w14:textId="77777777" w:rsidR="00675174" w:rsidRPr="005A6734" w:rsidRDefault="00202C92" w:rsidP="00020D20">
            <w:pPr>
              <w:pStyle w:val="Title"/>
              <w:spacing w:line="216" w:lineRule="auto"/>
              <w:rPr>
                <w:szCs w:val="16"/>
              </w:rPr>
            </w:pPr>
            <w:hyperlink r:id="rId1193" w:history="1">
              <w:r w:rsidR="00675174" w:rsidRPr="00977A9B">
                <w:rPr>
                  <w:rStyle w:val="HyperlinkADOT"/>
                  <w:rFonts w:asciiTheme="minorHAnsi" w:hAnsiTheme="minorHAnsi" w:cstheme="majorBidi"/>
                  <w:i/>
                  <w:iCs w:val="0"/>
                  <w:color w:val="CE5B18"/>
                  <w:spacing w:val="-10"/>
                  <w:sz w:val="20"/>
                  <w:u w:val="none"/>
                </w:rPr>
                <w:t>http://azstateparks.com/find/map.html</w:t>
              </w:r>
            </w:hyperlink>
          </w:p>
        </w:tc>
      </w:tr>
      <w:tr w:rsidR="00392227" w14:paraId="253A0E17"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4022FBBE" w14:textId="77777777" w:rsidR="00675174" w:rsidRPr="001E4049" w:rsidRDefault="00675174" w:rsidP="00020D20">
            <w:pPr>
              <w:spacing w:before="0" w:after="0" w:line="216" w:lineRule="auto"/>
              <w:jc w:val="center"/>
              <w:rPr>
                <w:szCs w:val="16"/>
              </w:rPr>
            </w:pPr>
            <w:r w:rsidRPr="005A6734">
              <w:rPr>
                <w:szCs w:val="16"/>
              </w:rPr>
              <w:t xml:space="preserve">Prime and Unique </w:t>
            </w:r>
            <w:r w:rsidRPr="00977A9B">
              <w:rPr>
                <w:szCs w:val="16"/>
              </w:rPr>
              <w:t>Farmlands</w:t>
            </w:r>
          </w:p>
        </w:tc>
        <w:tc>
          <w:tcPr>
            <w:tcW w:w="2700" w:type="dxa"/>
            <w:tcBorders>
              <w:top w:val="single" w:sz="8" w:space="0" w:color="58585B"/>
              <w:left w:val="single" w:sz="8" w:space="0" w:color="58585B"/>
              <w:bottom w:val="single" w:sz="4" w:space="0" w:color="auto"/>
              <w:right w:val="single" w:sz="8" w:space="0" w:color="58585B"/>
            </w:tcBorders>
            <w:tcMar>
              <w:top w:w="58" w:type="dxa"/>
              <w:left w:w="58" w:type="dxa"/>
              <w:bottom w:w="58" w:type="dxa"/>
              <w:right w:w="58" w:type="dxa"/>
            </w:tcMar>
            <w:vAlign w:val="center"/>
          </w:tcPr>
          <w:p w14:paraId="19209127"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Readily Available Aerial Mapping</w:t>
            </w:r>
          </w:p>
        </w:tc>
        <w:tc>
          <w:tcPr>
            <w:tcW w:w="5040" w:type="dxa"/>
            <w:tcBorders>
              <w:top w:val="single" w:sz="8" w:space="0" w:color="58585B"/>
              <w:left w:val="single" w:sz="8" w:space="0" w:color="58585B"/>
              <w:bottom w:val="single" w:sz="4" w:space="0" w:color="auto"/>
              <w:right w:val="single" w:sz="8" w:space="0" w:color="58585B"/>
            </w:tcBorders>
            <w:tcMar>
              <w:top w:w="58" w:type="dxa"/>
              <w:left w:w="58" w:type="dxa"/>
              <w:bottom w:w="58" w:type="dxa"/>
              <w:right w:w="58" w:type="dxa"/>
            </w:tcMar>
            <w:vAlign w:val="center"/>
          </w:tcPr>
          <w:p w14:paraId="116D3294" w14:textId="2841069B" w:rsidR="00675174" w:rsidRPr="00B83DD3" w:rsidRDefault="00202C92">
            <w:pPr>
              <w:pStyle w:val="Title"/>
            </w:pPr>
            <w:hyperlink r:id="rId1194" w:history="1">
              <w:r w:rsidR="00B83DD3" w:rsidRPr="00020D20">
                <w:rPr>
                  <w:rStyle w:val="Hyperlink"/>
                  <w:rFonts w:ascii="Calibri" w:hAnsi="Calibri" w:cstheme="majorBidi"/>
                  <w:i/>
                  <w:iCs w:val="0"/>
                  <w:color w:val="CE5B18"/>
                  <w:sz w:val="20"/>
                  <w:szCs w:val="56"/>
                  <w:u w:val="none"/>
                </w:rPr>
                <w:t>https://www.nrcs.usda.gov/wps/portal/nrcs/site/national/home/</w:t>
              </w:r>
            </w:hyperlink>
          </w:p>
        </w:tc>
      </w:tr>
      <w:tr w:rsidR="00392227" w14:paraId="31DD6657" w14:textId="77777777" w:rsidTr="00020D20">
        <w:trPr>
          <w:trHeight w:val="432"/>
        </w:trPr>
        <w:tc>
          <w:tcPr>
            <w:tcW w:w="1620" w:type="dxa"/>
            <w:tcBorders>
              <w:top w:val="single" w:sz="8" w:space="0" w:color="58585B"/>
              <w:left w:val="single" w:sz="8" w:space="0" w:color="58585B"/>
              <w:bottom w:val="single" w:sz="8" w:space="0" w:color="58585B"/>
              <w:right w:val="single" w:sz="4" w:space="0" w:color="auto"/>
            </w:tcBorders>
            <w:shd w:val="clear" w:color="auto" w:fill="E7E6E6" w:themeFill="background2"/>
            <w:tcMar>
              <w:top w:w="58" w:type="dxa"/>
              <w:left w:w="58" w:type="dxa"/>
              <w:bottom w:w="58" w:type="dxa"/>
              <w:right w:w="58" w:type="dxa"/>
            </w:tcMar>
            <w:vAlign w:val="center"/>
          </w:tcPr>
          <w:p w14:paraId="6E592372" w14:textId="77777777" w:rsidR="00DA7472" w:rsidRDefault="00675174" w:rsidP="00020D20">
            <w:pPr>
              <w:spacing w:before="0" w:after="0" w:line="216" w:lineRule="auto"/>
              <w:jc w:val="center"/>
              <w:rPr>
                <w:szCs w:val="16"/>
              </w:rPr>
            </w:pPr>
            <w:r w:rsidRPr="005A6734">
              <w:rPr>
                <w:szCs w:val="16"/>
              </w:rPr>
              <w:t>Title VI/</w:t>
            </w:r>
          </w:p>
          <w:p w14:paraId="3F3B5648" w14:textId="55530E51" w:rsidR="00675174" w:rsidRPr="00020D20" w:rsidRDefault="00675174" w:rsidP="00020D20">
            <w:pPr>
              <w:spacing w:before="0" w:after="0" w:line="216" w:lineRule="auto"/>
              <w:jc w:val="center"/>
              <w:rPr>
                <w:rFonts w:ascii="Cambria" w:hAnsi="Cambria" w:cs="Cambria"/>
                <w:color w:val="323232"/>
                <w:szCs w:val="16"/>
              </w:rPr>
            </w:pPr>
            <w:r w:rsidRPr="005A6734">
              <w:rPr>
                <w:szCs w:val="16"/>
              </w:rPr>
              <w:t>Environmental Justice</w:t>
            </w:r>
          </w:p>
        </w:tc>
        <w:tc>
          <w:tcPr>
            <w:tcW w:w="270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6269DE66"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2010 Census</w:t>
            </w:r>
          </w:p>
        </w:tc>
        <w:tc>
          <w:tcPr>
            <w:tcW w:w="5040" w:type="dxa"/>
            <w:tcBorders>
              <w:top w:val="single" w:sz="4" w:space="0" w:color="auto"/>
              <w:left w:val="single" w:sz="4" w:space="0" w:color="auto"/>
              <w:bottom w:val="single" w:sz="4" w:space="0" w:color="auto"/>
              <w:right w:val="single" w:sz="4" w:space="0" w:color="auto"/>
            </w:tcBorders>
            <w:shd w:val="clear" w:color="auto" w:fill="E7E6E6" w:themeFill="background2"/>
            <w:tcMar>
              <w:top w:w="58" w:type="dxa"/>
              <w:left w:w="58" w:type="dxa"/>
              <w:bottom w:w="58" w:type="dxa"/>
              <w:right w:w="58" w:type="dxa"/>
            </w:tcMar>
            <w:vAlign w:val="center"/>
          </w:tcPr>
          <w:p w14:paraId="1285CB85" w14:textId="47368231" w:rsidR="00675174" w:rsidRPr="005A6734" w:rsidRDefault="00202C92" w:rsidP="00020D20">
            <w:pPr>
              <w:pStyle w:val="Title"/>
              <w:spacing w:line="216" w:lineRule="auto"/>
              <w:rPr>
                <w:szCs w:val="16"/>
              </w:rPr>
            </w:pPr>
            <w:hyperlink r:id="rId1195" w:history="1">
              <w:r w:rsidR="003622D7" w:rsidRPr="00977A9B">
                <w:rPr>
                  <w:rStyle w:val="Hyperlink"/>
                  <w:rFonts w:asciiTheme="minorHAnsi" w:hAnsiTheme="minorHAnsi" w:cstheme="majorBidi"/>
                  <w:i/>
                  <w:iCs w:val="0"/>
                  <w:color w:val="CE5B18"/>
                  <w:sz w:val="20"/>
                  <w:u w:val="none"/>
                </w:rPr>
                <w:t>https://www.census.gov/programs-surveys/decennial-census/decade.2010.html</w:t>
              </w:r>
            </w:hyperlink>
          </w:p>
        </w:tc>
      </w:tr>
      <w:tr w:rsidR="00392227" w14:paraId="596042E2" w14:textId="77777777" w:rsidTr="00020D20">
        <w:trPr>
          <w:trHeight w:val="432"/>
        </w:trPr>
        <w:tc>
          <w:tcPr>
            <w:tcW w:w="1620" w:type="dxa"/>
            <w:tcBorders>
              <w:top w:val="single" w:sz="8" w:space="0" w:color="58585B"/>
              <w:left w:val="single" w:sz="8" w:space="0" w:color="58585B"/>
              <w:bottom w:val="single" w:sz="8" w:space="0" w:color="58585B"/>
              <w:right w:val="single" w:sz="4" w:space="0" w:color="auto"/>
            </w:tcBorders>
            <w:tcMar>
              <w:top w:w="58" w:type="dxa"/>
              <w:left w:w="58" w:type="dxa"/>
              <w:bottom w:w="58" w:type="dxa"/>
              <w:right w:w="58" w:type="dxa"/>
            </w:tcMar>
            <w:vAlign w:val="center"/>
          </w:tcPr>
          <w:p w14:paraId="15ABD3DA" w14:textId="77777777" w:rsidR="00675174" w:rsidRPr="00020D20" w:rsidRDefault="00675174" w:rsidP="00020D20">
            <w:pPr>
              <w:spacing w:before="0" w:after="0" w:line="216" w:lineRule="auto"/>
              <w:jc w:val="center"/>
              <w:rPr>
                <w:rFonts w:ascii="Cambria" w:hAnsi="Cambria" w:cs="Cambria"/>
                <w:color w:val="323232"/>
                <w:szCs w:val="16"/>
              </w:rPr>
            </w:pPr>
            <w:r w:rsidRPr="005A6734">
              <w:rPr>
                <w:szCs w:val="16"/>
              </w:rPr>
              <w:t>Socioeconomic</w:t>
            </w:r>
          </w:p>
        </w:tc>
        <w:tc>
          <w:tcPr>
            <w:tcW w:w="270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7BEB072B"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MPO/COG and 2010 Census</w:t>
            </w:r>
          </w:p>
        </w:tc>
        <w:tc>
          <w:tcPr>
            <w:tcW w:w="5040"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027EE693" w14:textId="77777777" w:rsidR="00675174" w:rsidRPr="005A6734" w:rsidRDefault="00202C92" w:rsidP="00020D20">
            <w:pPr>
              <w:pStyle w:val="Title"/>
              <w:spacing w:line="216" w:lineRule="auto"/>
              <w:rPr>
                <w:szCs w:val="16"/>
              </w:rPr>
            </w:pPr>
            <w:hyperlink r:id="rId1196" w:history="1">
              <w:r w:rsidR="00675174" w:rsidRPr="00977A9B">
                <w:rPr>
                  <w:rStyle w:val="HyperlinkADOT"/>
                  <w:rFonts w:asciiTheme="minorHAnsi" w:hAnsiTheme="minorHAnsi" w:cstheme="majorBidi"/>
                  <w:i/>
                  <w:iCs w:val="0"/>
                  <w:color w:val="CE5B18"/>
                  <w:spacing w:val="-10"/>
                  <w:sz w:val="20"/>
                  <w:u w:val="none"/>
                </w:rPr>
                <w:t>http://www.census.gov/cgi-bin/geo/shapefiles2013/main</w:t>
              </w:r>
            </w:hyperlink>
          </w:p>
        </w:tc>
      </w:tr>
      <w:tr w:rsidR="00392227" w14:paraId="2610044E"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5CF2BBC2" w14:textId="77777777" w:rsidR="00675174" w:rsidRPr="00020D20" w:rsidRDefault="00675174" w:rsidP="00020D20">
            <w:pPr>
              <w:spacing w:before="0" w:after="0" w:line="216" w:lineRule="auto"/>
              <w:jc w:val="center"/>
              <w:rPr>
                <w:rFonts w:ascii="Cambria" w:hAnsi="Cambria" w:cs="Cambria"/>
                <w:color w:val="323232"/>
                <w:szCs w:val="16"/>
              </w:rPr>
            </w:pPr>
            <w:r w:rsidRPr="005A6734">
              <w:rPr>
                <w:szCs w:val="16"/>
              </w:rPr>
              <w:t>Hazardous Materials</w:t>
            </w:r>
          </w:p>
        </w:tc>
        <w:tc>
          <w:tcPr>
            <w:tcW w:w="2700" w:type="dxa"/>
            <w:tcBorders>
              <w:top w:val="single" w:sz="4" w:space="0" w:color="auto"/>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6719E248"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EPA</w:t>
            </w:r>
          </w:p>
        </w:tc>
        <w:tc>
          <w:tcPr>
            <w:tcW w:w="5040" w:type="dxa"/>
            <w:tcBorders>
              <w:top w:val="single" w:sz="4" w:space="0" w:color="auto"/>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670AD811" w14:textId="77777777" w:rsidR="00675174" w:rsidRPr="005A6734" w:rsidRDefault="00202C92" w:rsidP="00020D20">
            <w:pPr>
              <w:pStyle w:val="Title"/>
              <w:spacing w:line="216" w:lineRule="auto"/>
              <w:rPr>
                <w:szCs w:val="16"/>
              </w:rPr>
            </w:pPr>
            <w:hyperlink r:id="rId1197" w:history="1">
              <w:r w:rsidR="00675174" w:rsidRPr="00977A9B">
                <w:rPr>
                  <w:rStyle w:val="HyperlinkADOT"/>
                  <w:rFonts w:asciiTheme="minorHAnsi" w:hAnsiTheme="minorHAnsi" w:cstheme="majorBidi"/>
                  <w:i/>
                  <w:iCs w:val="0"/>
                  <w:color w:val="CE5B18"/>
                  <w:spacing w:val="-10"/>
                  <w:sz w:val="20"/>
                  <w:u w:val="none"/>
                </w:rPr>
                <w:t>http://www.epa.gov/osw/hazard/</w:t>
              </w:r>
            </w:hyperlink>
          </w:p>
        </w:tc>
      </w:tr>
      <w:tr w:rsidR="007F6BE8" w14:paraId="732A1184"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4F81EF0A" w14:textId="77777777" w:rsidR="00675174" w:rsidRPr="00020D20" w:rsidRDefault="00675174" w:rsidP="00020D20">
            <w:pPr>
              <w:spacing w:before="0" w:after="0" w:line="216" w:lineRule="auto"/>
              <w:jc w:val="center"/>
              <w:rPr>
                <w:rFonts w:ascii="Cambria" w:hAnsi="Cambria" w:cs="Cambria"/>
                <w:color w:val="323232"/>
                <w:szCs w:val="16"/>
              </w:rPr>
            </w:pPr>
            <w:r w:rsidRPr="005A6734">
              <w:rPr>
                <w:szCs w:val="16"/>
              </w:rPr>
              <w:t>Air Quality</w:t>
            </w:r>
          </w:p>
        </w:tc>
        <w:tc>
          <w:tcPr>
            <w:tcW w:w="270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46BC3025"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ADOT</w:t>
            </w:r>
          </w:p>
        </w:tc>
        <w:tc>
          <w:tcPr>
            <w:tcW w:w="5040"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3C8FC94B" w14:textId="12FA584E" w:rsidR="00675174" w:rsidRPr="005A6734" w:rsidRDefault="00202C92" w:rsidP="00020D20">
            <w:pPr>
              <w:pStyle w:val="Title"/>
              <w:spacing w:line="216" w:lineRule="auto"/>
              <w:rPr>
                <w:szCs w:val="16"/>
              </w:rPr>
            </w:pPr>
            <w:hyperlink r:id="rId1198" w:history="1">
              <w:r w:rsidR="00372AC5" w:rsidRPr="00977A9B">
                <w:rPr>
                  <w:rStyle w:val="Hyperlink"/>
                  <w:rFonts w:asciiTheme="minorHAnsi" w:hAnsiTheme="minorHAnsi" w:cstheme="majorBidi"/>
                  <w:i/>
                  <w:iCs w:val="0"/>
                  <w:color w:val="CE5B18"/>
                  <w:sz w:val="20"/>
                  <w:u w:val="none"/>
                </w:rPr>
                <w:t>https://azdot.gov/business/environmental-planning/air-quality/guidance-air-quality</w:t>
              </w:r>
            </w:hyperlink>
          </w:p>
        </w:tc>
      </w:tr>
      <w:tr w:rsidR="00392227" w14:paraId="7C71E185" w14:textId="77777777" w:rsidTr="00020D20">
        <w:trPr>
          <w:trHeight w:val="432"/>
        </w:trPr>
        <w:tc>
          <w:tcPr>
            <w:tcW w:w="162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2FEEFBE6" w14:textId="77777777" w:rsidR="00675174" w:rsidRPr="00977A9B" w:rsidRDefault="00675174" w:rsidP="00020D20">
            <w:pPr>
              <w:spacing w:before="0" w:after="0" w:line="216" w:lineRule="auto"/>
              <w:jc w:val="center"/>
              <w:rPr>
                <w:szCs w:val="16"/>
              </w:rPr>
            </w:pPr>
            <w:r w:rsidRPr="005A6734">
              <w:rPr>
                <w:szCs w:val="16"/>
              </w:rPr>
              <w:t>Noise</w:t>
            </w:r>
          </w:p>
        </w:tc>
        <w:tc>
          <w:tcPr>
            <w:tcW w:w="270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7E4285A3" w14:textId="77777777" w:rsidR="00675174" w:rsidRPr="00020D20" w:rsidRDefault="00675174" w:rsidP="00020D20">
            <w:pPr>
              <w:pStyle w:val="TableTextADOTTable"/>
              <w:spacing w:before="0" w:after="0" w:line="216" w:lineRule="auto"/>
              <w:jc w:val="center"/>
              <w:rPr>
                <w:rFonts w:asciiTheme="minorHAnsi" w:hAnsiTheme="minorHAnsi"/>
                <w:sz w:val="20"/>
                <w:szCs w:val="16"/>
              </w:rPr>
            </w:pPr>
            <w:r w:rsidRPr="00020D20">
              <w:rPr>
                <w:rFonts w:asciiTheme="minorHAnsi" w:hAnsiTheme="minorHAnsi"/>
                <w:sz w:val="20"/>
                <w:szCs w:val="16"/>
              </w:rPr>
              <w:t>N/A</w:t>
            </w:r>
          </w:p>
        </w:tc>
        <w:tc>
          <w:tcPr>
            <w:tcW w:w="5040"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590DAB4F" w14:textId="61A733D6" w:rsidR="00675174" w:rsidRPr="00020D20" w:rsidRDefault="00202C92" w:rsidP="00020D20">
            <w:pPr>
              <w:pStyle w:val="Title"/>
            </w:pPr>
            <w:hyperlink r:id="rId1199" w:history="1">
              <w:r w:rsidR="00B83DD3" w:rsidRPr="00020D20">
                <w:rPr>
                  <w:rStyle w:val="Hyperlink"/>
                  <w:rFonts w:ascii="Calibri" w:hAnsi="Calibri" w:cstheme="majorBidi"/>
                  <w:iCs w:val="0"/>
                  <w:color w:val="CE5B18"/>
                  <w:sz w:val="20"/>
                  <w:szCs w:val="56"/>
                  <w:u w:val="none"/>
                </w:rPr>
                <w:t>https://www.ecfr.gov/cgi-bin/text-idx?SID=ecc41c96bf7f3fad84dcb175a361d785&amp;mc=true&amp;node=pt23.1.772&amp;rgn=div5</w:t>
              </w:r>
            </w:hyperlink>
          </w:p>
        </w:tc>
      </w:tr>
    </w:tbl>
    <w:p w14:paraId="1C0BA2F4" w14:textId="77777777" w:rsidR="00775BB7" w:rsidRDefault="00775BB7" w:rsidP="00020D20">
      <w:pPr>
        <w:jc w:val="both"/>
        <w:rPr>
          <w:rFonts w:cstheme="minorHAnsi"/>
        </w:rPr>
        <w:sectPr w:rsidR="00775BB7" w:rsidSect="00020D20">
          <w:type w:val="continuous"/>
          <w:pgSz w:w="12240" w:h="15840"/>
          <w:pgMar w:top="1440" w:right="1440" w:bottom="1440" w:left="1440" w:header="720" w:footer="720" w:gutter="0"/>
          <w:pgNumType w:chapStyle="1"/>
          <w:cols w:space="720"/>
          <w:docGrid w:linePitch="360"/>
        </w:sectPr>
      </w:pPr>
    </w:p>
    <w:p w14:paraId="674C3BC2" w14:textId="77777777" w:rsidR="00775BB7" w:rsidRDefault="00775BB7" w:rsidP="00020D20">
      <w:pPr>
        <w:jc w:val="both"/>
        <w:rPr>
          <w:rFonts w:cstheme="minorHAnsi"/>
        </w:rPr>
        <w:sectPr w:rsidR="00775BB7" w:rsidSect="008E695B">
          <w:type w:val="continuous"/>
          <w:pgSz w:w="12240" w:h="15840"/>
          <w:pgMar w:top="1440" w:right="1440" w:bottom="1440" w:left="1440" w:header="720" w:footer="720" w:gutter="0"/>
          <w:cols w:space="720"/>
          <w:docGrid w:linePitch="360"/>
        </w:sectPr>
      </w:pPr>
    </w:p>
    <w:p w14:paraId="0020F897" w14:textId="667C762D" w:rsidR="003C2DDF" w:rsidRDefault="00D41520" w:rsidP="00020D20">
      <w:pPr>
        <w:pStyle w:val="BodyTextTitle"/>
        <w:spacing w:before="0" w:after="0" w:line="240" w:lineRule="auto"/>
        <w:jc w:val="both"/>
      </w:pPr>
      <w:bookmarkStart w:id="736" w:name="_Ref50049625"/>
      <w:bookmarkStart w:id="737" w:name="_Toc49862254"/>
      <w:r>
        <w:t>17.10</w:t>
      </w:r>
      <w:r w:rsidR="00F94BBB">
        <w:t xml:space="preserve"> </w:t>
      </w:r>
      <w:r>
        <w:t>| STATE LAND DEPARTMENT PLANNING</w:t>
      </w:r>
    </w:p>
    <w:p w14:paraId="0D8AA0C6" w14:textId="4FCE8998" w:rsidR="00D41520" w:rsidRPr="00020D20" w:rsidRDefault="00D41520" w:rsidP="00020D20">
      <w:pPr>
        <w:pStyle w:val="BodyTextTitle"/>
        <w:spacing w:before="0" w:line="240" w:lineRule="auto"/>
        <w:jc w:val="both"/>
        <w:rPr>
          <w:sz w:val="36"/>
        </w:rPr>
      </w:pPr>
      <w:r w:rsidRPr="00020D20">
        <w:rPr>
          <w:sz w:val="36"/>
        </w:rPr>
        <w:t>TABLE OF CONTENTS</w:t>
      </w:r>
      <w:bookmarkEnd w:id="736"/>
    </w:p>
    <w:p w14:paraId="6E98D840" w14:textId="6C307329" w:rsidR="00D41520" w:rsidRDefault="007B293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_Ref50050288 \h </w:instrText>
      </w:r>
      <w:r w:rsidR="002D38FC">
        <w:instrText xml:space="preserve"> \* MERGEFORMAT </w:instrText>
      </w:r>
      <w:r>
        <w:fldChar w:fldCharType="separate"/>
      </w:r>
      <w:r w:rsidRPr="00675174">
        <w:t>17.10.1 | Purpose</w:t>
      </w:r>
      <w:r>
        <w:fldChar w:fldCharType="end"/>
      </w:r>
    </w:p>
    <w:p w14:paraId="3A29BA15" w14:textId="19BEDF36" w:rsidR="007B293D" w:rsidRDefault="007B293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_Ref50050292 \h </w:instrText>
      </w:r>
      <w:r w:rsidR="002D38FC">
        <w:instrText xml:space="preserve"> \* MERGEFORMAT </w:instrText>
      </w:r>
      <w:r>
        <w:fldChar w:fldCharType="separate"/>
      </w:r>
      <w:r w:rsidRPr="51D8F970">
        <w:t>17.10.2 | Authority</w:t>
      </w:r>
      <w:r>
        <w:fldChar w:fldCharType="end"/>
      </w:r>
    </w:p>
    <w:p w14:paraId="6116CCE3" w14:textId="4A85E313" w:rsidR="007B293D" w:rsidRDefault="007B293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_Ref50050296 \h </w:instrText>
      </w:r>
      <w:r w:rsidR="002D38FC">
        <w:instrText xml:space="preserve"> \* MERGEFORMAT </w:instrText>
      </w:r>
      <w:r>
        <w:fldChar w:fldCharType="separate"/>
      </w:r>
      <w:r w:rsidRPr="51D8F970">
        <w:t>17.10.3 | Scope</w:t>
      </w:r>
      <w:r>
        <w:fldChar w:fldCharType="end"/>
      </w:r>
    </w:p>
    <w:p w14:paraId="78C71309" w14:textId="0D651C2F" w:rsidR="007B293D" w:rsidRDefault="007B293D"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_Ref50050300 \h </w:instrText>
      </w:r>
      <w:r w:rsidR="002D38FC">
        <w:instrText xml:space="preserve"> \* MERGEFORMAT </w:instrText>
      </w:r>
      <w:r>
        <w:fldChar w:fldCharType="separate"/>
      </w:r>
      <w:r w:rsidRPr="51D8F970">
        <w:t>17.10.4 | ASLD organization</w:t>
      </w:r>
      <w:r>
        <w:fldChar w:fldCharType="end"/>
      </w:r>
    </w:p>
    <w:p w14:paraId="299A1837" w14:textId="7AF6E71A" w:rsidR="007B293D"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_Ref50050481 \h </w:instrText>
      </w:r>
      <w:r w:rsidR="002D38FC">
        <w:instrText xml:space="preserve"> \* MERGEFORMAT </w:instrText>
      </w:r>
      <w:r>
        <w:fldChar w:fldCharType="separate"/>
      </w:r>
      <w:r>
        <w:t>Rights of Way, Agriculture, and Minerals Division</w:t>
      </w:r>
      <w:r>
        <w:fldChar w:fldCharType="end"/>
      </w:r>
    </w:p>
    <w:p w14:paraId="258B0775" w14:textId="6D0CBAD7" w:rsidR="007B293D"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_Ref50050485 \h </w:instrText>
      </w:r>
      <w:r w:rsidR="002D38FC">
        <w:instrText xml:space="preserve"> \* MERGEFORMAT </w:instrText>
      </w:r>
      <w:r>
        <w:fldChar w:fldCharType="separate"/>
      </w:r>
      <w:r w:rsidRPr="008D5172">
        <w:t>Planning and Engineering Division</w:t>
      </w:r>
      <w:r>
        <w:fldChar w:fldCharType="end"/>
      </w:r>
    </w:p>
    <w:p w14:paraId="37039C6B" w14:textId="1C68C79D" w:rsidR="007B293D"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_Ref50050489 \h </w:instrText>
      </w:r>
      <w:r w:rsidR="002D38FC">
        <w:instrText xml:space="preserve"> \* MERGEFORMAT </w:instrText>
      </w:r>
      <w:r>
        <w:fldChar w:fldCharType="separate"/>
      </w:r>
      <w:r w:rsidRPr="00675174">
        <w:t>Natural Resources Division</w:t>
      </w:r>
      <w:r>
        <w:fldChar w:fldCharType="end"/>
      </w:r>
    </w:p>
    <w:p w14:paraId="095CBBB3" w14:textId="7ABE8F19" w:rsidR="007B293D"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_Ref50050492 \h </w:instrText>
      </w:r>
      <w:r w:rsidR="002D38FC">
        <w:instrText xml:space="preserve"> \* MERGEFORMAT </w:instrText>
      </w:r>
      <w:r>
        <w:fldChar w:fldCharType="separate"/>
      </w:r>
      <w:r w:rsidRPr="00675174">
        <w:t>Real Estate Division</w:t>
      </w:r>
      <w:r>
        <w:fldChar w:fldCharType="end"/>
      </w:r>
    </w:p>
    <w:p w14:paraId="5E07BE89" w14:textId="7B84B3B4" w:rsidR="007B293D"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_Ref50050495 \h </w:instrText>
      </w:r>
      <w:r w:rsidR="002D38FC">
        <w:instrText xml:space="preserve"> \* MERGEFORMAT </w:instrText>
      </w:r>
      <w:r>
        <w:fldChar w:fldCharType="separate"/>
      </w:r>
      <w:r w:rsidRPr="008D5172">
        <w:t>Administration Division</w:t>
      </w:r>
      <w:r>
        <w:fldChar w:fldCharType="end"/>
      </w:r>
    </w:p>
    <w:p w14:paraId="4125E92B" w14:textId="2CEF09E3" w:rsidR="007B293D"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_Ref50050498 \h </w:instrText>
      </w:r>
      <w:r w:rsidR="002D38FC">
        <w:instrText xml:space="preserve"> \* MERGEFORMAT </w:instrText>
      </w:r>
      <w:r>
        <w:fldChar w:fldCharType="separate"/>
      </w:r>
      <w:r w:rsidRPr="00675174">
        <w:t>Information Systems and Resource Analysis Division</w:t>
      </w:r>
      <w:r>
        <w:fldChar w:fldCharType="end"/>
      </w:r>
    </w:p>
    <w:p w14:paraId="0D12430B" w14:textId="695B08ED" w:rsidR="00040C95"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_Ref50050505 \h </w:instrText>
      </w:r>
      <w:r w:rsidR="002D38FC">
        <w:instrText xml:space="preserve"> \* MERGEFORMAT </w:instrText>
      </w:r>
      <w:r>
        <w:fldChar w:fldCharType="separate"/>
      </w:r>
      <w:r w:rsidRPr="00B01E98">
        <w:t>Internal Services Division</w:t>
      </w:r>
      <w:r>
        <w:fldChar w:fldCharType="end"/>
      </w:r>
    </w:p>
    <w:p w14:paraId="184A4EA9" w14:textId="64726687" w:rsidR="00040C95" w:rsidRDefault="00040C95"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_Ref50050508 \h </w:instrText>
      </w:r>
      <w:r w:rsidR="002D38FC">
        <w:instrText xml:space="preserve"> \* MERGEFORMAT </w:instrText>
      </w:r>
      <w:r>
        <w:fldChar w:fldCharType="separate"/>
      </w:r>
      <w:r w:rsidRPr="00675174">
        <w:t>Board of Appeals</w:t>
      </w:r>
      <w:r>
        <w:fldChar w:fldCharType="end"/>
      </w:r>
    </w:p>
    <w:p w14:paraId="306177B9" w14:textId="103CF4DE" w:rsidR="00D41520" w:rsidRDefault="00D4152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p w14:paraId="703758BD" w14:textId="381130E8" w:rsidR="00675174" w:rsidRPr="00020D20" w:rsidRDefault="00F94BBB" w:rsidP="00020D20">
      <w:pPr>
        <w:pStyle w:val="Chapter17Heading"/>
      </w:pPr>
      <w:bookmarkStart w:id="738" w:name="_Toc50540254"/>
      <w:r>
        <w:t xml:space="preserve">17.10 </w:t>
      </w:r>
      <w:bookmarkStart w:id="739" w:name="_Toc49870651"/>
      <w:r w:rsidR="00675174" w:rsidRPr="00675174">
        <w:t>| State Land Department Planning</w:t>
      </w:r>
      <w:bookmarkEnd w:id="737"/>
      <w:bookmarkEnd w:id="739"/>
      <w:bookmarkEnd w:id="738"/>
    </w:p>
    <w:p w14:paraId="14B76CD6" w14:textId="77777777" w:rsidR="00775BB7" w:rsidRDefault="00775BB7" w:rsidP="00020D20">
      <w:pPr>
        <w:jc w:val="both"/>
        <w:rPr>
          <w:rFonts w:cstheme="minorHAnsi"/>
        </w:rPr>
        <w:sectPr w:rsidR="00775BB7" w:rsidSect="00020D20">
          <w:pgSz w:w="12240" w:h="15840"/>
          <w:pgMar w:top="1440" w:right="1440" w:bottom="1440" w:left="1440" w:header="720" w:footer="720" w:gutter="0"/>
          <w:pgNumType w:chapStyle="1"/>
          <w:cols w:space="720"/>
          <w:docGrid w:linePitch="360"/>
        </w:sectPr>
      </w:pPr>
    </w:p>
    <w:p w14:paraId="317B413D" w14:textId="09C2E427" w:rsidR="00675174" w:rsidRPr="00675174" w:rsidRDefault="00675174" w:rsidP="00020D20">
      <w:pPr>
        <w:pStyle w:val="Heading3"/>
        <w:jc w:val="both"/>
      </w:pPr>
      <w:bookmarkStart w:id="740" w:name="_Ref50050288"/>
      <w:r w:rsidRPr="00675174">
        <w:t>17.10.1 | Purpose</w:t>
      </w:r>
      <w:bookmarkEnd w:id="740"/>
    </w:p>
    <w:p w14:paraId="3767DA21" w14:textId="09494A31" w:rsidR="00674150" w:rsidRDefault="00BA39CA" w:rsidP="00020D20">
      <w:pPr>
        <w:jc w:val="both"/>
        <w:rPr>
          <w:rFonts w:cstheme="minorHAnsi"/>
        </w:rPr>
      </w:pPr>
      <w:r>
        <w:rPr>
          <w:rFonts w:cstheme="minorHAnsi"/>
          <w:noProof/>
        </w:rPr>
        <mc:AlternateContent>
          <mc:Choice Requires="wpg">
            <w:drawing>
              <wp:anchor distT="0" distB="0" distL="114300" distR="114300" simplePos="0" relativeHeight="251618630" behindDoc="0" locked="0" layoutInCell="1" allowOverlap="1" wp14:anchorId="2617E340" wp14:editId="2EC7D919">
                <wp:simplePos x="0" y="0"/>
                <wp:positionH relativeFrom="column">
                  <wp:posOffset>0</wp:posOffset>
                </wp:positionH>
                <wp:positionV relativeFrom="paragraph">
                  <wp:posOffset>2003624</wp:posOffset>
                </wp:positionV>
                <wp:extent cx="2771775" cy="1487170"/>
                <wp:effectExtent l="95250" t="95250" r="104775" b="93980"/>
                <wp:wrapSquare wrapText="bothSides"/>
                <wp:docPr id="816285989" name="Group 816285989"/>
                <wp:cNvGraphicFramePr/>
                <a:graphic xmlns:a="http://schemas.openxmlformats.org/drawingml/2006/main">
                  <a:graphicData uri="http://schemas.microsoft.com/office/word/2010/wordprocessingGroup">
                    <wpg:wgp>
                      <wpg:cNvGrpSpPr/>
                      <wpg:grpSpPr>
                        <a:xfrm>
                          <a:off x="0" y="0"/>
                          <a:ext cx="2771775" cy="1487170"/>
                          <a:chOff x="0" y="0"/>
                          <a:chExt cx="2771775" cy="1487170"/>
                        </a:xfrm>
                      </wpg:grpSpPr>
                      <wps:wsp>
                        <wps:cNvPr id="223" name="Text Box 223"/>
                        <wps:cNvSpPr txBox="1"/>
                        <wps:spPr>
                          <a:xfrm>
                            <a:off x="0" y="0"/>
                            <a:ext cx="2771775" cy="1487170"/>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78D41481" w14:textId="77777777" w:rsidTr="00020D20">
                                <w:trPr>
                                  <w:trHeight w:val="358"/>
                                </w:trPr>
                                <w:tc>
                                  <w:tcPr>
                                    <w:tcW w:w="3394" w:type="dxa"/>
                                    <w:shd w:val="clear" w:color="auto" w:fill="auto"/>
                                  </w:tcPr>
                                  <w:p w14:paraId="19C4515B" w14:textId="77777777" w:rsidR="00C6444C" w:rsidRPr="00020D20" w:rsidRDefault="00C6444C">
                                    <w:pPr>
                                      <w:pStyle w:val="Calloutboxes"/>
                                      <w:rPr>
                                        <w:color w:val="012768"/>
                                      </w:rPr>
                                    </w:pPr>
                                  </w:p>
                                </w:tc>
                                <w:tc>
                                  <w:tcPr>
                                    <w:tcW w:w="1106" w:type="dxa"/>
                                    <w:shd w:val="clear" w:color="auto" w:fill="auto"/>
                                  </w:tcPr>
                                  <w:p w14:paraId="1B71D3B9" w14:textId="77777777" w:rsidR="00C6444C" w:rsidRPr="00020D20" w:rsidRDefault="00C6444C" w:rsidP="00D30138">
                                    <w:pPr>
                                      <w:pStyle w:val="Calloutboxes"/>
                                      <w:jc w:val="left"/>
                                      <w:rPr>
                                        <w:color w:val="FFFFFF" w:themeColor="background1"/>
                                        <w:sz w:val="24"/>
                                        <w:szCs w:val="24"/>
                                      </w:rPr>
                                    </w:pPr>
                                  </w:p>
                                </w:tc>
                              </w:tr>
                              <w:tr w:rsidR="00C6444C" w14:paraId="15C8A98F" w14:textId="77777777" w:rsidTr="00020D20">
                                <w:trPr>
                                  <w:trHeight w:val="1808"/>
                                </w:trPr>
                                <w:tc>
                                  <w:tcPr>
                                    <w:tcW w:w="4500" w:type="dxa"/>
                                    <w:gridSpan w:val="2"/>
                                  </w:tcPr>
                                  <w:p w14:paraId="7B2390D2" w14:textId="77777777" w:rsidR="00C6444C" w:rsidRDefault="00C6444C">
                                    <w:pPr>
                                      <w:pStyle w:val="Calloutboxes"/>
                                      <w:jc w:val="left"/>
                                    </w:pPr>
                                  </w:p>
                                  <w:p w14:paraId="36B26E7F" w14:textId="77777777" w:rsidR="00C6444C" w:rsidRPr="00E60E73" w:rsidRDefault="00C6444C" w:rsidP="00020D20">
                                    <w:pPr>
                                      <w:pStyle w:val="Calloutboxes"/>
                                      <w:rPr>
                                        <w:rFonts w:cstheme="minorHAnsi"/>
                                        <w:b/>
                                      </w:rPr>
                                    </w:pPr>
                                    <w:r w:rsidRPr="00020D20">
                                      <w:t>In both rural and urban contexts, STL provides substantial benefit to local communities through economic stimulation, such as supporting and planning infrastructure and development corridors. Land management decisions are made based on the potential use of each parcel allowing Trust lands that are sold or leased to become significant contributors to the health and vitality of Arizona’s economy, providing a significant economic development asset in all parts of the state.</w:t>
                                    </w:r>
                                    <w:r w:rsidRPr="00E60E73">
                                      <w:rPr>
                                        <w:rFonts w:cstheme="minorHAnsi"/>
                                        <w:b/>
                                      </w:rPr>
                                      <w:tab/>
                                    </w:r>
                                  </w:p>
                                  <w:p w14:paraId="15D7E068" w14:textId="40D32993" w:rsidR="00C6444C" w:rsidRPr="001847F0" w:rsidRDefault="00C6444C" w:rsidP="00020D20">
                                    <w:pPr>
                                      <w:pStyle w:val="Calloutboxes"/>
                                    </w:pPr>
                                  </w:p>
                                </w:tc>
                              </w:tr>
                            </w:tbl>
                            <w:p w14:paraId="4E1D9A21"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5984" name="Group 816285984"/>
                        <wpg:cNvGrpSpPr/>
                        <wpg:grpSpPr>
                          <a:xfrm>
                            <a:off x="0" y="0"/>
                            <a:ext cx="2771775" cy="379411"/>
                            <a:chOff x="11875" y="29688"/>
                            <a:chExt cx="2772410" cy="456764"/>
                          </a:xfrm>
                        </wpg:grpSpPr>
                        <wps:wsp>
                          <wps:cNvPr id="816285985" name="Rectangle 816285985"/>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5986" name="Text Box 816285986"/>
                          <wps:cNvSpPr txBox="1"/>
                          <wps:spPr>
                            <a:xfrm>
                              <a:off x="65323" y="29688"/>
                              <a:ext cx="2714509" cy="426646"/>
                            </a:xfrm>
                            <a:prstGeom prst="rect">
                              <a:avLst/>
                            </a:prstGeom>
                            <a:noFill/>
                            <a:ln w="6350">
                              <a:noFill/>
                            </a:ln>
                            <a:effectLst/>
                          </wps:spPr>
                          <wps:txbx>
                            <w:txbxContent>
                              <w:p w14:paraId="2DEB5AB4"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617E340" id="Group 816285989" o:spid="_x0000_s1310" style="position:absolute;left:0;text-align:left;margin-left:0;margin-top:157.75pt;width:218.25pt;height:117.1pt;z-index:251618630" coordsize="27717,14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">
                <v:shape id="Text Box 223" o:spid="_x0000_s1311" type="#_x0000_t202" style="position:absolute;width:27717;height:14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78D41481" w14:textId="77777777" w:rsidTr="00020D20">
                          <w:trPr>
                            <w:trHeight w:val="358"/>
                          </w:trPr>
                          <w:tc>
                            <w:tcPr>
                              <w:tcW w:w="3394" w:type="dxa"/>
                              <w:shd w:val="clear" w:color="auto" w:fill="auto"/>
                            </w:tcPr>
                            <w:p w14:paraId="19C4515B" w14:textId="77777777" w:rsidR="00C6444C" w:rsidRPr="00020D20" w:rsidRDefault="00C6444C">
                              <w:pPr>
                                <w:pStyle w:val="Calloutboxes"/>
                                <w:rPr>
                                  <w:color w:val="012768"/>
                                </w:rPr>
                              </w:pPr>
                            </w:p>
                          </w:tc>
                          <w:tc>
                            <w:tcPr>
                              <w:tcW w:w="1106" w:type="dxa"/>
                              <w:shd w:val="clear" w:color="auto" w:fill="auto"/>
                            </w:tcPr>
                            <w:p w14:paraId="1B71D3B9" w14:textId="77777777" w:rsidR="00C6444C" w:rsidRPr="00020D20" w:rsidRDefault="00C6444C" w:rsidP="00D30138">
                              <w:pPr>
                                <w:pStyle w:val="Calloutboxes"/>
                                <w:jc w:val="left"/>
                                <w:rPr>
                                  <w:color w:val="FFFFFF" w:themeColor="background1"/>
                                  <w:sz w:val="24"/>
                                  <w:szCs w:val="24"/>
                                </w:rPr>
                              </w:pPr>
                            </w:p>
                          </w:tc>
                        </w:tr>
                        <w:tr w:rsidR="00C6444C" w14:paraId="15C8A98F" w14:textId="77777777" w:rsidTr="00020D20">
                          <w:trPr>
                            <w:trHeight w:val="1808"/>
                          </w:trPr>
                          <w:tc>
                            <w:tcPr>
                              <w:tcW w:w="4500" w:type="dxa"/>
                              <w:gridSpan w:val="2"/>
                            </w:tcPr>
                            <w:p w14:paraId="7B2390D2" w14:textId="77777777" w:rsidR="00C6444C" w:rsidRDefault="00C6444C">
                              <w:pPr>
                                <w:pStyle w:val="Calloutboxes"/>
                                <w:jc w:val="left"/>
                              </w:pPr>
                            </w:p>
                            <w:p w14:paraId="36B26E7F" w14:textId="77777777" w:rsidR="00C6444C" w:rsidRPr="00E60E73" w:rsidRDefault="00C6444C" w:rsidP="00020D20">
                              <w:pPr>
                                <w:pStyle w:val="Calloutboxes"/>
                                <w:rPr>
                                  <w:rFonts w:cstheme="minorHAnsi"/>
                                  <w:b/>
                                </w:rPr>
                              </w:pPr>
                              <w:r w:rsidRPr="00020D20">
                                <w:t>In both rural and urban contexts, STL provides substantial benefit to local communities through economic stimulation, such as supporting and planning infrastructure and development corridors. Land management decisions are made based on the potential use of each parcel allowing Trust lands that are sold or leased to become significant contributors to the health and vitality of Arizona’s economy, providing a significant economic development asset in all parts of the state.</w:t>
                              </w:r>
                              <w:r w:rsidRPr="00E60E73">
                                <w:rPr>
                                  <w:rFonts w:cstheme="minorHAnsi"/>
                                  <w:b/>
                                </w:rPr>
                                <w:tab/>
                              </w:r>
                            </w:p>
                            <w:p w14:paraId="15D7E068" w14:textId="40D32993" w:rsidR="00C6444C" w:rsidRPr="001847F0" w:rsidRDefault="00C6444C" w:rsidP="00020D20">
                              <w:pPr>
                                <w:pStyle w:val="Calloutboxes"/>
                              </w:pPr>
                            </w:p>
                          </w:tc>
                        </w:tr>
                      </w:tbl>
                      <w:p w14:paraId="4E1D9A21" w14:textId="77777777" w:rsidR="00C6444C" w:rsidRPr="00347D6E" w:rsidRDefault="00C6444C" w:rsidP="00020D20"/>
                    </w:txbxContent>
                  </v:textbox>
                </v:shape>
                <v:group id="Group 816285984" o:spid="_x0000_s1312" style="position:absolute;width:27717;height:3794"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">
                  <v:rect id="Rectangle 816285985" o:spid="_x0000_s1313"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" fillcolor="#012768" strokecolor="#1f4d78 [1604]" strokeweight="1pt"/>
                  <v:shape id="Text Box 816285986" o:spid="_x0000_s1314" type="#_x0000_t202" style="position:absolute;left:653;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" filled="f" stroked="f" strokeweight=".5pt">
                    <v:textbox>
                      <w:txbxContent>
                        <w:p w14:paraId="2DEB5AB4"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v:textbox>
                  </v:shape>
                </v:group>
                <w10:wrap type="square"/>
              </v:group>
            </w:pict>
          </mc:Fallback>
        </mc:AlternateContent>
      </w:r>
      <w:r w:rsidR="00674150" w:rsidRPr="00674150">
        <w:rPr>
          <w:rFonts w:cstheme="minorHAnsi"/>
        </w:rPr>
        <w:t>Responsible for over 9 million acres of State Trust Land (STL), the Arizona State Land Department (ASLD) should be considered a major stakeholder in any project that may impact STL. ASLD’s mission is to responsibly manage the assets of a multi-generational perpetual trust in alignment with the interests of the Beneficiaries and Arizona’s future. To achieve this mission, ASLD seeks to generate maximum revenues through sound stewardship, conservation</w:t>
      </w:r>
      <w:r w:rsidR="00674150">
        <w:rPr>
          <w:rFonts w:cstheme="minorHAnsi"/>
        </w:rPr>
        <w:t>,</w:t>
      </w:r>
      <w:r w:rsidR="00674150" w:rsidRPr="00674150">
        <w:rPr>
          <w:rFonts w:cstheme="minorHAnsi"/>
        </w:rPr>
        <w:t xml:space="preserve"> and business management principles.</w:t>
      </w:r>
      <w:r w:rsidR="00D22DB2" w:rsidRPr="00D22DB2">
        <w:rPr>
          <w:noProof/>
        </w:rPr>
        <w:t xml:space="preserve"> </w:t>
      </w:r>
    </w:p>
    <w:p w14:paraId="0DC61D92" w14:textId="78A70FB0" w:rsidR="00675174" w:rsidRPr="00675174" w:rsidRDefault="00675174" w:rsidP="00020D20">
      <w:pPr>
        <w:pStyle w:val="Heading3"/>
        <w:jc w:val="both"/>
      </w:pPr>
      <w:bookmarkStart w:id="741" w:name="_Ref50050292"/>
      <w:r w:rsidRPr="51D8F970">
        <w:t>17.10.2 | Authority</w:t>
      </w:r>
      <w:bookmarkEnd w:id="741"/>
    </w:p>
    <w:p w14:paraId="11F62E3F" w14:textId="0BCFE5B6" w:rsidR="00674150" w:rsidRDefault="00B712D5" w:rsidP="00020D20">
      <w:pPr>
        <w:jc w:val="both"/>
        <w:rPr>
          <w:rFonts w:cstheme="minorHAnsi"/>
        </w:rPr>
      </w:pPr>
      <w:r>
        <w:rPr>
          <w:rFonts w:cstheme="minorHAnsi"/>
          <w:noProof/>
        </w:rPr>
        <mc:AlternateContent>
          <mc:Choice Requires="wps">
            <w:drawing>
              <wp:anchor distT="0" distB="0" distL="114300" distR="114300" simplePos="0" relativeHeight="251618428" behindDoc="1" locked="0" layoutInCell="1" allowOverlap="1" wp14:anchorId="41AC1F5B" wp14:editId="43E053FF">
                <wp:simplePos x="0" y="0"/>
                <wp:positionH relativeFrom="column">
                  <wp:posOffset>0</wp:posOffset>
                </wp:positionH>
                <wp:positionV relativeFrom="paragraph">
                  <wp:posOffset>1395095</wp:posOffset>
                </wp:positionV>
                <wp:extent cx="1372870" cy="1372870"/>
                <wp:effectExtent l="95250" t="95250" r="93980" b="93980"/>
                <wp:wrapTight wrapText="bothSides">
                  <wp:wrapPolygon edited="0">
                    <wp:start x="-899" y="-1499"/>
                    <wp:lineTo x="-1499" y="-899"/>
                    <wp:lineTo x="-1199" y="22779"/>
                    <wp:lineTo x="22479" y="22779"/>
                    <wp:lineTo x="22779" y="3896"/>
                    <wp:lineTo x="22179" y="-599"/>
                    <wp:lineTo x="22179" y="-1499"/>
                    <wp:lineTo x="-899" y="-1499"/>
                  </wp:wrapPolygon>
                </wp:wrapTight>
                <wp:docPr id="816285987" name="Text Box 816285987"/>
                <wp:cNvGraphicFramePr/>
                <a:graphic xmlns:a="http://schemas.openxmlformats.org/drawingml/2006/main">
                  <a:graphicData uri="http://schemas.microsoft.com/office/word/2010/wordprocessingShape">
                    <wps:wsp>
                      <wps:cNvSpPr txBox="1"/>
                      <wps:spPr>
                        <a:xfrm>
                          <a:off x="0" y="0"/>
                          <a:ext cx="1372870" cy="137287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9CC49FF" w14:textId="77777777" w:rsidR="00C6444C" w:rsidRDefault="00C6444C" w:rsidP="00020D20">
                            <w:pPr>
                              <w:jc w:val="center"/>
                            </w:pPr>
                            <w:r>
                              <w:rPr>
                                <w:noProof/>
                              </w:rPr>
                              <w:drawing>
                                <wp:inline distT="0" distB="0" distL="0" distR="0" wp14:anchorId="33E18E86" wp14:editId="6F257A40">
                                  <wp:extent cx="457200" cy="457200"/>
                                  <wp:effectExtent l="0" t="0" r="0" b="0"/>
                                  <wp:docPr id="1690912790" name="Picture 169091279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D86C1C6" w14:textId="71508BBB" w:rsidR="00C6444C" w:rsidRPr="00003E69" w:rsidRDefault="00C6444C" w:rsidP="00020D20">
                            <w:pPr>
                              <w:pStyle w:val="Calloutboxes"/>
                            </w:pPr>
                            <w:r w:rsidRPr="00394A74">
                              <w:t>Arizona State Land</w:t>
                            </w:r>
                            <w:r w:rsidRPr="005A6734">
                              <w:t xml:space="preserve"> </w:t>
                            </w:r>
                            <w:r w:rsidRPr="001E4049">
                              <w:t>Department Annual Report</w:t>
                            </w:r>
                            <w:r w:rsidRPr="00003E69">
                              <w:t>s:</w:t>
                            </w:r>
                          </w:p>
                          <w:p w14:paraId="5635ABD6" w14:textId="6C16C1F8" w:rsidR="00C6444C" w:rsidRPr="00020D20" w:rsidRDefault="00202C92">
                            <w:pPr>
                              <w:pStyle w:val="Title"/>
                              <w:rPr>
                                <w:sz w:val="16"/>
                              </w:rPr>
                            </w:pPr>
                            <w:hyperlink r:id="rId1200" w:history="1">
                              <w:r w:rsidR="00C6444C" w:rsidRPr="00020D20">
                                <w:rPr>
                                  <w:rStyle w:val="Hyperlink"/>
                                  <w:rFonts w:ascii="Calibri" w:hAnsi="Calibri" w:cstheme="majorBidi"/>
                                  <w:i/>
                                  <w:iCs w:val="0"/>
                                  <w:color w:val="CE5B18"/>
                                  <w:szCs w:val="56"/>
                                  <w:u w:val="none"/>
                                </w:rPr>
                                <w:t>https://land.az.gov/content/annual-reports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AC1F5B" id="Text Box 816285987" o:spid="_x0000_s1315" type="#_x0000_t202" style="position:absolute;left:0;text-align:left;margin-left:0;margin-top:109.85pt;width:108.1pt;height:108.1pt;z-index:-251698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" fillcolor="#f7f7f7" stroked="f" strokeweight=".5pt">
                <v:shadow on="t" type="perspective" color="black" opacity="26214f" offset="0,0" matrix="66847f,,,66847f"/>
                <v:textbox>
                  <w:txbxContent>
                    <w:p w14:paraId="59CC49FF" w14:textId="77777777" w:rsidR="00C6444C" w:rsidRDefault="00C6444C" w:rsidP="00020D20">
                      <w:pPr>
                        <w:jc w:val="center"/>
                      </w:pPr>
                      <w:r>
                        <w:rPr>
                          <w:noProof/>
                        </w:rPr>
                        <w:drawing>
                          <wp:inline distT="0" distB="0" distL="0" distR="0" wp14:anchorId="33E18E86" wp14:editId="6F257A40">
                            <wp:extent cx="457200" cy="457200"/>
                            <wp:effectExtent l="0" t="0" r="0" b="0"/>
                            <wp:docPr id="1690912790" name="Picture 169091279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D86C1C6" w14:textId="71508BBB" w:rsidR="00C6444C" w:rsidRPr="00003E69" w:rsidRDefault="00C6444C" w:rsidP="00020D20">
                      <w:pPr>
                        <w:pStyle w:val="Calloutboxes"/>
                      </w:pPr>
                      <w:r w:rsidRPr="00394A74">
                        <w:t>Arizona State Land</w:t>
                      </w:r>
                      <w:r w:rsidRPr="005A6734">
                        <w:t xml:space="preserve"> </w:t>
                      </w:r>
                      <w:r w:rsidRPr="001E4049">
                        <w:t>Department Annual Report</w:t>
                      </w:r>
                      <w:r w:rsidRPr="00003E69">
                        <w:t>s:</w:t>
                      </w:r>
                    </w:p>
                    <w:p w14:paraId="5635ABD6" w14:textId="6C16C1F8" w:rsidR="00C6444C" w:rsidRPr="00020D20" w:rsidRDefault="00C6444C">
                      <w:pPr>
                        <w:pStyle w:val="Title"/>
                        <w:rPr>
                          <w:sz w:val="16"/>
                        </w:rPr>
                      </w:pPr>
                      <w:hyperlink r:id="rId1201" w:history="1">
                        <w:r w:rsidRPr="00020D20">
                          <w:rPr>
                            <w:rStyle w:val="Hyperlink"/>
                            <w:rFonts w:ascii="Calibri" w:hAnsi="Calibri" w:cstheme="majorBidi"/>
                            <w:i/>
                            <w:iCs w:val="0"/>
                            <w:color w:val="CE5B18"/>
                            <w:szCs w:val="56"/>
                            <w:u w:val="none"/>
                          </w:rPr>
                          <w:t>https://land.az.gov/content/annual-reports</w:t>
                        </w:r>
                      </w:hyperlink>
                    </w:p>
                  </w:txbxContent>
                </v:textbox>
                <w10:wrap type="tight"/>
              </v:shape>
            </w:pict>
          </mc:Fallback>
        </mc:AlternateContent>
      </w:r>
      <w:r w:rsidR="00674150">
        <w:rPr>
          <w:rFonts w:cstheme="minorHAnsi"/>
        </w:rPr>
        <w:t xml:space="preserve">The Territory of Arizona was established on February 24, 1863, by an Act of Congress and was granted sections 16 and 36 of each township for the benefit of “Common Schools.” </w:t>
      </w:r>
      <w:hyperlink r:id="rId1202" w:history="1">
        <w:r w:rsidR="00674150" w:rsidRPr="00020D20">
          <w:rPr>
            <w:rStyle w:val="TitleChar"/>
          </w:rPr>
          <w:t xml:space="preserve">The Arizona-New Mexico Enabling Act of 1910 </w:t>
        </w:r>
      </w:hyperlink>
      <w:r w:rsidR="00674150">
        <w:rPr>
          <w:rFonts w:cstheme="minorHAnsi"/>
        </w:rPr>
        <w:t xml:space="preserve">(Act) authorized the Territory of Arizona to become a state and enter the Union on equal footing with the </w:t>
      </w:r>
      <w:r w:rsidR="00D82E85">
        <w:rPr>
          <w:rFonts w:cstheme="minorHAnsi"/>
        </w:rPr>
        <w:t>existing</w:t>
      </w:r>
      <w:r w:rsidR="00674150">
        <w:rPr>
          <w:rFonts w:cstheme="minorHAnsi"/>
        </w:rPr>
        <w:t xml:space="preserve"> states. In addition to the previously designated sections of land, the Act granted sections 2 and 32 of each township plus millions of additional acres. The combination of these original endowments plus “in lieu” land selections and previous land exchanges resulted in the checkerboard pattern seen throughout rural Arizona and larger contiguous parcels of STL around the more urbanized areas. </w:t>
      </w:r>
    </w:p>
    <w:p w14:paraId="2C58D139" w14:textId="4F1B0526" w:rsidR="00674150" w:rsidRDefault="00674150" w:rsidP="00020D20">
      <w:pPr>
        <w:jc w:val="both"/>
        <w:rPr>
          <w:rFonts w:cstheme="minorHAnsi"/>
        </w:rPr>
      </w:pPr>
      <w:r>
        <w:rPr>
          <w:rFonts w:cstheme="minorHAnsi"/>
        </w:rPr>
        <w:t>Congress authorized conveyance of these federal land grants to provide foundational financial support for basic public services and mandated that those lands be held in perpetual trust, with the standards for their management and disposition codified in the states’ constitution. Arizona has 13 Trust Beneficiaries, the largest of which are the K-12 public schools</w:t>
      </w:r>
      <w:r w:rsidR="00D82E85">
        <w:rPr>
          <w:rFonts w:cstheme="minorHAnsi"/>
        </w:rPr>
        <w:t xml:space="preserve"> in the state</w:t>
      </w:r>
      <w:r>
        <w:rPr>
          <w:rFonts w:cstheme="minorHAnsi"/>
        </w:rPr>
        <w:t>.</w:t>
      </w:r>
    </w:p>
    <w:p w14:paraId="71FA8380" w14:textId="3BECC829" w:rsidR="00675174" w:rsidRPr="00675174" w:rsidRDefault="00674150" w:rsidP="00020D20">
      <w:pPr>
        <w:jc w:val="both"/>
        <w:rPr>
          <w:rFonts w:cstheme="minorHAnsi"/>
        </w:rPr>
      </w:pPr>
      <w:r>
        <w:rPr>
          <w:rFonts w:cstheme="minorHAnsi"/>
        </w:rPr>
        <w:t>ASLD</w:t>
      </w:r>
      <w:r w:rsidR="00D82E85">
        <w:rPr>
          <w:rFonts w:cstheme="minorHAnsi"/>
        </w:rPr>
        <w:t>,</w:t>
      </w:r>
      <w:r>
        <w:rPr>
          <w:rFonts w:cstheme="minorHAnsi"/>
        </w:rPr>
        <w:t xml:space="preserve"> and the system by which STL is managed</w:t>
      </w:r>
      <w:r w:rsidR="00D82E85">
        <w:rPr>
          <w:rFonts w:cstheme="minorHAnsi"/>
        </w:rPr>
        <w:t>,</w:t>
      </w:r>
      <w:r>
        <w:rPr>
          <w:rFonts w:cstheme="minorHAnsi"/>
        </w:rPr>
        <w:t xml:space="preserve"> was established in 1915 by the State Land Code, with its authority vested from the Enabling Act and the State Constitution. ASLD’s authority is described in </w:t>
      </w:r>
      <w:hyperlink r:id="rId1203" w:history="1">
        <w:r w:rsidR="00D82E85" w:rsidRPr="00020D20">
          <w:rPr>
            <w:rStyle w:val="TitleChar"/>
          </w:rPr>
          <w:t>A.R.S. § 37</w:t>
        </w:r>
      </w:hyperlink>
      <w:r w:rsidR="00D82E85" w:rsidRPr="00E22565" w:rsidDel="00593B4E">
        <w:t xml:space="preserve"> </w:t>
      </w:r>
      <w:r>
        <w:rPr>
          <w:rFonts w:cstheme="minorHAnsi"/>
        </w:rPr>
        <w:t>. As a result of lessons learned from how other states oversaw their land grants, Arizona has some of the most restrictive requirements for managing the STL.</w:t>
      </w:r>
    </w:p>
    <w:p w14:paraId="51F9C777" w14:textId="1DC58DED" w:rsidR="00675174" w:rsidRPr="00675174" w:rsidRDefault="00675174" w:rsidP="00020D20">
      <w:pPr>
        <w:pStyle w:val="Heading3"/>
        <w:jc w:val="both"/>
      </w:pPr>
      <w:bookmarkStart w:id="742" w:name="_Ref50050296"/>
      <w:r w:rsidRPr="51D8F970">
        <w:t>17.10.3 | Scope</w:t>
      </w:r>
      <w:bookmarkEnd w:id="742"/>
    </w:p>
    <w:p w14:paraId="0B9BA430" w14:textId="735A8FCA" w:rsidR="00C139C4" w:rsidRDefault="00C139C4" w:rsidP="00020D20">
      <w:pPr>
        <w:jc w:val="both"/>
      </w:pPr>
      <w:r>
        <w:t xml:space="preserve">All STL uses must compensate the Beneficiaries, a requirement that distinguishes STL from public land such as U.S. Bureau of Land Management land, national </w:t>
      </w:r>
      <w:r w:rsidR="00D82E85">
        <w:t>parks,</w:t>
      </w:r>
      <w:r>
        <w:t xml:space="preserve"> or</w:t>
      </w:r>
      <w:r w:rsidR="00D82E85">
        <w:t xml:space="preserve"> national</w:t>
      </w:r>
      <w:r>
        <w:t xml:space="preserve"> forests</w:t>
      </w:r>
      <w:r w:rsidR="00D82E85">
        <w:t xml:space="preserve">. </w:t>
      </w:r>
      <w:r>
        <w:t>ASLD has a fiduciary obligation to the Beneficiaries and generates revenue through the lease of surface or subsurface resources, or through the sale of STL.</w:t>
      </w:r>
    </w:p>
    <w:p w14:paraId="6CF6759D" w14:textId="0BCB089F" w:rsidR="00C139C4" w:rsidRDefault="00C139C4" w:rsidP="00020D20">
      <w:pPr>
        <w:jc w:val="both"/>
      </w:pPr>
      <w:r>
        <w:t>Case law has substantiated the requirement that all sale or long-term lease of STL must be conveyed via public auction</w:t>
      </w:r>
      <w:r w:rsidR="00D82E85">
        <w:t xml:space="preserve">. </w:t>
      </w:r>
      <w:r>
        <w:t>For roadway construction or improvement projects, this might include auction of land necessary for the transportation corridor, but also any land that may become severed or otherwise negatively encumbered by the project</w:t>
      </w:r>
      <w:r w:rsidR="00D82E85">
        <w:t xml:space="preserve">. </w:t>
      </w:r>
      <w:r>
        <w:t>Accordingly, ASLD should be involved as a key stakeholder for any projects that may impact STL to ensure that the impact has minimal conflict to current or future uses</w:t>
      </w:r>
      <w:r w:rsidR="00D82E85">
        <w:t xml:space="preserve">. </w:t>
      </w:r>
      <w:r>
        <w:t>Early coordination with ASLD in project planning can avoid potential conflicts, ultimately saving time and money</w:t>
      </w:r>
      <w:r w:rsidR="00D82E85">
        <w:t xml:space="preserve">. </w:t>
      </w:r>
    </w:p>
    <w:p w14:paraId="43AFB9C2" w14:textId="6D7E65DD" w:rsidR="00675174" w:rsidRDefault="00F94BBB" w:rsidP="00020D20">
      <w:pPr>
        <w:pStyle w:val="Heading3"/>
        <w:jc w:val="both"/>
      </w:pPr>
      <w:r>
        <w:rPr>
          <w:rFonts w:cstheme="minorHAnsi"/>
          <w:noProof/>
        </w:rPr>
        <mc:AlternateContent>
          <mc:Choice Requires="wps">
            <w:drawing>
              <wp:anchor distT="0" distB="0" distL="114300" distR="114300" simplePos="0" relativeHeight="251618429" behindDoc="1" locked="0" layoutInCell="1" allowOverlap="1" wp14:anchorId="66EB1BCF" wp14:editId="100340A8">
                <wp:simplePos x="0" y="0"/>
                <wp:positionH relativeFrom="column">
                  <wp:posOffset>4467225</wp:posOffset>
                </wp:positionH>
                <wp:positionV relativeFrom="paragraph">
                  <wp:posOffset>260985</wp:posOffset>
                </wp:positionV>
                <wp:extent cx="1439545" cy="1514475"/>
                <wp:effectExtent l="76200" t="95250" r="84455" b="104775"/>
                <wp:wrapTight wrapText="bothSides">
                  <wp:wrapPolygon edited="0">
                    <wp:start x="-1143" y="-1358"/>
                    <wp:lineTo x="-1143" y="22823"/>
                    <wp:lineTo x="22581" y="22823"/>
                    <wp:lineTo x="22581" y="-1358"/>
                    <wp:lineTo x="-1143" y="-1358"/>
                  </wp:wrapPolygon>
                </wp:wrapTight>
                <wp:docPr id="816285996" name="Text Box 816285996"/>
                <wp:cNvGraphicFramePr/>
                <a:graphic xmlns:a="http://schemas.openxmlformats.org/drawingml/2006/main">
                  <a:graphicData uri="http://schemas.microsoft.com/office/word/2010/wordprocessingShape">
                    <wps:wsp>
                      <wps:cNvSpPr txBox="1"/>
                      <wps:spPr>
                        <a:xfrm>
                          <a:off x="0" y="0"/>
                          <a:ext cx="1439545" cy="1514475"/>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78A23AD7" w14:textId="77777777" w:rsidR="00C6444C" w:rsidRDefault="00C6444C" w:rsidP="00020D20">
                            <w:pPr>
                              <w:jc w:val="center"/>
                            </w:pPr>
                            <w:r>
                              <w:rPr>
                                <w:noProof/>
                              </w:rPr>
                              <w:drawing>
                                <wp:inline distT="0" distB="0" distL="0" distR="0" wp14:anchorId="1E67FEC0" wp14:editId="5A392174">
                                  <wp:extent cx="457200" cy="457200"/>
                                  <wp:effectExtent l="0" t="0" r="0" b="0"/>
                                  <wp:docPr id="1690912791" name="Picture 169091279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5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CDBE8C3" w14:textId="77777777" w:rsidR="00C6444C" w:rsidRPr="00BD48AE" w:rsidRDefault="00C6444C">
                            <w:pPr>
                              <w:pStyle w:val="Calloutboxes"/>
                            </w:pPr>
                            <w:r w:rsidRPr="00020D20">
                              <w:t>To ensure that questions or requests are correctly routed, agencies should initiate requests through ASLD’s case tracking system at:</w:t>
                            </w:r>
                          </w:p>
                          <w:p w14:paraId="70BD24D3" w14:textId="52853F58" w:rsidR="00C6444C" w:rsidRPr="00F94BBB" w:rsidRDefault="00202C92">
                            <w:pPr>
                              <w:pStyle w:val="Calloutboxes"/>
                            </w:pPr>
                            <w:hyperlink r:id="rId1204" w:history="1">
                              <w:r w:rsidR="00C6444C" w:rsidRPr="00020D20">
                                <w:rPr>
                                  <w:rStyle w:val="TitleChar"/>
                                  <w:sz w:val="16"/>
                                  <w:szCs w:val="16"/>
                                </w:rPr>
                                <w:t>https://land.az.gov/contact</w:t>
                              </w:r>
                            </w:hyperlink>
                            <w:r w:rsidR="00C6444C" w:rsidRPr="00020D20">
                              <w:rPr>
                                <w:rStyle w:val="TitleCha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EB1BCF" id="Text Box 816285996" o:spid="_x0000_s1316" type="#_x0000_t202" style="position:absolute;left:0;text-align:left;margin-left:351.75pt;margin-top:20.55pt;width:113.35pt;height:119.25pt;z-index:-251698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" fillcolor="#f7f7f7" stroked="f" strokeweight=".5pt">
                <v:shadow on="t" type="perspective" color="black" opacity="26214f" offset="0,0" matrix="66847f,,,66847f"/>
                <v:textbox>
                  <w:txbxContent>
                    <w:p w14:paraId="78A23AD7" w14:textId="77777777" w:rsidR="00C6444C" w:rsidRDefault="00C6444C" w:rsidP="00020D20">
                      <w:pPr>
                        <w:jc w:val="center"/>
                      </w:pPr>
                      <w:r>
                        <w:rPr>
                          <w:noProof/>
                        </w:rPr>
                        <w:drawing>
                          <wp:inline distT="0" distB="0" distL="0" distR="0" wp14:anchorId="1E67FEC0" wp14:editId="5A392174">
                            <wp:extent cx="457200" cy="457200"/>
                            <wp:effectExtent l="0" t="0" r="0" b="0"/>
                            <wp:docPr id="1690912791" name="Picture 169091279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0">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CDBE8C3" w14:textId="77777777" w:rsidR="00C6444C" w:rsidRPr="00BD48AE" w:rsidRDefault="00C6444C">
                      <w:pPr>
                        <w:pStyle w:val="Calloutboxes"/>
                      </w:pPr>
                      <w:r w:rsidRPr="00020D20">
                        <w:t>To ensure that questions or requests are correctly routed, agencies should initiate requests through ASLD’s case tracking system at:</w:t>
                      </w:r>
                    </w:p>
                    <w:p w14:paraId="70BD24D3" w14:textId="52853F58" w:rsidR="00C6444C" w:rsidRPr="00F94BBB" w:rsidRDefault="00C6444C">
                      <w:pPr>
                        <w:pStyle w:val="Calloutboxes"/>
                      </w:pPr>
                      <w:hyperlink r:id="rId1205" w:history="1">
                        <w:r w:rsidRPr="00020D20">
                          <w:rPr>
                            <w:rStyle w:val="TitleChar"/>
                            <w:sz w:val="16"/>
                            <w:szCs w:val="16"/>
                          </w:rPr>
                          <w:t>https://land.az.gov/contact</w:t>
                        </w:r>
                      </w:hyperlink>
                      <w:r w:rsidRPr="00020D20">
                        <w:rPr>
                          <w:rStyle w:val="TitleChar"/>
                          <w:sz w:val="16"/>
                          <w:szCs w:val="16"/>
                        </w:rPr>
                        <w:t>.</w:t>
                      </w:r>
                    </w:p>
                  </w:txbxContent>
                </v:textbox>
                <w10:wrap type="tight"/>
              </v:shape>
            </w:pict>
          </mc:Fallback>
        </mc:AlternateContent>
      </w:r>
      <w:r>
        <w:rPr>
          <w:noProof/>
        </w:rPr>
        <mc:AlternateContent>
          <mc:Choice Requires="wpg">
            <w:drawing>
              <wp:anchor distT="0" distB="0" distL="114300" distR="114300" simplePos="0" relativeHeight="251618631" behindDoc="0" locked="0" layoutInCell="1" allowOverlap="1" wp14:anchorId="3C8BE924" wp14:editId="67D4351C">
                <wp:simplePos x="0" y="0"/>
                <wp:positionH relativeFrom="column">
                  <wp:posOffset>-19692</wp:posOffset>
                </wp:positionH>
                <wp:positionV relativeFrom="paragraph">
                  <wp:posOffset>76200</wp:posOffset>
                </wp:positionV>
                <wp:extent cx="2771775" cy="798195"/>
                <wp:effectExtent l="95250" t="76200" r="104775" b="78105"/>
                <wp:wrapSquare wrapText="bothSides"/>
                <wp:docPr id="816285995" name="Group 816285995"/>
                <wp:cNvGraphicFramePr/>
                <a:graphic xmlns:a="http://schemas.openxmlformats.org/drawingml/2006/main">
                  <a:graphicData uri="http://schemas.microsoft.com/office/word/2010/wordprocessingGroup">
                    <wpg:wgp>
                      <wpg:cNvGrpSpPr/>
                      <wpg:grpSpPr>
                        <a:xfrm>
                          <a:off x="0" y="0"/>
                          <a:ext cx="2771775" cy="798195"/>
                          <a:chOff x="0" y="0"/>
                          <a:chExt cx="2771775" cy="798195"/>
                        </a:xfrm>
                      </wpg:grpSpPr>
                      <wps:wsp>
                        <wps:cNvPr id="816285991" name="Text Box 816285991"/>
                        <wps:cNvSpPr txBox="1"/>
                        <wps:spPr>
                          <a:xfrm>
                            <a:off x="0" y="0"/>
                            <a:ext cx="2771775" cy="798195"/>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394"/>
                                <w:gridCol w:w="1106"/>
                              </w:tblGrid>
                              <w:tr w:rsidR="00C6444C" w14:paraId="53C6B405" w14:textId="77777777" w:rsidTr="00020D20">
                                <w:trPr>
                                  <w:trHeight w:val="358"/>
                                </w:trPr>
                                <w:tc>
                                  <w:tcPr>
                                    <w:tcW w:w="3394" w:type="dxa"/>
                                    <w:shd w:val="clear" w:color="auto" w:fill="auto"/>
                                  </w:tcPr>
                                  <w:p w14:paraId="2CAF85B6" w14:textId="77777777" w:rsidR="00C6444C" w:rsidRPr="00020D20" w:rsidRDefault="00C6444C">
                                    <w:pPr>
                                      <w:pStyle w:val="Calloutboxes"/>
                                      <w:rPr>
                                        <w:color w:val="012768"/>
                                      </w:rPr>
                                    </w:pPr>
                                  </w:p>
                                </w:tc>
                                <w:tc>
                                  <w:tcPr>
                                    <w:tcW w:w="1106" w:type="dxa"/>
                                    <w:shd w:val="clear" w:color="auto" w:fill="auto"/>
                                  </w:tcPr>
                                  <w:p w14:paraId="64A973A7" w14:textId="77777777" w:rsidR="00C6444C" w:rsidRPr="00020D20" w:rsidRDefault="00C6444C" w:rsidP="00D30138">
                                    <w:pPr>
                                      <w:pStyle w:val="Calloutboxes"/>
                                      <w:jc w:val="left"/>
                                      <w:rPr>
                                        <w:color w:val="FFFFFF" w:themeColor="background1"/>
                                        <w:sz w:val="24"/>
                                        <w:szCs w:val="24"/>
                                      </w:rPr>
                                    </w:pPr>
                                  </w:p>
                                </w:tc>
                              </w:tr>
                              <w:tr w:rsidR="00C6444C" w14:paraId="2714DC74" w14:textId="77777777" w:rsidTr="00020D20">
                                <w:trPr>
                                  <w:trHeight w:val="903"/>
                                </w:trPr>
                                <w:tc>
                                  <w:tcPr>
                                    <w:tcW w:w="4500" w:type="dxa"/>
                                    <w:gridSpan w:val="2"/>
                                  </w:tcPr>
                                  <w:p w14:paraId="08F5024E" w14:textId="77777777" w:rsidR="00C6444C" w:rsidRDefault="00C6444C">
                                    <w:pPr>
                                      <w:pStyle w:val="Calloutboxes"/>
                                      <w:jc w:val="left"/>
                                    </w:pPr>
                                  </w:p>
                                  <w:p w14:paraId="7ADA62FF" w14:textId="0B8F4B8E" w:rsidR="00C6444C" w:rsidRPr="001847F0" w:rsidRDefault="00C6444C" w:rsidP="00020D20">
                                    <w:pPr>
                                      <w:pStyle w:val="Calloutboxes"/>
                                    </w:pPr>
                                    <w:r w:rsidRPr="00020D20">
                                      <w:t>The Arizona State Treasurer manages the fiscal corpus of permanent revenue produced by STL within the Permanent Land Endowment Trust Fund.</w:t>
                                    </w:r>
                                  </w:p>
                                </w:tc>
                              </w:tr>
                            </w:tbl>
                            <w:p w14:paraId="665A25E1"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6285992" name="Group 816285992"/>
                        <wpg:cNvGrpSpPr/>
                        <wpg:grpSpPr>
                          <a:xfrm>
                            <a:off x="0" y="0"/>
                            <a:ext cx="2771775" cy="379411"/>
                            <a:chOff x="11875" y="29688"/>
                            <a:chExt cx="2772410" cy="456764"/>
                          </a:xfrm>
                        </wpg:grpSpPr>
                        <wps:wsp>
                          <wps:cNvPr id="816285993" name="Rectangle 816285993"/>
                          <wps:cNvSpPr/>
                          <wps:spPr>
                            <a:xfrm>
                              <a:off x="11875" y="29688"/>
                              <a:ext cx="2772410" cy="456764"/>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5994" name="Text Box 816285994"/>
                          <wps:cNvSpPr txBox="1"/>
                          <wps:spPr>
                            <a:xfrm>
                              <a:off x="65323" y="29688"/>
                              <a:ext cx="2714509" cy="426646"/>
                            </a:xfrm>
                            <a:prstGeom prst="rect">
                              <a:avLst/>
                            </a:prstGeom>
                            <a:noFill/>
                            <a:ln w="6350">
                              <a:noFill/>
                            </a:ln>
                            <a:effectLst/>
                          </wps:spPr>
                          <wps:txbx>
                            <w:txbxContent>
                              <w:p w14:paraId="6DB3AB02"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C8BE924" id="Group 816285995" o:spid="_x0000_s1317" style="position:absolute;left:0;text-align:left;margin-left:-1.55pt;margin-top:6pt;width:218.25pt;height:62.85pt;z-index:251618631" coordsize="2771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">
                <v:shape id="Text Box 816285991" o:spid="_x0000_s1318" type="#_x0000_t202" style="position:absolute;width:27717;height:7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394"/>
                          <w:gridCol w:w="1106"/>
                        </w:tblGrid>
                        <w:tr w:rsidR="00C6444C" w14:paraId="53C6B405" w14:textId="77777777" w:rsidTr="00020D20">
                          <w:trPr>
                            <w:trHeight w:val="358"/>
                          </w:trPr>
                          <w:tc>
                            <w:tcPr>
                              <w:tcW w:w="3394" w:type="dxa"/>
                              <w:shd w:val="clear" w:color="auto" w:fill="auto"/>
                            </w:tcPr>
                            <w:p w14:paraId="2CAF85B6" w14:textId="77777777" w:rsidR="00C6444C" w:rsidRPr="00020D20" w:rsidRDefault="00C6444C">
                              <w:pPr>
                                <w:pStyle w:val="Calloutboxes"/>
                                <w:rPr>
                                  <w:color w:val="012768"/>
                                </w:rPr>
                              </w:pPr>
                            </w:p>
                          </w:tc>
                          <w:tc>
                            <w:tcPr>
                              <w:tcW w:w="1106" w:type="dxa"/>
                              <w:shd w:val="clear" w:color="auto" w:fill="auto"/>
                            </w:tcPr>
                            <w:p w14:paraId="64A973A7" w14:textId="77777777" w:rsidR="00C6444C" w:rsidRPr="00020D20" w:rsidRDefault="00C6444C" w:rsidP="00D30138">
                              <w:pPr>
                                <w:pStyle w:val="Calloutboxes"/>
                                <w:jc w:val="left"/>
                                <w:rPr>
                                  <w:color w:val="FFFFFF" w:themeColor="background1"/>
                                  <w:sz w:val="24"/>
                                  <w:szCs w:val="24"/>
                                </w:rPr>
                              </w:pPr>
                            </w:p>
                          </w:tc>
                        </w:tr>
                        <w:tr w:rsidR="00C6444C" w14:paraId="2714DC74" w14:textId="77777777" w:rsidTr="00020D20">
                          <w:trPr>
                            <w:trHeight w:val="903"/>
                          </w:trPr>
                          <w:tc>
                            <w:tcPr>
                              <w:tcW w:w="4500" w:type="dxa"/>
                              <w:gridSpan w:val="2"/>
                            </w:tcPr>
                            <w:p w14:paraId="08F5024E" w14:textId="77777777" w:rsidR="00C6444C" w:rsidRDefault="00C6444C">
                              <w:pPr>
                                <w:pStyle w:val="Calloutboxes"/>
                                <w:jc w:val="left"/>
                              </w:pPr>
                            </w:p>
                            <w:p w14:paraId="7ADA62FF" w14:textId="0B8F4B8E" w:rsidR="00C6444C" w:rsidRPr="001847F0" w:rsidRDefault="00C6444C" w:rsidP="00020D20">
                              <w:pPr>
                                <w:pStyle w:val="Calloutboxes"/>
                              </w:pPr>
                              <w:r w:rsidRPr="00020D20">
                                <w:t>The Arizona State Treasurer manages the fiscal corpus of permanent revenue produced by STL within the Permanent Land Endowment Trust Fund.</w:t>
                              </w:r>
                            </w:p>
                          </w:tc>
                        </w:tr>
                      </w:tbl>
                      <w:p w14:paraId="665A25E1" w14:textId="77777777" w:rsidR="00C6444C" w:rsidRPr="00347D6E" w:rsidRDefault="00C6444C" w:rsidP="00020D20"/>
                    </w:txbxContent>
                  </v:textbox>
                </v:shape>
                <v:group id="Group 816285992" o:spid="_x0000_s1319" style="position:absolute;width:27717;height:3794" coordorigin="118,296" coordsize="27724,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">
                  <v:rect id="Rectangle 816285993" o:spid="_x0000_s1320" style="position:absolute;left:118;top:296;width:27724;height:4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" fillcolor="#012768" strokecolor="#1f4d78 [1604]" strokeweight="1pt"/>
                  <v:shape id="Text Box 816285994" o:spid="_x0000_s1321" type="#_x0000_t202" style="position:absolute;left:653;top:296;width:2714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" filled="f" stroked="f" strokeweight=".5pt">
                    <v:textbox>
                      <w:txbxContent>
                        <w:p w14:paraId="6DB3AB02" w14:textId="77777777" w:rsidR="00C6444C" w:rsidRPr="00020D20" w:rsidRDefault="00C6444C" w:rsidP="00020D20">
                          <w:pPr>
                            <w:jc w:val="center"/>
                            <w:rPr>
                              <w:color w:val="FFFFFF" w:themeColor="background1"/>
                              <w:sz w:val="22"/>
                            </w:rPr>
                          </w:pPr>
                          <w:r w:rsidRPr="00020D20">
                            <w:rPr>
                              <w:color w:val="FFFFFF" w:themeColor="background1"/>
                              <w:sz w:val="22"/>
                            </w:rPr>
                            <w:t>DID YOU KNOW</w:t>
                          </w:r>
                        </w:p>
                      </w:txbxContent>
                    </v:textbox>
                  </v:shape>
                </v:group>
                <w10:wrap type="square"/>
              </v:group>
            </w:pict>
          </mc:Fallback>
        </mc:AlternateContent>
      </w:r>
      <w:bookmarkStart w:id="743" w:name="_Ref50050300"/>
      <w:r w:rsidR="00675174" w:rsidRPr="51D8F970">
        <w:t>17.10.4 | ASLD organization</w:t>
      </w:r>
      <w:bookmarkEnd w:id="743"/>
    </w:p>
    <w:p w14:paraId="1F0635FE" w14:textId="2345A706" w:rsidR="00C139C4" w:rsidRDefault="00C139C4" w:rsidP="00020D20">
      <w:pPr>
        <w:jc w:val="both"/>
        <w:sectPr w:rsidR="00C139C4" w:rsidSect="00020D20">
          <w:type w:val="continuous"/>
          <w:pgSz w:w="12240" w:h="15840"/>
          <w:pgMar w:top="1440" w:right="1440" w:bottom="1440" w:left="1440" w:header="720" w:footer="720" w:gutter="0"/>
          <w:pgNumType w:chapStyle="1"/>
          <w:cols w:num="2" w:space="720"/>
          <w:docGrid w:linePitch="360"/>
        </w:sectPr>
      </w:pPr>
      <w:r w:rsidRPr="00675174">
        <w:rPr>
          <w:rFonts w:cstheme="minorHAnsi"/>
        </w:rPr>
        <w:t xml:space="preserve">ASLD </w:t>
      </w:r>
      <w:r>
        <w:rPr>
          <w:rFonts w:cstheme="minorHAnsi"/>
        </w:rPr>
        <w:t>is managed by the State Land Commissioner who oversees seven divisions that include: Right-of-</w:t>
      </w:r>
      <w:r w:rsidRPr="00C139C4">
        <w:rPr>
          <w:rFonts w:cstheme="minorHAnsi"/>
        </w:rPr>
        <w:t xml:space="preserve"> </w:t>
      </w:r>
      <w:r>
        <w:rPr>
          <w:rFonts w:cstheme="minorHAnsi"/>
        </w:rPr>
        <w:t xml:space="preserve">Way, </w:t>
      </w:r>
      <w:r w:rsidR="00DF18D2">
        <w:rPr>
          <w:rFonts w:cstheme="minorHAnsi"/>
        </w:rPr>
        <w:t>Agriculture,</w:t>
      </w:r>
      <w:r>
        <w:rPr>
          <w:rFonts w:cstheme="minorHAnsi"/>
        </w:rPr>
        <w:t xml:space="preserve"> and Minerals Division; Planning and Engineering Division; Administration Division; Internal Services Division; Natural Resources Division; Information Systems and Resource Analysis Division; and the Real Estate Division. </w:t>
      </w:r>
      <w:r w:rsidRPr="00675174">
        <w:rPr>
          <w:rFonts w:cstheme="minorHAnsi"/>
        </w:rPr>
        <w:t>Each division is made up of additional sections, which are indicated</w:t>
      </w:r>
      <w:r w:rsidR="00413A95">
        <w:rPr>
          <w:rFonts w:cstheme="minorHAnsi"/>
        </w:rPr>
        <w:t xml:space="preserve"> in the organization chart </w:t>
      </w:r>
      <w:r w:rsidR="00215093">
        <w:rPr>
          <w:rFonts w:cstheme="minorHAnsi"/>
        </w:rPr>
        <w:t>in Figure 17.10-1</w:t>
      </w:r>
      <w:r w:rsidRPr="00675174">
        <w:rPr>
          <w:rFonts w:cstheme="minorHAnsi"/>
        </w:rPr>
        <w:t>.</w:t>
      </w:r>
      <w:r w:rsidR="00215093">
        <w:rPr>
          <w:highlight w:val="yellow"/>
        </w:rPr>
        <w:t xml:space="preserve"> </w:t>
      </w:r>
    </w:p>
    <w:p w14:paraId="43AED474" w14:textId="569E2CD1" w:rsidR="00512112" w:rsidRPr="00512112" w:rsidRDefault="00512112" w:rsidP="00020D20">
      <w:pPr>
        <w:jc w:val="both"/>
        <w:rPr>
          <w:rFonts w:cstheme="minorHAnsi"/>
        </w:rPr>
      </w:pPr>
    </w:p>
    <w:p w14:paraId="7472F8DC" w14:textId="77777777" w:rsidR="003C5DFC" w:rsidRDefault="003C5DFC" w:rsidP="00020D20">
      <w:pPr>
        <w:pStyle w:val="Heading5"/>
        <w:jc w:val="both"/>
        <w:sectPr w:rsidR="003C5DFC" w:rsidSect="00F43B1D">
          <w:type w:val="continuous"/>
          <w:pgSz w:w="12240" w:h="15840"/>
          <w:pgMar w:top="1440" w:right="1440" w:bottom="1440" w:left="1440" w:header="720" w:footer="720" w:gutter="0"/>
          <w:cols w:num="2" w:space="720"/>
          <w:docGrid w:linePitch="360"/>
        </w:sectPr>
      </w:pPr>
    </w:p>
    <w:p w14:paraId="17F0122F" w14:textId="78A70FB0" w:rsidR="006A4230" w:rsidRPr="006A4230" w:rsidRDefault="006A4230" w:rsidP="00020D20">
      <w:pPr>
        <w:pStyle w:val="Heading4"/>
        <w:jc w:val="both"/>
      </w:pPr>
      <w:r w:rsidRPr="004637FD">
        <w:t>Figure 17.10-1 | ASLD Organization</w:t>
      </w:r>
    </w:p>
    <w:p w14:paraId="7B7CB2DC" w14:textId="77777777" w:rsidR="003C5DFC" w:rsidRPr="003C5DFC" w:rsidRDefault="00306F02" w:rsidP="00020D20">
      <w:pPr>
        <w:jc w:val="both"/>
      </w:pPr>
      <w:r>
        <w:rPr>
          <w:noProof/>
        </w:rPr>
        <w:drawing>
          <wp:inline distT="0" distB="0" distL="0" distR="0" wp14:anchorId="266BD8D5" wp14:editId="53066955">
            <wp:extent cx="6267450" cy="385452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10_Figure17.10-1_ASLD_Organization.jpg"/>
                    <pic:cNvPicPr/>
                  </pic:nvPicPr>
                  <pic:blipFill>
                    <a:blip r:embed="rId1206" cstate="hqprint">
                      <a:extLst>
                        <a:ext uri="{28A0092B-C50C-407E-A947-70E740481C1C}">
                          <a14:useLocalDpi xmlns:a14="http://schemas.microsoft.com/office/drawing/2010/main" val="0"/>
                        </a:ext>
                      </a:extLst>
                    </a:blip>
                    <a:stretch>
                      <a:fillRect/>
                    </a:stretch>
                  </pic:blipFill>
                  <pic:spPr>
                    <a:xfrm>
                      <a:off x="0" y="0"/>
                      <a:ext cx="6279497" cy="3286694"/>
                    </a:xfrm>
                    <a:prstGeom prst="rect">
                      <a:avLst/>
                    </a:prstGeom>
                  </pic:spPr>
                </pic:pic>
              </a:graphicData>
            </a:graphic>
          </wp:inline>
        </w:drawing>
      </w:r>
    </w:p>
    <w:p w14:paraId="77C10D7F" w14:textId="641CD8FF" w:rsidR="003C5DFC" w:rsidRDefault="003C5DFC" w:rsidP="00020D20">
      <w:pPr>
        <w:jc w:val="both"/>
      </w:pPr>
    </w:p>
    <w:p w14:paraId="3CEE8D6B" w14:textId="77777777" w:rsidR="003C5DFC" w:rsidRDefault="003C5DFC" w:rsidP="00020D20">
      <w:pPr>
        <w:jc w:val="both"/>
        <w:sectPr w:rsidR="003C5DFC" w:rsidSect="004637FD">
          <w:type w:val="continuous"/>
          <w:pgSz w:w="12240" w:h="15840"/>
          <w:pgMar w:top="1440" w:right="1440" w:bottom="1440" w:left="1440" w:header="720" w:footer="720" w:gutter="0"/>
          <w:cols w:space="720"/>
          <w:docGrid w:linePitch="360"/>
        </w:sectPr>
      </w:pPr>
    </w:p>
    <w:p w14:paraId="5CF65E2D" w14:textId="77777777" w:rsidR="00215093" w:rsidRDefault="00215093" w:rsidP="00020D20">
      <w:pPr>
        <w:pStyle w:val="SubHeading3"/>
        <w:jc w:val="both"/>
      </w:pPr>
      <w:r>
        <w:br w:type="page"/>
      </w:r>
    </w:p>
    <w:p w14:paraId="189B6B72" w14:textId="342DD2A2" w:rsidR="00C139C4" w:rsidRPr="00675174" w:rsidRDefault="00C139C4" w:rsidP="00020D20">
      <w:pPr>
        <w:pStyle w:val="SubHeading3"/>
        <w:jc w:val="both"/>
      </w:pPr>
      <w:bookmarkStart w:id="744" w:name="_Ref50050481"/>
      <w:r>
        <w:t xml:space="preserve">Rights of Way, </w:t>
      </w:r>
      <w:r w:rsidR="00215093">
        <w:t>Agriculture,</w:t>
      </w:r>
      <w:r>
        <w:t xml:space="preserve"> and Minerals Division</w:t>
      </w:r>
      <w:bookmarkEnd w:id="744"/>
    </w:p>
    <w:p w14:paraId="1D75B767" w14:textId="576D941D" w:rsidR="00C139C4" w:rsidRDefault="00C139C4" w:rsidP="00020D20">
      <w:pPr>
        <w:jc w:val="both"/>
        <w:rPr>
          <w:rFonts w:cstheme="minorHAnsi"/>
        </w:rPr>
      </w:pPr>
      <w:r>
        <w:rPr>
          <w:rFonts w:cstheme="minorHAnsi"/>
        </w:rPr>
        <w:t>The Rights of Way, Agriculture</w:t>
      </w:r>
      <w:r w:rsidR="00215093">
        <w:rPr>
          <w:rFonts w:cstheme="minorHAnsi"/>
        </w:rPr>
        <w:t>,</w:t>
      </w:r>
      <w:r>
        <w:rPr>
          <w:rFonts w:cstheme="minorHAnsi"/>
        </w:rPr>
        <w:t xml:space="preserve"> and Minerals</w:t>
      </w:r>
      <w:r w:rsidR="00215093">
        <w:rPr>
          <w:rFonts w:cstheme="minorHAnsi"/>
        </w:rPr>
        <w:t xml:space="preserve"> Division administers all right-</w:t>
      </w:r>
      <w:r>
        <w:rPr>
          <w:rFonts w:cstheme="minorHAnsi"/>
        </w:rPr>
        <w:t>of</w:t>
      </w:r>
      <w:r w:rsidR="00215093">
        <w:rPr>
          <w:rFonts w:cstheme="minorHAnsi"/>
        </w:rPr>
        <w:t>-</w:t>
      </w:r>
      <w:r>
        <w:rPr>
          <w:rFonts w:cstheme="minorHAnsi"/>
        </w:rPr>
        <w:t xml:space="preserve">way applications for circulation, </w:t>
      </w:r>
      <w:r w:rsidR="00DF18D2">
        <w:rPr>
          <w:rFonts w:cstheme="minorHAnsi"/>
        </w:rPr>
        <w:t>utilities,</w:t>
      </w:r>
      <w:r>
        <w:rPr>
          <w:rFonts w:cstheme="minorHAnsi"/>
        </w:rPr>
        <w:t xml:space="preserve"> and infrastructure projects on STL. The Division also manages applications and leases for agriculture and surface and subsurface mineral uses of STL. </w:t>
      </w:r>
    </w:p>
    <w:p w14:paraId="2E7D4139" w14:textId="77777777" w:rsidR="00C139C4" w:rsidRDefault="00C139C4" w:rsidP="00020D20">
      <w:pPr>
        <w:pStyle w:val="SubHeading3"/>
        <w:jc w:val="both"/>
        <w:rPr>
          <w:rFonts w:cstheme="minorHAnsi"/>
        </w:rPr>
      </w:pPr>
      <w:bookmarkStart w:id="745" w:name="_Ref50050485"/>
      <w:r w:rsidRPr="008D5172">
        <w:t>Planning and Engineering Division</w:t>
      </w:r>
      <w:bookmarkEnd w:id="745"/>
    </w:p>
    <w:p w14:paraId="163BECB8" w14:textId="033BBFEE" w:rsidR="00C139C4" w:rsidRPr="005B1CEB" w:rsidRDefault="00C139C4" w:rsidP="00020D20">
      <w:pPr>
        <w:jc w:val="both"/>
        <w:rPr>
          <w:rFonts w:cstheme="minorHAnsi"/>
        </w:rPr>
      </w:pPr>
      <w:r>
        <w:rPr>
          <w:rFonts w:cstheme="minorHAnsi"/>
        </w:rPr>
        <w:t xml:space="preserve">The Planning and Engineering Division secures land entitlements for STL to increase the value of lands ready for near-term disposition. This division also considers annexation requests and evaluates engineering opportunities and constraints associated with proposed development on and adjacent to STL. Jurisdictional Delineations, </w:t>
      </w:r>
      <w:r w:rsidR="00DF18D2">
        <w:rPr>
          <w:rFonts w:cstheme="minorHAnsi"/>
        </w:rPr>
        <w:t>drainage,</w:t>
      </w:r>
      <w:r>
        <w:rPr>
          <w:rFonts w:cstheme="minorHAnsi"/>
        </w:rPr>
        <w:t xml:space="preserve"> and infrastructure projects affecting STL are assessed by the Planning and Engineering team. </w:t>
      </w:r>
    </w:p>
    <w:p w14:paraId="13F50D7D" w14:textId="77777777" w:rsidR="00C139C4" w:rsidRPr="00675174" w:rsidRDefault="00C139C4" w:rsidP="00020D20">
      <w:pPr>
        <w:pStyle w:val="SubHeading3"/>
        <w:jc w:val="both"/>
      </w:pPr>
      <w:bookmarkStart w:id="746" w:name="_Ref50050489"/>
      <w:r w:rsidRPr="00675174">
        <w:t>Natural Resources Division</w:t>
      </w:r>
      <w:bookmarkEnd w:id="746"/>
    </w:p>
    <w:p w14:paraId="3B132231" w14:textId="631D2C2C" w:rsidR="00C139C4" w:rsidRDefault="00C139C4" w:rsidP="00020D20">
      <w:pPr>
        <w:jc w:val="both"/>
      </w:pPr>
      <w:r w:rsidRPr="51D8F970">
        <w:t xml:space="preserve">The Natural Resources Division is responsible for natural resources-related issues including </w:t>
      </w:r>
      <w:r>
        <w:t>water rights and trespass on STL</w:t>
      </w:r>
      <w:r w:rsidR="00215093">
        <w:t xml:space="preserve">. </w:t>
      </w:r>
      <w:r>
        <w:t xml:space="preserve">The Division also oversees the </w:t>
      </w:r>
      <w:r w:rsidRPr="51D8F970">
        <w:t xml:space="preserve">Natural Resource Conservation Districts </w:t>
      </w:r>
      <w:r>
        <w:t xml:space="preserve">and </w:t>
      </w:r>
      <w:r w:rsidRPr="51D8F970">
        <w:t xml:space="preserve">is responsible for recreation permits and the Rangeland Management Program. </w:t>
      </w:r>
    </w:p>
    <w:p w14:paraId="50C7056A" w14:textId="77777777" w:rsidR="00C139C4" w:rsidRPr="00675174" w:rsidRDefault="00C139C4" w:rsidP="00020D20">
      <w:pPr>
        <w:pStyle w:val="SubHeading3"/>
        <w:jc w:val="both"/>
      </w:pPr>
      <w:bookmarkStart w:id="747" w:name="_Ref50050492"/>
      <w:r w:rsidRPr="00675174">
        <w:t>Real Estate Division</w:t>
      </w:r>
      <w:bookmarkEnd w:id="747"/>
    </w:p>
    <w:p w14:paraId="7E278B9F" w14:textId="77777777" w:rsidR="00C139C4" w:rsidRPr="00675174" w:rsidRDefault="00C139C4" w:rsidP="00020D20">
      <w:pPr>
        <w:jc w:val="both"/>
        <w:rPr>
          <w:rFonts w:cstheme="minorHAnsi"/>
        </w:rPr>
      </w:pPr>
      <w:r w:rsidRPr="00675174">
        <w:rPr>
          <w:rFonts w:cstheme="minorHAnsi"/>
        </w:rPr>
        <w:t>The Real Estate Division supports the sale</w:t>
      </w:r>
      <w:r>
        <w:rPr>
          <w:rFonts w:cstheme="minorHAnsi"/>
        </w:rPr>
        <w:t xml:space="preserve"> and </w:t>
      </w:r>
      <w:r w:rsidRPr="00675174">
        <w:rPr>
          <w:rFonts w:cstheme="minorHAnsi"/>
        </w:rPr>
        <w:t>commercial leasing</w:t>
      </w:r>
      <w:r w:rsidRPr="00675174" w:rsidDel="00BE3E68">
        <w:rPr>
          <w:rFonts w:cstheme="minorHAnsi"/>
        </w:rPr>
        <w:t xml:space="preserve"> </w:t>
      </w:r>
      <w:r w:rsidRPr="00675174">
        <w:rPr>
          <w:rFonts w:cstheme="minorHAnsi"/>
        </w:rPr>
        <w:t xml:space="preserve">of </w:t>
      </w:r>
      <w:r>
        <w:rPr>
          <w:rFonts w:cstheme="minorHAnsi"/>
        </w:rPr>
        <w:t xml:space="preserve">STL. </w:t>
      </w:r>
      <w:r w:rsidRPr="00675174">
        <w:rPr>
          <w:rFonts w:cstheme="minorHAnsi"/>
        </w:rPr>
        <w:t xml:space="preserve">The </w:t>
      </w:r>
      <w:r>
        <w:rPr>
          <w:rFonts w:cstheme="minorHAnsi"/>
        </w:rPr>
        <w:t>D</w:t>
      </w:r>
      <w:r w:rsidRPr="00675174">
        <w:rPr>
          <w:rFonts w:cstheme="minorHAnsi"/>
        </w:rPr>
        <w:t xml:space="preserve">ivision </w:t>
      </w:r>
      <w:r>
        <w:rPr>
          <w:rFonts w:cstheme="minorHAnsi"/>
        </w:rPr>
        <w:t xml:space="preserve">manages the land disposition process and </w:t>
      </w:r>
      <w:r w:rsidRPr="00675174">
        <w:rPr>
          <w:rFonts w:cstheme="minorHAnsi"/>
        </w:rPr>
        <w:t>provid</w:t>
      </w:r>
      <w:r>
        <w:rPr>
          <w:rFonts w:cstheme="minorHAnsi"/>
        </w:rPr>
        <w:t>es</w:t>
      </w:r>
      <w:r w:rsidRPr="00675174">
        <w:rPr>
          <w:rFonts w:cstheme="minorHAnsi"/>
        </w:rPr>
        <w:t xml:space="preserve"> recommendations that maximize the revenue for Trust beneficiaries. </w:t>
      </w:r>
    </w:p>
    <w:p w14:paraId="6050B957" w14:textId="77777777" w:rsidR="00C139C4" w:rsidRPr="00305187" w:rsidRDefault="00C139C4" w:rsidP="00020D20">
      <w:pPr>
        <w:pStyle w:val="SubHeading3"/>
        <w:jc w:val="both"/>
      </w:pPr>
      <w:bookmarkStart w:id="748" w:name="_Ref50050495"/>
      <w:r w:rsidRPr="008D5172">
        <w:t>Administration Division</w:t>
      </w:r>
      <w:bookmarkEnd w:id="748"/>
    </w:p>
    <w:p w14:paraId="13E3318C" w14:textId="5F4E411B" w:rsidR="00C139C4" w:rsidRDefault="00C139C4" w:rsidP="00020D20">
      <w:pPr>
        <w:jc w:val="both"/>
        <w:rPr>
          <w:rFonts w:cstheme="minorHAnsi"/>
        </w:rPr>
      </w:pPr>
      <w:r>
        <w:rPr>
          <w:rFonts w:cstheme="minorHAnsi"/>
        </w:rPr>
        <w:t>The Administration Division oversees</w:t>
      </w:r>
      <w:r w:rsidRPr="00675174">
        <w:rPr>
          <w:rFonts w:cstheme="minorHAnsi"/>
        </w:rPr>
        <w:t xml:space="preserve"> the State’s land ownership title; manag</w:t>
      </w:r>
      <w:r>
        <w:rPr>
          <w:rFonts w:cstheme="minorHAnsi"/>
        </w:rPr>
        <w:t>es</w:t>
      </w:r>
      <w:r w:rsidRPr="00675174">
        <w:rPr>
          <w:rFonts w:cstheme="minorHAnsi"/>
        </w:rPr>
        <w:t xml:space="preserve"> public records; and prepar</w:t>
      </w:r>
      <w:r>
        <w:rPr>
          <w:rFonts w:cstheme="minorHAnsi"/>
        </w:rPr>
        <w:t>es</w:t>
      </w:r>
      <w:r w:rsidRPr="00675174">
        <w:rPr>
          <w:rFonts w:cstheme="minorHAnsi"/>
        </w:rPr>
        <w:t xml:space="preserve"> leases, permits, and other contracts related to the surface acreage within the </w:t>
      </w:r>
      <w:r>
        <w:rPr>
          <w:rFonts w:cstheme="minorHAnsi"/>
        </w:rPr>
        <w:t>STL</w:t>
      </w:r>
      <w:r w:rsidR="00215093" w:rsidRPr="00675174">
        <w:rPr>
          <w:rFonts w:cstheme="minorHAnsi"/>
        </w:rPr>
        <w:t>.</w:t>
      </w:r>
      <w:r w:rsidR="00215093">
        <w:rPr>
          <w:rFonts w:cstheme="minorHAnsi"/>
        </w:rPr>
        <w:t xml:space="preserve"> </w:t>
      </w:r>
      <w:r>
        <w:rPr>
          <w:rFonts w:cstheme="minorHAnsi"/>
        </w:rPr>
        <w:t>A</w:t>
      </w:r>
      <w:r w:rsidRPr="00675174">
        <w:rPr>
          <w:rFonts w:cstheme="minorHAnsi"/>
        </w:rPr>
        <w:t>dministrative appeals, hearings, and Board of Appeals</w:t>
      </w:r>
      <w:r>
        <w:rPr>
          <w:rFonts w:cstheme="minorHAnsi"/>
        </w:rPr>
        <w:t>,</w:t>
      </w:r>
      <w:r w:rsidRPr="00675174">
        <w:rPr>
          <w:rFonts w:cstheme="minorHAnsi"/>
        </w:rPr>
        <w:t xml:space="preserve"> budget development and implementation, fiscal monitoring and reporting, accounting, </w:t>
      </w:r>
      <w:r>
        <w:rPr>
          <w:rFonts w:cstheme="minorHAnsi"/>
        </w:rPr>
        <w:t xml:space="preserve">and </w:t>
      </w:r>
      <w:r w:rsidRPr="00675174">
        <w:rPr>
          <w:rFonts w:cstheme="minorHAnsi"/>
        </w:rPr>
        <w:t xml:space="preserve">purchasing </w:t>
      </w:r>
      <w:r>
        <w:rPr>
          <w:rFonts w:cstheme="minorHAnsi"/>
        </w:rPr>
        <w:t xml:space="preserve">all are handled by the Administration Division. </w:t>
      </w:r>
    </w:p>
    <w:p w14:paraId="0DF093C4" w14:textId="77777777" w:rsidR="00C139C4" w:rsidRPr="00675174" w:rsidRDefault="00C139C4" w:rsidP="00020D20">
      <w:pPr>
        <w:pStyle w:val="SubHeading3"/>
        <w:jc w:val="both"/>
      </w:pPr>
      <w:bookmarkStart w:id="749" w:name="_Ref50050498"/>
      <w:r w:rsidRPr="00675174">
        <w:t>Information Systems and Resource Analysis Division</w:t>
      </w:r>
      <w:bookmarkEnd w:id="749"/>
    </w:p>
    <w:p w14:paraId="616179C1" w14:textId="38198CE1" w:rsidR="00C139C4" w:rsidRDefault="00C139C4" w:rsidP="00020D20">
      <w:pPr>
        <w:jc w:val="both"/>
        <w:rPr>
          <w:rFonts w:cstheme="minorHAnsi"/>
        </w:rPr>
      </w:pPr>
      <w:r w:rsidRPr="00675174">
        <w:rPr>
          <w:rFonts w:cstheme="minorHAnsi"/>
        </w:rPr>
        <w:t>The Information Systems and Resource Analysis Division</w:t>
      </w:r>
      <w:r>
        <w:rPr>
          <w:rFonts w:cstheme="minorHAnsi"/>
        </w:rPr>
        <w:t xml:space="preserve"> manages</w:t>
      </w:r>
      <w:r w:rsidRPr="00675174">
        <w:rPr>
          <w:rFonts w:cstheme="minorHAnsi"/>
        </w:rPr>
        <w:t xml:space="preserve"> the </w:t>
      </w:r>
      <w:r>
        <w:rPr>
          <w:rFonts w:cstheme="minorHAnsi"/>
        </w:rPr>
        <w:t xml:space="preserve">Department’s </w:t>
      </w:r>
      <w:r w:rsidRPr="00675174">
        <w:rPr>
          <w:rFonts w:cstheme="minorHAnsi"/>
        </w:rPr>
        <w:t xml:space="preserve">information systems, business systems, and supports development and implementation of GIS throughout Arizona via the </w:t>
      </w:r>
      <w:r w:rsidR="00215093">
        <w:rPr>
          <w:rFonts w:cstheme="minorHAnsi"/>
        </w:rPr>
        <w:t>Arizona Land Resource Information System (</w:t>
      </w:r>
      <w:r w:rsidRPr="00675174">
        <w:rPr>
          <w:rFonts w:cstheme="minorHAnsi"/>
        </w:rPr>
        <w:t>ALRIS</w:t>
      </w:r>
      <w:r w:rsidR="00215093">
        <w:rPr>
          <w:rFonts w:cstheme="minorHAnsi"/>
        </w:rPr>
        <w:t>)</w:t>
      </w:r>
      <w:r w:rsidRPr="00675174">
        <w:rPr>
          <w:rFonts w:cstheme="minorHAnsi"/>
        </w:rPr>
        <w:t xml:space="preserve"> and the State Cartographer’s Office. </w:t>
      </w:r>
    </w:p>
    <w:p w14:paraId="5F4AF661" w14:textId="77777777" w:rsidR="00C139C4" w:rsidRDefault="00C139C4" w:rsidP="00020D20">
      <w:pPr>
        <w:pStyle w:val="SubHeading3"/>
        <w:jc w:val="both"/>
        <w:rPr>
          <w:rFonts w:cstheme="minorHAnsi"/>
        </w:rPr>
      </w:pPr>
      <w:bookmarkStart w:id="750" w:name="_Ref50050505"/>
      <w:r w:rsidRPr="00B01E98">
        <w:t>Internal Services Division</w:t>
      </w:r>
      <w:bookmarkEnd w:id="750"/>
    </w:p>
    <w:p w14:paraId="59DADC5A" w14:textId="77777777" w:rsidR="00C139C4" w:rsidRPr="00E3489D" w:rsidRDefault="00C139C4" w:rsidP="00020D20">
      <w:pPr>
        <w:jc w:val="both"/>
        <w:rPr>
          <w:rFonts w:cstheme="minorHAnsi"/>
        </w:rPr>
      </w:pPr>
      <w:r>
        <w:rPr>
          <w:rFonts w:cstheme="minorHAnsi"/>
        </w:rPr>
        <w:t xml:space="preserve">The Internal Services Division oversees ASLD’s Central Arizona Project water allocations, sovereign waterways and manages cultural resource compliance for proposed uses of STL. The Division also manages audit and compliance of lease and sales payments. </w:t>
      </w:r>
    </w:p>
    <w:p w14:paraId="212C79C8" w14:textId="77777777" w:rsidR="00C139C4" w:rsidRPr="00675174" w:rsidRDefault="00C139C4" w:rsidP="00020D20">
      <w:pPr>
        <w:pStyle w:val="SubHeading3"/>
        <w:jc w:val="both"/>
      </w:pPr>
      <w:bookmarkStart w:id="751" w:name="_Ref50050508"/>
      <w:r w:rsidRPr="00675174">
        <w:t>Board of Appeals</w:t>
      </w:r>
      <w:bookmarkEnd w:id="751"/>
    </w:p>
    <w:p w14:paraId="4248AACC" w14:textId="5E8307CA" w:rsidR="00C139C4" w:rsidRDefault="00C139C4" w:rsidP="00020D20">
      <w:pPr>
        <w:jc w:val="both"/>
        <w:rPr>
          <w:rFonts w:cstheme="minorHAnsi"/>
        </w:rPr>
        <w:sectPr w:rsidR="00C139C4" w:rsidSect="00020D20">
          <w:type w:val="continuous"/>
          <w:pgSz w:w="12240" w:h="15840"/>
          <w:pgMar w:top="1440" w:right="1440" w:bottom="1440" w:left="1440" w:header="720" w:footer="720" w:gutter="0"/>
          <w:pgNumType w:chapStyle="1"/>
          <w:cols w:num="2" w:space="720"/>
          <w:docGrid w:linePitch="360"/>
        </w:sectPr>
      </w:pPr>
      <w:r w:rsidRPr="00675174">
        <w:rPr>
          <w:rFonts w:cstheme="minorHAnsi"/>
        </w:rPr>
        <w:t>All sales and commercial leases on State lands must be approv</w:t>
      </w:r>
      <w:r>
        <w:rPr>
          <w:rFonts w:cstheme="minorHAnsi"/>
        </w:rPr>
        <w:t>ed</w:t>
      </w:r>
      <w:r w:rsidRPr="00675174">
        <w:rPr>
          <w:rFonts w:cstheme="minorHAnsi"/>
        </w:rPr>
        <w:t xml:space="preserve"> by the Board of Appeals (</w:t>
      </w:r>
      <w:hyperlink r:id="rId1207" w:history="1">
        <w:r w:rsidRPr="00020D20">
          <w:rPr>
            <w:rStyle w:val="TitleChar"/>
          </w:rPr>
          <w:t>A.R.S. § 37-215</w:t>
        </w:r>
      </w:hyperlink>
      <w:r w:rsidRPr="00675174">
        <w:rPr>
          <w:rFonts w:cstheme="minorHAnsi"/>
        </w:rPr>
        <w:t>). Additionally</w:t>
      </w:r>
      <w:r>
        <w:rPr>
          <w:rFonts w:cstheme="minorHAnsi"/>
        </w:rPr>
        <w:t>,</w:t>
      </w:r>
      <w:r w:rsidRPr="00675174">
        <w:rPr>
          <w:rFonts w:cstheme="minorHAnsi"/>
        </w:rPr>
        <w:t xml:space="preserve"> the Board of Appeals serves as the Administrative Review Board.</w:t>
      </w:r>
    </w:p>
    <w:p w14:paraId="78CD3656" w14:textId="77777777" w:rsidR="00C139C4" w:rsidRDefault="00C139C4" w:rsidP="00020D20">
      <w:pPr>
        <w:jc w:val="both"/>
        <w:rPr>
          <w:rFonts w:cstheme="minorHAnsi"/>
        </w:rPr>
        <w:sectPr w:rsidR="00C139C4" w:rsidSect="008E695B">
          <w:type w:val="continuous"/>
          <w:pgSz w:w="12240" w:h="15840"/>
          <w:pgMar w:top="1440" w:right="1440" w:bottom="1440" w:left="1440" w:header="720" w:footer="720" w:gutter="0"/>
          <w:cols w:space="720"/>
          <w:docGrid w:linePitch="360"/>
        </w:sectPr>
      </w:pPr>
    </w:p>
    <w:p w14:paraId="7597B5EB" w14:textId="77777777" w:rsidR="00D41520" w:rsidRDefault="007B44A0" w:rsidP="00020D20">
      <w:pPr>
        <w:pStyle w:val="Heading2"/>
        <w:rPr>
          <w:b w:val="0"/>
        </w:rPr>
        <w:sectPr w:rsidR="00D41520" w:rsidSect="000A263F">
          <w:type w:val="continuous"/>
          <w:pgSz w:w="12240" w:h="15840"/>
          <w:pgMar w:top="1440" w:right="1440" w:bottom="1440" w:left="1440" w:header="720" w:footer="720" w:gutter="0"/>
          <w:pgNumType w:chapStyle="1"/>
          <w:cols w:num="2" w:space="720"/>
          <w:docGrid w:linePitch="360"/>
        </w:sectPr>
      </w:pPr>
      <w:r>
        <w:br w:type="page"/>
      </w:r>
    </w:p>
    <w:p w14:paraId="6211956C" w14:textId="390E5BE9" w:rsidR="003C2DDF" w:rsidRDefault="00D41520" w:rsidP="00020D20">
      <w:pPr>
        <w:pStyle w:val="BodyTextTitle"/>
        <w:spacing w:before="0" w:after="0" w:line="240" w:lineRule="auto"/>
        <w:jc w:val="both"/>
      </w:pPr>
      <w:bookmarkStart w:id="752" w:name="_Ref50049630"/>
      <w:r>
        <w:t>17.11</w:t>
      </w:r>
      <w:r w:rsidR="00F94BBB">
        <w:t xml:space="preserve"> </w:t>
      </w:r>
      <w:r>
        <w:t>| SUSTAINABILITY</w:t>
      </w:r>
    </w:p>
    <w:p w14:paraId="617F9811" w14:textId="5A09701E" w:rsidR="00D41520" w:rsidRPr="00020D20" w:rsidRDefault="00D41520" w:rsidP="00020D20">
      <w:pPr>
        <w:pStyle w:val="BodyTextTitle"/>
        <w:spacing w:before="0" w:line="240" w:lineRule="auto"/>
        <w:jc w:val="both"/>
        <w:rPr>
          <w:sz w:val="36"/>
        </w:rPr>
      </w:pPr>
      <w:r w:rsidRPr="00020D20">
        <w:rPr>
          <w:sz w:val="36"/>
        </w:rPr>
        <w:t>TABLE OF CONTENTS</w:t>
      </w:r>
      <w:bookmarkEnd w:id="752"/>
    </w:p>
    <w:p w14:paraId="71EBA21C" w14:textId="13D4419B" w:rsidR="00D41520"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_Ref50050558 \h </w:instrText>
      </w:r>
      <w:r w:rsidR="002D38FC">
        <w:instrText xml:space="preserve"> \* MERGEFORMAT </w:instrText>
      </w:r>
      <w:r>
        <w:fldChar w:fldCharType="separate"/>
      </w:r>
      <w:r>
        <w:t>17.11.1 | O</w:t>
      </w:r>
      <w:r w:rsidRPr="00FC2164">
        <w:t>verview</w:t>
      </w:r>
      <w:r>
        <w:fldChar w:fldCharType="end"/>
      </w:r>
    </w:p>
    <w:p w14:paraId="51D2C531" w14:textId="50E594C0" w:rsidR="00D41520"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_Ref50050561 \h </w:instrText>
      </w:r>
      <w:r w:rsidR="002D38FC">
        <w:instrText xml:space="preserve"> \* MERGEFORMAT </w:instrText>
      </w:r>
      <w:r>
        <w:fldChar w:fldCharType="separate"/>
      </w:r>
      <w:r w:rsidRPr="00FC2164">
        <w:t xml:space="preserve">17.11.2 | </w:t>
      </w:r>
      <w:r>
        <w:t>Federal P</w:t>
      </w:r>
      <w:r w:rsidRPr="00FC2164">
        <w:t>artnersh</w:t>
      </w:r>
      <w:r>
        <w:t>ip for Sustainable C</w:t>
      </w:r>
      <w:r w:rsidRPr="00FC2164">
        <w:t>ommunities</w:t>
      </w:r>
      <w:r>
        <w:fldChar w:fldCharType="end"/>
      </w:r>
    </w:p>
    <w:p w14:paraId="747D97AE" w14:textId="1288617E" w:rsidR="00D41520"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_Ref50050565 \h </w:instrText>
      </w:r>
      <w:r w:rsidR="002D38FC">
        <w:instrText xml:space="preserve"> \* MERGEFORMAT </w:instrText>
      </w:r>
      <w:r>
        <w:fldChar w:fldCharType="separate"/>
      </w:r>
      <w:r>
        <w:t>17.11.3 | Sustainable T</w:t>
      </w:r>
      <w:r w:rsidRPr="00FC2164">
        <w:t>ransportation</w:t>
      </w:r>
      <w:r>
        <w:fldChar w:fldCharType="end"/>
      </w:r>
    </w:p>
    <w:p w14:paraId="271B39B0" w14:textId="1510ED27" w:rsidR="00A9505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_Ref50050570 \h </w:instrText>
      </w:r>
      <w:r w:rsidR="002D38FC">
        <w:instrText xml:space="preserve"> \* MERGEFORMAT </w:instrText>
      </w:r>
      <w:r>
        <w:fldChar w:fldCharType="separate"/>
      </w:r>
      <w:r>
        <w:t>17.11.4 | Sustainability P</w:t>
      </w:r>
      <w:r w:rsidRPr="00665A4E">
        <w:t xml:space="preserve">lanning for Arizona </w:t>
      </w:r>
      <w:r>
        <w:t>MPO</w:t>
      </w:r>
      <w:r w:rsidRPr="00665A4E">
        <w:t xml:space="preserve">s and </w:t>
      </w:r>
      <w:r>
        <w:t>COG</w:t>
      </w:r>
      <w:r w:rsidRPr="00665A4E">
        <w:t>s</w:t>
      </w:r>
      <w:r>
        <w:fldChar w:fldCharType="end"/>
      </w:r>
    </w:p>
    <w:p w14:paraId="201805E3" w14:textId="4566A47E" w:rsidR="00A9505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_Ref50050573 \h </w:instrText>
      </w:r>
      <w:r w:rsidR="002D38FC">
        <w:instrText xml:space="preserve"> \* MERGEFORMAT </w:instrText>
      </w:r>
      <w:r>
        <w:fldChar w:fldCharType="separate"/>
      </w:r>
      <w:r w:rsidRPr="00665A4E">
        <w:t xml:space="preserve">17.11.5 | </w:t>
      </w:r>
      <w:r>
        <w:t>Other National Resources for Sustainability P</w:t>
      </w:r>
      <w:r w:rsidRPr="00665A4E">
        <w:t>lanning</w:t>
      </w:r>
      <w:r>
        <w:fldChar w:fldCharType="end"/>
      </w:r>
    </w:p>
    <w:p w14:paraId="5D926358" w14:textId="0DC15FE0" w:rsidR="00A9505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_Ref50050582 \h </w:instrText>
      </w:r>
      <w:r w:rsidR="002D38FC">
        <w:instrText xml:space="preserve"> \* MERGEFORMAT </w:instrText>
      </w:r>
      <w:r>
        <w:fldChar w:fldCharType="separate"/>
      </w:r>
      <w:r>
        <w:t>17.11.6 | Additional Arizona Sustainability Planning R</w:t>
      </w:r>
      <w:r w:rsidRPr="00665A4E">
        <w:t>esources</w:t>
      </w:r>
      <w:r>
        <w:fldChar w:fldCharType="end"/>
      </w:r>
    </w:p>
    <w:p w14:paraId="00DA205B" w14:textId="57722112" w:rsidR="00D41520" w:rsidRDefault="00D4152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pPr>
    </w:p>
    <w:p w14:paraId="506BA0E8" w14:textId="77777777" w:rsidR="00D41520" w:rsidRDefault="00D4152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sectPr w:rsidR="00D41520" w:rsidSect="00020D20">
          <w:type w:val="continuous"/>
          <w:pgSz w:w="12240" w:h="15840"/>
          <w:pgMar w:top="1440" w:right="1440" w:bottom="1440" w:left="1440" w:header="720" w:footer="720" w:gutter="0"/>
          <w:pgNumType w:chapStyle="1"/>
          <w:cols w:space="720"/>
          <w:docGrid w:linePitch="360"/>
        </w:sectPr>
      </w:pPr>
    </w:p>
    <w:p w14:paraId="5E73AB9D" w14:textId="4D5240AA" w:rsidR="00D41520" w:rsidRDefault="00D41520"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pPr>
      <w:r>
        <w:br w:type="page"/>
      </w:r>
    </w:p>
    <w:p w14:paraId="606B2B49" w14:textId="7264D855" w:rsidR="000E518A" w:rsidRPr="00020D20" w:rsidRDefault="00940AB2">
      <w:pPr>
        <w:pStyle w:val="Chapter17Heading"/>
      </w:pPr>
      <w:bookmarkStart w:id="753" w:name="_Toc49862255"/>
      <w:bookmarkStart w:id="754" w:name="_Toc49870652"/>
      <w:bookmarkStart w:id="755" w:name="_Toc50540255"/>
      <w:r>
        <w:t>17.11 | S</w:t>
      </w:r>
      <w:r w:rsidR="00E72E0E" w:rsidRPr="00FC2164">
        <w:t>ustainability</w:t>
      </w:r>
      <w:bookmarkEnd w:id="753"/>
      <w:bookmarkEnd w:id="754"/>
      <w:bookmarkEnd w:id="755"/>
    </w:p>
    <w:p w14:paraId="0A71BC50" w14:textId="280234DE" w:rsidR="00FC2164" w:rsidRPr="00FC2164" w:rsidRDefault="00D452DC" w:rsidP="00020D20">
      <w:pPr>
        <w:pStyle w:val="Heading3"/>
        <w:jc w:val="both"/>
      </w:pPr>
      <w:bookmarkStart w:id="756" w:name="_Ref50050558"/>
      <w:r>
        <w:t>17.11.1 | O</w:t>
      </w:r>
      <w:r w:rsidR="00FC2164" w:rsidRPr="00FC2164">
        <w:t>verview</w:t>
      </w:r>
      <w:bookmarkEnd w:id="756"/>
    </w:p>
    <w:p w14:paraId="4852114B" w14:textId="5E126EC1" w:rsidR="00FC2164" w:rsidRDefault="00FC2164" w:rsidP="00020D20">
      <w:pPr>
        <w:jc w:val="both"/>
        <w:rPr>
          <w:rFonts w:cstheme="minorHAnsi"/>
        </w:rPr>
      </w:pPr>
      <w:r w:rsidRPr="00FC2164">
        <w:rPr>
          <w:rFonts w:cstheme="minorHAnsi"/>
        </w:rPr>
        <w:t>Sustainability is</w:t>
      </w:r>
      <w:r w:rsidR="009A15D1">
        <w:rPr>
          <w:rFonts w:cstheme="minorHAnsi"/>
        </w:rPr>
        <w:t xml:space="preserve"> long established and</w:t>
      </w:r>
      <w:r w:rsidRPr="00FC2164">
        <w:rPr>
          <w:rFonts w:cstheme="minorHAnsi"/>
        </w:rPr>
        <w:t xml:space="preserve"> an evolving area of practice that can be defined in different ways by individual agencies depending on specific priorities or constraints. However, the basic conceptual framework for sustainability often stresses the importance of a comprehensive and holistic consideration of economic, social, and environmental goals – often referenced as the “Triple Bottom Line.” </w:t>
      </w:r>
    </w:p>
    <w:p w14:paraId="754EB3D3" w14:textId="185075E2" w:rsidR="00FC2164" w:rsidRDefault="00FC2164" w:rsidP="00020D20">
      <w:pPr>
        <w:pStyle w:val="Heading4"/>
        <w:jc w:val="both"/>
      </w:pPr>
      <w:r w:rsidRPr="004637FD">
        <w:t>Figure 17.11-1 | Triple Bottom Line</w:t>
      </w:r>
    </w:p>
    <w:p w14:paraId="5C2E1B97" w14:textId="5935C54A" w:rsidR="00D0026A" w:rsidRPr="00D0026A" w:rsidRDefault="006B4A2B" w:rsidP="00020D20">
      <w:pPr>
        <w:jc w:val="center"/>
      </w:pPr>
      <w:r>
        <w:rPr>
          <w:noProof/>
        </w:rPr>
        <w:drawing>
          <wp:inline distT="0" distB="0" distL="0" distR="0" wp14:anchorId="7EDE7E92" wp14:editId="3803CCE1">
            <wp:extent cx="2797601" cy="2641528"/>
            <wp:effectExtent l="0" t="0" r="3175" b="6985"/>
            <wp:docPr id="25" name="Picture 25" descr="A picture containing devi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7.11_Figure17.11-1_3Es.jpg"/>
                    <pic:cNvPicPr/>
                  </pic:nvPicPr>
                  <pic:blipFill>
                    <a:blip r:embed="rId1208" cstate="hqprint">
                      <a:extLst>
                        <a:ext uri="{28A0092B-C50C-407E-A947-70E740481C1C}">
                          <a14:useLocalDpi xmlns:a14="http://schemas.microsoft.com/office/drawing/2010/main" val="0"/>
                        </a:ext>
                      </a:extLst>
                    </a:blip>
                    <a:stretch>
                      <a:fillRect/>
                    </a:stretch>
                  </pic:blipFill>
                  <pic:spPr>
                    <a:xfrm>
                      <a:off x="0" y="0"/>
                      <a:ext cx="2863648" cy="2703890"/>
                    </a:xfrm>
                    <a:prstGeom prst="rect">
                      <a:avLst/>
                    </a:prstGeom>
                  </pic:spPr>
                </pic:pic>
              </a:graphicData>
            </a:graphic>
          </wp:inline>
        </w:drawing>
      </w:r>
    </w:p>
    <w:p w14:paraId="0F6E47FC" w14:textId="042FC53F" w:rsidR="00FC2164" w:rsidRPr="00FC2164" w:rsidRDefault="00FC2164" w:rsidP="00020D20">
      <w:pPr>
        <w:jc w:val="both"/>
        <w:rPr>
          <w:rFonts w:cstheme="minorHAnsi"/>
        </w:rPr>
      </w:pPr>
      <w:r w:rsidRPr="00FC2164">
        <w:rPr>
          <w:rFonts w:cstheme="minorHAnsi"/>
        </w:rPr>
        <w:t xml:space="preserve">Economic, social and environmental activities interact in so many ways, so sustainability principles encourage balancing their interrelationship. Ideal solutions will generate long-term benefits in all three areas to preserve </w:t>
      </w:r>
      <w:r w:rsidR="009A15D1">
        <w:rPr>
          <w:rFonts w:cstheme="minorHAnsi"/>
        </w:rPr>
        <w:t xml:space="preserve">and enhance </w:t>
      </w:r>
      <w:r w:rsidRPr="00FC2164">
        <w:rPr>
          <w:rFonts w:cstheme="minorHAnsi"/>
        </w:rPr>
        <w:t>ecological systems and minimize environmental impact</w:t>
      </w:r>
      <w:r w:rsidR="009A15D1">
        <w:rPr>
          <w:rFonts w:cstheme="minorHAnsi"/>
        </w:rPr>
        <w:t>/maximize environmental benefits</w:t>
      </w:r>
      <w:r w:rsidRPr="00FC2164">
        <w:rPr>
          <w:rFonts w:cstheme="minorHAnsi"/>
        </w:rPr>
        <w:t xml:space="preserve"> to save money and use resources more efficiently</w:t>
      </w:r>
      <w:r w:rsidR="009A15D1">
        <w:rPr>
          <w:rFonts w:cstheme="minorHAnsi"/>
        </w:rPr>
        <w:t xml:space="preserve"> over a project life-cycle</w:t>
      </w:r>
      <w:r w:rsidRPr="00FC2164">
        <w:rPr>
          <w:rFonts w:cstheme="minorHAnsi"/>
        </w:rPr>
        <w:t>, to promote economic competi</w:t>
      </w:r>
      <w:r w:rsidR="004D3A98">
        <w:rPr>
          <w:rFonts w:cstheme="minorHAnsi"/>
        </w:rPr>
        <w:t>ti</w:t>
      </w:r>
      <w:r w:rsidRPr="00FC2164">
        <w:rPr>
          <w:rFonts w:cstheme="minorHAnsi"/>
        </w:rPr>
        <w:t xml:space="preserve">veness and prosperity, and to facilitate equity and community quality of life. </w:t>
      </w:r>
    </w:p>
    <w:p w14:paraId="14CC4AF1" w14:textId="37AEC147" w:rsidR="00FC2164" w:rsidRPr="00FC2164" w:rsidRDefault="00FC2164" w:rsidP="00020D20">
      <w:pPr>
        <w:jc w:val="both"/>
        <w:rPr>
          <w:rFonts w:cstheme="minorHAnsi"/>
        </w:rPr>
      </w:pPr>
      <w:r w:rsidRPr="00FC2164">
        <w:rPr>
          <w:rFonts w:cstheme="minorHAnsi"/>
        </w:rPr>
        <w:t>Sustainability and livability are closely related concepts that are often referenced interchangeably because livability hones</w:t>
      </w:r>
      <w:r w:rsidR="00F7421B">
        <w:rPr>
          <w:rFonts w:cstheme="minorHAnsi"/>
        </w:rPr>
        <w:t xml:space="preserve"> </w:t>
      </w:r>
      <w:r w:rsidRPr="00FC2164">
        <w:rPr>
          <w:rFonts w:cstheme="minorHAnsi"/>
        </w:rPr>
        <w:t>in on sustainability related goals that directly affect how people live in a community, such as increasing travel choices, making housing more affordable, or creating high wage jobs. In practice, transportation solutions that support both livability and sustainability concepts are likely to be similar.</w:t>
      </w:r>
    </w:p>
    <w:p w14:paraId="7C63C275" w14:textId="77777777" w:rsidR="00FC2164" w:rsidRPr="00FC2164" w:rsidRDefault="00FC2164" w:rsidP="00020D20">
      <w:pPr>
        <w:jc w:val="both"/>
        <w:rPr>
          <w:rFonts w:cstheme="minorHAnsi"/>
        </w:rPr>
      </w:pPr>
      <w:r w:rsidRPr="00FC2164">
        <w:rPr>
          <w:rFonts w:cstheme="minorHAnsi"/>
        </w:rPr>
        <w:t>Support for sustainability has been on the rise nationally as evidenced by the growing body of policies, plans, programs, methodologies, assessment and rating tools, even legislative action. There is demand from the public and stakeholders to respond to many sustainability concerns, so government at all levels are incorporating the principles of sustainability into their traditional planning processes to address cross-cutting issues, such as land use, health, or multimodal transportation, and are even using sustainability performance measures to help prioritize and influence funding decisions.</w:t>
      </w:r>
    </w:p>
    <w:p w14:paraId="1A280A94" w14:textId="77777777" w:rsidR="00FC2164" w:rsidRPr="00FC2164" w:rsidRDefault="00FC2164" w:rsidP="00020D20">
      <w:pPr>
        <w:jc w:val="both"/>
        <w:rPr>
          <w:rFonts w:cstheme="minorHAnsi"/>
        </w:rPr>
      </w:pPr>
      <w:r w:rsidRPr="00FC2164">
        <w:rPr>
          <w:rFonts w:cstheme="minorHAnsi"/>
        </w:rPr>
        <w:t>During 2011, ADOT MPD expanded their capabilities to include a Sustainability Program.  This program is intended to provide ADOT, MPOs, COGs and local agencies a resource to assist with sustainable practice planning and implementation strategies.  The ADOT Sustainability Program monitors the industry at local and national levels to bring that knowledge base and experiences to Arizona’s communities.  It is a resource to support the connection between community development and transportation and the contribution to the triple bottom line – economic vitality, community livability, and environmental health.  The Program provides technical assistance, including how ADOT furthers its partnerships, to support new decision-making around sustainable growth and economic development, building healthy communities, climate / extreme weather resiliency and preparedness, green infrastructure and renewable resource opportunities.</w:t>
      </w:r>
    </w:p>
    <w:p w14:paraId="437ED2B2" w14:textId="2F037AB2" w:rsidR="00FC2164" w:rsidRPr="00FC2164" w:rsidRDefault="00FC2164" w:rsidP="00020D20">
      <w:pPr>
        <w:jc w:val="both"/>
        <w:rPr>
          <w:rFonts w:cstheme="minorHAnsi"/>
        </w:rPr>
      </w:pPr>
      <w:r w:rsidRPr="00FC2164">
        <w:rPr>
          <w:rFonts w:cstheme="minorHAnsi"/>
        </w:rPr>
        <w:t>Substantial planning resources related to sustainability are readily available. ADOT is creating a Smart Transportation Guidebook to provide a framework for the agency to more resilient, flexible, and responsive to new concepts in smart transportation, sustainability and livability. The Guidebook will be an online reference toolkit for incorporating new concepts into planning, decision‐making, project scoping, and design, operations, and maintenance practices.</w:t>
      </w:r>
    </w:p>
    <w:p w14:paraId="7365BD2B" w14:textId="29056083" w:rsidR="00FC2164" w:rsidRPr="00A95057" w:rsidRDefault="003B5EE7" w:rsidP="00020D20">
      <w:pPr>
        <w:pStyle w:val="Heading3"/>
        <w:jc w:val="both"/>
      </w:pPr>
      <w:bookmarkStart w:id="757" w:name="_Ref50050561"/>
      <w:r>
        <w:rPr>
          <w:noProof/>
        </w:rPr>
        <mc:AlternateContent>
          <mc:Choice Requires="wps">
            <w:drawing>
              <wp:anchor distT="0" distB="0" distL="114300" distR="114300" simplePos="0" relativeHeight="251618604" behindDoc="0" locked="0" layoutInCell="1" allowOverlap="1" wp14:anchorId="557F4504" wp14:editId="04D795E7">
                <wp:simplePos x="0" y="0"/>
                <wp:positionH relativeFrom="column">
                  <wp:posOffset>-285750</wp:posOffset>
                </wp:positionH>
                <wp:positionV relativeFrom="paragraph">
                  <wp:posOffset>318770</wp:posOffset>
                </wp:positionV>
                <wp:extent cx="3148330" cy="3362325"/>
                <wp:effectExtent l="95250" t="114300" r="90170" b="123825"/>
                <wp:wrapSquare wrapText="bothSides"/>
                <wp:docPr id="816286008" name="Text Box 816286008"/>
                <wp:cNvGraphicFramePr/>
                <a:graphic xmlns:a="http://schemas.openxmlformats.org/drawingml/2006/main">
                  <a:graphicData uri="http://schemas.microsoft.com/office/word/2010/wordprocessingShape">
                    <wps:wsp>
                      <wps:cNvSpPr txBox="1"/>
                      <wps:spPr>
                        <a:xfrm>
                          <a:off x="0" y="0"/>
                          <a:ext cx="3148330" cy="3362325"/>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950" w:type="dxa"/>
                              <w:tblInd w:w="-180" w:type="dxa"/>
                              <w:tblLook w:val="04A0" w:firstRow="1" w:lastRow="0" w:firstColumn="1" w:lastColumn="0" w:noHBand="0" w:noVBand="1"/>
                            </w:tblPr>
                            <w:tblGrid>
                              <w:gridCol w:w="371"/>
                              <w:gridCol w:w="4579"/>
                            </w:tblGrid>
                            <w:tr w:rsidR="00C6444C" w14:paraId="6353EA85" w14:textId="77777777" w:rsidTr="00020D20">
                              <w:trPr>
                                <w:trHeight w:val="808"/>
                              </w:trPr>
                              <w:tc>
                                <w:tcPr>
                                  <w:tcW w:w="371" w:type="dxa"/>
                                  <w:shd w:val="clear" w:color="auto" w:fill="auto"/>
                                </w:tcPr>
                                <w:p w14:paraId="4C1D3761" w14:textId="77777777" w:rsidR="00C6444C" w:rsidRPr="00020D20" w:rsidRDefault="00C6444C">
                                  <w:pPr>
                                    <w:pStyle w:val="Calloutboxes"/>
                                    <w:rPr>
                                      <w:color w:val="012768"/>
                                    </w:rPr>
                                  </w:pPr>
                                </w:p>
                              </w:tc>
                              <w:tc>
                                <w:tcPr>
                                  <w:tcW w:w="4579" w:type="dxa"/>
                                  <w:shd w:val="clear" w:color="auto" w:fill="auto"/>
                                </w:tcPr>
                                <w:p w14:paraId="17E26546" w14:textId="77777777" w:rsidR="00C6444C" w:rsidRPr="00020D20" w:rsidRDefault="00C6444C" w:rsidP="00D30138">
                                  <w:pPr>
                                    <w:pStyle w:val="Calloutboxes"/>
                                    <w:jc w:val="left"/>
                                    <w:rPr>
                                      <w:color w:val="FFFFFF" w:themeColor="background1"/>
                                      <w:sz w:val="24"/>
                                      <w:szCs w:val="24"/>
                                    </w:rPr>
                                  </w:pPr>
                                </w:p>
                              </w:tc>
                            </w:tr>
                            <w:tr w:rsidR="00C6444C" w14:paraId="5CCDEC73" w14:textId="77777777" w:rsidTr="00020D20">
                              <w:trPr>
                                <w:trHeight w:val="717"/>
                              </w:trPr>
                              <w:tc>
                                <w:tcPr>
                                  <w:tcW w:w="371" w:type="dxa"/>
                                </w:tcPr>
                                <w:p w14:paraId="2558E415" w14:textId="331D5E5F" w:rsidR="00C6444C" w:rsidRDefault="00C6444C">
                                  <w:pPr>
                                    <w:pStyle w:val="Calloutboxes"/>
                                    <w:jc w:val="left"/>
                                  </w:pPr>
                                  <w:r>
                                    <w:t>1|</w:t>
                                  </w:r>
                                </w:p>
                              </w:tc>
                              <w:tc>
                                <w:tcPr>
                                  <w:tcW w:w="4579" w:type="dxa"/>
                                </w:tcPr>
                                <w:p w14:paraId="5E32C574" w14:textId="7B6992AC" w:rsidR="00C6444C" w:rsidRPr="00020D20" w:rsidRDefault="00C6444C">
                                  <w:pPr>
                                    <w:pStyle w:val="Calloutboxes"/>
                                    <w:jc w:val="left"/>
                                    <w:rPr>
                                      <w:sz w:val="14"/>
                                    </w:rPr>
                                  </w:pPr>
                                  <w:r w:rsidRPr="00020D20">
                                    <w:rPr>
                                      <w:sz w:val="14"/>
                                    </w:rPr>
                                    <w:t>Provide more transportation choices. Develop safe, reliable, and economical transportation choices to decrease household transportation costs, reduce our nation’s dependence on foreign oil, improve air quality, reduce greenhouse gas emissions, and promote public health.</w:t>
                                  </w:r>
                                </w:p>
                              </w:tc>
                            </w:tr>
                            <w:tr w:rsidR="00C6444C" w14:paraId="0E6AE9AB" w14:textId="77777777" w:rsidTr="00020D20">
                              <w:trPr>
                                <w:trHeight w:val="465"/>
                              </w:trPr>
                              <w:tc>
                                <w:tcPr>
                                  <w:tcW w:w="371" w:type="dxa"/>
                                </w:tcPr>
                                <w:p w14:paraId="62F4D489" w14:textId="1B221C18" w:rsidR="00C6444C" w:rsidRDefault="00C6444C">
                                  <w:pPr>
                                    <w:pStyle w:val="Calloutboxes"/>
                                    <w:jc w:val="left"/>
                                  </w:pPr>
                                  <w:r>
                                    <w:t>2|</w:t>
                                  </w:r>
                                </w:p>
                              </w:tc>
                              <w:tc>
                                <w:tcPr>
                                  <w:tcW w:w="4579" w:type="dxa"/>
                                </w:tcPr>
                                <w:p w14:paraId="658A8706" w14:textId="14A4BABE" w:rsidR="00C6444C" w:rsidRPr="00020D20" w:rsidRDefault="00C6444C">
                                  <w:pPr>
                                    <w:pStyle w:val="Calloutboxes"/>
                                    <w:jc w:val="left"/>
                                    <w:rPr>
                                      <w:sz w:val="14"/>
                                    </w:rPr>
                                  </w:pPr>
                                  <w:r w:rsidRPr="00020D20">
                                    <w:rPr>
                                      <w:sz w:val="14"/>
                                    </w:rPr>
                                    <w:t>Promote equitable, affordable housing. Expand location- and energy-efficient housing choices for people of all ages, incomes, races, and ethnicities to increase mobility and lower the combined cost of housing and transportation.</w:t>
                                  </w:r>
                                </w:p>
                              </w:tc>
                            </w:tr>
                            <w:tr w:rsidR="00C6444C" w14:paraId="62EA3DA1" w14:textId="77777777" w:rsidTr="00020D20">
                              <w:trPr>
                                <w:trHeight w:val="534"/>
                              </w:trPr>
                              <w:tc>
                                <w:tcPr>
                                  <w:tcW w:w="371" w:type="dxa"/>
                                </w:tcPr>
                                <w:p w14:paraId="3692FB98" w14:textId="16AE1586" w:rsidR="00C6444C" w:rsidRDefault="00C6444C">
                                  <w:pPr>
                                    <w:pStyle w:val="Calloutboxes"/>
                                    <w:jc w:val="left"/>
                                  </w:pPr>
                                  <w:r>
                                    <w:t>3|</w:t>
                                  </w:r>
                                </w:p>
                              </w:tc>
                              <w:tc>
                                <w:tcPr>
                                  <w:tcW w:w="4579" w:type="dxa"/>
                                </w:tcPr>
                                <w:p w14:paraId="3FCAD215" w14:textId="3916C927" w:rsidR="00C6444C" w:rsidRPr="00020D20" w:rsidRDefault="00C6444C">
                                  <w:pPr>
                                    <w:pStyle w:val="Calloutboxes"/>
                                    <w:jc w:val="left"/>
                                    <w:rPr>
                                      <w:sz w:val="14"/>
                                    </w:rPr>
                                  </w:pPr>
                                  <w:r w:rsidRPr="00020D20">
                                    <w:rPr>
                                      <w:sz w:val="14"/>
                                    </w:rPr>
                                    <w:t>Enhance economic competitiveness. Improve economic competitiveness through reliable and timely access to employment centers, educational opportunities, services and other basic needs by workers, as well as expanded business access to markets.</w:t>
                                  </w:r>
                                </w:p>
                              </w:tc>
                            </w:tr>
                            <w:tr w:rsidR="00C6444C" w14:paraId="72F4EAE7" w14:textId="77777777" w:rsidTr="00020D20">
                              <w:trPr>
                                <w:trHeight w:val="537"/>
                              </w:trPr>
                              <w:tc>
                                <w:tcPr>
                                  <w:tcW w:w="371" w:type="dxa"/>
                                </w:tcPr>
                                <w:p w14:paraId="4F4B26B3" w14:textId="60C3BB7D" w:rsidR="00C6444C" w:rsidRDefault="00C6444C">
                                  <w:pPr>
                                    <w:pStyle w:val="Calloutboxes"/>
                                    <w:jc w:val="left"/>
                                  </w:pPr>
                                  <w:r>
                                    <w:t>4|</w:t>
                                  </w:r>
                                </w:p>
                              </w:tc>
                              <w:tc>
                                <w:tcPr>
                                  <w:tcW w:w="4579" w:type="dxa"/>
                                </w:tcPr>
                                <w:p w14:paraId="1118795F" w14:textId="00F44C10" w:rsidR="00C6444C" w:rsidRPr="00020D20" w:rsidRDefault="00C6444C">
                                  <w:pPr>
                                    <w:pStyle w:val="Calloutboxes"/>
                                    <w:jc w:val="left"/>
                                    <w:rPr>
                                      <w:sz w:val="14"/>
                                    </w:rPr>
                                  </w:pPr>
                                  <w:r w:rsidRPr="00020D20">
                                    <w:rPr>
                                      <w:sz w:val="14"/>
                                    </w:rPr>
                                    <w:t>Support existing communities. Target federal funding toward existing communities—through strategies like transit-oriented, mixed-use development (TOD) and land recycling—to increase community revitalization and the efficiency of public works investments and safeguard rural landscapes.</w:t>
                                  </w:r>
                                </w:p>
                              </w:tc>
                            </w:tr>
                            <w:tr w:rsidR="00C6444C" w14:paraId="47B1E259" w14:textId="77777777" w:rsidTr="00020D20">
                              <w:trPr>
                                <w:trHeight w:val="537"/>
                              </w:trPr>
                              <w:tc>
                                <w:tcPr>
                                  <w:tcW w:w="371" w:type="dxa"/>
                                </w:tcPr>
                                <w:p w14:paraId="5D4F2DFB" w14:textId="5957DFA8" w:rsidR="00C6444C" w:rsidRDefault="00C6444C">
                                  <w:pPr>
                                    <w:pStyle w:val="Calloutboxes"/>
                                    <w:jc w:val="left"/>
                                  </w:pPr>
                                  <w:r>
                                    <w:t>5|</w:t>
                                  </w:r>
                                </w:p>
                              </w:tc>
                              <w:tc>
                                <w:tcPr>
                                  <w:tcW w:w="4579" w:type="dxa"/>
                                </w:tcPr>
                                <w:p w14:paraId="41A3E5C1" w14:textId="60E61699" w:rsidR="00C6444C" w:rsidRPr="00020D20" w:rsidRDefault="00C6444C">
                                  <w:pPr>
                                    <w:pStyle w:val="Calloutboxes"/>
                                    <w:jc w:val="left"/>
                                    <w:rPr>
                                      <w:sz w:val="14"/>
                                    </w:rPr>
                                  </w:pPr>
                                  <w:r w:rsidRPr="00020D20">
                                    <w:rPr>
                                      <w:sz w:val="14"/>
                                    </w:rPr>
                                    <w:t>Coordinate and leverage federal policies and investment. Align federal policies and funding to remove barriers to collaboration, leverage funding, and increase the accountability and effectiveness of all levels of government to plan for future growth, including making smart energy choices such as locally generated renewable energy</w:t>
                                  </w:r>
                                </w:p>
                              </w:tc>
                            </w:tr>
                            <w:tr w:rsidR="00C6444C" w14:paraId="5D8DB9F8" w14:textId="77777777" w:rsidTr="00020D20">
                              <w:trPr>
                                <w:trHeight w:val="565"/>
                              </w:trPr>
                              <w:tc>
                                <w:tcPr>
                                  <w:tcW w:w="371" w:type="dxa"/>
                                </w:tcPr>
                                <w:p w14:paraId="3F8787AC" w14:textId="7E5768AF" w:rsidR="00C6444C" w:rsidRDefault="00C6444C">
                                  <w:pPr>
                                    <w:pStyle w:val="Calloutboxes"/>
                                    <w:jc w:val="left"/>
                                  </w:pPr>
                                  <w:r>
                                    <w:t>6|</w:t>
                                  </w:r>
                                </w:p>
                              </w:tc>
                              <w:tc>
                                <w:tcPr>
                                  <w:tcW w:w="4579" w:type="dxa"/>
                                </w:tcPr>
                                <w:p w14:paraId="4D6CAF4B" w14:textId="29B154CF" w:rsidR="00C6444C" w:rsidRPr="00020D20" w:rsidRDefault="00C6444C">
                                  <w:pPr>
                                    <w:pStyle w:val="Calloutboxes"/>
                                    <w:jc w:val="left"/>
                                    <w:rPr>
                                      <w:sz w:val="14"/>
                                    </w:rPr>
                                  </w:pPr>
                                  <w:r w:rsidRPr="00020D20">
                                    <w:rPr>
                                      <w:sz w:val="14"/>
                                    </w:rPr>
                                    <w:t>Value communities and neighborhoods. Enhance the unique characteristics of all communities by investing in healthy, safe, and walkable neighborhoods—rural, urban, or suburban.</w:t>
                                  </w:r>
                                </w:p>
                              </w:tc>
                            </w:tr>
                          </w:tbl>
                          <w:p w14:paraId="38E4A55E" w14:textId="77777777" w:rsidR="00C6444C" w:rsidRPr="00347D6E" w:rsidRDefault="00C6444C" w:rsidP="00020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F4504" id="Text Box 816286008" o:spid="_x0000_s1322" type="#_x0000_t202" style="position:absolute;left:0;text-align:left;margin-left:-22.5pt;margin-top:25.1pt;width:247.9pt;height:264.75pt;z-index:251618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" fillcolor="#f7f7f7" stroked="f" strokeweight=".5pt">
                <v:shadow on="t" type="perspective" color="#012768" opacity="26214f" offset="0,0" matrix="66847f,,,66847f"/>
                <v:textbox>
                  <w:txbxContent>
                    <w:tbl>
                      <w:tblPr>
                        <w:tblW w:w="4950" w:type="dxa"/>
                        <w:tblInd w:w="-180" w:type="dxa"/>
                        <w:tblLook w:val="04A0" w:firstRow="1" w:lastRow="0" w:firstColumn="1" w:lastColumn="0" w:noHBand="0" w:noVBand="1"/>
                      </w:tblPr>
                      <w:tblGrid>
                        <w:gridCol w:w="371"/>
                        <w:gridCol w:w="4579"/>
                      </w:tblGrid>
                      <w:tr w:rsidR="00C6444C" w14:paraId="6353EA85" w14:textId="77777777" w:rsidTr="00020D20">
                        <w:trPr>
                          <w:trHeight w:val="808"/>
                        </w:trPr>
                        <w:tc>
                          <w:tcPr>
                            <w:tcW w:w="371" w:type="dxa"/>
                            <w:shd w:val="clear" w:color="auto" w:fill="auto"/>
                          </w:tcPr>
                          <w:p w14:paraId="4C1D3761" w14:textId="77777777" w:rsidR="00C6444C" w:rsidRPr="00020D20" w:rsidRDefault="00C6444C">
                            <w:pPr>
                              <w:pStyle w:val="Calloutboxes"/>
                              <w:rPr>
                                <w:color w:val="012768"/>
                              </w:rPr>
                            </w:pPr>
                          </w:p>
                        </w:tc>
                        <w:tc>
                          <w:tcPr>
                            <w:tcW w:w="4579" w:type="dxa"/>
                            <w:shd w:val="clear" w:color="auto" w:fill="auto"/>
                          </w:tcPr>
                          <w:p w14:paraId="17E26546" w14:textId="77777777" w:rsidR="00C6444C" w:rsidRPr="00020D20" w:rsidRDefault="00C6444C" w:rsidP="00D30138">
                            <w:pPr>
                              <w:pStyle w:val="Calloutboxes"/>
                              <w:jc w:val="left"/>
                              <w:rPr>
                                <w:color w:val="FFFFFF" w:themeColor="background1"/>
                                <w:sz w:val="24"/>
                                <w:szCs w:val="24"/>
                              </w:rPr>
                            </w:pPr>
                          </w:p>
                        </w:tc>
                      </w:tr>
                      <w:tr w:rsidR="00C6444C" w14:paraId="5CCDEC73" w14:textId="77777777" w:rsidTr="00020D20">
                        <w:trPr>
                          <w:trHeight w:val="717"/>
                        </w:trPr>
                        <w:tc>
                          <w:tcPr>
                            <w:tcW w:w="371" w:type="dxa"/>
                          </w:tcPr>
                          <w:p w14:paraId="2558E415" w14:textId="331D5E5F" w:rsidR="00C6444C" w:rsidRDefault="00C6444C">
                            <w:pPr>
                              <w:pStyle w:val="Calloutboxes"/>
                              <w:jc w:val="left"/>
                            </w:pPr>
                            <w:r>
                              <w:t>1|</w:t>
                            </w:r>
                          </w:p>
                        </w:tc>
                        <w:tc>
                          <w:tcPr>
                            <w:tcW w:w="4579" w:type="dxa"/>
                          </w:tcPr>
                          <w:p w14:paraId="5E32C574" w14:textId="7B6992AC" w:rsidR="00C6444C" w:rsidRPr="00020D20" w:rsidRDefault="00C6444C">
                            <w:pPr>
                              <w:pStyle w:val="Calloutboxes"/>
                              <w:jc w:val="left"/>
                              <w:rPr>
                                <w:sz w:val="14"/>
                              </w:rPr>
                            </w:pPr>
                            <w:r w:rsidRPr="00020D20">
                              <w:rPr>
                                <w:sz w:val="14"/>
                              </w:rPr>
                              <w:t>Provide more transportation choices. Develop safe, reliable, and economical transportation choices to decrease household transportation costs, reduce our nation’s dependence on foreign oil, improve air quality, reduce greenhouse gas emissions, and promote public health.</w:t>
                            </w:r>
                          </w:p>
                        </w:tc>
                      </w:tr>
                      <w:tr w:rsidR="00C6444C" w14:paraId="0E6AE9AB" w14:textId="77777777" w:rsidTr="00020D20">
                        <w:trPr>
                          <w:trHeight w:val="465"/>
                        </w:trPr>
                        <w:tc>
                          <w:tcPr>
                            <w:tcW w:w="371" w:type="dxa"/>
                          </w:tcPr>
                          <w:p w14:paraId="62F4D489" w14:textId="1B221C18" w:rsidR="00C6444C" w:rsidRDefault="00C6444C">
                            <w:pPr>
                              <w:pStyle w:val="Calloutboxes"/>
                              <w:jc w:val="left"/>
                            </w:pPr>
                            <w:r>
                              <w:t>2|</w:t>
                            </w:r>
                          </w:p>
                        </w:tc>
                        <w:tc>
                          <w:tcPr>
                            <w:tcW w:w="4579" w:type="dxa"/>
                          </w:tcPr>
                          <w:p w14:paraId="658A8706" w14:textId="14A4BABE" w:rsidR="00C6444C" w:rsidRPr="00020D20" w:rsidRDefault="00C6444C">
                            <w:pPr>
                              <w:pStyle w:val="Calloutboxes"/>
                              <w:jc w:val="left"/>
                              <w:rPr>
                                <w:sz w:val="14"/>
                              </w:rPr>
                            </w:pPr>
                            <w:r w:rsidRPr="00020D20">
                              <w:rPr>
                                <w:sz w:val="14"/>
                              </w:rPr>
                              <w:t>Promote equitable, affordable housing. Expand location- and energy-efficient housing choices for people of all ages, incomes, races, and ethnicities to increase mobility and lower the combined cost of housing and transportation.</w:t>
                            </w:r>
                          </w:p>
                        </w:tc>
                      </w:tr>
                      <w:tr w:rsidR="00C6444C" w14:paraId="62EA3DA1" w14:textId="77777777" w:rsidTr="00020D20">
                        <w:trPr>
                          <w:trHeight w:val="534"/>
                        </w:trPr>
                        <w:tc>
                          <w:tcPr>
                            <w:tcW w:w="371" w:type="dxa"/>
                          </w:tcPr>
                          <w:p w14:paraId="3692FB98" w14:textId="16AE1586" w:rsidR="00C6444C" w:rsidRDefault="00C6444C">
                            <w:pPr>
                              <w:pStyle w:val="Calloutboxes"/>
                              <w:jc w:val="left"/>
                            </w:pPr>
                            <w:r>
                              <w:t>3|</w:t>
                            </w:r>
                          </w:p>
                        </w:tc>
                        <w:tc>
                          <w:tcPr>
                            <w:tcW w:w="4579" w:type="dxa"/>
                          </w:tcPr>
                          <w:p w14:paraId="3FCAD215" w14:textId="3916C927" w:rsidR="00C6444C" w:rsidRPr="00020D20" w:rsidRDefault="00C6444C">
                            <w:pPr>
                              <w:pStyle w:val="Calloutboxes"/>
                              <w:jc w:val="left"/>
                              <w:rPr>
                                <w:sz w:val="14"/>
                              </w:rPr>
                            </w:pPr>
                            <w:r w:rsidRPr="00020D20">
                              <w:rPr>
                                <w:sz w:val="14"/>
                              </w:rPr>
                              <w:t>Enhance economic competitiveness. Improve economic competitiveness through reliable and timely access to employment centers, educational opportunities, services and other basic needs by workers, as well as expanded business access to markets.</w:t>
                            </w:r>
                          </w:p>
                        </w:tc>
                      </w:tr>
                      <w:tr w:rsidR="00C6444C" w14:paraId="72F4EAE7" w14:textId="77777777" w:rsidTr="00020D20">
                        <w:trPr>
                          <w:trHeight w:val="537"/>
                        </w:trPr>
                        <w:tc>
                          <w:tcPr>
                            <w:tcW w:w="371" w:type="dxa"/>
                          </w:tcPr>
                          <w:p w14:paraId="4F4B26B3" w14:textId="60C3BB7D" w:rsidR="00C6444C" w:rsidRDefault="00C6444C">
                            <w:pPr>
                              <w:pStyle w:val="Calloutboxes"/>
                              <w:jc w:val="left"/>
                            </w:pPr>
                            <w:r>
                              <w:t>4|</w:t>
                            </w:r>
                          </w:p>
                        </w:tc>
                        <w:tc>
                          <w:tcPr>
                            <w:tcW w:w="4579" w:type="dxa"/>
                          </w:tcPr>
                          <w:p w14:paraId="1118795F" w14:textId="00F44C10" w:rsidR="00C6444C" w:rsidRPr="00020D20" w:rsidRDefault="00C6444C">
                            <w:pPr>
                              <w:pStyle w:val="Calloutboxes"/>
                              <w:jc w:val="left"/>
                              <w:rPr>
                                <w:sz w:val="14"/>
                              </w:rPr>
                            </w:pPr>
                            <w:r w:rsidRPr="00020D20">
                              <w:rPr>
                                <w:sz w:val="14"/>
                              </w:rPr>
                              <w:t>Support existing communities. Target federal funding toward existing communities—through strategies like transit-oriented, mixed-use development (TOD) and land recycling—to increase community revitalization and the efficiency of public works investments and safeguard rural landscapes.</w:t>
                            </w:r>
                          </w:p>
                        </w:tc>
                      </w:tr>
                      <w:tr w:rsidR="00C6444C" w14:paraId="47B1E259" w14:textId="77777777" w:rsidTr="00020D20">
                        <w:trPr>
                          <w:trHeight w:val="537"/>
                        </w:trPr>
                        <w:tc>
                          <w:tcPr>
                            <w:tcW w:w="371" w:type="dxa"/>
                          </w:tcPr>
                          <w:p w14:paraId="5D4F2DFB" w14:textId="5957DFA8" w:rsidR="00C6444C" w:rsidRDefault="00C6444C">
                            <w:pPr>
                              <w:pStyle w:val="Calloutboxes"/>
                              <w:jc w:val="left"/>
                            </w:pPr>
                            <w:r>
                              <w:t>5|</w:t>
                            </w:r>
                          </w:p>
                        </w:tc>
                        <w:tc>
                          <w:tcPr>
                            <w:tcW w:w="4579" w:type="dxa"/>
                          </w:tcPr>
                          <w:p w14:paraId="41A3E5C1" w14:textId="60E61699" w:rsidR="00C6444C" w:rsidRPr="00020D20" w:rsidRDefault="00C6444C">
                            <w:pPr>
                              <w:pStyle w:val="Calloutboxes"/>
                              <w:jc w:val="left"/>
                              <w:rPr>
                                <w:sz w:val="14"/>
                              </w:rPr>
                            </w:pPr>
                            <w:r w:rsidRPr="00020D20">
                              <w:rPr>
                                <w:sz w:val="14"/>
                              </w:rPr>
                              <w:t>Coordinate and leverage federal policies and investment. Align federal policies and funding to remove barriers to collaboration, leverage funding, and increase the accountability and effectiveness of all levels of government to plan for future growth, including making smart energy choices such as locally generated renewable energy</w:t>
                            </w:r>
                          </w:p>
                        </w:tc>
                      </w:tr>
                      <w:tr w:rsidR="00C6444C" w14:paraId="5D8DB9F8" w14:textId="77777777" w:rsidTr="00020D20">
                        <w:trPr>
                          <w:trHeight w:val="565"/>
                        </w:trPr>
                        <w:tc>
                          <w:tcPr>
                            <w:tcW w:w="371" w:type="dxa"/>
                          </w:tcPr>
                          <w:p w14:paraId="3F8787AC" w14:textId="7E5768AF" w:rsidR="00C6444C" w:rsidRDefault="00C6444C">
                            <w:pPr>
                              <w:pStyle w:val="Calloutboxes"/>
                              <w:jc w:val="left"/>
                            </w:pPr>
                            <w:r>
                              <w:t>6|</w:t>
                            </w:r>
                          </w:p>
                        </w:tc>
                        <w:tc>
                          <w:tcPr>
                            <w:tcW w:w="4579" w:type="dxa"/>
                          </w:tcPr>
                          <w:p w14:paraId="4D6CAF4B" w14:textId="29B154CF" w:rsidR="00C6444C" w:rsidRPr="00020D20" w:rsidRDefault="00C6444C">
                            <w:pPr>
                              <w:pStyle w:val="Calloutboxes"/>
                              <w:jc w:val="left"/>
                              <w:rPr>
                                <w:sz w:val="14"/>
                              </w:rPr>
                            </w:pPr>
                            <w:r w:rsidRPr="00020D20">
                              <w:rPr>
                                <w:sz w:val="14"/>
                              </w:rPr>
                              <w:t>Value communities and neighborhoods. Enhance the unique characteristics of all communities by investing in healthy, safe, and walkable neighborhoods—rural, urban, or suburban.</w:t>
                            </w:r>
                          </w:p>
                        </w:tc>
                      </w:tr>
                    </w:tbl>
                    <w:p w14:paraId="38E4A55E" w14:textId="77777777" w:rsidR="00C6444C" w:rsidRPr="00347D6E" w:rsidRDefault="00C6444C" w:rsidP="00020D20"/>
                  </w:txbxContent>
                </v:textbox>
                <w10:wrap type="square"/>
              </v:shape>
            </w:pict>
          </mc:Fallback>
        </mc:AlternateContent>
      </w:r>
      <w:r>
        <w:rPr>
          <w:noProof/>
        </w:rPr>
        <mc:AlternateContent>
          <mc:Choice Requires="wpg">
            <w:drawing>
              <wp:anchor distT="0" distB="0" distL="114300" distR="114300" simplePos="0" relativeHeight="251618632" behindDoc="0" locked="0" layoutInCell="1" allowOverlap="1" wp14:anchorId="0AD0ECE8" wp14:editId="5D9E814E">
                <wp:simplePos x="0" y="0"/>
                <wp:positionH relativeFrom="column">
                  <wp:posOffset>-285115</wp:posOffset>
                </wp:positionH>
                <wp:positionV relativeFrom="paragraph">
                  <wp:posOffset>297180</wp:posOffset>
                </wp:positionV>
                <wp:extent cx="3148330" cy="711835"/>
                <wp:effectExtent l="0" t="0" r="13970" b="0"/>
                <wp:wrapSquare wrapText="bothSides"/>
                <wp:docPr id="816286304" name="Group 816286304"/>
                <wp:cNvGraphicFramePr/>
                <a:graphic xmlns:a="http://schemas.openxmlformats.org/drawingml/2006/main">
                  <a:graphicData uri="http://schemas.microsoft.com/office/word/2010/wordprocessingGroup">
                    <wpg:wgp>
                      <wpg:cNvGrpSpPr/>
                      <wpg:grpSpPr>
                        <a:xfrm>
                          <a:off x="0" y="0"/>
                          <a:ext cx="3148330" cy="711835"/>
                          <a:chOff x="-183857" y="43843"/>
                          <a:chExt cx="3151189" cy="584254"/>
                        </a:xfrm>
                      </wpg:grpSpPr>
                      <wps:wsp>
                        <wps:cNvPr id="816286305" name="Rectangle 816286305"/>
                        <wps:cNvSpPr/>
                        <wps:spPr>
                          <a:xfrm>
                            <a:off x="-183857" y="43843"/>
                            <a:ext cx="3151189" cy="467086"/>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286306" name="Text Box 816286306"/>
                        <wps:cNvSpPr txBox="1"/>
                        <wps:spPr>
                          <a:xfrm>
                            <a:off x="-183857" y="43843"/>
                            <a:ext cx="3151189" cy="584254"/>
                          </a:xfrm>
                          <a:prstGeom prst="rect">
                            <a:avLst/>
                          </a:prstGeom>
                          <a:noFill/>
                          <a:ln w="6350">
                            <a:noFill/>
                          </a:ln>
                          <a:effectLst/>
                        </wps:spPr>
                        <wps:txbx>
                          <w:txbxContent>
                            <w:p w14:paraId="04F1FC6F" w14:textId="312458BB" w:rsidR="00C6444C" w:rsidRPr="00020D20" w:rsidRDefault="00C6444C" w:rsidP="00020D20">
                              <w:pPr>
                                <w:jc w:val="center"/>
                                <w:rPr>
                                  <w:color w:val="FFFFFF" w:themeColor="background1"/>
                                  <w:sz w:val="22"/>
                                </w:rPr>
                              </w:pPr>
                              <w:r w:rsidRPr="00020D20">
                                <w:rPr>
                                  <w:color w:val="FFFFFF" w:themeColor="background1"/>
                                  <w:sz w:val="22"/>
                                </w:rPr>
                                <w:t>PARTNERSHIP FOR SUSTAINABLE COMMUNITIES GUIDING LIVABILITY PRINCIPLES</w:t>
                              </w:r>
                            </w:p>
                            <w:p w14:paraId="39C2C73B" w14:textId="77777777" w:rsidR="00C6444C" w:rsidRPr="003B7F82" w:rsidRDefault="00C6444C" w:rsidP="003C2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D0ECE8" id="Group 816286304" o:spid="_x0000_s1323" style="position:absolute;left:0;text-align:left;margin-left:-22.45pt;margin-top:23.4pt;width:247.9pt;height:56.05pt;z-index:251618632;mso-width-relative:margin;mso-height-relative:margin" coordorigin="-1838,438" coordsize="3151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">
                <v:rect id="Rectangle 816286305" o:spid="_x0000_s1324" style="position:absolute;left:-1838;top:438;width:31511;height: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" fillcolor="#012768" strokecolor="#1f4d78 [1604]" strokeweight="1pt"/>
                <v:shape id="Text Box 816286306" o:spid="_x0000_s1325" type="#_x0000_t202" style="position:absolute;left:-1838;top:438;width:31511;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" filled="f" stroked="f" strokeweight=".5pt">
                  <v:textbox>
                    <w:txbxContent>
                      <w:p w14:paraId="04F1FC6F" w14:textId="312458BB" w:rsidR="00C6444C" w:rsidRPr="00020D20" w:rsidRDefault="00C6444C" w:rsidP="00020D20">
                        <w:pPr>
                          <w:jc w:val="center"/>
                          <w:rPr>
                            <w:color w:val="FFFFFF" w:themeColor="background1"/>
                            <w:sz w:val="22"/>
                          </w:rPr>
                        </w:pPr>
                        <w:r w:rsidRPr="00020D20">
                          <w:rPr>
                            <w:color w:val="FFFFFF" w:themeColor="background1"/>
                            <w:sz w:val="22"/>
                          </w:rPr>
                          <w:t>PARTNERSHIP FOR SUSTAINABLE COMMUNITIES GUIDING LIVABILITY PRINCIPLES</w:t>
                        </w:r>
                      </w:p>
                      <w:p w14:paraId="39C2C73B" w14:textId="77777777" w:rsidR="00C6444C" w:rsidRPr="003B7F82" w:rsidRDefault="00C6444C" w:rsidP="003C279A"/>
                    </w:txbxContent>
                  </v:textbox>
                </v:shape>
                <w10:wrap type="square"/>
              </v:group>
            </w:pict>
          </mc:Fallback>
        </mc:AlternateContent>
      </w:r>
      <w:r w:rsidR="00FC2164" w:rsidRPr="00FC2164">
        <w:t xml:space="preserve">17.11.2 | </w:t>
      </w:r>
      <w:r w:rsidR="00D452DC">
        <w:t>Federal P</w:t>
      </w:r>
      <w:r w:rsidR="00FC2164" w:rsidRPr="00FC2164">
        <w:t>artnersh</w:t>
      </w:r>
      <w:r w:rsidR="00D452DC">
        <w:t>ip for</w:t>
      </w:r>
      <w:r w:rsidR="00A95057">
        <w:t xml:space="preserve"> Sustainable Communities</w:t>
      </w:r>
      <w:r w:rsidR="00D452DC">
        <w:t xml:space="preserve"> </w:t>
      </w:r>
      <w:bookmarkEnd w:id="757"/>
    </w:p>
    <w:p w14:paraId="211717E7" w14:textId="4A801C80" w:rsidR="00FC2164" w:rsidRPr="00FC2164" w:rsidRDefault="00FC2164" w:rsidP="00020D20">
      <w:pPr>
        <w:jc w:val="both"/>
        <w:rPr>
          <w:rFonts w:cstheme="minorHAnsi"/>
        </w:rPr>
      </w:pPr>
      <w:r w:rsidRPr="00FC2164">
        <w:rPr>
          <w:rFonts w:cstheme="minorHAnsi"/>
        </w:rPr>
        <w:t>Sustainable communities have been characterized as places that offer a variety of housing and transportation choices with destinations close to home. As a result, they tend to have lower transportation costs for both provider and user, decreased infrastructure costs, and reduced air pollution. These communities preserve historic properties and sensitive lands and are more economically resilient. A sustainable community can be urban, suburban, or rural. They are places that provide homes working families can afford, reliable and economical transportation options, shopping and other daily needs close to where people live, and vibrant and healthy neighborhoods that attract young people and businesses.</w:t>
      </w:r>
    </w:p>
    <w:p w14:paraId="0DFCC75F" w14:textId="10F48E4C" w:rsidR="00FC2164" w:rsidRPr="00FC2164" w:rsidRDefault="00FC2164" w:rsidP="00020D20">
      <w:pPr>
        <w:jc w:val="both"/>
        <w:rPr>
          <w:rFonts w:cstheme="minorHAnsi"/>
        </w:rPr>
      </w:pPr>
      <w:r w:rsidRPr="00FC2164">
        <w:rPr>
          <w:rFonts w:cstheme="minorHAnsi"/>
        </w:rPr>
        <w:t xml:space="preserve">The U.S. Department of Housing and Urban Development (HUD), U.S. Department of Transportation (DOT), and the U.S. Environmental Protection Agency (EPA) have come together to form the Federal </w:t>
      </w:r>
      <w:hyperlink r:id="rId1209" w:history="1">
        <w:r w:rsidRPr="00626040">
          <w:rPr>
            <w:rStyle w:val="TitleChar"/>
          </w:rPr>
          <w:t>Partnership for Sustainable Communities</w:t>
        </w:r>
      </w:hyperlink>
      <w:r w:rsidRPr="00FC2164">
        <w:rPr>
          <w:rFonts w:cstheme="minorHAnsi"/>
        </w:rPr>
        <w:t xml:space="preserve"> to work to support national goals for strengthening our economy, for creating good jobs while providing a foundation for lasting prosperity, for using energy more efficiently to secure energy independence, and for protecting our natural environment and human health. This federal initiative has been working to break down the traditional silos of housing, transportation, and environmental policy to consider these issues as they exist in the real world—inextricably connected. </w:t>
      </w:r>
    </w:p>
    <w:p w14:paraId="357941CF" w14:textId="4DF905C4" w:rsidR="00FC2164" w:rsidRPr="00FC2164" w:rsidRDefault="00FC2164" w:rsidP="00020D20">
      <w:pPr>
        <w:jc w:val="both"/>
        <w:rPr>
          <w:rFonts w:cstheme="minorHAnsi"/>
          <w:b/>
        </w:rPr>
      </w:pPr>
      <w:r w:rsidRPr="00FC2164">
        <w:rPr>
          <w:rFonts w:cstheme="minorHAnsi"/>
        </w:rPr>
        <w:t>These partnering agencies incorporate six principles of livability into federal funding programs, policies, and future legislative proposals.</w:t>
      </w:r>
    </w:p>
    <w:p w14:paraId="07DE61D1" w14:textId="22155F4F" w:rsidR="00FC2164" w:rsidRPr="00FC2164" w:rsidRDefault="00D452DC" w:rsidP="00020D20">
      <w:pPr>
        <w:pStyle w:val="Heading3"/>
        <w:jc w:val="both"/>
      </w:pPr>
      <w:bookmarkStart w:id="758" w:name="_Ref50050565"/>
      <w:r>
        <w:t>17.11.3 | Sustainable T</w:t>
      </w:r>
      <w:r w:rsidR="00FC2164" w:rsidRPr="00FC2164">
        <w:t>ransportation</w:t>
      </w:r>
      <w:bookmarkEnd w:id="758"/>
    </w:p>
    <w:p w14:paraId="227DDF3C" w14:textId="1D5379E0" w:rsidR="00665A4E" w:rsidRDefault="00FC2164" w:rsidP="00020D20">
      <w:pPr>
        <w:jc w:val="both"/>
        <w:rPr>
          <w:rFonts w:cstheme="minorHAnsi"/>
        </w:rPr>
      </w:pPr>
      <w:r w:rsidRPr="00FC2164">
        <w:rPr>
          <w:rFonts w:cstheme="minorHAnsi"/>
        </w:rPr>
        <w:t>When thinking about delivering transportation solutions and infrastructure in a more sustainable manner, agencies and companies are considering how to support a variety of environmental, economic, and social objectives to guide planning, policy decisions, and implementation. Historically, much of the existing transportation infrastructure in the United States was developed with an emphasis on vehicle mobility and safety that focused more on capacity expansion than on addressing demand management, improving operational efficiency, or considering integration with land use and surrounding communities. However, sustainable transportation emphasizes multi-objective, integrated planning. Rather than just build a wider road to provide access and mobility, transportation strategies might focus</w:t>
      </w:r>
      <w:r w:rsidR="00665A4E">
        <w:rPr>
          <w:rFonts w:cstheme="minorHAnsi"/>
        </w:rPr>
        <w:t xml:space="preserve"> </w:t>
      </w:r>
      <w:r w:rsidR="00665A4E" w:rsidRPr="00665A4E">
        <w:rPr>
          <w:rFonts w:cstheme="minorHAnsi"/>
        </w:rPr>
        <w:t>on pedestrians, bicycles, and transit to better link residential areas to schools, parks, and businesses, and also accomplish improved public health, neighborhood revitalization, congestion reduction, and infrastructure cost savings. Figure 17.11-2 illustrates potential community goals that can be addressed through sustainable transportation.</w:t>
      </w:r>
      <w:r w:rsidR="00665A4E">
        <w:rPr>
          <w:rFonts w:cstheme="minorHAnsi"/>
        </w:rPr>
        <w:t xml:space="preserve"> </w:t>
      </w:r>
      <w:r w:rsidR="00665A4E" w:rsidRPr="00665A4E">
        <w:rPr>
          <w:rFonts w:cstheme="minorHAnsi"/>
        </w:rPr>
        <w:t>Table 17.11-1 lists some potential strategies for achieving sustainable transportation.</w:t>
      </w:r>
    </w:p>
    <w:p w14:paraId="2C94643B" w14:textId="154476F9" w:rsidR="00665A4E" w:rsidRDefault="00665A4E" w:rsidP="00020D20">
      <w:pPr>
        <w:pStyle w:val="Heading4"/>
        <w:jc w:val="both"/>
      </w:pPr>
      <w:r w:rsidRPr="004637FD">
        <w:t>Figure 17.11-2 | Sustainable Transportation Concept</w:t>
      </w:r>
    </w:p>
    <w:p w14:paraId="58E3B0AF" w14:textId="320E83C2" w:rsidR="006B4A2B" w:rsidRPr="006B4A2B" w:rsidRDefault="00DC4B14" w:rsidP="00020D20">
      <w:pPr>
        <w:jc w:val="both"/>
      </w:pPr>
      <w:r>
        <w:rPr>
          <w:noProof/>
        </w:rPr>
        <w:drawing>
          <wp:inline distT="0" distB="0" distL="0" distR="0" wp14:anchorId="71E180FD" wp14:editId="24D364A1">
            <wp:extent cx="2956848" cy="2781300"/>
            <wp:effectExtent l="0" t="0" r="0" b="0"/>
            <wp:docPr id="1690912736" name="Picture 169091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7.11_Figure17.11-2_3Es_withText.jpg"/>
                    <pic:cNvPicPr/>
                  </pic:nvPicPr>
                  <pic:blipFill>
                    <a:blip r:embed="rId1210" cstate="hqprint">
                      <a:extLst>
                        <a:ext uri="{28A0092B-C50C-407E-A947-70E740481C1C}">
                          <a14:useLocalDpi xmlns:a14="http://schemas.microsoft.com/office/drawing/2010/main" val="0"/>
                        </a:ext>
                      </a:extLst>
                    </a:blip>
                    <a:stretch>
                      <a:fillRect/>
                    </a:stretch>
                  </pic:blipFill>
                  <pic:spPr>
                    <a:xfrm>
                      <a:off x="0" y="0"/>
                      <a:ext cx="2958554" cy="2782905"/>
                    </a:xfrm>
                    <a:prstGeom prst="rect">
                      <a:avLst/>
                    </a:prstGeom>
                  </pic:spPr>
                </pic:pic>
              </a:graphicData>
            </a:graphic>
          </wp:inline>
        </w:drawing>
      </w:r>
    </w:p>
    <w:p w14:paraId="51E9D1B8" w14:textId="0C1728BD" w:rsidR="00665A4E" w:rsidRPr="00665A4E" w:rsidRDefault="00665A4E" w:rsidP="00020D20">
      <w:pPr>
        <w:pStyle w:val="Heading3"/>
        <w:jc w:val="both"/>
      </w:pPr>
      <w:bookmarkStart w:id="759" w:name="_Ref50050570"/>
      <w:r>
        <w:t>17.11.4 | S</w:t>
      </w:r>
      <w:r w:rsidR="00D452DC">
        <w:t>ustainability P</w:t>
      </w:r>
      <w:r w:rsidRPr="00665A4E">
        <w:t xml:space="preserve">lanning for Arizona </w:t>
      </w:r>
      <w:r>
        <w:t>MPO</w:t>
      </w:r>
      <w:r w:rsidRPr="00665A4E">
        <w:t xml:space="preserve">s and </w:t>
      </w:r>
      <w:r>
        <w:t>COG</w:t>
      </w:r>
      <w:r w:rsidRPr="00665A4E">
        <w:t>s</w:t>
      </w:r>
      <w:bookmarkEnd w:id="759"/>
    </w:p>
    <w:p w14:paraId="2459222F" w14:textId="77777777" w:rsidR="00BA289A" w:rsidRDefault="00665A4E" w:rsidP="00020D20">
      <w:pPr>
        <w:jc w:val="both"/>
      </w:pPr>
      <w:r w:rsidRPr="00665A4E">
        <w:t>Many Arizona MPOs, COGs, and local agencies are integrating a focus on sustainability into their local general and comprehensive plans and transportation plans, and regional transportation work programs, to coordinate policies and programs for human services, energy, land-use, economic development, transportation,</w:t>
      </w:r>
      <w:r w:rsidR="000F408F">
        <w:t xml:space="preserve"> stormwater mitigation, air quality,</w:t>
      </w:r>
      <w:r w:rsidRPr="00665A4E">
        <w:t xml:space="preserve"> and other components.</w:t>
      </w:r>
      <w:r w:rsidR="000F408F">
        <w:t xml:space="preserve"> Many of the Federal Planning Factors and Emphasis Areas included these sustainability topics.</w:t>
      </w:r>
      <w:r w:rsidRPr="00665A4E">
        <w:t xml:space="preserve"> Table 17.11-2 </w:t>
      </w:r>
      <w:r w:rsidR="000F408F">
        <w:t xml:space="preserve">at the end of this topic section </w:t>
      </w:r>
      <w:r w:rsidRPr="00665A4E">
        <w:t>lists some potential sustainability goals and objectives that could be integrated into MPO and COG planning.</w:t>
      </w:r>
    </w:p>
    <w:p w14:paraId="58BD54DD" w14:textId="655F1AAD" w:rsidR="00665A4E" w:rsidRPr="00665A4E" w:rsidRDefault="000F408F" w:rsidP="00020D20">
      <w:pPr>
        <w:pStyle w:val="Heading3"/>
        <w:jc w:val="both"/>
      </w:pPr>
      <w:r>
        <w:rPr>
          <w:rFonts w:cstheme="minorHAnsi"/>
        </w:rPr>
        <w:br w:type="column"/>
      </w:r>
      <w:bookmarkStart w:id="760" w:name="_Ref50050573"/>
      <w:r w:rsidR="00665A4E" w:rsidRPr="00665A4E">
        <w:t xml:space="preserve">17.11.5 | </w:t>
      </w:r>
      <w:r w:rsidR="00665A4E">
        <w:t>O</w:t>
      </w:r>
      <w:r w:rsidR="00D452DC">
        <w:t>ther National Resources for Sustainability P</w:t>
      </w:r>
      <w:r w:rsidR="00665A4E" w:rsidRPr="00665A4E">
        <w:t>lanning</w:t>
      </w:r>
      <w:bookmarkEnd w:id="760"/>
    </w:p>
    <w:p w14:paraId="726D90A7" w14:textId="77777777" w:rsidR="00665A4E" w:rsidRPr="00665A4E" w:rsidRDefault="00665A4E" w:rsidP="00020D20">
      <w:pPr>
        <w:jc w:val="both"/>
        <w:rPr>
          <w:rFonts w:cstheme="minorHAnsi"/>
        </w:rPr>
      </w:pPr>
      <w:r w:rsidRPr="00665A4E">
        <w:rPr>
          <w:rFonts w:cstheme="minorHAnsi"/>
        </w:rPr>
        <w:t>The following national resources provide some excellent resource materials for sustainability planning:</w:t>
      </w:r>
    </w:p>
    <w:p w14:paraId="705345DC" w14:textId="5896384D" w:rsidR="00665A4E" w:rsidRPr="00665A4E" w:rsidRDefault="00665A4E" w:rsidP="00020D20">
      <w:pPr>
        <w:pStyle w:val="Body-Bullets"/>
        <w:jc w:val="both"/>
        <w:rPr>
          <w:rFonts w:cstheme="minorHAnsi"/>
        </w:rPr>
      </w:pPr>
      <w:r w:rsidRPr="00665A4E">
        <w:rPr>
          <w:rFonts w:cstheme="minorHAnsi"/>
        </w:rPr>
        <w:t xml:space="preserve">The </w:t>
      </w:r>
      <w:hyperlink r:id="rId1211" w:history="1">
        <w:r w:rsidRPr="00A57918">
          <w:rPr>
            <w:rStyle w:val="TitleChar"/>
          </w:rPr>
          <w:t>FHWA Transportation Planning and Sustainability Guidebook</w:t>
        </w:r>
      </w:hyperlink>
      <w:r w:rsidRPr="00665A4E">
        <w:rPr>
          <w:rFonts w:cstheme="minorHAnsi"/>
        </w:rPr>
        <w:t xml:space="preserve"> presents critical issues involved in planning for sustainable transportation systems and reviews current practices in the United States and abroad that address these issues. Case studies of sustainability practices are presented and cutting-edge evaluation methods are discussed.</w:t>
      </w:r>
    </w:p>
    <w:p w14:paraId="45ABF80A" w14:textId="26100FCA" w:rsidR="00665A4E" w:rsidRPr="00665A4E" w:rsidRDefault="00665A4E" w:rsidP="00020D20">
      <w:pPr>
        <w:pStyle w:val="Body-Bullets"/>
        <w:jc w:val="both"/>
        <w:rPr>
          <w:rFonts w:cstheme="minorHAnsi"/>
        </w:rPr>
      </w:pPr>
      <w:r w:rsidRPr="00665A4E">
        <w:rPr>
          <w:rFonts w:cstheme="minorHAnsi"/>
        </w:rPr>
        <w:t xml:space="preserve">FHWA’s </w:t>
      </w:r>
      <w:hyperlink r:id="rId1212" w:history="1">
        <w:r w:rsidRPr="00A77F0E">
          <w:rPr>
            <w:rStyle w:val="TitleChar"/>
          </w:rPr>
          <w:t>Sustainable Highways Self Evaluation Tool</w:t>
        </w:r>
      </w:hyperlink>
      <w:r w:rsidRPr="00665A4E">
        <w:rPr>
          <w:rFonts w:cstheme="minorHAnsi"/>
        </w:rPr>
        <w:t xml:space="preserve">, also known as INVEST, is a web-based tool and resource to help transportation agencies make roadway projects more sustainable. The tool takes a lifecycle approach to sustainable roadway projects, by evaluating them from system and project planning through design, construction, and operations and maintenance. </w:t>
      </w:r>
    </w:p>
    <w:p w14:paraId="71577FDB" w14:textId="77DDB956" w:rsidR="00665A4E" w:rsidRPr="00665A4E" w:rsidRDefault="00665A4E" w:rsidP="00020D20">
      <w:pPr>
        <w:pStyle w:val="Body-Bullets"/>
        <w:jc w:val="both"/>
        <w:rPr>
          <w:rFonts w:cstheme="minorHAnsi"/>
        </w:rPr>
      </w:pPr>
      <w:r w:rsidRPr="00665A4E">
        <w:rPr>
          <w:rFonts w:cstheme="minorHAnsi"/>
        </w:rPr>
        <w:t xml:space="preserve">The </w:t>
      </w:r>
      <w:hyperlink r:id="rId1213" w:history="1">
        <w:r w:rsidRPr="00020D20">
          <w:rPr>
            <w:rFonts w:cstheme="minorHAnsi"/>
          </w:rPr>
          <w:t>Housing and Urban Development Office of Sustainable Housing and Communities</w:t>
        </w:r>
      </w:hyperlink>
      <w:r w:rsidRPr="00665A4E">
        <w:rPr>
          <w:rFonts w:cstheme="minorHAnsi"/>
        </w:rPr>
        <w:t xml:space="preserve"> has tools available create strong, sustainable communities by connecting housing to jobs, fostering local innovation, and helping to build a clean energy economy.</w:t>
      </w:r>
    </w:p>
    <w:p w14:paraId="44D0E7CC" w14:textId="0C8F3CF6" w:rsidR="00665A4E" w:rsidRPr="00665A4E" w:rsidRDefault="00665A4E" w:rsidP="00020D20">
      <w:pPr>
        <w:pStyle w:val="Body-Bullets"/>
        <w:jc w:val="both"/>
        <w:rPr>
          <w:rFonts w:cstheme="minorHAnsi"/>
        </w:rPr>
      </w:pPr>
      <w:r w:rsidRPr="00665A4E">
        <w:rPr>
          <w:rFonts w:cstheme="minorHAnsi"/>
        </w:rPr>
        <w:t xml:space="preserve">The EPA researchers and their partners from across a wide spectrum of investigative fields are working together to form a deeper understanding of the balance between the three pillars of sustainability - environment, society, and economy. The </w:t>
      </w:r>
      <w:hyperlink r:id="rId1214" w:history="1">
        <w:r w:rsidRPr="00020D20">
          <w:rPr>
            <w:rFonts w:cstheme="minorHAnsi"/>
          </w:rPr>
          <w:t>EPA Sustainable Practices Program</w:t>
        </w:r>
      </w:hyperlink>
      <w:r w:rsidRPr="00665A4E">
        <w:rPr>
          <w:rFonts w:cstheme="minorHAnsi"/>
        </w:rPr>
        <w:t xml:space="preserve"> has several resources that are applicable to state, MPO and COG planning activities.</w:t>
      </w:r>
    </w:p>
    <w:p w14:paraId="3D1F83FF" w14:textId="2915AFB0" w:rsidR="00FC2164" w:rsidRDefault="00665A4E" w:rsidP="00020D20">
      <w:pPr>
        <w:pStyle w:val="Body-Bullets"/>
        <w:jc w:val="both"/>
        <w:rPr>
          <w:rFonts w:cstheme="minorHAnsi"/>
        </w:rPr>
      </w:pPr>
      <w:r w:rsidRPr="00665A4E">
        <w:rPr>
          <w:rFonts w:cstheme="minorHAnsi"/>
        </w:rPr>
        <w:t xml:space="preserve">The </w:t>
      </w:r>
      <w:hyperlink r:id="rId1215" w:history="1">
        <w:r w:rsidRPr="00020D20">
          <w:rPr>
            <w:rFonts w:cstheme="minorHAnsi"/>
          </w:rPr>
          <w:t>AASHTO Center for Environmental Excellence</w:t>
        </w:r>
      </w:hyperlink>
      <w:r w:rsidRPr="00665A4E">
        <w:rPr>
          <w:rFonts w:cstheme="minorHAnsi"/>
        </w:rPr>
        <w:t xml:space="preserve"> provides a database of case studies, best practices and innovative tools/approaches relating to plan development which typically includes a review and evaluation of best practices and case studies.</w:t>
      </w:r>
    </w:p>
    <w:p w14:paraId="40CD8CE2" w14:textId="3A8B6168" w:rsidR="00665A4E" w:rsidRPr="00665A4E" w:rsidRDefault="00665A4E" w:rsidP="00020D20">
      <w:pPr>
        <w:pStyle w:val="Body-Bullets"/>
        <w:jc w:val="both"/>
        <w:rPr>
          <w:rFonts w:cstheme="minorHAnsi"/>
        </w:rPr>
      </w:pPr>
      <w:r w:rsidRPr="00665A4E">
        <w:rPr>
          <w:rFonts w:cstheme="minorHAnsi"/>
        </w:rPr>
        <w:t xml:space="preserve">The </w:t>
      </w:r>
      <w:hyperlink r:id="rId1216" w:history="1">
        <w:r w:rsidRPr="004637FD">
          <w:rPr>
            <w:rFonts w:cstheme="minorHAnsi"/>
          </w:rPr>
          <w:t>State Smart Transportation Initiative</w:t>
        </w:r>
      </w:hyperlink>
      <w:r w:rsidRPr="00665A4E">
        <w:rPr>
          <w:rFonts w:cstheme="minorHAnsi"/>
        </w:rPr>
        <w:t xml:space="preserve"> (SSTI) promotes transportation practices that advance environmental sustainability and equitable economic development, while maintaining high standards of governmental efficiency and transparency. </w:t>
      </w:r>
    </w:p>
    <w:p w14:paraId="434A5F5E" w14:textId="6DC5C2AC" w:rsidR="00665A4E" w:rsidRDefault="00665A4E" w:rsidP="00020D20">
      <w:pPr>
        <w:pStyle w:val="Body-Bullets"/>
        <w:jc w:val="both"/>
        <w:rPr>
          <w:rFonts w:cstheme="minorHAnsi"/>
        </w:rPr>
      </w:pPr>
      <w:r w:rsidRPr="00665A4E">
        <w:rPr>
          <w:rFonts w:cstheme="minorHAnsi"/>
        </w:rPr>
        <w:t xml:space="preserve">The </w:t>
      </w:r>
      <w:hyperlink r:id="rId1217" w:history="1">
        <w:r w:rsidRPr="004637FD">
          <w:rPr>
            <w:rFonts w:cstheme="minorHAnsi"/>
          </w:rPr>
          <w:t>American Planning Association</w:t>
        </w:r>
      </w:hyperlink>
      <w:r w:rsidRPr="00665A4E">
        <w:rPr>
          <w:rFonts w:cstheme="minorHAnsi"/>
        </w:rPr>
        <w:t xml:space="preserve"> Centers for Planning provide resources to engage in policy-relevant research and education involving community health, natural and man-made hazards, and green communities.</w:t>
      </w:r>
    </w:p>
    <w:p w14:paraId="4D051B03" w14:textId="77777777" w:rsidR="00A77F0E" w:rsidRDefault="00A77F0E" w:rsidP="00020D20">
      <w:pPr>
        <w:pStyle w:val="Heading5"/>
        <w:jc w:val="both"/>
        <w:rPr>
          <w:rFonts w:cstheme="minorHAnsi"/>
        </w:rPr>
        <w:sectPr w:rsidR="00A77F0E" w:rsidSect="00020D20">
          <w:type w:val="continuous"/>
          <w:pgSz w:w="12240" w:h="15840"/>
          <w:pgMar w:top="1440" w:right="1440" w:bottom="1440" w:left="1440" w:header="720" w:footer="720" w:gutter="0"/>
          <w:pgNumType w:chapStyle="1"/>
          <w:cols w:num="2" w:space="720"/>
          <w:docGrid w:linePitch="360"/>
        </w:sectPr>
      </w:pPr>
    </w:p>
    <w:p w14:paraId="2F75ED77" w14:textId="2CFBA567" w:rsidR="00665A4E" w:rsidRDefault="00665A4E" w:rsidP="00020D20">
      <w:pPr>
        <w:pStyle w:val="Heading4"/>
        <w:jc w:val="both"/>
      </w:pPr>
      <w:r w:rsidRPr="00665A4E">
        <w:t>Table 17.11-1 | Sustainable Transportation Strategies</w:t>
      </w:r>
    </w:p>
    <w:tbl>
      <w:tblPr>
        <w:tblW w:w="9360" w:type="dxa"/>
        <w:tblInd w:w="-10" w:type="dxa"/>
        <w:tblLayout w:type="fixed"/>
        <w:tblCellMar>
          <w:left w:w="0" w:type="dxa"/>
          <w:right w:w="0" w:type="dxa"/>
        </w:tblCellMar>
        <w:tblLook w:val="0000" w:firstRow="0" w:lastRow="0" w:firstColumn="0" w:lastColumn="0" w:noHBand="0" w:noVBand="0"/>
      </w:tblPr>
      <w:tblGrid>
        <w:gridCol w:w="1985"/>
        <w:gridCol w:w="7375"/>
      </w:tblGrid>
      <w:tr w:rsidR="00665A4E" w:rsidRPr="00665A4E" w14:paraId="27C00B9A" w14:textId="77777777" w:rsidTr="00020D20">
        <w:trPr>
          <w:trHeight w:val="288"/>
        </w:trPr>
        <w:tc>
          <w:tcPr>
            <w:tcW w:w="1985" w:type="dxa"/>
            <w:tcBorders>
              <w:top w:val="single" w:sz="8" w:space="0" w:color="auto"/>
              <w:left w:val="single" w:sz="8" w:space="0" w:color="auto"/>
              <w:bottom w:val="single" w:sz="8" w:space="0" w:color="auto"/>
              <w:right w:val="single" w:sz="4" w:space="0" w:color="FFFFFF" w:themeColor="background1"/>
            </w:tcBorders>
            <w:shd w:val="clear" w:color="auto" w:fill="012768"/>
            <w:tcMar>
              <w:top w:w="58" w:type="dxa"/>
              <w:left w:w="58" w:type="dxa"/>
              <w:bottom w:w="58" w:type="dxa"/>
              <w:right w:w="58" w:type="dxa"/>
            </w:tcMar>
            <w:vAlign w:val="center"/>
          </w:tcPr>
          <w:p w14:paraId="4531586B" w14:textId="6687D841" w:rsidR="00665A4E" w:rsidRPr="00020D20" w:rsidRDefault="00665A4E" w:rsidP="00020D20">
            <w:pPr>
              <w:spacing w:before="0" w:after="0" w:line="240" w:lineRule="auto"/>
              <w:jc w:val="center"/>
              <w:rPr>
                <w:sz w:val="22"/>
              </w:rPr>
            </w:pPr>
            <w:r w:rsidRPr="00020D20">
              <w:rPr>
                <w:sz w:val="22"/>
              </w:rPr>
              <w:t>Strategy</w:t>
            </w:r>
          </w:p>
        </w:tc>
        <w:tc>
          <w:tcPr>
            <w:tcW w:w="7375" w:type="dxa"/>
            <w:tcBorders>
              <w:top w:val="single" w:sz="8" w:space="0" w:color="auto"/>
              <w:left w:val="single" w:sz="4" w:space="0" w:color="FFFFFF" w:themeColor="background1"/>
              <w:bottom w:val="single" w:sz="8" w:space="0" w:color="auto"/>
              <w:right w:val="single" w:sz="8" w:space="0" w:color="auto"/>
            </w:tcBorders>
            <w:shd w:val="clear" w:color="auto" w:fill="012768"/>
            <w:tcMar>
              <w:top w:w="86" w:type="dxa"/>
              <w:left w:w="86" w:type="dxa"/>
              <w:bottom w:w="86" w:type="dxa"/>
              <w:right w:w="86" w:type="dxa"/>
            </w:tcMar>
            <w:vAlign w:val="center"/>
          </w:tcPr>
          <w:p w14:paraId="1119D9AA" w14:textId="17056EE2" w:rsidR="00665A4E" w:rsidRPr="00020D20" w:rsidRDefault="00665A4E" w:rsidP="00020D20">
            <w:pPr>
              <w:spacing w:before="0" w:after="0" w:line="240" w:lineRule="auto"/>
              <w:jc w:val="center"/>
              <w:rPr>
                <w:sz w:val="22"/>
              </w:rPr>
            </w:pPr>
            <w:r w:rsidRPr="00020D20">
              <w:rPr>
                <w:sz w:val="22"/>
              </w:rPr>
              <w:t>Definition</w:t>
            </w:r>
          </w:p>
        </w:tc>
      </w:tr>
      <w:tr w:rsidR="00665A4E" w:rsidRPr="00665A4E" w14:paraId="4EB720F2" w14:textId="77777777" w:rsidTr="00020D20">
        <w:trPr>
          <w:trHeight w:val="19"/>
        </w:trPr>
        <w:tc>
          <w:tcPr>
            <w:tcW w:w="1985" w:type="dxa"/>
            <w:tcBorders>
              <w:top w:val="single" w:sz="8" w:space="0" w:color="auto"/>
              <w:left w:val="single" w:sz="8" w:space="0" w:color="58585B"/>
              <w:bottom w:val="single" w:sz="8" w:space="0" w:color="58585B"/>
              <w:right w:val="single" w:sz="8" w:space="0" w:color="58585B"/>
            </w:tcBorders>
            <w:tcMar>
              <w:top w:w="58" w:type="dxa"/>
              <w:left w:w="58" w:type="dxa"/>
              <w:bottom w:w="58" w:type="dxa"/>
              <w:right w:w="58" w:type="dxa"/>
            </w:tcMar>
            <w:vAlign w:val="center"/>
          </w:tcPr>
          <w:p w14:paraId="76328253" w14:textId="77777777" w:rsidR="00665A4E" w:rsidRPr="00020D20" w:rsidRDefault="00665A4E" w:rsidP="00020D20">
            <w:pPr>
              <w:spacing w:before="0" w:after="0" w:line="216" w:lineRule="auto"/>
              <w:jc w:val="center"/>
              <w:rPr>
                <w:sz w:val="19"/>
                <w:szCs w:val="19"/>
              </w:rPr>
            </w:pPr>
            <w:r w:rsidRPr="00020D20">
              <w:rPr>
                <w:sz w:val="19"/>
                <w:szCs w:val="19"/>
              </w:rPr>
              <w:t>Transportation Demand Management (TDM)</w:t>
            </w:r>
          </w:p>
        </w:tc>
        <w:tc>
          <w:tcPr>
            <w:tcW w:w="7375" w:type="dxa"/>
            <w:tcBorders>
              <w:top w:val="single" w:sz="8" w:space="0" w:color="auto"/>
              <w:left w:val="single" w:sz="8" w:space="0" w:color="58585B"/>
              <w:bottom w:val="single" w:sz="8" w:space="0" w:color="58585B"/>
              <w:right w:val="single" w:sz="8" w:space="0" w:color="58585B"/>
            </w:tcBorders>
            <w:tcMar>
              <w:top w:w="86" w:type="dxa"/>
              <w:left w:w="86" w:type="dxa"/>
              <w:bottom w:w="86" w:type="dxa"/>
              <w:right w:w="86" w:type="dxa"/>
            </w:tcMar>
            <w:vAlign w:val="center"/>
          </w:tcPr>
          <w:p w14:paraId="0ABEA470" w14:textId="45CE2A8F"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 xml:space="preserve">Strategies intended to reduce single-occupant vehicle (SOV) demand or redistribute this demand across the transportation system. Examples include ride-sharing programs, increased public transportation and bicycle facilities, </w:t>
            </w:r>
            <w:r w:rsidR="00331C63" w:rsidRPr="00020D20">
              <w:rPr>
                <w:i w:val="0"/>
                <w:color w:val="auto"/>
                <w:w w:val="96"/>
                <w:sz w:val="18"/>
                <w:szCs w:val="18"/>
              </w:rPr>
              <w:t>high occupancy ve</w:t>
            </w:r>
            <w:r w:rsidR="0083102E" w:rsidRPr="00020D20">
              <w:rPr>
                <w:i w:val="0"/>
                <w:color w:val="auto"/>
                <w:w w:val="96"/>
                <w:sz w:val="18"/>
                <w:szCs w:val="18"/>
              </w:rPr>
              <w:t>hicle (</w:t>
            </w:r>
            <w:r w:rsidRPr="00020D20">
              <w:rPr>
                <w:i w:val="0"/>
                <w:color w:val="auto"/>
                <w:w w:val="96"/>
                <w:sz w:val="18"/>
                <w:szCs w:val="18"/>
              </w:rPr>
              <w:t>HOV</w:t>
            </w:r>
            <w:r w:rsidR="0083102E" w:rsidRPr="00020D20">
              <w:rPr>
                <w:i w:val="0"/>
                <w:color w:val="auto"/>
                <w:w w:val="96"/>
                <w:sz w:val="18"/>
                <w:szCs w:val="18"/>
              </w:rPr>
              <w:t>)</w:t>
            </w:r>
            <w:r w:rsidRPr="00020D20">
              <w:rPr>
                <w:i w:val="0"/>
                <w:color w:val="auto"/>
                <w:w w:val="96"/>
                <w:sz w:val="18"/>
                <w:szCs w:val="18"/>
              </w:rPr>
              <w:t xml:space="preserve">/HOT lanes, congestion pricing, and increased parking pricing. </w:t>
            </w:r>
          </w:p>
        </w:tc>
      </w:tr>
      <w:tr w:rsidR="00665A4E" w:rsidRPr="00665A4E" w14:paraId="11C589D8" w14:textId="77777777" w:rsidTr="00020D20">
        <w:trPr>
          <w:trHeight w:val="288"/>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6277CFF5" w14:textId="2E50B2BF" w:rsidR="00665A4E" w:rsidRPr="00020D20" w:rsidRDefault="00665A4E" w:rsidP="00020D20">
            <w:pPr>
              <w:spacing w:before="0" w:after="0" w:line="216" w:lineRule="auto"/>
              <w:jc w:val="center"/>
              <w:rPr>
                <w:sz w:val="19"/>
                <w:szCs w:val="19"/>
              </w:rPr>
            </w:pPr>
            <w:r w:rsidRPr="00020D20">
              <w:rPr>
                <w:sz w:val="19"/>
                <w:szCs w:val="19"/>
              </w:rPr>
              <w:t xml:space="preserve">Increase </w:t>
            </w:r>
            <w:r w:rsidR="00CB6153">
              <w:rPr>
                <w:sz w:val="19"/>
                <w:szCs w:val="19"/>
              </w:rPr>
              <w:t>O</w:t>
            </w:r>
            <w:r w:rsidRPr="00020D20">
              <w:rPr>
                <w:sz w:val="19"/>
                <w:szCs w:val="19"/>
              </w:rPr>
              <w:t xml:space="preserve">pportunities for </w:t>
            </w:r>
            <w:r w:rsidR="00CB6153">
              <w:rPr>
                <w:sz w:val="19"/>
                <w:szCs w:val="19"/>
              </w:rPr>
              <w:t>W</w:t>
            </w:r>
            <w:r w:rsidRPr="00020D20">
              <w:rPr>
                <w:sz w:val="19"/>
                <w:szCs w:val="19"/>
              </w:rPr>
              <w:t xml:space="preserve">alking and </w:t>
            </w:r>
            <w:r w:rsidR="00CB6153">
              <w:rPr>
                <w:sz w:val="19"/>
                <w:szCs w:val="19"/>
              </w:rPr>
              <w:t>B</w:t>
            </w:r>
            <w:r w:rsidRPr="00020D20">
              <w:rPr>
                <w:sz w:val="19"/>
                <w:szCs w:val="19"/>
              </w:rPr>
              <w:t>icycling</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2971E75C"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Strategies to improve the safety and accessibility for walking and bicycling by providing sidewalks and signed routes for bicycles (either delineated bicycle lanes or share-the-road markers).</w:t>
            </w:r>
          </w:p>
        </w:tc>
      </w:tr>
      <w:tr w:rsidR="00665A4E" w:rsidRPr="00665A4E" w14:paraId="28CFDEF2" w14:textId="77777777" w:rsidTr="00020D20">
        <w:trPr>
          <w:trHeight w:val="506"/>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6245D9A4" w14:textId="6585FAA4" w:rsidR="00665A4E" w:rsidRPr="00020D20" w:rsidRDefault="00665A4E" w:rsidP="00020D20">
            <w:pPr>
              <w:spacing w:before="0" w:after="0" w:line="216" w:lineRule="auto"/>
              <w:jc w:val="center"/>
              <w:rPr>
                <w:sz w:val="19"/>
                <w:szCs w:val="19"/>
              </w:rPr>
            </w:pPr>
            <w:r w:rsidRPr="00020D20">
              <w:rPr>
                <w:sz w:val="19"/>
                <w:szCs w:val="19"/>
              </w:rPr>
              <w:t xml:space="preserve">Increase </w:t>
            </w:r>
            <w:r w:rsidR="00CB6153">
              <w:rPr>
                <w:sz w:val="19"/>
                <w:szCs w:val="19"/>
              </w:rPr>
              <w:t>T</w:t>
            </w:r>
            <w:r w:rsidRPr="00020D20">
              <w:rPr>
                <w:sz w:val="19"/>
                <w:szCs w:val="19"/>
              </w:rPr>
              <w:t xml:space="preserve">ransit </w:t>
            </w:r>
            <w:r w:rsidR="00CB6153">
              <w:rPr>
                <w:sz w:val="19"/>
                <w:szCs w:val="19"/>
              </w:rPr>
              <w:t>A</w:t>
            </w:r>
            <w:r w:rsidRPr="00020D20">
              <w:rPr>
                <w:sz w:val="19"/>
                <w:szCs w:val="19"/>
              </w:rPr>
              <w:t xml:space="preserve">ccess and </w:t>
            </w:r>
            <w:r w:rsidR="00CB6153">
              <w:rPr>
                <w:sz w:val="19"/>
                <w:szCs w:val="19"/>
              </w:rPr>
              <w:t>C</w:t>
            </w:r>
            <w:r w:rsidRPr="00020D20">
              <w:rPr>
                <w:sz w:val="19"/>
                <w:szCs w:val="19"/>
              </w:rPr>
              <w:t>overage</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2CBB4EEF"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Transit accessibility relates directly to the ability for a transit user to easily and safely access a transit stop from the stop catchment area. This is generally one-half of a mile radius around the stop location for pedestrians and two miles for bicyclists.</w:t>
            </w:r>
          </w:p>
        </w:tc>
      </w:tr>
      <w:tr w:rsidR="00665A4E" w:rsidRPr="00665A4E" w14:paraId="5ABB13AD"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09C3B199" w14:textId="2E9D9B67" w:rsidR="00341969" w:rsidRDefault="00665A4E" w:rsidP="00020D20">
            <w:pPr>
              <w:spacing w:before="0" w:after="0" w:line="216" w:lineRule="auto"/>
              <w:jc w:val="center"/>
              <w:rPr>
                <w:sz w:val="19"/>
                <w:szCs w:val="19"/>
              </w:rPr>
            </w:pPr>
            <w:r w:rsidRPr="00020D20">
              <w:rPr>
                <w:sz w:val="19"/>
                <w:szCs w:val="19"/>
              </w:rPr>
              <w:t xml:space="preserve">Location </w:t>
            </w:r>
            <w:r w:rsidR="00CB6153">
              <w:rPr>
                <w:sz w:val="19"/>
                <w:szCs w:val="19"/>
              </w:rPr>
              <w:t>E</w:t>
            </w:r>
            <w:r w:rsidRPr="00020D20">
              <w:rPr>
                <w:sz w:val="19"/>
                <w:szCs w:val="19"/>
              </w:rPr>
              <w:t>fficiency/</w:t>
            </w:r>
          </w:p>
          <w:p w14:paraId="49A8C5A0" w14:textId="71825278" w:rsidR="00665A4E" w:rsidRPr="00020D20" w:rsidRDefault="00CB6153" w:rsidP="00020D20">
            <w:pPr>
              <w:spacing w:before="0" w:after="0" w:line="216" w:lineRule="auto"/>
              <w:jc w:val="center"/>
              <w:rPr>
                <w:sz w:val="19"/>
                <w:szCs w:val="19"/>
              </w:rPr>
            </w:pPr>
            <w:r>
              <w:rPr>
                <w:sz w:val="19"/>
                <w:szCs w:val="19"/>
              </w:rPr>
              <w:t>J</w:t>
            </w:r>
            <w:r w:rsidR="00665A4E" w:rsidRPr="00020D20">
              <w:rPr>
                <w:sz w:val="19"/>
                <w:szCs w:val="19"/>
              </w:rPr>
              <w:t>obs</w:t>
            </w:r>
            <w:r w:rsidR="00341969">
              <w:rPr>
                <w:sz w:val="19"/>
                <w:szCs w:val="19"/>
              </w:rPr>
              <w:t>-</w:t>
            </w:r>
            <w:r>
              <w:rPr>
                <w:sz w:val="19"/>
                <w:szCs w:val="19"/>
              </w:rPr>
              <w:t>H</w:t>
            </w:r>
            <w:r w:rsidR="00665A4E" w:rsidRPr="00020D20">
              <w:rPr>
                <w:sz w:val="19"/>
                <w:szCs w:val="19"/>
              </w:rPr>
              <w:t xml:space="preserve">ousing </w:t>
            </w:r>
            <w:r>
              <w:rPr>
                <w:sz w:val="19"/>
                <w:szCs w:val="19"/>
              </w:rPr>
              <w:t>B</w:t>
            </w:r>
            <w:r w:rsidR="00665A4E" w:rsidRPr="00020D20">
              <w:rPr>
                <w:sz w:val="19"/>
                <w:szCs w:val="19"/>
              </w:rPr>
              <w:t>alance</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6AB2718D"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As areas develop, it is important to maintain a balance between the jobs offered in the region with the available housing that is also available.</w:t>
            </w:r>
          </w:p>
        </w:tc>
      </w:tr>
      <w:tr w:rsidR="00665A4E" w:rsidRPr="00665A4E" w14:paraId="1E857358"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55EEAB70" w14:textId="10C1E959" w:rsidR="00665A4E" w:rsidRPr="00020D20" w:rsidRDefault="00665A4E" w:rsidP="00020D20">
            <w:pPr>
              <w:spacing w:before="0" w:after="0" w:line="216" w:lineRule="auto"/>
              <w:jc w:val="center"/>
              <w:rPr>
                <w:sz w:val="19"/>
                <w:szCs w:val="19"/>
              </w:rPr>
            </w:pPr>
            <w:r w:rsidRPr="00020D20">
              <w:rPr>
                <w:sz w:val="19"/>
                <w:szCs w:val="19"/>
              </w:rPr>
              <w:t>Land-</w:t>
            </w:r>
            <w:r w:rsidR="00CB6153">
              <w:rPr>
                <w:sz w:val="19"/>
                <w:szCs w:val="19"/>
              </w:rPr>
              <w:t>U</w:t>
            </w:r>
            <w:r w:rsidRPr="00020D20">
              <w:rPr>
                <w:sz w:val="19"/>
                <w:szCs w:val="19"/>
              </w:rPr>
              <w:t xml:space="preserve">se </w:t>
            </w:r>
            <w:r w:rsidR="00CB6153">
              <w:rPr>
                <w:sz w:val="19"/>
                <w:szCs w:val="19"/>
              </w:rPr>
              <w:t>C</w:t>
            </w:r>
            <w:r w:rsidRPr="00020D20">
              <w:rPr>
                <w:sz w:val="19"/>
                <w:szCs w:val="19"/>
              </w:rPr>
              <w:t>onnection</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4033CE7D"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Providing cross access between adjacent parcels, particularly commercial parcels, improves safety and travel opportunities for all users. This also helps to lessen unnecessary travel demand from the roadway.</w:t>
            </w:r>
          </w:p>
        </w:tc>
      </w:tr>
      <w:tr w:rsidR="00665A4E" w:rsidRPr="00665A4E" w14:paraId="748429BF"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00A6B9F5" w14:textId="7A21B16D" w:rsidR="00665A4E" w:rsidRPr="00020D20" w:rsidRDefault="00665A4E" w:rsidP="00020D20">
            <w:pPr>
              <w:spacing w:before="0" w:after="0" w:line="216" w:lineRule="auto"/>
              <w:jc w:val="center"/>
              <w:rPr>
                <w:sz w:val="19"/>
                <w:szCs w:val="19"/>
              </w:rPr>
            </w:pPr>
            <w:r w:rsidRPr="00020D20">
              <w:rPr>
                <w:sz w:val="19"/>
                <w:szCs w:val="19"/>
              </w:rPr>
              <w:t xml:space="preserve">Complete </w:t>
            </w:r>
            <w:r w:rsidR="00CB6153">
              <w:rPr>
                <w:sz w:val="19"/>
                <w:szCs w:val="19"/>
              </w:rPr>
              <w:t>S</w:t>
            </w:r>
            <w:r w:rsidRPr="00020D20">
              <w:rPr>
                <w:sz w:val="19"/>
                <w:szCs w:val="19"/>
              </w:rPr>
              <w:t>treets</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1738AE51" w14:textId="79A0A85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Roadways designed to safe</w:t>
            </w:r>
            <w:r w:rsidR="00B83DD3">
              <w:rPr>
                <w:i w:val="0"/>
                <w:color w:val="auto"/>
                <w:w w:val="96"/>
                <w:sz w:val="18"/>
                <w:szCs w:val="18"/>
              </w:rPr>
              <w:t>l</w:t>
            </w:r>
            <w:r w:rsidRPr="00020D20">
              <w:rPr>
                <w:i w:val="0"/>
                <w:color w:val="auto"/>
                <w:w w:val="96"/>
                <w:sz w:val="18"/>
                <w:szCs w:val="18"/>
              </w:rPr>
              <w:t>y and efficiently accommodate all modes of travel and all users. Provision of safe pedestrian crossings and walkways is typically a focus of complete streets.</w:t>
            </w:r>
          </w:p>
        </w:tc>
      </w:tr>
      <w:tr w:rsidR="00665A4E" w:rsidRPr="00665A4E" w14:paraId="523C6033"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0D42854E" w14:textId="23671AA7" w:rsidR="00665A4E" w:rsidRPr="00020D20" w:rsidRDefault="00665A4E" w:rsidP="00020D20">
            <w:pPr>
              <w:spacing w:before="0" w:after="0" w:line="216" w:lineRule="auto"/>
              <w:jc w:val="center"/>
              <w:rPr>
                <w:sz w:val="19"/>
                <w:szCs w:val="19"/>
              </w:rPr>
            </w:pPr>
            <w:r w:rsidRPr="00020D20">
              <w:rPr>
                <w:sz w:val="19"/>
                <w:szCs w:val="19"/>
              </w:rPr>
              <w:t xml:space="preserve">Multimodal </w:t>
            </w:r>
            <w:r w:rsidR="00CB6153">
              <w:rPr>
                <w:sz w:val="19"/>
                <w:szCs w:val="19"/>
              </w:rPr>
              <w:t>C</w:t>
            </w:r>
            <w:r w:rsidRPr="00020D20">
              <w:rPr>
                <w:sz w:val="19"/>
                <w:szCs w:val="19"/>
              </w:rPr>
              <w:t>orridors</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4C00B569"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Creating high capacity inter- and intra-city corridors that integrate travel modes to optimize mobility. Multimodal corridors typically accommodate vehicular traffic and high capacity transit service, and often provide separated multi-use (bicycle/pedestrian) paths.</w:t>
            </w:r>
          </w:p>
        </w:tc>
      </w:tr>
      <w:tr w:rsidR="00665A4E" w:rsidRPr="00665A4E" w14:paraId="2CAE5777"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7143634F" w14:textId="457634AF" w:rsidR="00665A4E" w:rsidRPr="00020D20" w:rsidRDefault="00665A4E" w:rsidP="00020D20">
            <w:pPr>
              <w:spacing w:before="0" w:after="0" w:line="216" w:lineRule="auto"/>
              <w:jc w:val="center"/>
              <w:rPr>
                <w:sz w:val="19"/>
                <w:szCs w:val="19"/>
              </w:rPr>
            </w:pPr>
            <w:r w:rsidRPr="00020D20">
              <w:rPr>
                <w:sz w:val="19"/>
                <w:szCs w:val="19"/>
              </w:rPr>
              <w:t xml:space="preserve">Network </w:t>
            </w:r>
            <w:r w:rsidR="00CB6153">
              <w:rPr>
                <w:sz w:val="19"/>
                <w:szCs w:val="19"/>
              </w:rPr>
              <w:t>C</w:t>
            </w:r>
            <w:r w:rsidRPr="00020D20">
              <w:rPr>
                <w:sz w:val="19"/>
                <w:szCs w:val="19"/>
              </w:rPr>
              <w:t>onnectivity</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4145C549"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Aligning street intersections, providing redundancy such as a grid network, and reducing cul-de-sac use improves network connectivity.</w:t>
            </w:r>
          </w:p>
        </w:tc>
      </w:tr>
      <w:tr w:rsidR="00665A4E" w:rsidRPr="00665A4E" w14:paraId="5E4899DA"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375E30D2" w14:textId="77777777" w:rsidR="00665A4E" w:rsidRPr="00020D20" w:rsidRDefault="00665A4E" w:rsidP="00020D20">
            <w:pPr>
              <w:spacing w:before="0" w:after="0" w:line="216" w:lineRule="auto"/>
              <w:jc w:val="center"/>
              <w:rPr>
                <w:sz w:val="19"/>
                <w:szCs w:val="19"/>
              </w:rPr>
            </w:pPr>
            <w:r w:rsidRPr="00020D20">
              <w:rPr>
                <w:sz w:val="19"/>
                <w:szCs w:val="19"/>
              </w:rPr>
              <w:t>Transit Oriented Development (TOD)</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3383B1CB"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Development approaches in urban areas that create relatively higher density mixed-use residential /commercial neighborhoods centered around transit stations or hubs. This development strategy reduces auto trips, by creating an environment highly conducive to pedestrians, bicycles, and transit.</w:t>
            </w:r>
          </w:p>
        </w:tc>
      </w:tr>
      <w:tr w:rsidR="00665A4E" w:rsidRPr="00665A4E" w14:paraId="79A9AC32"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2243299F" w14:textId="77777777" w:rsidR="00665A4E" w:rsidRPr="00020D20" w:rsidRDefault="00665A4E" w:rsidP="00020D20">
            <w:pPr>
              <w:spacing w:before="0" w:after="0" w:line="216" w:lineRule="auto"/>
              <w:jc w:val="center"/>
              <w:rPr>
                <w:sz w:val="19"/>
                <w:szCs w:val="19"/>
              </w:rPr>
            </w:pPr>
            <w:r w:rsidRPr="00020D20">
              <w:rPr>
                <w:sz w:val="19"/>
                <w:szCs w:val="19"/>
              </w:rPr>
              <w:t>Safe Routes to School (SRTS)</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05A0820C"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 xml:space="preserve">Program focused on improving children’s safety while walking and bicycling in proximity to schools. </w:t>
            </w:r>
          </w:p>
        </w:tc>
      </w:tr>
      <w:tr w:rsidR="00665A4E" w:rsidRPr="00665A4E" w14:paraId="2ACE07F4"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7D3FEFF3" w14:textId="62D00A5E" w:rsidR="00665A4E" w:rsidRPr="00020D20" w:rsidRDefault="00665A4E" w:rsidP="00020D20">
            <w:pPr>
              <w:spacing w:before="0" w:after="0" w:line="216" w:lineRule="auto"/>
              <w:jc w:val="center"/>
              <w:rPr>
                <w:sz w:val="19"/>
                <w:szCs w:val="19"/>
              </w:rPr>
            </w:pPr>
            <w:r w:rsidRPr="00020D20">
              <w:rPr>
                <w:sz w:val="19"/>
                <w:szCs w:val="19"/>
              </w:rPr>
              <w:t xml:space="preserve">Bicycle </w:t>
            </w:r>
            <w:r w:rsidR="00CB6153">
              <w:rPr>
                <w:sz w:val="19"/>
                <w:szCs w:val="19"/>
              </w:rPr>
              <w:t>S</w:t>
            </w:r>
            <w:r w:rsidRPr="00020D20">
              <w:rPr>
                <w:sz w:val="19"/>
                <w:szCs w:val="19"/>
              </w:rPr>
              <w:t>haring</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18E52BCD"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Bicycle systems that provide a means, typically paid for by the user, to use a bicycle for short durations.</w:t>
            </w:r>
          </w:p>
        </w:tc>
      </w:tr>
      <w:tr w:rsidR="00665A4E" w:rsidRPr="00665A4E" w14:paraId="0B1DC23D"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3D13E31F" w14:textId="1A73B771" w:rsidR="00665A4E" w:rsidRPr="00020D20" w:rsidRDefault="00665A4E" w:rsidP="00020D20">
            <w:pPr>
              <w:spacing w:before="0" w:after="0" w:line="216" w:lineRule="auto"/>
              <w:jc w:val="center"/>
              <w:rPr>
                <w:sz w:val="19"/>
                <w:szCs w:val="19"/>
              </w:rPr>
            </w:pPr>
            <w:r w:rsidRPr="00020D20">
              <w:rPr>
                <w:sz w:val="19"/>
                <w:szCs w:val="19"/>
              </w:rPr>
              <w:t xml:space="preserve">Active </w:t>
            </w:r>
            <w:r w:rsidR="00CB6153">
              <w:rPr>
                <w:sz w:val="19"/>
                <w:szCs w:val="19"/>
              </w:rPr>
              <w:t>T</w:t>
            </w:r>
            <w:r w:rsidRPr="00020D20">
              <w:rPr>
                <w:sz w:val="19"/>
                <w:szCs w:val="19"/>
              </w:rPr>
              <w:t xml:space="preserve">ransportation and </w:t>
            </w:r>
            <w:r w:rsidR="00CB6153">
              <w:rPr>
                <w:sz w:val="19"/>
                <w:szCs w:val="19"/>
              </w:rPr>
              <w:t>H</w:t>
            </w:r>
            <w:r w:rsidRPr="00020D20">
              <w:rPr>
                <w:sz w:val="19"/>
                <w:szCs w:val="19"/>
              </w:rPr>
              <w:t>ealth</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3EFD010A"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Effort to make it safe and convenient to walk, bicycle and access transit.</w:t>
            </w:r>
          </w:p>
        </w:tc>
      </w:tr>
      <w:tr w:rsidR="00665A4E" w:rsidRPr="00665A4E" w14:paraId="5BD883CC"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0FB15D54" w14:textId="77777777" w:rsidR="00665A4E" w:rsidRPr="00020D20" w:rsidRDefault="00665A4E" w:rsidP="00020D20">
            <w:pPr>
              <w:spacing w:before="0" w:after="0" w:line="216" w:lineRule="auto"/>
              <w:jc w:val="center"/>
              <w:rPr>
                <w:sz w:val="19"/>
                <w:szCs w:val="19"/>
              </w:rPr>
            </w:pPr>
            <w:r w:rsidRPr="00020D20">
              <w:rPr>
                <w:sz w:val="19"/>
                <w:szCs w:val="19"/>
              </w:rPr>
              <w:t>Context Sensitive Solutions (CSS)</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225617B7" w14:textId="520E65DD"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A collaborative, interdisciplinary approach to developing transportation projects that consider the entire roadway environment (mobility, access, safety, aesthetics, and preservation of historic, community and environmental resources) when developing solutions</w:t>
            </w:r>
            <w:r w:rsidR="000F408F">
              <w:rPr>
                <w:i w:val="0"/>
                <w:color w:val="auto"/>
                <w:w w:val="96"/>
                <w:sz w:val="18"/>
                <w:szCs w:val="18"/>
              </w:rPr>
              <w:t xml:space="preserve"> to fit the setting and goals</w:t>
            </w:r>
            <w:r w:rsidRPr="00020D20">
              <w:rPr>
                <w:i w:val="0"/>
                <w:color w:val="auto"/>
                <w:w w:val="96"/>
                <w:sz w:val="18"/>
                <w:szCs w:val="18"/>
              </w:rPr>
              <w:t xml:space="preserve">. </w:t>
            </w:r>
          </w:p>
        </w:tc>
      </w:tr>
      <w:tr w:rsidR="00665A4E" w:rsidRPr="00665A4E" w14:paraId="1A930250"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1C450B6B" w14:textId="645123F8" w:rsidR="00665A4E" w:rsidRPr="00020D20" w:rsidRDefault="00665A4E" w:rsidP="00020D20">
            <w:pPr>
              <w:spacing w:before="0" w:after="0" w:line="216" w:lineRule="auto"/>
              <w:jc w:val="center"/>
              <w:rPr>
                <w:sz w:val="19"/>
                <w:szCs w:val="19"/>
              </w:rPr>
            </w:pPr>
            <w:r w:rsidRPr="00020D20">
              <w:rPr>
                <w:sz w:val="19"/>
                <w:szCs w:val="19"/>
              </w:rPr>
              <w:t xml:space="preserve">Road </w:t>
            </w:r>
            <w:r w:rsidR="00CB6153">
              <w:rPr>
                <w:sz w:val="19"/>
                <w:szCs w:val="19"/>
              </w:rPr>
              <w:t>D</w:t>
            </w:r>
            <w:r w:rsidRPr="00020D20">
              <w:rPr>
                <w:sz w:val="19"/>
                <w:szCs w:val="19"/>
              </w:rPr>
              <w:t>iets</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1FD3C756"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A technique typically applied to roadways with excess vehicular capacity in which lanes and/or parking are removed and replaced with bicycle lanes, transit lanes, sidewalks or paths, a center turn lane, or landscaping strips.</w:t>
            </w:r>
          </w:p>
        </w:tc>
      </w:tr>
      <w:tr w:rsidR="00665A4E" w:rsidRPr="00665A4E" w14:paraId="60B7AC65"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tcMar>
              <w:top w:w="58" w:type="dxa"/>
              <w:left w:w="58" w:type="dxa"/>
              <w:bottom w:w="58" w:type="dxa"/>
              <w:right w:w="58" w:type="dxa"/>
            </w:tcMar>
            <w:vAlign w:val="center"/>
          </w:tcPr>
          <w:p w14:paraId="14CC8943" w14:textId="17DDCA98" w:rsidR="00665A4E" w:rsidRPr="00020D20" w:rsidRDefault="00665A4E" w:rsidP="00020D20">
            <w:pPr>
              <w:spacing w:before="0" w:after="0" w:line="216" w:lineRule="auto"/>
              <w:jc w:val="center"/>
              <w:rPr>
                <w:sz w:val="19"/>
                <w:szCs w:val="19"/>
              </w:rPr>
            </w:pPr>
            <w:r w:rsidRPr="00020D20">
              <w:rPr>
                <w:sz w:val="19"/>
                <w:szCs w:val="19"/>
              </w:rPr>
              <w:t xml:space="preserve">Lane </w:t>
            </w:r>
            <w:r w:rsidR="00CB6153">
              <w:rPr>
                <w:sz w:val="19"/>
                <w:szCs w:val="19"/>
              </w:rPr>
              <w:t>D</w:t>
            </w:r>
            <w:r w:rsidRPr="00020D20">
              <w:rPr>
                <w:sz w:val="19"/>
                <w:szCs w:val="19"/>
              </w:rPr>
              <w:t>iets</w:t>
            </w:r>
          </w:p>
        </w:tc>
        <w:tc>
          <w:tcPr>
            <w:tcW w:w="7375" w:type="dxa"/>
            <w:tcBorders>
              <w:top w:val="single" w:sz="8" w:space="0" w:color="58585B"/>
              <w:left w:val="single" w:sz="8" w:space="0" w:color="58585B"/>
              <w:bottom w:val="single" w:sz="8" w:space="0" w:color="58585B"/>
              <w:right w:val="single" w:sz="8" w:space="0" w:color="58585B"/>
            </w:tcBorders>
            <w:tcMar>
              <w:top w:w="86" w:type="dxa"/>
              <w:left w:w="86" w:type="dxa"/>
              <w:bottom w:w="86" w:type="dxa"/>
              <w:right w:w="86" w:type="dxa"/>
            </w:tcMar>
            <w:vAlign w:val="center"/>
          </w:tcPr>
          <w:p w14:paraId="05BA8CC9"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Similar to road diets, however lane and median widths are reduced to accommodate bicycle and pedestrian facilities.</w:t>
            </w:r>
          </w:p>
        </w:tc>
      </w:tr>
      <w:tr w:rsidR="00665A4E" w:rsidRPr="00665A4E" w14:paraId="246B1668" w14:textId="77777777" w:rsidTr="00020D20">
        <w:trPr>
          <w:trHeight w:val="23"/>
        </w:trPr>
        <w:tc>
          <w:tcPr>
            <w:tcW w:w="198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58" w:type="dxa"/>
              <w:left w:w="58" w:type="dxa"/>
              <w:bottom w:w="58" w:type="dxa"/>
              <w:right w:w="58" w:type="dxa"/>
            </w:tcMar>
            <w:vAlign w:val="center"/>
          </w:tcPr>
          <w:p w14:paraId="5F97217A" w14:textId="32B1F978" w:rsidR="00341969" w:rsidRDefault="00665A4E" w:rsidP="00020D20">
            <w:pPr>
              <w:spacing w:before="0" w:after="0" w:line="216" w:lineRule="auto"/>
              <w:jc w:val="center"/>
              <w:rPr>
                <w:sz w:val="19"/>
                <w:szCs w:val="19"/>
              </w:rPr>
            </w:pPr>
            <w:r w:rsidRPr="00020D20">
              <w:rPr>
                <w:sz w:val="19"/>
                <w:szCs w:val="19"/>
              </w:rPr>
              <w:t xml:space="preserve">Alternative </w:t>
            </w:r>
            <w:r w:rsidR="00CB6153">
              <w:rPr>
                <w:sz w:val="19"/>
                <w:szCs w:val="19"/>
              </w:rPr>
              <w:t>F</w:t>
            </w:r>
            <w:r w:rsidRPr="00020D20">
              <w:rPr>
                <w:sz w:val="19"/>
                <w:szCs w:val="19"/>
              </w:rPr>
              <w:t>uel/</w:t>
            </w:r>
          </w:p>
          <w:p w14:paraId="015D936F" w14:textId="7FD714A5" w:rsidR="00665A4E" w:rsidRPr="00020D20" w:rsidRDefault="00CB6153" w:rsidP="00020D20">
            <w:pPr>
              <w:spacing w:before="0" w:after="0" w:line="216" w:lineRule="auto"/>
              <w:jc w:val="center"/>
              <w:rPr>
                <w:sz w:val="19"/>
                <w:szCs w:val="19"/>
              </w:rPr>
            </w:pPr>
            <w:r>
              <w:rPr>
                <w:sz w:val="19"/>
                <w:szCs w:val="19"/>
              </w:rPr>
              <w:t>V</w:t>
            </w:r>
            <w:r w:rsidR="00665A4E" w:rsidRPr="00020D20">
              <w:rPr>
                <w:sz w:val="19"/>
                <w:szCs w:val="19"/>
              </w:rPr>
              <w:t xml:space="preserve">ehicle </w:t>
            </w:r>
            <w:r>
              <w:rPr>
                <w:sz w:val="19"/>
                <w:szCs w:val="19"/>
              </w:rPr>
              <w:t>E</w:t>
            </w:r>
            <w:r w:rsidR="00665A4E" w:rsidRPr="00020D20">
              <w:rPr>
                <w:sz w:val="19"/>
                <w:szCs w:val="19"/>
              </w:rPr>
              <w:t>fficiency</w:t>
            </w:r>
          </w:p>
        </w:tc>
        <w:tc>
          <w:tcPr>
            <w:tcW w:w="7375" w:type="dxa"/>
            <w:tcBorders>
              <w:top w:val="single" w:sz="8" w:space="0" w:color="58585B"/>
              <w:left w:val="single" w:sz="8" w:space="0" w:color="58585B"/>
              <w:bottom w:val="single" w:sz="8" w:space="0" w:color="58585B"/>
              <w:right w:val="single" w:sz="8" w:space="0" w:color="58585B"/>
            </w:tcBorders>
            <w:shd w:val="clear" w:color="auto" w:fill="E7E6E6" w:themeFill="background2"/>
            <w:tcMar>
              <w:top w:w="86" w:type="dxa"/>
              <w:left w:w="86" w:type="dxa"/>
              <w:bottom w:w="86" w:type="dxa"/>
              <w:right w:w="86" w:type="dxa"/>
            </w:tcMar>
            <w:vAlign w:val="center"/>
          </w:tcPr>
          <w:p w14:paraId="7DEDBCA6" w14:textId="77777777" w:rsidR="00665A4E" w:rsidRPr="00020D20" w:rsidRDefault="00665A4E" w:rsidP="00020D20">
            <w:pPr>
              <w:pStyle w:val="Heading5"/>
              <w:spacing w:before="0" w:after="0" w:line="216" w:lineRule="auto"/>
              <w:jc w:val="both"/>
              <w:rPr>
                <w:i w:val="0"/>
                <w:color w:val="auto"/>
                <w:sz w:val="18"/>
                <w:szCs w:val="18"/>
              </w:rPr>
            </w:pPr>
            <w:r w:rsidRPr="00020D20">
              <w:rPr>
                <w:i w:val="0"/>
                <w:color w:val="auto"/>
                <w:w w:val="96"/>
                <w:sz w:val="18"/>
                <w:szCs w:val="18"/>
              </w:rPr>
              <w:t>Regional policies/programs that support and encourage alternative fueled vehicles, such as establishing a network of electric charging stations, or set minimum fuel efficiency requirements for vehicles sold in the area.</w:t>
            </w:r>
          </w:p>
        </w:tc>
      </w:tr>
    </w:tbl>
    <w:p w14:paraId="047BE518" w14:textId="77777777" w:rsidR="00341969" w:rsidRDefault="00341969">
      <w:pPr>
        <w:pStyle w:val="Heading4"/>
        <w:jc w:val="both"/>
      </w:pPr>
      <w:r>
        <w:br w:type="page"/>
      </w:r>
    </w:p>
    <w:p w14:paraId="70580B2F" w14:textId="1AF001A5" w:rsidR="00117FCD" w:rsidRDefault="00117FCD" w:rsidP="00020D20">
      <w:pPr>
        <w:pStyle w:val="Heading4"/>
        <w:jc w:val="both"/>
      </w:pPr>
      <w:r w:rsidRPr="00665A4E">
        <w:t>Table 17.11-1 | Sustainable Transportation Strategies</w:t>
      </w:r>
      <w:r>
        <w:t xml:space="preserve"> (continued)</w:t>
      </w:r>
    </w:p>
    <w:tbl>
      <w:tblPr>
        <w:tblStyle w:val="TableGrid"/>
        <w:tblW w:w="0" w:type="auto"/>
        <w:tblLook w:val="04A0" w:firstRow="1" w:lastRow="0" w:firstColumn="1" w:lastColumn="0" w:noHBand="0" w:noVBand="1"/>
      </w:tblPr>
      <w:tblGrid>
        <w:gridCol w:w="1975"/>
        <w:gridCol w:w="7375"/>
      </w:tblGrid>
      <w:tr w:rsidR="00117FCD" w14:paraId="41949B7D" w14:textId="77777777" w:rsidTr="00020D20">
        <w:tc>
          <w:tcPr>
            <w:tcW w:w="1975" w:type="dxa"/>
            <w:tcBorders>
              <w:top w:val="single" w:sz="4" w:space="0" w:color="auto"/>
              <w:left w:val="single" w:sz="4" w:space="0" w:color="auto"/>
              <w:bottom w:val="single" w:sz="4" w:space="0" w:color="auto"/>
              <w:right w:val="single" w:sz="4" w:space="0" w:color="FFFFFF" w:themeColor="background1"/>
            </w:tcBorders>
            <w:shd w:val="clear" w:color="auto" w:fill="012768"/>
            <w:vAlign w:val="center"/>
          </w:tcPr>
          <w:p w14:paraId="4094A8CE" w14:textId="05755640" w:rsidR="00117FCD" w:rsidRPr="00020D20" w:rsidRDefault="00117FCD" w:rsidP="00020D20">
            <w:pPr>
              <w:jc w:val="center"/>
              <w:rPr>
                <w:color w:val="FFFFFF" w:themeColor="background1"/>
              </w:rPr>
            </w:pPr>
            <w:r w:rsidRPr="00020D20">
              <w:rPr>
                <w:color w:val="FFFFFF" w:themeColor="background1"/>
                <w:sz w:val="22"/>
              </w:rPr>
              <w:t>Strategy</w:t>
            </w:r>
          </w:p>
        </w:tc>
        <w:tc>
          <w:tcPr>
            <w:tcW w:w="7375" w:type="dxa"/>
            <w:tcBorders>
              <w:top w:val="single" w:sz="4" w:space="0" w:color="auto"/>
              <w:left w:val="single" w:sz="4" w:space="0" w:color="FFFFFF" w:themeColor="background1"/>
              <w:bottom w:val="single" w:sz="4" w:space="0" w:color="auto"/>
              <w:right w:val="single" w:sz="4" w:space="0" w:color="auto"/>
            </w:tcBorders>
            <w:shd w:val="clear" w:color="auto" w:fill="012768"/>
            <w:vAlign w:val="center"/>
          </w:tcPr>
          <w:p w14:paraId="221CAFE5" w14:textId="017A8954" w:rsidR="00117FCD" w:rsidRPr="00020D20" w:rsidRDefault="00117FCD" w:rsidP="00020D20">
            <w:pPr>
              <w:jc w:val="center"/>
              <w:rPr>
                <w:color w:val="FFFFFF" w:themeColor="background1"/>
              </w:rPr>
            </w:pPr>
            <w:r w:rsidRPr="00020D20">
              <w:rPr>
                <w:color w:val="FFFFFF" w:themeColor="background1"/>
                <w:sz w:val="22"/>
              </w:rPr>
              <w:t>Definition</w:t>
            </w:r>
          </w:p>
        </w:tc>
      </w:tr>
      <w:tr w:rsidR="00117FCD" w14:paraId="62B6C447" w14:textId="77777777" w:rsidTr="00020D20">
        <w:tc>
          <w:tcPr>
            <w:tcW w:w="1975" w:type="dxa"/>
            <w:tcBorders>
              <w:top w:val="single" w:sz="4" w:space="0" w:color="auto"/>
            </w:tcBorders>
            <w:vAlign w:val="center"/>
          </w:tcPr>
          <w:p w14:paraId="317B7EC0" w14:textId="77777777" w:rsidR="00341969" w:rsidRDefault="00117FCD" w:rsidP="00020D20">
            <w:pPr>
              <w:spacing w:before="0" w:after="0" w:line="240" w:lineRule="auto"/>
              <w:jc w:val="center"/>
              <w:rPr>
                <w:sz w:val="19"/>
                <w:szCs w:val="19"/>
              </w:rPr>
            </w:pPr>
            <w:r w:rsidRPr="008C6F7A">
              <w:rPr>
                <w:sz w:val="19"/>
                <w:szCs w:val="19"/>
              </w:rPr>
              <w:t xml:space="preserve">Green </w:t>
            </w:r>
            <w:r>
              <w:rPr>
                <w:sz w:val="19"/>
                <w:szCs w:val="19"/>
              </w:rPr>
              <w:t>D</w:t>
            </w:r>
            <w:r w:rsidRPr="008C6F7A">
              <w:rPr>
                <w:sz w:val="19"/>
                <w:szCs w:val="19"/>
              </w:rPr>
              <w:t>esign/</w:t>
            </w:r>
          </w:p>
          <w:p w14:paraId="222860D9" w14:textId="77777777" w:rsidR="00341969" w:rsidRDefault="00117FCD" w:rsidP="00020D20">
            <w:pPr>
              <w:spacing w:before="0" w:after="0" w:line="240" w:lineRule="auto"/>
              <w:jc w:val="center"/>
              <w:rPr>
                <w:sz w:val="19"/>
                <w:szCs w:val="19"/>
              </w:rPr>
            </w:pPr>
            <w:r>
              <w:rPr>
                <w:sz w:val="19"/>
                <w:szCs w:val="19"/>
              </w:rPr>
              <w:t>G</w:t>
            </w:r>
            <w:r w:rsidRPr="008C6F7A">
              <w:rPr>
                <w:sz w:val="19"/>
                <w:szCs w:val="19"/>
              </w:rPr>
              <w:t xml:space="preserve">reen </w:t>
            </w:r>
            <w:r>
              <w:rPr>
                <w:sz w:val="19"/>
                <w:szCs w:val="19"/>
              </w:rPr>
              <w:t>I</w:t>
            </w:r>
            <w:r w:rsidRPr="008C6F7A">
              <w:rPr>
                <w:sz w:val="19"/>
                <w:szCs w:val="19"/>
              </w:rPr>
              <w:t>nfrastructure/</w:t>
            </w:r>
          </w:p>
          <w:p w14:paraId="7D1DE632" w14:textId="7EA885F7" w:rsidR="00117FCD" w:rsidRDefault="00117FCD" w:rsidP="00020D20">
            <w:pPr>
              <w:spacing w:before="0" w:after="0" w:line="240" w:lineRule="auto"/>
              <w:jc w:val="center"/>
            </w:pPr>
            <w:r>
              <w:rPr>
                <w:sz w:val="19"/>
                <w:szCs w:val="19"/>
              </w:rPr>
              <w:t>G</w:t>
            </w:r>
            <w:r w:rsidRPr="008C6F7A">
              <w:rPr>
                <w:sz w:val="19"/>
                <w:szCs w:val="19"/>
              </w:rPr>
              <w:t xml:space="preserve">reen </w:t>
            </w:r>
            <w:r>
              <w:rPr>
                <w:sz w:val="19"/>
                <w:szCs w:val="19"/>
              </w:rPr>
              <w:t>M</w:t>
            </w:r>
            <w:r w:rsidRPr="008C6F7A">
              <w:rPr>
                <w:sz w:val="19"/>
                <w:szCs w:val="19"/>
              </w:rPr>
              <w:t>aterials</w:t>
            </w:r>
          </w:p>
        </w:tc>
        <w:tc>
          <w:tcPr>
            <w:tcW w:w="7375" w:type="dxa"/>
            <w:tcBorders>
              <w:top w:val="single" w:sz="4" w:space="0" w:color="auto"/>
            </w:tcBorders>
            <w:vAlign w:val="center"/>
          </w:tcPr>
          <w:p w14:paraId="7F14F98E" w14:textId="23712952" w:rsidR="00117FCD" w:rsidRPr="00020D20" w:rsidRDefault="00117FCD" w:rsidP="00020D20">
            <w:pPr>
              <w:spacing w:before="0" w:after="0" w:line="240" w:lineRule="auto"/>
              <w:jc w:val="both"/>
              <w:rPr>
                <w:sz w:val="18"/>
                <w:szCs w:val="18"/>
              </w:rPr>
            </w:pPr>
            <w:r w:rsidRPr="000F408F">
              <w:rPr>
                <w:w w:val="96"/>
                <w:sz w:val="18"/>
                <w:szCs w:val="18"/>
              </w:rPr>
              <w:t xml:space="preserve">Natural strategies and techniques intended to address urban climate change and pollution issues, including storm water management, increased shade and use of lower heat absorbing materials to reduce heat stress, </w:t>
            </w:r>
            <w:r w:rsidR="000F408F">
              <w:rPr>
                <w:w w:val="96"/>
                <w:sz w:val="18"/>
                <w:szCs w:val="18"/>
              </w:rPr>
              <w:t xml:space="preserve">air quality, safety of active modes, </w:t>
            </w:r>
            <w:r w:rsidRPr="000F408F">
              <w:rPr>
                <w:w w:val="96"/>
                <w:sz w:val="18"/>
                <w:szCs w:val="18"/>
              </w:rPr>
              <w:t>water harvesting and water conservation, non-fossil fuel energy production, and local food production.</w:t>
            </w:r>
          </w:p>
        </w:tc>
      </w:tr>
      <w:tr w:rsidR="00117FCD" w14:paraId="51D079B6" w14:textId="77777777" w:rsidTr="00020D20">
        <w:tc>
          <w:tcPr>
            <w:tcW w:w="1975" w:type="dxa"/>
            <w:shd w:val="clear" w:color="auto" w:fill="E7E6E6" w:themeFill="background2"/>
            <w:vAlign w:val="center"/>
          </w:tcPr>
          <w:p w14:paraId="1894D633" w14:textId="63ED12F1" w:rsidR="00117FCD" w:rsidRPr="00020D20" w:rsidRDefault="00117FCD" w:rsidP="00020D20">
            <w:pPr>
              <w:spacing w:before="0" w:after="0" w:line="216" w:lineRule="auto"/>
              <w:jc w:val="center"/>
              <w:rPr>
                <w:sz w:val="19"/>
                <w:szCs w:val="19"/>
              </w:rPr>
            </w:pPr>
            <w:r w:rsidRPr="008C6F7A">
              <w:rPr>
                <w:sz w:val="19"/>
                <w:szCs w:val="19"/>
              </w:rPr>
              <w:t xml:space="preserve">Rail and </w:t>
            </w:r>
            <w:r>
              <w:rPr>
                <w:sz w:val="19"/>
                <w:szCs w:val="19"/>
              </w:rPr>
              <w:t>F</w:t>
            </w:r>
            <w:r w:rsidRPr="008C6F7A">
              <w:rPr>
                <w:sz w:val="19"/>
                <w:szCs w:val="19"/>
              </w:rPr>
              <w:t xml:space="preserve">reight </w:t>
            </w:r>
            <w:r>
              <w:rPr>
                <w:sz w:val="19"/>
                <w:szCs w:val="19"/>
              </w:rPr>
              <w:t>E</w:t>
            </w:r>
            <w:r w:rsidRPr="008C6F7A">
              <w:rPr>
                <w:sz w:val="19"/>
                <w:szCs w:val="19"/>
              </w:rPr>
              <w:t xml:space="preserve">fficiency </w:t>
            </w:r>
            <w:r>
              <w:rPr>
                <w:sz w:val="19"/>
                <w:szCs w:val="19"/>
              </w:rPr>
              <w:t>I</w:t>
            </w:r>
            <w:r w:rsidRPr="008C6F7A">
              <w:rPr>
                <w:sz w:val="19"/>
                <w:szCs w:val="19"/>
              </w:rPr>
              <w:t>mprovements</w:t>
            </w:r>
          </w:p>
        </w:tc>
        <w:tc>
          <w:tcPr>
            <w:tcW w:w="7375" w:type="dxa"/>
            <w:shd w:val="clear" w:color="auto" w:fill="E7E6E6" w:themeFill="background2"/>
            <w:vAlign w:val="center"/>
          </w:tcPr>
          <w:p w14:paraId="20EA266A" w14:textId="18FC8AE9" w:rsidR="00117FCD" w:rsidRPr="00020D20" w:rsidRDefault="00117FCD" w:rsidP="00020D20">
            <w:pPr>
              <w:spacing w:before="0" w:after="0" w:line="216" w:lineRule="auto"/>
              <w:jc w:val="both"/>
              <w:rPr>
                <w:sz w:val="18"/>
                <w:szCs w:val="18"/>
              </w:rPr>
            </w:pPr>
            <w:r w:rsidRPr="00020D20">
              <w:rPr>
                <w:sz w:val="18"/>
                <w:szCs w:val="18"/>
              </w:rPr>
              <w:t>Locating rail and freight corridors for quick and efficient access to systems for transfer and distribution.</w:t>
            </w:r>
          </w:p>
        </w:tc>
      </w:tr>
      <w:tr w:rsidR="00117FCD" w14:paraId="3282EA53" w14:textId="77777777" w:rsidTr="00020D20">
        <w:tc>
          <w:tcPr>
            <w:tcW w:w="1975" w:type="dxa"/>
            <w:vAlign w:val="center"/>
          </w:tcPr>
          <w:p w14:paraId="45DA26B7" w14:textId="2B69BA94" w:rsidR="00117FCD" w:rsidRDefault="00117FCD" w:rsidP="00020D20">
            <w:pPr>
              <w:spacing w:before="0" w:after="0" w:line="240" w:lineRule="auto"/>
              <w:jc w:val="center"/>
            </w:pPr>
            <w:r w:rsidRPr="008C6F7A">
              <w:rPr>
                <w:sz w:val="19"/>
                <w:szCs w:val="19"/>
              </w:rPr>
              <w:t xml:space="preserve">Smart </w:t>
            </w:r>
            <w:r>
              <w:rPr>
                <w:sz w:val="19"/>
                <w:szCs w:val="19"/>
              </w:rPr>
              <w:t>P</w:t>
            </w:r>
            <w:r w:rsidRPr="008C6F7A">
              <w:rPr>
                <w:sz w:val="19"/>
                <w:szCs w:val="19"/>
              </w:rPr>
              <w:t>arking</w:t>
            </w:r>
          </w:p>
        </w:tc>
        <w:tc>
          <w:tcPr>
            <w:tcW w:w="7375" w:type="dxa"/>
            <w:vAlign w:val="center"/>
          </w:tcPr>
          <w:p w14:paraId="5D0C0E06" w14:textId="2214525F" w:rsidR="00117FCD" w:rsidRPr="00020D20" w:rsidRDefault="00117FCD" w:rsidP="00020D20">
            <w:pPr>
              <w:spacing w:before="0" w:after="0" w:line="240" w:lineRule="auto"/>
              <w:jc w:val="both"/>
              <w:rPr>
                <w:sz w:val="18"/>
                <w:szCs w:val="18"/>
              </w:rPr>
            </w:pPr>
            <w:r w:rsidRPr="000F408F">
              <w:rPr>
                <w:w w:val="96"/>
                <w:sz w:val="18"/>
                <w:szCs w:val="18"/>
              </w:rPr>
              <w:t>Parking systems that can provide motorists direction to available parking stalls, provide other means for payment (electronic), reduce operations requirements and ways to reduce maintenance activities on equipment.</w:t>
            </w:r>
          </w:p>
        </w:tc>
      </w:tr>
      <w:tr w:rsidR="00117FCD" w14:paraId="29D738A6" w14:textId="77777777" w:rsidTr="00020D20">
        <w:tc>
          <w:tcPr>
            <w:tcW w:w="1975" w:type="dxa"/>
            <w:shd w:val="clear" w:color="auto" w:fill="E7E6E6" w:themeFill="background2"/>
            <w:vAlign w:val="center"/>
          </w:tcPr>
          <w:p w14:paraId="63644C70" w14:textId="1079AC4F" w:rsidR="00117FCD" w:rsidRDefault="00117FCD" w:rsidP="00020D20">
            <w:pPr>
              <w:spacing w:before="0" w:after="0" w:line="240" w:lineRule="auto"/>
              <w:jc w:val="center"/>
            </w:pPr>
            <w:r w:rsidRPr="008C6F7A">
              <w:rPr>
                <w:sz w:val="19"/>
                <w:szCs w:val="19"/>
              </w:rPr>
              <w:t xml:space="preserve">Intelligent </w:t>
            </w:r>
            <w:r>
              <w:rPr>
                <w:sz w:val="19"/>
                <w:szCs w:val="19"/>
              </w:rPr>
              <w:t>T</w:t>
            </w:r>
            <w:r w:rsidRPr="008C6F7A">
              <w:rPr>
                <w:sz w:val="19"/>
                <w:szCs w:val="19"/>
              </w:rPr>
              <w:t xml:space="preserve">ransportation </w:t>
            </w:r>
            <w:r>
              <w:rPr>
                <w:sz w:val="19"/>
                <w:szCs w:val="19"/>
              </w:rPr>
              <w:t>S</w:t>
            </w:r>
            <w:r w:rsidRPr="008C6F7A">
              <w:rPr>
                <w:sz w:val="19"/>
                <w:szCs w:val="19"/>
              </w:rPr>
              <w:t>ystems</w:t>
            </w:r>
          </w:p>
        </w:tc>
        <w:tc>
          <w:tcPr>
            <w:tcW w:w="7375" w:type="dxa"/>
            <w:shd w:val="clear" w:color="auto" w:fill="E7E6E6" w:themeFill="background2"/>
            <w:vAlign w:val="center"/>
          </w:tcPr>
          <w:p w14:paraId="19D5602C" w14:textId="00A8DCC2" w:rsidR="00117FCD" w:rsidRPr="00020D20" w:rsidRDefault="00117FCD" w:rsidP="00020D20">
            <w:pPr>
              <w:spacing w:before="0" w:after="0" w:line="240" w:lineRule="auto"/>
              <w:jc w:val="both"/>
              <w:rPr>
                <w:sz w:val="18"/>
                <w:szCs w:val="18"/>
              </w:rPr>
            </w:pPr>
            <w:r w:rsidRPr="000F408F">
              <w:rPr>
                <w:w w:val="96"/>
                <w:sz w:val="18"/>
                <w:szCs w:val="18"/>
              </w:rPr>
              <w:t>The application of a broad range of advanced traffic control and traveler information technologies to optimize the operation of all transportation systems throughout the day to achieve maximum capacity and efficiency. Examples include ramp metering, adaptive traffic signal control, signal system coordination, transit and emergency vehicle signal priority or pre-emption, and automated transit vehicle locating systems.</w:t>
            </w:r>
          </w:p>
        </w:tc>
      </w:tr>
      <w:tr w:rsidR="00117FCD" w14:paraId="600E6897" w14:textId="77777777" w:rsidTr="00020D20">
        <w:tc>
          <w:tcPr>
            <w:tcW w:w="1975" w:type="dxa"/>
            <w:vAlign w:val="center"/>
          </w:tcPr>
          <w:p w14:paraId="40A508C7" w14:textId="2ED85FB4" w:rsidR="00117FCD" w:rsidRDefault="00117FCD" w:rsidP="00020D20">
            <w:pPr>
              <w:spacing w:before="0" w:after="0" w:line="240" w:lineRule="auto"/>
              <w:jc w:val="center"/>
            </w:pPr>
            <w:r w:rsidRPr="008C6F7A">
              <w:rPr>
                <w:sz w:val="19"/>
                <w:szCs w:val="19"/>
              </w:rPr>
              <w:t xml:space="preserve">Climate </w:t>
            </w:r>
            <w:r>
              <w:rPr>
                <w:sz w:val="19"/>
                <w:szCs w:val="19"/>
              </w:rPr>
              <w:t>C</w:t>
            </w:r>
            <w:r w:rsidRPr="008C6F7A">
              <w:rPr>
                <w:sz w:val="19"/>
                <w:szCs w:val="19"/>
              </w:rPr>
              <w:t xml:space="preserve">hange </w:t>
            </w:r>
            <w:r>
              <w:rPr>
                <w:sz w:val="19"/>
                <w:szCs w:val="19"/>
              </w:rPr>
              <w:t>M</w:t>
            </w:r>
            <w:r w:rsidRPr="008C6F7A">
              <w:rPr>
                <w:sz w:val="19"/>
                <w:szCs w:val="19"/>
              </w:rPr>
              <w:t>itigation/</w:t>
            </w:r>
            <w:r>
              <w:rPr>
                <w:sz w:val="19"/>
                <w:szCs w:val="19"/>
              </w:rPr>
              <w:t>A</w:t>
            </w:r>
            <w:r w:rsidRPr="008C6F7A">
              <w:rPr>
                <w:sz w:val="19"/>
                <w:szCs w:val="19"/>
              </w:rPr>
              <w:t>daption</w:t>
            </w:r>
          </w:p>
        </w:tc>
        <w:tc>
          <w:tcPr>
            <w:tcW w:w="7375" w:type="dxa"/>
            <w:vAlign w:val="center"/>
          </w:tcPr>
          <w:p w14:paraId="164E9748" w14:textId="4F91F376" w:rsidR="00117FCD" w:rsidRPr="00020D20" w:rsidRDefault="00117FCD" w:rsidP="00020D20">
            <w:pPr>
              <w:spacing w:before="0" w:after="0" w:line="240" w:lineRule="auto"/>
              <w:jc w:val="both"/>
              <w:rPr>
                <w:sz w:val="18"/>
                <w:szCs w:val="18"/>
              </w:rPr>
            </w:pPr>
            <w:r w:rsidRPr="000F408F">
              <w:rPr>
                <w:w w:val="96"/>
                <w:sz w:val="18"/>
                <w:szCs w:val="18"/>
              </w:rPr>
              <w:t>Strategies to reduce green-house gas emissions</w:t>
            </w:r>
            <w:r w:rsidR="000F408F">
              <w:rPr>
                <w:w w:val="96"/>
                <w:sz w:val="18"/>
                <w:szCs w:val="18"/>
              </w:rPr>
              <w:t>, address increased flood hazards,</w:t>
            </w:r>
            <w:r w:rsidRPr="000F408F">
              <w:rPr>
                <w:w w:val="96"/>
                <w:sz w:val="18"/>
                <w:szCs w:val="18"/>
              </w:rPr>
              <w:t xml:space="preserve"> and manage solar radiation (heat stress).</w:t>
            </w:r>
          </w:p>
        </w:tc>
      </w:tr>
      <w:tr w:rsidR="00117FCD" w14:paraId="4FB841F4" w14:textId="77777777" w:rsidTr="00020D20">
        <w:tc>
          <w:tcPr>
            <w:tcW w:w="1975" w:type="dxa"/>
            <w:shd w:val="clear" w:color="auto" w:fill="E7E6E6" w:themeFill="background2"/>
            <w:vAlign w:val="center"/>
          </w:tcPr>
          <w:p w14:paraId="23CF54FB" w14:textId="455B6FD8" w:rsidR="00117FCD" w:rsidRDefault="00117FCD" w:rsidP="00020D20">
            <w:pPr>
              <w:spacing w:before="0" w:after="0" w:line="240" w:lineRule="auto"/>
              <w:jc w:val="center"/>
            </w:pPr>
            <w:r w:rsidRPr="008C6F7A">
              <w:rPr>
                <w:sz w:val="19"/>
                <w:szCs w:val="19"/>
              </w:rPr>
              <w:t xml:space="preserve">Wildlife </w:t>
            </w:r>
            <w:r>
              <w:rPr>
                <w:sz w:val="19"/>
                <w:szCs w:val="19"/>
              </w:rPr>
              <w:t>C</w:t>
            </w:r>
            <w:r w:rsidRPr="008C6F7A">
              <w:rPr>
                <w:sz w:val="19"/>
                <w:szCs w:val="19"/>
              </w:rPr>
              <w:t>rossings/</w:t>
            </w:r>
            <w:r>
              <w:rPr>
                <w:sz w:val="19"/>
                <w:szCs w:val="19"/>
              </w:rPr>
              <w:t>F</w:t>
            </w:r>
            <w:r w:rsidRPr="008C6F7A">
              <w:rPr>
                <w:sz w:val="19"/>
                <w:szCs w:val="19"/>
              </w:rPr>
              <w:t>encing</w:t>
            </w:r>
          </w:p>
        </w:tc>
        <w:tc>
          <w:tcPr>
            <w:tcW w:w="7375" w:type="dxa"/>
            <w:shd w:val="clear" w:color="auto" w:fill="E7E6E6" w:themeFill="background2"/>
            <w:vAlign w:val="center"/>
          </w:tcPr>
          <w:p w14:paraId="63FBD8C7" w14:textId="2A212C7C" w:rsidR="00117FCD" w:rsidRPr="00020D20" w:rsidRDefault="00117FCD" w:rsidP="00020D20">
            <w:pPr>
              <w:spacing w:before="0" w:after="0" w:line="240" w:lineRule="auto"/>
              <w:jc w:val="both"/>
              <w:rPr>
                <w:sz w:val="18"/>
                <w:szCs w:val="18"/>
              </w:rPr>
            </w:pPr>
            <w:r w:rsidRPr="000F408F">
              <w:rPr>
                <w:w w:val="96"/>
                <w:sz w:val="18"/>
                <w:szCs w:val="18"/>
              </w:rPr>
              <w:t>Use of specially designed bridges or underpasses with fencing to mitigate the impact of roadways on wildlife corridors and reduce road kills</w:t>
            </w:r>
            <w:r w:rsidR="000F408F">
              <w:rPr>
                <w:w w:val="96"/>
                <w:sz w:val="18"/>
                <w:szCs w:val="18"/>
              </w:rPr>
              <w:t xml:space="preserve"> while increasing transportation safety</w:t>
            </w:r>
          </w:p>
        </w:tc>
      </w:tr>
    </w:tbl>
    <w:p w14:paraId="67184118" w14:textId="7456BE5D" w:rsidR="00C43F55" w:rsidRPr="00047F0F" w:rsidRDefault="00C43F55" w:rsidP="00020D20">
      <w:pPr>
        <w:jc w:val="both"/>
        <w:sectPr w:rsidR="00C43F55" w:rsidRPr="00047F0F" w:rsidSect="00020D20">
          <w:pgSz w:w="12240" w:h="15840"/>
          <w:pgMar w:top="1440" w:right="1440" w:bottom="1440" w:left="1440" w:header="720" w:footer="720" w:gutter="0"/>
          <w:pgNumType w:chapStyle="1"/>
          <w:cols w:space="720"/>
          <w:docGrid w:linePitch="360"/>
        </w:sectPr>
      </w:pPr>
    </w:p>
    <w:p w14:paraId="51FB65B3" w14:textId="77777777" w:rsidR="00E34BF3" w:rsidRDefault="00E34BF3" w:rsidP="00020D20">
      <w:pPr>
        <w:jc w:val="both"/>
      </w:pPr>
      <w:r>
        <w:br w:type="page"/>
      </w:r>
    </w:p>
    <w:p w14:paraId="4217DE83" w14:textId="5BEEA962" w:rsidR="00665A4E" w:rsidRPr="00665A4E" w:rsidRDefault="00D452DC" w:rsidP="00020D20">
      <w:pPr>
        <w:pStyle w:val="Heading3"/>
        <w:jc w:val="both"/>
      </w:pPr>
      <w:bookmarkStart w:id="761" w:name="_Ref50050582"/>
      <w:r>
        <w:t>17.11.6 | Additional Arizona Sustainability Planning R</w:t>
      </w:r>
      <w:r w:rsidR="00665A4E" w:rsidRPr="00665A4E">
        <w:t>esources</w:t>
      </w:r>
      <w:bookmarkEnd w:id="761"/>
    </w:p>
    <w:p w14:paraId="28C02002" w14:textId="5FF246EF" w:rsidR="00665A4E" w:rsidRPr="00665A4E" w:rsidRDefault="00202C92" w:rsidP="00020D20">
      <w:pPr>
        <w:jc w:val="both"/>
        <w:rPr>
          <w:rFonts w:cstheme="minorHAnsi"/>
        </w:rPr>
      </w:pPr>
      <w:hyperlink r:id="rId1218" w:history="1">
        <w:r w:rsidR="00665A4E" w:rsidRPr="007F56D6">
          <w:rPr>
            <w:rStyle w:val="TitleChar"/>
          </w:rPr>
          <w:t>HabiMap™ &amp; the State Wildlife Action Plan:</w:t>
        </w:r>
      </w:hyperlink>
      <w:r w:rsidR="00665A4E" w:rsidRPr="00665A4E">
        <w:rPr>
          <w:rFonts w:cstheme="minorHAnsi"/>
        </w:rPr>
        <w:t xml:space="preserve"> The Arizona Game and Fish Department (</w:t>
      </w:r>
      <w:r w:rsidR="00896D8F">
        <w:rPr>
          <w:rFonts w:cstheme="minorHAnsi"/>
        </w:rPr>
        <w:t>AZGFD</w:t>
      </w:r>
      <w:r w:rsidR="00665A4E" w:rsidRPr="00665A4E">
        <w:rPr>
          <w:rFonts w:cstheme="minorHAnsi"/>
        </w:rPr>
        <w:t xml:space="preserve">) recently revised its State Wildlife Action Plan that provides a framework and information to assist in setting conservation priorities for the state’s wildlife and habitats. Data gathered for Arizona’s State Wildlife Action Plan represents myriad sources and extensive public comment, and is used to support the Department’s efforts to develop proactive conservation goals and objectives. Much of that data (more than 300 data layers) is compiled into a single model of wildlife conservation potential, the Species and Habitat Conservation Guide. </w:t>
      </w:r>
    </w:p>
    <w:p w14:paraId="6D98AD16" w14:textId="6C98234D" w:rsidR="00665A4E" w:rsidRPr="00665A4E" w:rsidRDefault="00665A4E" w:rsidP="00020D20">
      <w:pPr>
        <w:jc w:val="both"/>
        <w:rPr>
          <w:rFonts w:cstheme="minorHAnsi"/>
        </w:rPr>
      </w:pPr>
      <w:r w:rsidRPr="00665A4E">
        <w:rPr>
          <w:rFonts w:cstheme="minorHAnsi"/>
        </w:rPr>
        <w:t xml:space="preserve">To ensure the State Wildlife Action Plan information is accessible and useful to everyone, the </w:t>
      </w:r>
      <w:r w:rsidR="00E64763">
        <w:rPr>
          <w:rFonts w:cstheme="minorHAnsi"/>
        </w:rPr>
        <w:t>AZGFD</w:t>
      </w:r>
      <w:r w:rsidRPr="00665A4E">
        <w:rPr>
          <w:rFonts w:cstheme="minorHAnsi"/>
        </w:rPr>
        <w:t xml:space="preserve"> developed HabiMap™ Arizona. This user-friendly, web-based tool allows users to visually explore the distribution of Arizona’s wildlife, potential stressors to wildlife, the Species and Habitat Conservation Guide, and other relevant data. </w:t>
      </w:r>
    </w:p>
    <w:p w14:paraId="15352652" w14:textId="475A28D3" w:rsidR="00665A4E" w:rsidRPr="00665A4E" w:rsidRDefault="00665A4E" w:rsidP="00020D20">
      <w:pPr>
        <w:jc w:val="both"/>
        <w:rPr>
          <w:rFonts w:cstheme="minorHAnsi"/>
        </w:rPr>
      </w:pPr>
      <w:r w:rsidRPr="00665A4E">
        <w:rPr>
          <w:rFonts w:cstheme="minorHAnsi"/>
        </w:rPr>
        <w:t xml:space="preserve">The Species and Habitat Conservation Guide provides non-regulatory information compiled from the best available data, and is meant to identify Arizona’s wildlife conservation potential at a statewide scale, regardless of ownership. It does not replace or supersede consultation with the </w:t>
      </w:r>
      <w:r w:rsidR="00E64763">
        <w:rPr>
          <w:rFonts w:cstheme="minorHAnsi"/>
        </w:rPr>
        <w:t>AZGFD</w:t>
      </w:r>
      <w:r w:rsidRPr="00665A4E">
        <w:rPr>
          <w:rFonts w:cstheme="minorHAnsi"/>
        </w:rPr>
        <w:t xml:space="preserve">. HabiMap™ Arizona is intended to be used as an early planning tool for landscape-level analysis and should be used in concert with all available data and expertise to ensure project plans address wildlife and habitat conservation at all levels. Site-specific analysis will require additional wildlife information and on-the-ground expertise from the </w:t>
      </w:r>
      <w:r w:rsidR="00B97674">
        <w:rPr>
          <w:rFonts w:cstheme="minorHAnsi"/>
        </w:rPr>
        <w:t>AZGFD</w:t>
      </w:r>
      <w:r w:rsidRPr="00665A4E">
        <w:rPr>
          <w:rFonts w:cstheme="minorHAnsi"/>
        </w:rPr>
        <w:t xml:space="preserve"> biologists. For more information on environmental compliance issues and special status species (including plants), please use the Online Environmental Review Tool at </w:t>
      </w:r>
      <w:hyperlink r:id="rId1219" w:history="1">
        <w:r w:rsidR="002719D4" w:rsidRPr="002719D4">
          <w:rPr>
            <w:rStyle w:val="TitleChar"/>
          </w:rPr>
          <w:t>https://ert.azgfd.gov/</w:t>
        </w:r>
      </w:hyperlink>
      <w:r w:rsidR="002719D4" w:rsidRPr="007B6EEE">
        <w:rPr>
          <w:rStyle w:val="TitleChar"/>
        </w:rPr>
        <w:t>.</w:t>
      </w:r>
    </w:p>
    <w:p w14:paraId="330BDF0C" w14:textId="3A657B25" w:rsidR="00665A4E" w:rsidRPr="00665A4E" w:rsidRDefault="00202C92" w:rsidP="00020D20">
      <w:pPr>
        <w:jc w:val="both"/>
        <w:rPr>
          <w:rFonts w:cstheme="minorHAnsi"/>
        </w:rPr>
      </w:pPr>
      <w:hyperlink r:id="rId1220" w:history="1">
        <w:r w:rsidR="00665A4E" w:rsidRPr="008E6D96">
          <w:rPr>
            <w:rStyle w:val="TitleChar"/>
          </w:rPr>
          <w:t>Urban Land Institute – Arizona:</w:t>
        </w:r>
      </w:hyperlink>
      <w:r w:rsidR="00665A4E" w:rsidRPr="00665A4E">
        <w:rPr>
          <w:rFonts w:cstheme="minorHAnsi"/>
        </w:rPr>
        <w:t xml:space="preserve"> supports the development of livable communities and sustainable development practices.</w:t>
      </w:r>
    </w:p>
    <w:p w14:paraId="69789F3B" w14:textId="77AE2C3D" w:rsidR="00665A4E" w:rsidRPr="00665A4E" w:rsidRDefault="00202C92" w:rsidP="00020D20">
      <w:pPr>
        <w:jc w:val="both"/>
        <w:rPr>
          <w:rFonts w:cstheme="minorHAnsi"/>
        </w:rPr>
      </w:pPr>
      <w:hyperlink r:id="rId1221" w:history="1">
        <w:r w:rsidR="00665A4E" w:rsidRPr="00302833">
          <w:rPr>
            <w:rStyle w:val="TitleChar"/>
          </w:rPr>
          <w:t>Health in Policy and Practice:</w:t>
        </w:r>
      </w:hyperlink>
      <w:r w:rsidR="00665A4E" w:rsidRPr="00665A4E">
        <w:rPr>
          <w:rFonts w:cstheme="minorHAnsi"/>
        </w:rPr>
        <w:t xml:space="preserve"> focused on developing healthy communities in Arizona. A Health Impact Assessment (HIA) is a data-driven tool used to assess the potential health impacts of a policy, project, program or proposal. The goal of a HIA is to ensure that health and health disparities are considered in decision-making using an objective and scientific approach, and engaging stakeholders in the process. HIAs have been used at the national, state, and local levels for a variety of proposals including transportation, general and comprehensive plans. Explicit health impacts highlight health disparities and provide recommendations to shape public decisions and discourse. The purpose of the HIA process is to engage and empower communities, emphasize lay knowledge in decision-making, strengthen relationships and collaboration, and build consensus around decisions.</w:t>
      </w:r>
    </w:p>
    <w:p w14:paraId="31FECD73" w14:textId="5F918629" w:rsidR="00665A4E" w:rsidRDefault="00202C92" w:rsidP="00020D20">
      <w:pPr>
        <w:jc w:val="both"/>
        <w:rPr>
          <w:rFonts w:cstheme="minorHAnsi"/>
        </w:rPr>
      </w:pPr>
      <w:hyperlink r:id="rId1222" w:history="1">
        <w:r w:rsidR="00665A4E" w:rsidRPr="00AD229A">
          <w:rPr>
            <w:rStyle w:val="TitleChar"/>
          </w:rPr>
          <w:t>Housing + Transportation Affordability Index:</w:t>
        </w:r>
      </w:hyperlink>
      <w:r w:rsidR="00665A4E" w:rsidRPr="00665A4E">
        <w:rPr>
          <w:rFonts w:cstheme="minorHAnsi"/>
        </w:rPr>
        <w:t xml:space="preserve"> an innovative tool that measures the true affordability of housing based on its location.</w:t>
      </w:r>
    </w:p>
    <w:p w14:paraId="25B22122" w14:textId="77777777" w:rsidR="00D2756C" w:rsidRDefault="00D2756C" w:rsidP="00020D20">
      <w:pPr>
        <w:pStyle w:val="Heading5"/>
        <w:jc w:val="both"/>
        <w:rPr>
          <w:rFonts w:cstheme="minorHAnsi"/>
        </w:rPr>
        <w:sectPr w:rsidR="00D2756C" w:rsidSect="00020D20">
          <w:type w:val="continuous"/>
          <w:pgSz w:w="12240" w:h="15840"/>
          <w:pgMar w:top="1440" w:right="1440" w:bottom="1440" w:left="1440" w:header="720" w:footer="720" w:gutter="0"/>
          <w:pgNumType w:chapStyle="1"/>
          <w:cols w:num="2" w:space="720"/>
          <w:docGrid w:linePitch="360"/>
        </w:sectPr>
      </w:pPr>
    </w:p>
    <w:p w14:paraId="68975497" w14:textId="77777777" w:rsidR="00E34BF3" w:rsidRDefault="00E34BF3" w:rsidP="00020D20">
      <w:pPr>
        <w:pStyle w:val="StevenFigure"/>
        <w:jc w:val="both"/>
        <w:rPr>
          <w:rFonts w:cstheme="minorHAnsi"/>
        </w:rPr>
      </w:pPr>
      <w:r>
        <w:rPr>
          <w:rFonts w:cstheme="minorHAnsi"/>
        </w:rPr>
        <w:br w:type="page"/>
      </w:r>
    </w:p>
    <w:p w14:paraId="6927D263" w14:textId="28F20ADC" w:rsidR="00665A4E" w:rsidRDefault="00665A4E" w:rsidP="00020D20">
      <w:pPr>
        <w:pStyle w:val="Heading4"/>
        <w:jc w:val="both"/>
      </w:pPr>
      <w:r>
        <w:t>T</w:t>
      </w:r>
      <w:r w:rsidRPr="00665A4E">
        <w:t>able 17.11-2 | Sample Sustainability Goals and Objectives</w:t>
      </w:r>
    </w:p>
    <w:tbl>
      <w:tblPr>
        <w:tblW w:w="9365" w:type="dxa"/>
        <w:tblInd w:w="-10" w:type="dxa"/>
        <w:tblLayout w:type="fixed"/>
        <w:tblCellMar>
          <w:left w:w="0" w:type="dxa"/>
          <w:right w:w="0" w:type="dxa"/>
        </w:tblCellMar>
        <w:tblLook w:val="0000" w:firstRow="0" w:lastRow="0" w:firstColumn="0" w:lastColumn="0" w:noHBand="0" w:noVBand="0"/>
      </w:tblPr>
      <w:tblGrid>
        <w:gridCol w:w="3065"/>
        <w:gridCol w:w="6300"/>
      </w:tblGrid>
      <w:tr w:rsidR="00665A4E" w:rsidRPr="00665A4E" w14:paraId="1AA10E31" w14:textId="77777777" w:rsidTr="00020D20">
        <w:trPr>
          <w:trHeight w:val="54"/>
        </w:trPr>
        <w:tc>
          <w:tcPr>
            <w:tcW w:w="3065" w:type="dxa"/>
            <w:tcBorders>
              <w:top w:val="single" w:sz="4" w:space="0" w:color="auto"/>
              <w:left w:val="single" w:sz="4" w:space="0" w:color="auto"/>
              <w:bottom w:val="single" w:sz="4" w:space="0" w:color="FFFFFF" w:themeColor="background1"/>
              <w:right w:val="single" w:sz="4" w:space="0" w:color="FFFFFF" w:themeColor="background1"/>
            </w:tcBorders>
            <w:shd w:val="clear" w:color="auto" w:fill="012768"/>
            <w:tcMar>
              <w:top w:w="80" w:type="dxa"/>
              <w:left w:w="80" w:type="dxa"/>
              <w:bottom w:w="80" w:type="dxa"/>
              <w:right w:w="80" w:type="dxa"/>
            </w:tcMar>
            <w:vAlign w:val="center"/>
          </w:tcPr>
          <w:p w14:paraId="5A6FB29B" w14:textId="77777777" w:rsidR="00665A4E" w:rsidRPr="00020D20" w:rsidRDefault="00665A4E" w:rsidP="00020D20">
            <w:pPr>
              <w:spacing w:before="0" w:after="0" w:line="240" w:lineRule="auto"/>
              <w:jc w:val="center"/>
              <w:rPr>
                <w:sz w:val="22"/>
              </w:rPr>
            </w:pPr>
            <w:r w:rsidRPr="00020D20">
              <w:rPr>
                <w:sz w:val="22"/>
              </w:rPr>
              <w:t>Goal</w:t>
            </w:r>
          </w:p>
        </w:tc>
        <w:tc>
          <w:tcPr>
            <w:tcW w:w="630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12768"/>
            <w:tcMar>
              <w:top w:w="80" w:type="dxa"/>
              <w:left w:w="80" w:type="dxa"/>
              <w:bottom w:w="80" w:type="dxa"/>
              <w:right w:w="80" w:type="dxa"/>
            </w:tcMar>
            <w:vAlign w:val="center"/>
          </w:tcPr>
          <w:p w14:paraId="0A23CDF6" w14:textId="77777777" w:rsidR="00665A4E" w:rsidRPr="00020D20" w:rsidRDefault="00665A4E" w:rsidP="00020D20">
            <w:pPr>
              <w:spacing w:before="0" w:after="0" w:line="240" w:lineRule="auto"/>
              <w:jc w:val="center"/>
              <w:rPr>
                <w:sz w:val="22"/>
              </w:rPr>
            </w:pPr>
            <w:r w:rsidRPr="00020D20">
              <w:rPr>
                <w:sz w:val="22"/>
              </w:rPr>
              <w:t>Objectives</w:t>
            </w:r>
          </w:p>
        </w:tc>
      </w:tr>
      <w:tr w:rsidR="00665A4E" w:rsidRPr="00665A4E" w14:paraId="2EA5BD21" w14:textId="77777777" w:rsidTr="00020D20">
        <w:trPr>
          <w:trHeight w:val="25"/>
        </w:trPr>
        <w:tc>
          <w:tcPr>
            <w:tcW w:w="9365" w:type="dxa"/>
            <w:gridSpan w:val="2"/>
            <w:tcBorders>
              <w:top w:val="single" w:sz="4" w:space="0" w:color="FFFFFF" w:themeColor="background1"/>
              <w:left w:val="single" w:sz="8" w:space="0" w:color="58585B"/>
              <w:bottom w:val="single" w:sz="8" w:space="0" w:color="58585B"/>
              <w:right w:val="single" w:sz="8" w:space="0" w:color="58585B"/>
            </w:tcBorders>
            <w:shd w:val="clear" w:color="auto" w:fill="012768"/>
            <w:tcMar>
              <w:top w:w="80" w:type="dxa"/>
              <w:left w:w="80" w:type="dxa"/>
              <w:bottom w:w="80" w:type="dxa"/>
              <w:right w:w="80" w:type="dxa"/>
            </w:tcMar>
            <w:vAlign w:val="center"/>
          </w:tcPr>
          <w:p w14:paraId="2FAA2DA4" w14:textId="77777777" w:rsidR="00665A4E" w:rsidRPr="00020D20" w:rsidRDefault="00665A4E" w:rsidP="00020D20">
            <w:pPr>
              <w:spacing w:before="0" w:after="0" w:line="240" w:lineRule="auto"/>
              <w:jc w:val="center"/>
              <w:rPr>
                <w:rFonts w:cstheme="minorHAnsi"/>
                <w:color w:val="58585B"/>
                <w:sz w:val="22"/>
              </w:rPr>
            </w:pPr>
            <w:r w:rsidRPr="00020D20">
              <w:rPr>
                <w:color w:val="FFFFFF" w:themeColor="background1"/>
                <w:sz w:val="22"/>
              </w:rPr>
              <w:t>Mobility</w:t>
            </w:r>
          </w:p>
        </w:tc>
      </w:tr>
      <w:tr w:rsidR="00665A4E" w:rsidRPr="00665A4E" w14:paraId="37A7DA8C" w14:textId="77777777" w:rsidTr="00020D20">
        <w:trPr>
          <w:trHeight w:val="20"/>
        </w:trPr>
        <w:tc>
          <w:tcPr>
            <w:tcW w:w="3065" w:type="dxa"/>
            <w:vMerge w:val="restart"/>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7555895"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 xml:space="preserve">The transportation system should provide the general public and those who move goods with convenient travel options. The system also should operate in a way that maximizes productivity. It should reduce the time it takes to travel and the costs associated with travel. </w:t>
            </w: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0340B72"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Tailor transportation improvements to better connect people with jobs and other activities.</w:t>
            </w:r>
          </w:p>
        </w:tc>
      </w:tr>
      <w:tr w:rsidR="00665A4E" w:rsidRPr="00665A4E" w14:paraId="26C4458B"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3D78074C"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0BCD1AA"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Provide convenient travel choices including transit, intercity and high speed trains, driving, ridesharing, walking, and biking.</w:t>
            </w:r>
          </w:p>
        </w:tc>
      </w:tr>
      <w:tr w:rsidR="00665A4E" w:rsidRPr="00665A4E" w14:paraId="2E41B3F9"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52ACB6B8"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6EA86C9"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Preserve and expand options for regional freight movement.</w:t>
            </w:r>
          </w:p>
        </w:tc>
      </w:tr>
      <w:tr w:rsidR="00665A4E" w:rsidRPr="00665A4E" w14:paraId="20503162"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29A220F7"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BD75E79"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Increase the use of transit, ridesharing, walking and biking in major corridors and communities.</w:t>
            </w:r>
          </w:p>
        </w:tc>
      </w:tr>
      <w:tr w:rsidR="00665A4E" w:rsidRPr="00665A4E" w14:paraId="2B4A6EC3"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3F8345E2"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A1CBB4E"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Provide transportation choices to better connect the San Diego region with Mexico, neighboring counties, and tribal nations.</w:t>
            </w:r>
          </w:p>
        </w:tc>
      </w:tr>
      <w:tr w:rsidR="00665A4E" w:rsidRPr="00665A4E" w14:paraId="381B6B68" w14:textId="77777777" w:rsidTr="00020D20">
        <w:trPr>
          <w:trHeight w:val="15"/>
        </w:trPr>
        <w:tc>
          <w:tcPr>
            <w:tcW w:w="9365" w:type="dxa"/>
            <w:gridSpan w:val="2"/>
            <w:tcBorders>
              <w:top w:val="single" w:sz="8" w:space="0" w:color="58585B"/>
              <w:left w:val="single" w:sz="8" w:space="0" w:color="58585B"/>
              <w:bottom w:val="single" w:sz="8" w:space="0" w:color="58585B"/>
              <w:right w:val="single" w:sz="8" w:space="0" w:color="58585B"/>
            </w:tcBorders>
            <w:shd w:val="clear" w:color="auto" w:fill="012768"/>
            <w:tcMar>
              <w:top w:w="80" w:type="dxa"/>
              <w:left w:w="80" w:type="dxa"/>
              <w:bottom w:w="80" w:type="dxa"/>
              <w:right w:w="80" w:type="dxa"/>
            </w:tcMar>
          </w:tcPr>
          <w:p w14:paraId="6187F6FE" w14:textId="77777777" w:rsidR="00665A4E" w:rsidRPr="00665A4E" w:rsidRDefault="00665A4E" w:rsidP="00020D20">
            <w:pPr>
              <w:spacing w:before="0" w:after="0" w:line="240" w:lineRule="auto"/>
              <w:jc w:val="center"/>
              <w:rPr>
                <w:rFonts w:cstheme="minorHAnsi"/>
                <w:color w:val="58585B"/>
              </w:rPr>
            </w:pPr>
            <w:r w:rsidRPr="00020D20">
              <w:rPr>
                <w:color w:val="FFFFFF" w:themeColor="background1"/>
                <w:sz w:val="22"/>
              </w:rPr>
              <w:t>Reliability</w:t>
            </w:r>
          </w:p>
        </w:tc>
      </w:tr>
      <w:tr w:rsidR="00665A4E" w:rsidRPr="00665A4E" w14:paraId="1C5ADBAC" w14:textId="77777777" w:rsidTr="00020D20">
        <w:trPr>
          <w:trHeight w:val="20"/>
        </w:trPr>
        <w:tc>
          <w:tcPr>
            <w:tcW w:w="3065" w:type="dxa"/>
            <w:vMerge w:val="restart"/>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0EF4354C"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The transportation system should be reliable. Travelers should expect relatively consistent travel times, from day to day, for the same trip and mode of transportation.</w:t>
            </w: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49AD6725"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Employ new technologies to make travel more reliable and convenient.</w:t>
            </w:r>
          </w:p>
        </w:tc>
      </w:tr>
      <w:tr w:rsidR="00665A4E" w:rsidRPr="00665A4E" w14:paraId="57532BD3"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64AA182B"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C6E1CC9"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Manage the efficiency of the transportation system to improve traffic flow.</w:t>
            </w:r>
          </w:p>
        </w:tc>
      </w:tr>
      <w:tr w:rsidR="00665A4E" w:rsidRPr="00665A4E" w14:paraId="240B6171" w14:textId="77777777" w:rsidTr="00020D20">
        <w:trPr>
          <w:trHeight w:val="15"/>
        </w:trPr>
        <w:tc>
          <w:tcPr>
            <w:tcW w:w="9365" w:type="dxa"/>
            <w:gridSpan w:val="2"/>
            <w:tcBorders>
              <w:top w:val="single" w:sz="8" w:space="0" w:color="58585B"/>
              <w:left w:val="single" w:sz="8" w:space="0" w:color="58585B"/>
              <w:bottom w:val="single" w:sz="8" w:space="0" w:color="58585B"/>
              <w:right w:val="single" w:sz="8" w:space="0" w:color="58585B"/>
            </w:tcBorders>
            <w:shd w:val="clear" w:color="auto" w:fill="012768"/>
            <w:tcMar>
              <w:top w:w="80" w:type="dxa"/>
              <w:left w:w="80" w:type="dxa"/>
              <w:bottom w:w="80" w:type="dxa"/>
              <w:right w:w="80" w:type="dxa"/>
            </w:tcMar>
          </w:tcPr>
          <w:p w14:paraId="2CC53191" w14:textId="77777777" w:rsidR="00665A4E" w:rsidRPr="00665A4E" w:rsidRDefault="00665A4E" w:rsidP="00020D20">
            <w:pPr>
              <w:spacing w:before="0" w:after="0" w:line="240" w:lineRule="auto"/>
              <w:jc w:val="center"/>
              <w:rPr>
                <w:rFonts w:cstheme="minorHAnsi"/>
                <w:color w:val="58585B"/>
              </w:rPr>
            </w:pPr>
            <w:r w:rsidRPr="00020D20">
              <w:rPr>
                <w:color w:val="FFFFFF" w:themeColor="background1"/>
                <w:sz w:val="22"/>
              </w:rPr>
              <w:t>System Preservation and Safety</w:t>
            </w:r>
          </w:p>
        </w:tc>
      </w:tr>
      <w:tr w:rsidR="00665A4E" w:rsidRPr="00665A4E" w14:paraId="7B14F2F9" w14:textId="77777777" w:rsidTr="00020D20">
        <w:trPr>
          <w:trHeight w:val="20"/>
        </w:trPr>
        <w:tc>
          <w:tcPr>
            <w:tcW w:w="3065" w:type="dxa"/>
            <w:vMerge w:val="restart"/>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3A5F6C1"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The transportation system should be well maintained to protect the public’s investments in transportation. It also is critical to ensure a safe regional transportation system.</w:t>
            </w: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0F8279F" w14:textId="327CD8E9" w:rsidR="00665A4E" w:rsidRPr="00020D20" w:rsidRDefault="00665A4E" w:rsidP="00020D20">
            <w:pPr>
              <w:pStyle w:val="Heading5"/>
              <w:spacing w:before="0" w:after="0" w:line="240" w:lineRule="auto"/>
              <w:jc w:val="both"/>
              <w:rPr>
                <w:i w:val="0"/>
                <w:color w:val="auto"/>
                <w:sz w:val="16"/>
              </w:rPr>
            </w:pPr>
            <w:r w:rsidRPr="00020D20">
              <w:rPr>
                <w:i w:val="0"/>
                <w:color w:val="auto"/>
                <w:sz w:val="16"/>
              </w:rPr>
              <w:t>Keep the region’s transportation system</w:t>
            </w:r>
            <w:r w:rsidR="000F408F">
              <w:rPr>
                <w:i w:val="0"/>
                <w:color w:val="auto"/>
                <w:sz w:val="16"/>
              </w:rPr>
              <w:t xml:space="preserve"> (including right-of-way)</w:t>
            </w:r>
            <w:r w:rsidRPr="00020D20">
              <w:rPr>
                <w:i w:val="0"/>
                <w:color w:val="auto"/>
                <w:sz w:val="16"/>
              </w:rPr>
              <w:t xml:space="preserve"> in a good state of repair.</w:t>
            </w:r>
          </w:p>
        </w:tc>
      </w:tr>
      <w:tr w:rsidR="00665A4E" w:rsidRPr="00665A4E" w14:paraId="3CF357D2"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6DBA302B"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AD6C940"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Reduce the bottlenecks and increase safety by improving operations.</w:t>
            </w:r>
          </w:p>
        </w:tc>
      </w:tr>
      <w:tr w:rsidR="00665A4E" w:rsidRPr="00665A4E" w14:paraId="6FB6F021"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5E7CD646"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635241A"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Improve emergency preparedness within the regional transportation system.</w:t>
            </w:r>
          </w:p>
        </w:tc>
      </w:tr>
      <w:tr w:rsidR="00665A4E" w:rsidRPr="00665A4E" w14:paraId="6EB9962B" w14:textId="77777777" w:rsidTr="00020D20">
        <w:trPr>
          <w:trHeight w:val="15"/>
        </w:trPr>
        <w:tc>
          <w:tcPr>
            <w:tcW w:w="9365" w:type="dxa"/>
            <w:gridSpan w:val="2"/>
            <w:tcBorders>
              <w:top w:val="single" w:sz="8" w:space="0" w:color="58585B"/>
              <w:left w:val="single" w:sz="8" w:space="0" w:color="58585B"/>
              <w:bottom w:val="single" w:sz="8" w:space="0" w:color="58585B"/>
              <w:right w:val="single" w:sz="8" w:space="0" w:color="58585B"/>
            </w:tcBorders>
            <w:shd w:val="clear" w:color="auto" w:fill="012768"/>
            <w:tcMar>
              <w:top w:w="80" w:type="dxa"/>
              <w:left w:w="80" w:type="dxa"/>
              <w:bottom w:w="80" w:type="dxa"/>
              <w:right w:w="80" w:type="dxa"/>
            </w:tcMar>
          </w:tcPr>
          <w:p w14:paraId="58271766" w14:textId="77777777" w:rsidR="00665A4E" w:rsidRPr="00665A4E" w:rsidRDefault="00665A4E" w:rsidP="00020D20">
            <w:pPr>
              <w:spacing w:before="0" w:after="0" w:line="240" w:lineRule="auto"/>
              <w:jc w:val="center"/>
              <w:rPr>
                <w:rFonts w:cstheme="minorHAnsi"/>
                <w:color w:val="58585B"/>
              </w:rPr>
            </w:pPr>
            <w:r w:rsidRPr="00020D20">
              <w:rPr>
                <w:color w:val="FFFFFF" w:themeColor="background1"/>
                <w:sz w:val="22"/>
              </w:rPr>
              <w:t>Social Equity</w:t>
            </w:r>
          </w:p>
        </w:tc>
      </w:tr>
      <w:tr w:rsidR="00665A4E" w:rsidRPr="00665A4E" w14:paraId="1681DA83" w14:textId="77777777" w:rsidTr="00020D20">
        <w:trPr>
          <w:trHeight w:val="20"/>
        </w:trPr>
        <w:tc>
          <w:tcPr>
            <w:tcW w:w="3065" w:type="dxa"/>
            <w:vMerge w:val="restart"/>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60C2E1F6" w14:textId="3B37B4F9" w:rsidR="00665A4E" w:rsidRPr="00020D20" w:rsidRDefault="00665A4E" w:rsidP="00020D20">
            <w:pPr>
              <w:pStyle w:val="Heading5"/>
              <w:spacing w:before="0" w:after="0" w:line="240" w:lineRule="auto"/>
              <w:jc w:val="both"/>
              <w:rPr>
                <w:i w:val="0"/>
                <w:color w:val="auto"/>
                <w:sz w:val="16"/>
              </w:rPr>
            </w:pPr>
            <w:r w:rsidRPr="00020D20">
              <w:rPr>
                <w:i w:val="0"/>
                <w:color w:val="auto"/>
                <w:sz w:val="16"/>
              </w:rPr>
              <w:t>The transportation system should be designed to provide tan equitable level of transportation services of all segments of the population</w:t>
            </w:r>
            <w:r w:rsidR="000F408F">
              <w:rPr>
                <w:i w:val="0"/>
                <w:color w:val="auto"/>
                <w:sz w:val="16"/>
              </w:rPr>
              <w:t xml:space="preserve"> in accordance with Title VI and Environmental Justice objectives</w:t>
            </w:r>
            <w:r w:rsidRPr="00020D20">
              <w:rPr>
                <w:i w:val="0"/>
                <w:color w:val="auto"/>
                <w:sz w:val="16"/>
              </w:rPr>
              <w:t xml:space="preserve">. </w:t>
            </w: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2F637B67"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Create equitable transportation opportunities for all population regardless of age, ability, race, ethnicity, or income.</w:t>
            </w:r>
          </w:p>
        </w:tc>
      </w:tr>
      <w:tr w:rsidR="00665A4E" w:rsidRPr="00665A4E" w14:paraId="69B84464"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0EA8A0FE"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7634FC19"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Ensure access to jobs, services, and recreation for population with fewer transportation choices.</w:t>
            </w:r>
          </w:p>
        </w:tc>
      </w:tr>
      <w:tr w:rsidR="00665A4E" w:rsidRPr="00665A4E" w14:paraId="5E48601E" w14:textId="77777777" w:rsidTr="00020D20">
        <w:trPr>
          <w:trHeight w:val="300"/>
        </w:trPr>
        <w:tc>
          <w:tcPr>
            <w:tcW w:w="9365" w:type="dxa"/>
            <w:gridSpan w:val="2"/>
            <w:tcBorders>
              <w:top w:val="single" w:sz="8" w:space="0" w:color="58585B"/>
              <w:left w:val="single" w:sz="8" w:space="0" w:color="58585B"/>
              <w:bottom w:val="single" w:sz="8" w:space="0" w:color="58585B"/>
              <w:right w:val="single" w:sz="8" w:space="0" w:color="58585B"/>
            </w:tcBorders>
            <w:shd w:val="clear" w:color="auto" w:fill="012768"/>
            <w:tcMar>
              <w:top w:w="80" w:type="dxa"/>
              <w:left w:w="80" w:type="dxa"/>
              <w:bottom w:w="80" w:type="dxa"/>
              <w:right w:w="80" w:type="dxa"/>
            </w:tcMar>
          </w:tcPr>
          <w:p w14:paraId="5D248D2A" w14:textId="77777777" w:rsidR="00665A4E" w:rsidRPr="00665A4E" w:rsidRDefault="00665A4E" w:rsidP="00020D20">
            <w:pPr>
              <w:spacing w:before="0" w:after="0" w:line="240" w:lineRule="auto"/>
              <w:jc w:val="center"/>
              <w:rPr>
                <w:rFonts w:cstheme="minorHAnsi"/>
                <w:color w:val="58585B"/>
              </w:rPr>
            </w:pPr>
            <w:r w:rsidRPr="00020D20">
              <w:rPr>
                <w:color w:val="FFFFFF" w:themeColor="background1"/>
                <w:sz w:val="22"/>
              </w:rPr>
              <w:t>Healthy Environment</w:t>
            </w:r>
          </w:p>
        </w:tc>
      </w:tr>
      <w:tr w:rsidR="00665A4E" w:rsidRPr="00665A4E" w14:paraId="4AC20F90" w14:textId="77777777" w:rsidTr="00020D20">
        <w:trPr>
          <w:trHeight w:val="233"/>
        </w:trPr>
        <w:tc>
          <w:tcPr>
            <w:tcW w:w="3065" w:type="dxa"/>
            <w:vMerge w:val="restart"/>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99C5344"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 xml:space="preserve">The transportation system should promote environmental sustainability and foster efficient development patterns that optimize travel, housing, and employment choices. The system should encourage growth away from rural areas and closer to existing and planned development. </w:t>
            </w: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1D330E8E"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Develop transportation improvements that respect and enhance the environment.</w:t>
            </w:r>
          </w:p>
        </w:tc>
      </w:tr>
      <w:tr w:rsidR="00665A4E" w:rsidRPr="00665A4E" w14:paraId="7785CCDB" w14:textId="77777777" w:rsidTr="00020D20">
        <w:trPr>
          <w:trHeight w:val="449"/>
        </w:trPr>
        <w:tc>
          <w:tcPr>
            <w:tcW w:w="3065" w:type="dxa"/>
            <w:vMerge/>
            <w:tcBorders>
              <w:top w:val="single" w:sz="8" w:space="0" w:color="58585B"/>
              <w:left w:val="single" w:sz="8" w:space="0" w:color="58585B"/>
              <w:bottom w:val="single" w:sz="8" w:space="0" w:color="58585B"/>
              <w:right w:val="single" w:sz="8" w:space="0" w:color="58585B"/>
            </w:tcBorders>
          </w:tcPr>
          <w:p w14:paraId="11DBE713"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C3C7CA0"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Reduce greenhouse gas emission from vehicles and continue to improve air quality in the region.</w:t>
            </w:r>
          </w:p>
        </w:tc>
      </w:tr>
      <w:tr w:rsidR="00665A4E" w:rsidRPr="00665A4E" w14:paraId="26578F97"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6310D961"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tcPr>
          <w:p w14:paraId="187046C4"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Make transportation investments that result in healthy and sustainable communities.</w:t>
            </w:r>
          </w:p>
        </w:tc>
      </w:tr>
      <w:tr w:rsidR="00665A4E" w:rsidRPr="00665A4E" w14:paraId="2B175BBC" w14:textId="77777777" w:rsidTr="00020D20">
        <w:trPr>
          <w:trHeight w:val="15"/>
        </w:trPr>
        <w:tc>
          <w:tcPr>
            <w:tcW w:w="9365" w:type="dxa"/>
            <w:gridSpan w:val="2"/>
            <w:tcBorders>
              <w:top w:val="single" w:sz="8" w:space="0" w:color="58585B"/>
              <w:left w:val="single" w:sz="8" w:space="0" w:color="58585B"/>
              <w:bottom w:val="single" w:sz="8" w:space="0" w:color="58585B"/>
              <w:right w:val="single" w:sz="8" w:space="0" w:color="58585B"/>
            </w:tcBorders>
            <w:shd w:val="clear" w:color="auto" w:fill="012768"/>
            <w:tcMar>
              <w:top w:w="80" w:type="dxa"/>
              <w:left w:w="80" w:type="dxa"/>
              <w:bottom w:w="80" w:type="dxa"/>
              <w:right w:w="80" w:type="dxa"/>
            </w:tcMar>
          </w:tcPr>
          <w:p w14:paraId="082C6B27" w14:textId="77777777" w:rsidR="00665A4E" w:rsidRPr="00665A4E" w:rsidRDefault="00665A4E" w:rsidP="00020D20">
            <w:pPr>
              <w:spacing w:before="0" w:after="0" w:line="240" w:lineRule="auto"/>
              <w:jc w:val="center"/>
              <w:rPr>
                <w:rFonts w:cstheme="minorHAnsi"/>
                <w:color w:val="58585B"/>
              </w:rPr>
            </w:pPr>
            <w:r w:rsidRPr="00020D20">
              <w:rPr>
                <w:color w:val="FFFFFF" w:themeColor="background1"/>
                <w:sz w:val="22"/>
              </w:rPr>
              <w:t>Prosperous Economy</w:t>
            </w:r>
          </w:p>
        </w:tc>
      </w:tr>
      <w:tr w:rsidR="00665A4E" w:rsidRPr="00665A4E" w14:paraId="0A9FE07A" w14:textId="77777777" w:rsidTr="00020D20">
        <w:trPr>
          <w:trHeight w:val="20"/>
        </w:trPr>
        <w:tc>
          <w:tcPr>
            <w:tcW w:w="3065" w:type="dxa"/>
            <w:vMerge w:val="restart"/>
            <w:tcBorders>
              <w:top w:val="single" w:sz="8" w:space="0" w:color="58585B"/>
              <w:left w:val="single" w:sz="8" w:space="0" w:color="58585B"/>
              <w:bottom w:val="single" w:sz="8" w:space="0" w:color="58585B"/>
              <w:right w:val="single" w:sz="8" w:space="0" w:color="58585B"/>
            </w:tcBorders>
            <w:tcMar>
              <w:top w:w="80" w:type="dxa"/>
              <w:left w:w="80" w:type="dxa"/>
              <w:bottom w:w="80" w:type="dxa"/>
              <w:right w:w="80" w:type="dxa"/>
            </w:tcMar>
            <w:vAlign w:val="center"/>
          </w:tcPr>
          <w:p w14:paraId="3A27075A"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The transportation system should play a significant role in raising the region’s standard of living.</w:t>
            </w:r>
          </w:p>
        </w:tc>
        <w:tc>
          <w:tcPr>
            <w:tcW w:w="630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0651C930" w14:textId="77777777" w:rsidR="00665A4E" w:rsidRPr="00020D20" w:rsidRDefault="00665A4E" w:rsidP="00020D20">
            <w:pPr>
              <w:pStyle w:val="Heading5"/>
              <w:spacing w:before="0" w:after="0" w:line="240" w:lineRule="auto"/>
              <w:jc w:val="both"/>
              <w:rPr>
                <w:i w:val="0"/>
                <w:color w:val="auto"/>
                <w:sz w:val="16"/>
              </w:rPr>
            </w:pPr>
            <w:r w:rsidRPr="00020D20">
              <w:rPr>
                <w:i w:val="0"/>
                <w:color w:val="auto"/>
                <w:sz w:val="16"/>
              </w:rPr>
              <w:t>Maximize the economic benefits of transportation investments.</w:t>
            </w:r>
          </w:p>
        </w:tc>
      </w:tr>
      <w:tr w:rsidR="00665A4E" w:rsidRPr="00665A4E" w14:paraId="1E5A23A0" w14:textId="77777777" w:rsidTr="00020D20">
        <w:trPr>
          <w:trHeight w:val="20"/>
        </w:trPr>
        <w:tc>
          <w:tcPr>
            <w:tcW w:w="3065" w:type="dxa"/>
            <w:vMerge/>
            <w:tcBorders>
              <w:top w:val="single" w:sz="8" w:space="0" w:color="58585B"/>
              <w:left w:val="single" w:sz="8" w:space="0" w:color="58585B"/>
              <w:bottom w:val="single" w:sz="8" w:space="0" w:color="58585B"/>
              <w:right w:val="single" w:sz="8" w:space="0" w:color="58585B"/>
            </w:tcBorders>
          </w:tcPr>
          <w:p w14:paraId="327357FA" w14:textId="77777777" w:rsidR="00665A4E" w:rsidRPr="00020D20" w:rsidRDefault="00665A4E" w:rsidP="00020D20">
            <w:pPr>
              <w:pStyle w:val="Heading5"/>
              <w:spacing w:before="0" w:after="0" w:line="240" w:lineRule="auto"/>
              <w:jc w:val="both"/>
              <w:rPr>
                <w:i w:val="0"/>
                <w:color w:val="auto"/>
                <w:sz w:val="16"/>
              </w:rPr>
            </w:pPr>
          </w:p>
        </w:tc>
        <w:tc>
          <w:tcPr>
            <w:tcW w:w="6300" w:type="dxa"/>
            <w:tcBorders>
              <w:top w:val="single" w:sz="8" w:space="0" w:color="58585B"/>
              <w:left w:val="single" w:sz="8" w:space="0" w:color="58585B"/>
              <w:bottom w:val="single" w:sz="8" w:space="0" w:color="58585B"/>
              <w:right w:val="single" w:sz="8" w:space="0" w:color="58585B"/>
            </w:tcBorders>
            <w:tcMar>
              <w:top w:w="90" w:type="dxa"/>
              <w:left w:w="90" w:type="dxa"/>
              <w:bottom w:w="90" w:type="dxa"/>
              <w:right w:w="90" w:type="dxa"/>
            </w:tcMar>
            <w:vAlign w:val="center"/>
          </w:tcPr>
          <w:p w14:paraId="0E02D961" w14:textId="251CCC8D" w:rsidR="00665A4E" w:rsidRPr="00020D20" w:rsidRDefault="00665A4E" w:rsidP="00020D20">
            <w:pPr>
              <w:pStyle w:val="Heading5"/>
              <w:spacing w:before="0" w:after="0" w:line="240" w:lineRule="auto"/>
              <w:jc w:val="both"/>
              <w:rPr>
                <w:i w:val="0"/>
                <w:color w:val="auto"/>
                <w:sz w:val="16"/>
              </w:rPr>
            </w:pPr>
            <w:r w:rsidRPr="00020D20">
              <w:rPr>
                <w:i w:val="0"/>
                <w:color w:val="auto"/>
                <w:sz w:val="16"/>
              </w:rPr>
              <w:t xml:space="preserve">Enhance </w:t>
            </w:r>
            <w:r w:rsidR="000F408F">
              <w:rPr>
                <w:i w:val="0"/>
                <w:color w:val="auto"/>
                <w:sz w:val="16"/>
              </w:rPr>
              <w:t>t</w:t>
            </w:r>
            <w:r w:rsidRPr="00020D20">
              <w:rPr>
                <w:i w:val="0"/>
                <w:color w:val="auto"/>
                <w:sz w:val="16"/>
              </w:rPr>
              <w:t>he goods movement system to support economic prosperity.</w:t>
            </w:r>
          </w:p>
        </w:tc>
      </w:tr>
    </w:tbl>
    <w:p w14:paraId="671ABB2B" w14:textId="77777777" w:rsidR="00D2756C" w:rsidRDefault="00D2756C" w:rsidP="00020D20">
      <w:pPr>
        <w:jc w:val="both"/>
        <w:sectPr w:rsidR="00D2756C" w:rsidSect="00020D20">
          <w:type w:val="continuous"/>
          <w:pgSz w:w="12240" w:h="15840"/>
          <w:pgMar w:top="1440" w:right="1440" w:bottom="1440" w:left="1440" w:header="720" w:footer="720" w:gutter="0"/>
          <w:pgNumType w:chapStyle="1"/>
          <w:cols w:space="720"/>
          <w:docGrid w:linePitch="360"/>
        </w:sectPr>
      </w:pPr>
    </w:p>
    <w:p w14:paraId="4E4B6DFC" w14:textId="695E70D0" w:rsidR="00775BB7" w:rsidRDefault="00775BB7" w:rsidP="00020D20">
      <w:pPr>
        <w:jc w:val="both"/>
        <w:sectPr w:rsidR="00775BB7" w:rsidSect="00F43B1D">
          <w:type w:val="continuous"/>
          <w:pgSz w:w="12240" w:h="15840"/>
          <w:pgMar w:top="1440" w:right="1440" w:bottom="1440" w:left="1440" w:header="720" w:footer="720" w:gutter="0"/>
          <w:cols w:num="2" w:space="720"/>
          <w:docGrid w:linePitch="360"/>
        </w:sectPr>
      </w:pPr>
    </w:p>
    <w:p w14:paraId="0B29D622" w14:textId="76BD113E" w:rsidR="00775BB7" w:rsidRDefault="00775BB7" w:rsidP="00020D20">
      <w:pPr>
        <w:jc w:val="both"/>
        <w:sectPr w:rsidR="00775BB7" w:rsidSect="008E695B">
          <w:type w:val="continuous"/>
          <w:pgSz w:w="12240" w:h="15840"/>
          <w:pgMar w:top="1440" w:right="1440" w:bottom="1440" w:left="1440" w:header="720" w:footer="720" w:gutter="0"/>
          <w:cols w:space="720"/>
          <w:docGrid w:linePitch="360"/>
        </w:sectPr>
      </w:pPr>
    </w:p>
    <w:p w14:paraId="5F6E7DEA" w14:textId="01E44DE3" w:rsidR="003C2DDF" w:rsidRDefault="00D72607" w:rsidP="00020D20">
      <w:pPr>
        <w:pStyle w:val="BodyTextTitle"/>
        <w:spacing w:before="0" w:after="0" w:line="240" w:lineRule="auto"/>
        <w:jc w:val="both"/>
      </w:pPr>
      <w:bookmarkStart w:id="762" w:name="_Ref50049659"/>
      <w:bookmarkStart w:id="763" w:name="_Toc49862256"/>
      <w:bookmarkStart w:id="764" w:name="_Toc49870653"/>
      <w:r>
        <w:t>17.12</w:t>
      </w:r>
      <w:r w:rsidR="00EB4863">
        <w:t xml:space="preserve"> </w:t>
      </w:r>
      <w:r>
        <w:t xml:space="preserve">| BICYCLE </w:t>
      </w:r>
      <w:r w:rsidR="003C2DDF">
        <w:t>AND</w:t>
      </w:r>
      <w:r>
        <w:t xml:space="preserve"> PEDESTRIAN PLANNING</w:t>
      </w:r>
    </w:p>
    <w:p w14:paraId="6D6DB49E" w14:textId="2E8CBF1A" w:rsidR="00D72607" w:rsidRPr="00020D20" w:rsidRDefault="00D72607" w:rsidP="00020D20">
      <w:pPr>
        <w:pStyle w:val="BodyTextTitle"/>
        <w:spacing w:before="0" w:line="240" w:lineRule="auto"/>
        <w:jc w:val="both"/>
        <w:rPr>
          <w:sz w:val="36"/>
        </w:rPr>
      </w:pPr>
      <w:r w:rsidRPr="00020D20">
        <w:rPr>
          <w:sz w:val="36"/>
        </w:rPr>
        <w:t>TABLE OF CONTENTS</w:t>
      </w:r>
      <w:bookmarkEnd w:id="762"/>
    </w:p>
    <w:p w14:paraId="095F9CE9" w14:textId="4E87CFA5" w:rsidR="00D7260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_Ref50050752 \h </w:instrText>
      </w:r>
      <w:r w:rsidR="002D38FC">
        <w:instrText xml:space="preserve"> \* MERGEFORMAT </w:instrText>
      </w:r>
      <w:r>
        <w:fldChar w:fldCharType="separate"/>
      </w:r>
      <w:r w:rsidRPr="007C249F">
        <w:t>17.12.1 | Introduction</w:t>
      </w:r>
      <w:r>
        <w:fldChar w:fldCharType="end"/>
      </w:r>
    </w:p>
    <w:p w14:paraId="6B0E8467" w14:textId="20DD8F32" w:rsidR="00A9505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_Ref50050757 \h </w:instrText>
      </w:r>
      <w:r w:rsidR="002D38FC">
        <w:instrText xml:space="preserve"> \* MERGEFORMAT </w:instrText>
      </w:r>
      <w:r>
        <w:fldChar w:fldCharType="separate"/>
      </w:r>
      <w:r w:rsidRPr="00665A4E">
        <w:t xml:space="preserve">17.12.2 | </w:t>
      </w:r>
      <w:r>
        <w:t>A</w:t>
      </w:r>
      <w:r w:rsidRPr="00665A4E">
        <w:t xml:space="preserve">rizona </w:t>
      </w:r>
      <w:r>
        <w:t>P</w:t>
      </w:r>
      <w:r w:rsidRPr="00665A4E">
        <w:t>oli</w:t>
      </w:r>
      <w:r w:rsidR="00317205">
        <w:t>cies</w:t>
      </w:r>
      <w:r>
        <w:fldChar w:fldCharType="end"/>
      </w:r>
    </w:p>
    <w:p w14:paraId="29ED1564" w14:textId="673D6DAA" w:rsidR="00A9505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_Ref50050760 \h </w:instrText>
      </w:r>
      <w:r w:rsidR="002D38FC">
        <w:instrText xml:space="preserve"> \* MERGEFORMAT </w:instrText>
      </w:r>
      <w:r>
        <w:fldChar w:fldCharType="separate"/>
      </w:r>
      <w:r w:rsidRPr="00794754">
        <w:t>17.12.3 | Bicycle &amp; Pedestrian Planning Considerations</w:t>
      </w:r>
      <w:r>
        <w:fldChar w:fldCharType="end"/>
      </w:r>
    </w:p>
    <w:p w14:paraId="512120A0" w14:textId="3AA507F2"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_Ref50050898 \h </w:instrText>
      </w:r>
      <w:r w:rsidR="002D38FC">
        <w:instrText xml:space="preserve"> \* MERGEFORMAT </w:instrText>
      </w:r>
      <w:r>
        <w:fldChar w:fldCharType="separate"/>
      </w:r>
      <w:r w:rsidRPr="00794754">
        <w:t>Create a Vision Statement, Goals, and Performance Criteria</w:t>
      </w:r>
      <w:r>
        <w:fldChar w:fldCharType="end"/>
      </w:r>
    </w:p>
    <w:p w14:paraId="3B37BAFC" w14:textId="682EAC0C"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_Ref50050902 \h </w:instrText>
      </w:r>
      <w:r w:rsidR="002D38FC">
        <w:instrText xml:space="preserve"> \* MERGEFORMAT </w:instrText>
      </w:r>
      <w:r>
        <w:fldChar w:fldCharType="separate"/>
      </w:r>
      <w:r w:rsidRPr="00794754">
        <w:t>Develop Regional Objectives for Non-Motorized Facilities</w:t>
      </w:r>
      <w:r>
        <w:fldChar w:fldCharType="end"/>
      </w:r>
    </w:p>
    <w:p w14:paraId="42220947" w14:textId="618B4018"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_Ref50050905 \h </w:instrText>
      </w:r>
      <w:r w:rsidR="002D38FC">
        <w:instrText xml:space="preserve"> \* MERGEFORMAT </w:instrText>
      </w:r>
      <w:r>
        <w:fldChar w:fldCharType="separate"/>
      </w:r>
      <w:r w:rsidRPr="000E518A">
        <w:t>Define the Bicycle Network</w:t>
      </w:r>
      <w:r>
        <w:fldChar w:fldCharType="end"/>
      </w:r>
    </w:p>
    <w:p w14:paraId="672A8093" w14:textId="3626BC99"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_Ref50050908 \h </w:instrText>
      </w:r>
      <w:r w:rsidR="002D38FC">
        <w:instrText xml:space="preserve"> \* MERGEFORMAT </w:instrText>
      </w:r>
      <w:r>
        <w:fldChar w:fldCharType="separate"/>
      </w:r>
      <w:r w:rsidRPr="00794754">
        <w:t>Develop Intermodal Connections and Wayfinding</w:t>
      </w:r>
      <w:r>
        <w:fldChar w:fldCharType="end"/>
      </w:r>
    </w:p>
    <w:p w14:paraId="206A347A" w14:textId="071E184C"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_Ref50050912 \h </w:instrText>
      </w:r>
      <w:r w:rsidR="002D38FC">
        <w:instrText xml:space="preserve"> \* MERGEFORMAT </w:instrText>
      </w:r>
      <w:r>
        <w:fldChar w:fldCharType="separate"/>
      </w:r>
      <w:r w:rsidRPr="00794754">
        <w:t>Safety</w:t>
      </w:r>
      <w:r>
        <w:fldChar w:fldCharType="end"/>
      </w:r>
    </w:p>
    <w:p w14:paraId="272AE3EC" w14:textId="2896BF80"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_Ref50050915 \h </w:instrText>
      </w:r>
      <w:r w:rsidR="002D38FC">
        <w:instrText xml:space="preserve"> \* MERGEFORMAT </w:instrText>
      </w:r>
      <w:r>
        <w:fldChar w:fldCharType="separate"/>
      </w:r>
      <w:r w:rsidRPr="000E518A">
        <w:t>Facility Maintenance</w:t>
      </w:r>
      <w:r>
        <w:fldChar w:fldCharType="end"/>
      </w:r>
    </w:p>
    <w:p w14:paraId="4A39F465" w14:textId="3A3D6B91" w:rsidR="00A95057" w:rsidRDefault="003A5103"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_Ref50050919 \h </w:instrText>
      </w:r>
      <w:r w:rsidR="002D38FC">
        <w:instrText xml:space="preserve"> \* MERGEFORMAT </w:instrText>
      </w:r>
      <w:r>
        <w:fldChar w:fldCharType="separate"/>
      </w:r>
      <w:r w:rsidRPr="00794754">
        <w:t>Education, Encouragement, and Awareness</w:t>
      </w:r>
      <w:r>
        <w:fldChar w:fldCharType="end"/>
      </w:r>
    </w:p>
    <w:p w14:paraId="51EBC928" w14:textId="615459E3" w:rsidR="00A95057" w:rsidRDefault="00A95057" w:rsidP="00020D20">
      <w:pPr>
        <w:tabs>
          <w:tab w:val="clear" w:pos="180"/>
          <w:tab w:val="clear" w:pos="360"/>
          <w:tab w:val="clear" w:pos="540"/>
          <w:tab w:val="clear" w:pos="720"/>
        </w:tabs>
        <w:suppressAutoHyphens w:val="0"/>
        <w:autoSpaceDE/>
        <w:autoSpaceDN/>
        <w:adjustRightInd/>
        <w:spacing w:before="0" w:after="40" w:line="240" w:lineRule="auto"/>
        <w:ind w:left="504"/>
        <w:jc w:val="both"/>
        <w:textAlignment w:val="auto"/>
      </w:pPr>
      <w:r>
        <w:fldChar w:fldCharType="begin"/>
      </w:r>
      <w:r>
        <w:instrText xml:space="preserve"> REF _Ref50050763 \h </w:instrText>
      </w:r>
      <w:r w:rsidR="002D38FC">
        <w:instrText xml:space="preserve"> \* MERGEFORMAT </w:instrText>
      </w:r>
      <w:r>
        <w:fldChar w:fldCharType="separate"/>
      </w:r>
      <w:r>
        <w:t>17.12.4 | Funding Sources for Non-Motorized I</w:t>
      </w:r>
      <w:r w:rsidRPr="00794754">
        <w:t>mprovements</w:t>
      </w:r>
      <w:r>
        <w:fldChar w:fldCharType="end"/>
      </w:r>
    </w:p>
    <w:p w14:paraId="50940F27" w14:textId="7C094CDA" w:rsidR="00A95057" w:rsidRDefault="000C346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_Ref50051187 \h </w:instrText>
      </w:r>
      <w:r w:rsidR="002D38FC">
        <w:instrText xml:space="preserve"> \* MERGEFORMAT </w:instrText>
      </w:r>
      <w:r>
        <w:fldChar w:fldCharType="separate"/>
      </w:r>
      <w:r w:rsidRPr="00794754">
        <w:t>Federal-Aid Highway Programs</w:t>
      </w:r>
      <w:r>
        <w:fldChar w:fldCharType="end"/>
      </w:r>
    </w:p>
    <w:p w14:paraId="7CA9A886" w14:textId="0BD63CE9" w:rsidR="00A95057" w:rsidRDefault="000C346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_Ref50051191 \h </w:instrText>
      </w:r>
      <w:r w:rsidR="002D38FC">
        <w:instrText xml:space="preserve"> \* MERGEFORMAT </w:instrText>
      </w:r>
      <w:r>
        <w:fldChar w:fldCharType="separate"/>
      </w:r>
      <w:r w:rsidRPr="0054318A">
        <w:t>Federal Transit Programs</w:t>
      </w:r>
      <w:r>
        <w:fldChar w:fldCharType="end"/>
      </w:r>
    </w:p>
    <w:p w14:paraId="0ECCCA11" w14:textId="34EB77E8" w:rsidR="00A95057" w:rsidRDefault="000C346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_Ref50051196 \h </w:instrText>
      </w:r>
      <w:r w:rsidR="002D38FC">
        <w:instrText xml:space="preserve"> \* MERGEFORMAT </w:instrText>
      </w:r>
      <w:r>
        <w:fldChar w:fldCharType="separate"/>
      </w:r>
      <w:r w:rsidRPr="0054318A">
        <w:t>Highway Safety Programs</w:t>
      </w:r>
      <w:r>
        <w:fldChar w:fldCharType="end"/>
      </w:r>
    </w:p>
    <w:p w14:paraId="0E5D65C8" w14:textId="4863E123" w:rsidR="00A95057" w:rsidRDefault="000C3461" w:rsidP="00020D20">
      <w:pPr>
        <w:tabs>
          <w:tab w:val="clear" w:pos="180"/>
          <w:tab w:val="clear" w:pos="360"/>
          <w:tab w:val="clear" w:pos="540"/>
          <w:tab w:val="clear" w:pos="720"/>
        </w:tabs>
        <w:suppressAutoHyphens w:val="0"/>
        <w:autoSpaceDE/>
        <w:autoSpaceDN/>
        <w:adjustRightInd/>
        <w:spacing w:before="0" w:after="40" w:line="240" w:lineRule="auto"/>
        <w:ind w:left="1008"/>
        <w:jc w:val="both"/>
        <w:textAlignment w:val="auto"/>
      </w:pPr>
      <w:r>
        <w:fldChar w:fldCharType="begin"/>
      </w:r>
      <w:r>
        <w:instrText xml:space="preserve"> REF _Ref50051198 \h </w:instrText>
      </w:r>
      <w:r w:rsidR="002D38FC">
        <w:instrText xml:space="preserve"> \* MERGEFORMAT </w:instrText>
      </w:r>
      <w:r>
        <w:fldChar w:fldCharType="separate"/>
      </w:r>
      <w:r w:rsidRPr="0054318A">
        <w:t>NHTSA 402 Grants</w:t>
      </w:r>
      <w:r>
        <w:fldChar w:fldCharType="end"/>
      </w:r>
    </w:p>
    <w:p w14:paraId="77ACFF68" w14:textId="3470FB84" w:rsidR="00D72607" w:rsidRDefault="00D72607" w:rsidP="00020D20">
      <w:pPr>
        <w:tabs>
          <w:tab w:val="clear" w:pos="180"/>
          <w:tab w:val="clear" w:pos="360"/>
          <w:tab w:val="clear" w:pos="540"/>
          <w:tab w:val="clear" w:pos="720"/>
        </w:tabs>
        <w:suppressAutoHyphens w:val="0"/>
        <w:autoSpaceDE/>
        <w:autoSpaceDN/>
        <w:adjustRightInd/>
        <w:spacing w:before="0" w:after="160" w:line="259" w:lineRule="auto"/>
        <w:jc w:val="both"/>
        <w:textAlignment w:val="auto"/>
        <w:rPr>
          <w:rFonts w:eastAsiaTheme="majorEastAsia" w:cstheme="minorHAnsi"/>
          <w:b/>
          <w:color w:val="012768"/>
          <w:sz w:val="34"/>
          <w:szCs w:val="34"/>
        </w:rPr>
      </w:pPr>
      <w:r>
        <w:br w:type="page"/>
      </w:r>
    </w:p>
    <w:bookmarkStart w:id="765" w:name="_Toc50540256"/>
    <w:p w14:paraId="7FE6D476" w14:textId="6770FABA" w:rsidR="00665A4E" w:rsidRPr="00665A4E" w:rsidRDefault="00E90D52" w:rsidP="00020D20">
      <w:pPr>
        <w:pStyle w:val="Chapter17Heading"/>
      </w:pPr>
      <w:r>
        <w:rPr>
          <w:noProof/>
        </w:rPr>
        <mc:AlternateContent>
          <mc:Choice Requires="wps">
            <w:drawing>
              <wp:anchor distT="0" distB="0" distL="114300" distR="114300" simplePos="0" relativeHeight="251618434" behindDoc="1" locked="0" layoutInCell="1" allowOverlap="1" wp14:anchorId="22BE31E4" wp14:editId="5CC83F6A">
                <wp:simplePos x="0" y="0"/>
                <wp:positionH relativeFrom="column">
                  <wp:posOffset>4572000</wp:posOffset>
                </wp:positionH>
                <wp:positionV relativeFrom="paragraph">
                  <wp:posOffset>1348105</wp:posOffset>
                </wp:positionV>
                <wp:extent cx="1372870" cy="1485900"/>
                <wp:effectExtent l="76200" t="95250" r="74930" b="95250"/>
                <wp:wrapTight wrapText="bothSides">
                  <wp:wrapPolygon edited="0">
                    <wp:start x="-1199" y="-1385"/>
                    <wp:lineTo x="-1199" y="22708"/>
                    <wp:lineTo x="22479" y="22708"/>
                    <wp:lineTo x="22479" y="-1385"/>
                    <wp:lineTo x="-1199" y="-1385"/>
                  </wp:wrapPolygon>
                </wp:wrapTight>
                <wp:docPr id="816286315" name="Text Box 816286315"/>
                <wp:cNvGraphicFramePr/>
                <a:graphic xmlns:a="http://schemas.openxmlformats.org/drawingml/2006/main">
                  <a:graphicData uri="http://schemas.microsoft.com/office/word/2010/wordprocessingShape">
                    <wps:wsp>
                      <wps:cNvSpPr txBox="1"/>
                      <wps:spPr>
                        <a:xfrm>
                          <a:off x="0" y="0"/>
                          <a:ext cx="137287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84F9902" w14:textId="77777777" w:rsidR="00C6444C" w:rsidRDefault="00C6444C" w:rsidP="00020D20">
                            <w:pPr>
                              <w:jc w:val="center"/>
                            </w:pPr>
                            <w:r>
                              <w:rPr>
                                <w:noProof/>
                              </w:rPr>
                              <w:drawing>
                                <wp:inline distT="0" distB="0" distL="0" distR="0" wp14:anchorId="2A8BEB39" wp14:editId="1FFEBA6E">
                                  <wp:extent cx="457200" cy="457200"/>
                                  <wp:effectExtent l="0" t="0" r="0" b="0"/>
                                  <wp:docPr id="1690912745" name="Picture 169091274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6CA5B47" w14:textId="3910FD45" w:rsidR="00C6444C" w:rsidRPr="00977A9B" w:rsidRDefault="00C6444C" w:rsidP="00020D20">
                            <w:pPr>
                              <w:pStyle w:val="Calloutboxes"/>
                            </w:pPr>
                            <w:r w:rsidRPr="005A6734">
                              <w:t>The ADOT Statewide Bicycle and Pedestrian Plan Update can be found here:</w:t>
                            </w:r>
                          </w:p>
                          <w:p w14:paraId="4D6F38AB" w14:textId="5566E802" w:rsidR="00C6444C" w:rsidRPr="00020D20" w:rsidRDefault="00202C92">
                            <w:pPr>
                              <w:pStyle w:val="Title"/>
                              <w:rPr>
                                <w:sz w:val="16"/>
                              </w:rPr>
                            </w:pPr>
                            <w:hyperlink r:id="rId1223" w:history="1">
                              <w:r w:rsidR="00C6444C" w:rsidRPr="00020D20">
                                <w:rPr>
                                  <w:rStyle w:val="Hyperlink"/>
                                  <w:rFonts w:ascii="Calibri" w:hAnsi="Calibri" w:cstheme="majorBidi"/>
                                  <w:i/>
                                  <w:iCs w:val="0"/>
                                  <w:color w:val="CE5B18"/>
                                  <w:szCs w:val="56"/>
                                  <w:u w:val="none"/>
                                </w:rPr>
                                <w:t>https://azdot.gov/adot-news/adot-finalizes-bicycle-and-pedestrian-plan-update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BE31E4" id="Text Box 816286315" o:spid="_x0000_s1326" type="#_x0000_t202" style="position:absolute;left:0;text-align:left;margin-left:5in;margin-top:106.15pt;width:108.1pt;height:117pt;z-index:-251698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" fillcolor="#f7f7f7" stroked="f" strokeweight=".5pt">
                <v:shadow on="t" type="perspective" color="black" opacity="26214f" offset="0,0" matrix="66847f,,,66847f"/>
                <v:textbox>
                  <w:txbxContent>
                    <w:p w14:paraId="584F9902" w14:textId="77777777" w:rsidR="00C6444C" w:rsidRDefault="00C6444C" w:rsidP="00020D20">
                      <w:pPr>
                        <w:jc w:val="center"/>
                      </w:pPr>
                      <w:r>
                        <w:rPr>
                          <w:noProof/>
                        </w:rPr>
                        <w:drawing>
                          <wp:inline distT="0" distB="0" distL="0" distR="0" wp14:anchorId="2A8BEB39" wp14:editId="1FFEBA6E">
                            <wp:extent cx="457200" cy="457200"/>
                            <wp:effectExtent l="0" t="0" r="0" b="0"/>
                            <wp:docPr id="1690912745" name="Picture 169091274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6CA5B47" w14:textId="3910FD45" w:rsidR="00C6444C" w:rsidRPr="00977A9B" w:rsidRDefault="00C6444C" w:rsidP="00020D20">
                      <w:pPr>
                        <w:pStyle w:val="Calloutboxes"/>
                      </w:pPr>
                      <w:r w:rsidRPr="005A6734">
                        <w:t>The ADOT Statewide Bicycle and Pedestrian Plan Update can be found here:</w:t>
                      </w:r>
                    </w:p>
                    <w:p w14:paraId="4D6F38AB" w14:textId="5566E802" w:rsidR="00C6444C" w:rsidRPr="00020D20" w:rsidRDefault="00C6444C">
                      <w:pPr>
                        <w:pStyle w:val="Title"/>
                        <w:rPr>
                          <w:sz w:val="16"/>
                        </w:rPr>
                      </w:pPr>
                      <w:hyperlink r:id="rId1224" w:history="1">
                        <w:r w:rsidRPr="00020D20">
                          <w:rPr>
                            <w:rStyle w:val="Hyperlink"/>
                            <w:rFonts w:ascii="Calibri" w:hAnsi="Calibri" w:cstheme="majorBidi"/>
                            <w:i/>
                            <w:iCs w:val="0"/>
                            <w:color w:val="CE5B18"/>
                            <w:szCs w:val="56"/>
                            <w:u w:val="none"/>
                          </w:rPr>
                          <w:t>https://azdot.gov/adot-news/adot-finalizes-bicycle-and-pedestrian-plan-update</w:t>
                        </w:r>
                      </w:hyperlink>
                    </w:p>
                  </w:txbxContent>
                </v:textbox>
                <w10:wrap type="tight"/>
              </v:shape>
            </w:pict>
          </mc:Fallback>
        </mc:AlternateContent>
      </w:r>
      <w:r>
        <w:rPr>
          <w:noProof/>
        </w:rPr>
        <mc:AlternateContent>
          <mc:Choice Requires="wps">
            <w:drawing>
              <wp:anchor distT="0" distB="0" distL="114300" distR="114300" simplePos="0" relativeHeight="251618433" behindDoc="1" locked="0" layoutInCell="1" allowOverlap="1" wp14:anchorId="13DAC044" wp14:editId="0935B7ED">
                <wp:simplePos x="0" y="0"/>
                <wp:positionH relativeFrom="column">
                  <wp:posOffset>4572000</wp:posOffset>
                </wp:positionH>
                <wp:positionV relativeFrom="paragraph">
                  <wp:posOffset>90805</wp:posOffset>
                </wp:positionV>
                <wp:extent cx="1372870" cy="1143000"/>
                <wp:effectExtent l="95250" t="76200" r="93980" b="76200"/>
                <wp:wrapTight wrapText="bothSides">
                  <wp:wrapPolygon edited="0">
                    <wp:start x="-899" y="-1440"/>
                    <wp:lineTo x="-1499" y="-1080"/>
                    <wp:lineTo x="-1199" y="22680"/>
                    <wp:lineTo x="22479" y="22680"/>
                    <wp:lineTo x="22779" y="4680"/>
                    <wp:lineTo x="22179" y="-720"/>
                    <wp:lineTo x="22179" y="-1440"/>
                    <wp:lineTo x="-899" y="-1440"/>
                  </wp:wrapPolygon>
                </wp:wrapTight>
                <wp:docPr id="816286313" name="Text Box 816286313"/>
                <wp:cNvGraphicFramePr/>
                <a:graphic xmlns:a="http://schemas.openxmlformats.org/drawingml/2006/main">
                  <a:graphicData uri="http://schemas.microsoft.com/office/word/2010/wordprocessingShape">
                    <wps:wsp>
                      <wps:cNvSpPr txBox="1"/>
                      <wps:spPr>
                        <a:xfrm>
                          <a:off x="0" y="0"/>
                          <a:ext cx="137287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2FFA94F" w14:textId="77777777" w:rsidR="00C6444C" w:rsidRDefault="00C6444C" w:rsidP="00020D20">
                            <w:pPr>
                              <w:jc w:val="center"/>
                            </w:pPr>
                            <w:r>
                              <w:rPr>
                                <w:noProof/>
                              </w:rPr>
                              <w:drawing>
                                <wp:inline distT="0" distB="0" distL="0" distR="0" wp14:anchorId="2A2B7548" wp14:editId="6C5A0981">
                                  <wp:extent cx="457200" cy="457200"/>
                                  <wp:effectExtent l="0" t="0" r="0" b="0"/>
                                  <wp:docPr id="1690912748" name="Picture 169091274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077ACC3" w14:textId="23FF37C4" w:rsidR="00C6444C" w:rsidRPr="00977A9B" w:rsidRDefault="00C6444C" w:rsidP="00020D20">
                            <w:pPr>
                              <w:pStyle w:val="Calloutboxes"/>
                            </w:pPr>
                            <w:r w:rsidRPr="005A6734">
                              <w:t>ADOT Bicycle and Pedestrian Program:</w:t>
                            </w:r>
                          </w:p>
                          <w:p w14:paraId="563C5B9E" w14:textId="24D941E9" w:rsidR="00C6444C" w:rsidRPr="00020D20" w:rsidRDefault="00202C92">
                            <w:pPr>
                              <w:pStyle w:val="Title"/>
                              <w:rPr>
                                <w:sz w:val="16"/>
                              </w:rPr>
                            </w:pPr>
                            <w:hyperlink r:id="rId1225" w:history="1">
                              <w:r w:rsidR="00C6444C" w:rsidRPr="00020D20">
                                <w:rPr>
                                  <w:rStyle w:val="Hyperlink"/>
                                  <w:rFonts w:ascii="Calibri" w:hAnsi="Calibri" w:cstheme="majorBidi"/>
                                  <w:i/>
                                  <w:iCs w:val="0"/>
                                  <w:color w:val="CE5B18"/>
                                  <w:szCs w:val="56"/>
                                  <w:u w:val="none"/>
                                </w:rPr>
                                <w:t>http://www.azbikeped.org/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DAC044" id="Text Box 816286313" o:spid="_x0000_s1327" type="#_x0000_t202" style="position:absolute;left:0;text-align:left;margin-left:5in;margin-top:7.15pt;width:108.1pt;height:90pt;z-index:-25169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" fillcolor="#f7f7f7" stroked="f" strokeweight=".5pt">
                <v:shadow on="t" type="perspective" color="black" opacity="26214f" offset="0,0" matrix="66847f,,,66847f"/>
                <v:textbox>
                  <w:txbxContent>
                    <w:p w14:paraId="52FFA94F" w14:textId="77777777" w:rsidR="00C6444C" w:rsidRDefault="00C6444C" w:rsidP="00020D20">
                      <w:pPr>
                        <w:jc w:val="center"/>
                      </w:pPr>
                      <w:r>
                        <w:rPr>
                          <w:noProof/>
                        </w:rPr>
                        <w:drawing>
                          <wp:inline distT="0" distB="0" distL="0" distR="0" wp14:anchorId="2A2B7548" wp14:editId="6C5A0981">
                            <wp:extent cx="457200" cy="457200"/>
                            <wp:effectExtent l="0" t="0" r="0" b="0"/>
                            <wp:docPr id="1690912748" name="Picture 1690912748">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2077ACC3" w14:textId="23FF37C4" w:rsidR="00C6444C" w:rsidRPr="00977A9B" w:rsidRDefault="00C6444C" w:rsidP="00020D20">
                      <w:pPr>
                        <w:pStyle w:val="Calloutboxes"/>
                      </w:pPr>
                      <w:r w:rsidRPr="005A6734">
                        <w:t>ADOT Bicycle and Pedestrian Program:</w:t>
                      </w:r>
                    </w:p>
                    <w:p w14:paraId="563C5B9E" w14:textId="24D941E9" w:rsidR="00C6444C" w:rsidRPr="00020D20" w:rsidRDefault="00C6444C">
                      <w:pPr>
                        <w:pStyle w:val="Title"/>
                        <w:rPr>
                          <w:sz w:val="16"/>
                        </w:rPr>
                      </w:pPr>
                      <w:hyperlink r:id="rId1226" w:history="1">
                        <w:r w:rsidRPr="00020D20">
                          <w:rPr>
                            <w:rStyle w:val="Hyperlink"/>
                            <w:rFonts w:ascii="Calibri" w:hAnsi="Calibri" w:cstheme="majorBidi"/>
                            <w:i/>
                            <w:iCs w:val="0"/>
                            <w:color w:val="CE5B18"/>
                            <w:szCs w:val="56"/>
                            <w:u w:val="none"/>
                          </w:rPr>
                          <w:t>http://www.azbikeped.org/</w:t>
                        </w:r>
                      </w:hyperlink>
                    </w:p>
                  </w:txbxContent>
                </v:textbox>
                <w10:wrap type="tight"/>
              </v:shape>
            </w:pict>
          </mc:Fallback>
        </mc:AlternateContent>
      </w:r>
      <w:r w:rsidR="00EB4863">
        <w:t xml:space="preserve">17.12 </w:t>
      </w:r>
      <w:r w:rsidR="00665A4E" w:rsidRPr="00665A4E">
        <w:t>|</w:t>
      </w:r>
      <w:r w:rsidR="000E518A">
        <w:t xml:space="preserve"> </w:t>
      </w:r>
      <w:r w:rsidR="00665A4E" w:rsidRPr="00D452DC">
        <w:t>Bicycle</w:t>
      </w:r>
      <w:r w:rsidR="00665A4E" w:rsidRPr="00665A4E">
        <w:t xml:space="preserve"> </w:t>
      </w:r>
      <w:r w:rsidR="003C2DDF">
        <w:t>and</w:t>
      </w:r>
      <w:r w:rsidR="00665A4E" w:rsidRPr="00665A4E">
        <w:t xml:space="preserve"> Pedestrian Planning</w:t>
      </w:r>
      <w:bookmarkEnd w:id="763"/>
      <w:bookmarkEnd w:id="764"/>
      <w:bookmarkEnd w:id="765"/>
    </w:p>
    <w:p w14:paraId="11783E5A" w14:textId="77777777" w:rsidR="00775BB7" w:rsidRDefault="00775BB7" w:rsidP="00020D20">
      <w:pPr>
        <w:jc w:val="both"/>
        <w:rPr>
          <w:rFonts w:cstheme="minorHAnsi"/>
        </w:rPr>
        <w:sectPr w:rsidR="00775BB7" w:rsidSect="00020D20">
          <w:pgSz w:w="12240" w:h="15840"/>
          <w:pgMar w:top="1440" w:right="1440" w:bottom="1440" w:left="1440" w:header="720" w:footer="720" w:gutter="0"/>
          <w:pgNumType w:chapStyle="1"/>
          <w:cols w:space="720"/>
          <w:docGrid w:linePitch="360"/>
        </w:sectPr>
      </w:pPr>
    </w:p>
    <w:p w14:paraId="1F11D0A4" w14:textId="1B85DDF0" w:rsidR="00665A4E" w:rsidRPr="007C249F" w:rsidRDefault="00D452DC" w:rsidP="00020D20">
      <w:pPr>
        <w:pStyle w:val="Heading3"/>
        <w:jc w:val="both"/>
      </w:pPr>
      <w:bookmarkStart w:id="766" w:name="_Ref50050752"/>
      <w:r w:rsidRPr="007C249F">
        <w:t>17.12.1 | I</w:t>
      </w:r>
      <w:r w:rsidR="00665A4E" w:rsidRPr="007C249F">
        <w:t>ntroduction</w:t>
      </w:r>
      <w:bookmarkEnd w:id="766"/>
    </w:p>
    <w:p w14:paraId="097DF16F" w14:textId="040CA3FE" w:rsidR="00665A4E" w:rsidRPr="00665A4E" w:rsidRDefault="00665A4E" w:rsidP="00020D20">
      <w:pPr>
        <w:jc w:val="both"/>
        <w:rPr>
          <w:rFonts w:cstheme="minorHAnsi"/>
        </w:rPr>
      </w:pPr>
      <w:r w:rsidRPr="00665A4E">
        <w:rPr>
          <w:rFonts w:cstheme="minorHAnsi"/>
        </w:rPr>
        <w:t xml:space="preserve">Bicycle and pedestrian planning considers the ways bicycling and walking can be integrated into MPO/COG transportation programs and planning in order to meet the USDOT policy requirements. </w:t>
      </w:r>
    </w:p>
    <w:p w14:paraId="3FA3E3BD" w14:textId="58D68A3B" w:rsidR="00665A4E" w:rsidRPr="00665A4E" w:rsidRDefault="005C125D" w:rsidP="00020D20">
      <w:pPr>
        <w:jc w:val="both"/>
        <w:rPr>
          <w:rFonts w:cstheme="minorHAnsi"/>
        </w:rPr>
      </w:pPr>
      <w:r>
        <w:rPr>
          <w:rFonts w:cstheme="minorHAnsi"/>
          <w:noProof/>
        </w:rPr>
        <mc:AlternateContent>
          <mc:Choice Requires="wps">
            <w:drawing>
              <wp:anchor distT="0" distB="0" distL="114300" distR="114300" simplePos="0" relativeHeight="251618430" behindDoc="1" locked="0" layoutInCell="1" allowOverlap="1" wp14:anchorId="211DC469" wp14:editId="6CDDC095">
                <wp:simplePos x="0" y="0"/>
                <wp:positionH relativeFrom="column">
                  <wp:posOffset>0</wp:posOffset>
                </wp:positionH>
                <wp:positionV relativeFrom="paragraph">
                  <wp:posOffset>2289810</wp:posOffset>
                </wp:positionV>
                <wp:extent cx="1372870" cy="1485900"/>
                <wp:effectExtent l="76200" t="95250" r="74930" b="95250"/>
                <wp:wrapTight wrapText="bothSides">
                  <wp:wrapPolygon edited="0">
                    <wp:start x="-1199" y="-1385"/>
                    <wp:lineTo x="-1199" y="22708"/>
                    <wp:lineTo x="22479" y="22708"/>
                    <wp:lineTo x="22479" y="-1385"/>
                    <wp:lineTo x="-1199" y="-1385"/>
                  </wp:wrapPolygon>
                </wp:wrapTight>
                <wp:docPr id="816286308" name="Text Box 816286308"/>
                <wp:cNvGraphicFramePr/>
                <a:graphic xmlns:a="http://schemas.openxmlformats.org/drawingml/2006/main">
                  <a:graphicData uri="http://schemas.microsoft.com/office/word/2010/wordprocessingShape">
                    <wps:wsp>
                      <wps:cNvSpPr txBox="1"/>
                      <wps:spPr>
                        <a:xfrm>
                          <a:off x="0" y="0"/>
                          <a:ext cx="137287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644606E" w14:textId="77777777" w:rsidR="00C6444C" w:rsidRDefault="00C6444C" w:rsidP="00020D20">
                            <w:pPr>
                              <w:jc w:val="center"/>
                            </w:pPr>
                            <w:r>
                              <w:rPr>
                                <w:noProof/>
                              </w:rPr>
                              <w:drawing>
                                <wp:inline distT="0" distB="0" distL="0" distR="0" wp14:anchorId="0CA6D508" wp14:editId="1B24C3AF">
                                  <wp:extent cx="457200" cy="457200"/>
                                  <wp:effectExtent l="0" t="0" r="0" b="0"/>
                                  <wp:docPr id="1690912794" name="Picture 169091279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79DCBB" w14:textId="192F1953" w:rsidR="00C6444C" w:rsidRPr="001E4049" w:rsidRDefault="00C6444C" w:rsidP="00020D20">
                            <w:pPr>
                              <w:pStyle w:val="Calloutboxes"/>
                            </w:pPr>
                            <w:r w:rsidRPr="005A6734">
                              <w:t>US DOT Policy Statement on Bicycle and Pedestrian</w:t>
                            </w:r>
                            <w:r w:rsidRPr="00977A9B">
                              <w:t xml:space="preserve"> Accommodation:</w:t>
                            </w:r>
                          </w:p>
                          <w:p w14:paraId="280F3CEE" w14:textId="09035E27" w:rsidR="00C6444C" w:rsidRPr="00020D20" w:rsidRDefault="00202C92">
                            <w:pPr>
                              <w:pStyle w:val="Title"/>
                              <w:rPr>
                                <w:sz w:val="16"/>
                                <w:szCs w:val="16"/>
                              </w:rPr>
                            </w:pPr>
                            <w:hyperlink r:id="rId1227" w:history="1">
                              <w:r w:rsidR="00C6444C" w:rsidRPr="003F2921">
                                <w:rPr>
                                  <w:rStyle w:val="Hyperlink"/>
                                  <w:rFonts w:ascii="Calibri" w:hAnsi="Calibri" w:cstheme="majorBidi"/>
                                  <w:i/>
                                  <w:color w:val="CE5B18"/>
                                  <w:u w:val="none"/>
                                </w:rPr>
                                <w:t>https://www.fhwa.dot.gov/environment/bicycle_pedestrian/guidance/policy_accom.cfm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1DC469" id="Text Box 816286308" o:spid="_x0000_s1328" type="#_x0000_t202" style="position:absolute;left:0;text-align:left;margin-left:0;margin-top:180.3pt;width:108.1pt;height:117pt;z-index:-2516980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" fillcolor="#f7f7f7" stroked="f" strokeweight=".5pt">
                <v:shadow on="t" type="perspective" color="black" opacity="26214f" offset="0,0" matrix="66847f,,,66847f"/>
                <v:textbox>
                  <w:txbxContent>
                    <w:p w14:paraId="1644606E" w14:textId="77777777" w:rsidR="00C6444C" w:rsidRDefault="00C6444C" w:rsidP="00020D20">
                      <w:pPr>
                        <w:jc w:val="center"/>
                      </w:pPr>
                      <w:r>
                        <w:rPr>
                          <w:noProof/>
                        </w:rPr>
                        <w:drawing>
                          <wp:inline distT="0" distB="0" distL="0" distR="0" wp14:anchorId="0CA6D508" wp14:editId="1B24C3AF">
                            <wp:extent cx="457200" cy="457200"/>
                            <wp:effectExtent l="0" t="0" r="0" b="0"/>
                            <wp:docPr id="1690912794" name="Picture 169091279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6479DCBB" w14:textId="192F1953" w:rsidR="00C6444C" w:rsidRPr="001E4049" w:rsidRDefault="00C6444C" w:rsidP="00020D20">
                      <w:pPr>
                        <w:pStyle w:val="Calloutboxes"/>
                      </w:pPr>
                      <w:r w:rsidRPr="005A6734">
                        <w:t>US DOT Policy Statement on Bicycle and Pedestrian</w:t>
                      </w:r>
                      <w:r w:rsidRPr="00977A9B">
                        <w:t xml:space="preserve"> Accommodation:</w:t>
                      </w:r>
                    </w:p>
                    <w:p w14:paraId="280F3CEE" w14:textId="09035E27" w:rsidR="00C6444C" w:rsidRPr="00020D20" w:rsidRDefault="00C6444C">
                      <w:pPr>
                        <w:pStyle w:val="Title"/>
                        <w:rPr>
                          <w:sz w:val="16"/>
                          <w:szCs w:val="16"/>
                        </w:rPr>
                      </w:pPr>
                      <w:hyperlink r:id="rId1228" w:history="1">
                        <w:r w:rsidRPr="003F2921">
                          <w:rPr>
                            <w:rStyle w:val="Hyperlink"/>
                            <w:rFonts w:ascii="Calibri" w:hAnsi="Calibri" w:cstheme="majorBidi"/>
                            <w:i/>
                            <w:color w:val="CE5B18"/>
                            <w:u w:val="none"/>
                          </w:rPr>
                          <w:t>https://www.fhwa.dot.gov/environment/bicycle_pedestrian/guidance/policy_accom.cfm</w:t>
                        </w:r>
                      </w:hyperlink>
                    </w:p>
                  </w:txbxContent>
                </v:textbox>
                <w10:wrap type="tight"/>
              </v:shape>
            </w:pict>
          </mc:Fallback>
        </mc:AlternateContent>
      </w:r>
      <w:r w:rsidR="00665A4E" w:rsidRPr="00665A4E">
        <w:rPr>
          <w:rFonts w:cstheme="minorHAnsi"/>
        </w:rPr>
        <w:t xml:space="preserve">Based on various sections of the United States Code and the Code of Federal Regulations, the United States Department of Transportation Policy Statement on Bicycle and Pedestrian Accommodation Regulations and Recommendations requires that bicycle and pedestrian facilities be incorporated into state, regional and local transportation systems and projects. </w:t>
      </w:r>
      <w:hyperlink r:id="rId1229" w:history="1">
        <w:r w:rsidR="00665A4E" w:rsidRPr="00020D20">
          <w:rPr>
            <w:rStyle w:val="TitleChar"/>
          </w:rPr>
          <w:t>23 U.S.C. § 217</w:t>
        </w:r>
      </w:hyperlink>
      <w:r w:rsidR="00665A4E" w:rsidRPr="00665A4E">
        <w:rPr>
          <w:rFonts w:cstheme="minorHAnsi"/>
        </w:rPr>
        <w:t xml:space="preserve">: Bicycle Transportation and Pedestrian Walkways includes this requirement: Bicyclists and pedestrians shall be given due consideration in the comprehensive transportation plans developed by each metropolitan planning organization and </w:t>
      </w:r>
      <w:r w:rsidR="00836FD9">
        <w:rPr>
          <w:rFonts w:cstheme="minorHAnsi"/>
        </w:rPr>
        <w:t>s</w:t>
      </w:r>
      <w:r w:rsidR="00665A4E" w:rsidRPr="00665A4E">
        <w:rPr>
          <w:rFonts w:cstheme="minorHAnsi"/>
        </w:rPr>
        <w:t>tate in accordance with sections 134 and 135” (</w:t>
      </w:r>
      <w:hyperlink r:id="rId1230" w:history="1">
        <w:r w:rsidR="00665A4E" w:rsidRPr="009B6DC2">
          <w:rPr>
            <w:rStyle w:val="TitleChar"/>
          </w:rPr>
          <w:t>23 U.S.C. § 217(g)(1)</w:t>
        </w:r>
      </w:hyperlink>
      <w:r w:rsidR="00665A4E" w:rsidRPr="00665A4E">
        <w:rPr>
          <w:rFonts w:cstheme="minorHAnsi"/>
        </w:rPr>
        <w:t xml:space="preserve">; see also </w:t>
      </w:r>
      <w:hyperlink r:id="rId1231" w:history="1">
        <w:r w:rsidR="00665A4E" w:rsidRPr="009B6DC2">
          <w:rPr>
            <w:rStyle w:val="TitleChar"/>
          </w:rPr>
          <w:t>23 U.S.C. § 134</w:t>
        </w:r>
      </w:hyperlink>
      <w:r w:rsidR="00665A4E" w:rsidRPr="00665A4E">
        <w:rPr>
          <w:rFonts w:cstheme="minorHAnsi"/>
        </w:rPr>
        <w:t xml:space="preserve"> and </w:t>
      </w:r>
      <w:hyperlink r:id="rId1232" w:history="1">
        <w:r w:rsidR="00665A4E" w:rsidRPr="009B6DC2">
          <w:rPr>
            <w:rStyle w:val="TitleChar"/>
          </w:rPr>
          <w:t>23 U.S.C. § 135</w:t>
        </w:r>
      </w:hyperlink>
      <w:r w:rsidR="00665A4E" w:rsidRPr="00665A4E">
        <w:rPr>
          <w:rFonts w:cstheme="minorHAnsi"/>
        </w:rPr>
        <w:t>).</w:t>
      </w:r>
    </w:p>
    <w:p w14:paraId="0D649288" w14:textId="34F5616D" w:rsidR="00665A4E" w:rsidRPr="00665A4E" w:rsidRDefault="00CA74F1" w:rsidP="00020D20">
      <w:pPr>
        <w:jc w:val="both"/>
        <w:rPr>
          <w:rFonts w:cstheme="minorHAnsi"/>
          <w:b/>
        </w:rPr>
      </w:pPr>
      <w:r>
        <w:rPr>
          <w:rFonts w:cstheme="minorHAnsi"/>
          <w:noProof/>
        </w:rPr>
        <mc:AlternateContent>
          <mc:Choice Requires="wps">
            <w:drawing>
              <wp:anchor distT="0" distB="0" distL="114300" distR="114300" simplePos="0" relativeHeight="251618431" behindDoc="1" locked="0" layoutInCell="1" allowOverlap="1" wp14:anchorId="6B568CD0" wp14:editId="12320AE5">
                <wp:simplePos x="0" y="0"/>
                <wp:positionH relativeFrom="column">
                  <wp:posOffset>0</wp:posOffset>
                </wp:positionH>
                <wp:positionV relativeFrom="paragraph">
                  <wp:posOffset>821690</wp:posOffset>
                </wp:positionV>
                <wp:extent cx="1372870" cy="1257300"/>
                <wp:effectExtent l="95250" t="76200" r="93980" b="76200"/>
                <wp:wrapTight wrapText="bothSides">
                  <wp:wrapPolygon edited="0">
                    <wp:start x="-899" y="-1309"/>
                    <wp:lineTo x="-1499" y="-982"/>
                    <wp:lineTo x="-1199" y="22582"/>
                    <wp:lineTo x="22479" y="22582"/>
                    <wp:lineTo x="22779" y="4255"/>
                    <wp:lineTo x="22179" y="-655"/>
                    <wp:lineTo x="22179" y="-1309"/>
                    <wp:lineTo x="-899" y="-1309"/>
                  </wp:wrapPolygon>
                </wp:wrapTight>
                <wp:docPr id="816286310" name="Text Box 816286310"/>
                <wp:cNvGraphicFramePr/>
                <a:graphic xmlns:a="http://schemas.openxmlformats.org/drawingml/2006/main">
                  <a:graphicData uri="http://schemas.microsoft.com/office/word/2010/wordprocessingShape">
                    <wps:wsp>
                      <wps:cNvSpPr txBox="1"/>
                      <wps:spPr>
                        <a:xfrm>
                          <a:off x="0" y="0"/>
                          <a:ext cx="1372870" cy="12573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6602F305" w14:textId="77777777" w:rsidR="00C6444C" w:rsidRDefault="00C6444C" w:rsidP="00020D20">
                            <w:pPr>
                              <w:jc w:val="center"/>
                            </w:pPr>
                            <w:r>
                              <w:rPr>
                                <w:noProof/>
                              </w:rPr>
                              <w:drawing>
                                <wp:inline distT="0" distB="0" distL="0" distR="0" wp14:anchorId="5DA2F536" wp14:editId="4FA60D21">
                                  <wp:extent cx="457200" cy="457200"/>
                                  <wp:effectExtent l="0" t="0" r="0" b="0"/>
                                  <wp:docPr id="1690912795" name="Picture 1690912795">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A31F7A9" w14:textId="635AA73E" w:rsidR="00C6444C" w:rsidRPr="001E4049" w:rsidRDefault="00C6444C" w:rsidP="00020D20">
                            <w:pPr>
                              <w:pStyle w:val="Calloutboxes"/>
                            </w:pPr>
                            <w:r w:rsidRPr="005A6734">
                              <w:t xml:space="preserve">USDOT Bicycle </w:t>
                            </w:r>
                            <w:r w:rsidRPr="00977A9B">
                              <w:t>and Pedestrian Program:</w:t>
                            </w:r>
                          </w:p>
                          <w:p w14:paraId="2FDBDB05" w14:textId="3E0C1A6A" w:rsidR="00C6444C" w:rsidRPr="00020D20" w:rsidRDefault="00202C92">
                            <w:pPr>
                              <w:pStyle w:val="Title"/>
                              <w:rPr>
                                <w:sz w:val="16"/>
                              </w:rPr>
                            </w:pPr>
                            <w:hyperlink r:id="rId1233" w:history="1">
                              <w:r w:rsidR="00C6444C" w:rsidRPr="00020D20">
                                <w:rPr>
                                  <w:rStyle w:val="Hyperlink"/>
                                  <w:rFonts w:ascii="Calibri" w:hAnsi="Calibri" w:cstheme="majorBidi"/>
                                  <w:i/>
                                  <w:iCs w:val="0"/>
                                  <w:color w:val="CE5B18"/>
                                  <w:szCs w:val="56"/>
                                  <w:u w:val="none"/>
                                </w:rPr>
                                <w:t>https://www.transportation.gov/bicycles-pedestrians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568CD0" id="Text Box 816286310" o:spid="_x0000_s1329" type="#_x0000_t202" style="position:absolute;left:0;text-align:left;margin-left:0;margin-top:64.7pt;width:108.1pt;height:99pt;z-index:-251698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" fillcolor="#f7f7f7" stroked="f" strokeweight=".5pt">
                <v:shadow on="t" type="perspective" color="black" opacity="26214f" offset="0,0" matrix="66847f,,,66847f"/>
                <v:textbox>
                  <w:txbxContent>
                    <w:p w14:paraId="6602F305" w14:textId="77777777" w:rsidR="00C6444C" w:rsidRDefault="00C6444C" w:rsidP="00020D20">
                      <w:pPr>
                        <w:jc w:val="center"/>
                      </w:pPr>
                      <w:r>
                        <w:rPr>
                          <w:noProof/>
                        </w:rPr>
                        <w:drawing>
                          <wp:inline distT="0" distB="0" distL="0" distR="0" wp14:anchorId="5DA2F536" wp14:editId="4FA60D21">
                            <wp:extent cx="457200" cy="457200"/>
                            <wp:effectExtent l="0" t="0" r="0" b="0"/>
                            <wp:docPr id="1690912795" name="Picture 1690912795">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A31F7A9" w14:textId="635AA73E" w:rsidR="00C6444C" w:rsidRPr="001E4049" w:rsidRDefault="00C6444C" w:rsidP="00020D20">
                      <w:pPr>
                        <w:pStyle w:val="Calloutboxes"/>
                      </w:pPr>
                      <w:r w:rsidRPr="005A6734">
                        <w:t xml:space="preserve">USDOT Bicycle </w:t>
                      </w:r>
                      <w:r w:rsidRPr="00977A9B">
                        <w:t>and Pedestrian Program:</w:t>
                      </w:r>
                    </w:p>
                    <w:p w14:paraId="2FDBDB05" w14:textId="3E0C1A6A" w:rsidR="00C6444C" w:rsidRPr="00020D20" w:rsidRDefault="00C6444C">
                      <w:pPr>
                        <w:pStyle w:val="Title"/>
                        <w:rPr>
                          <w:sz w:val="16"/>
                        </w:rPr>
                      </w:pPr>
                      <w:hyperlink r:id="rId1234" w:history="1">
                        <w:r w:rsidRPr="00020D20">
                          <w:rPr>
                            <w:rStyle w:val="Hyperlink"/>
                            <w:rFonts w:ascii="Calibri" w:hAnsi="Calibri" w:cstheme="majorBidi"/>
                            <w:i/>
                            <w:iCs w:val="0"/>
                            <w:color w:val="CE5B18"/>
                            <w:szCs w:val="56"/>
                            <w:u w:val="none"/>
                          </w:rPr>
                          <w:t>https://www.transportation.gov/bicycles-pedestrians</w:t>
                        </w:r>
                      </w:hyperlink>
                    </w:p>
                  </w:txbxContent>
                </v:textbox>
                <w10:wrap type="tight"/>
              </v:shape>
            </w:pict>
          </mc:Fallback>
        </mc:AlternateContent>
      </w:r>
      <w:r w:rsidR="00665A4E" w:rsidRPr="00665A4E">
        <w:rPr>
          <w:rFonts w:cstheme="minorHAnsi"/>
        </w:rPr>
        <w:t>The USDOT considers bicycles equal with other modes of transportation, and its policies encourage transportation agencies to adopt similar statements on bicycle and pedestrian accommodations, particularly because of the individual and community benefits provided by bicycling and walking. The needs of bicyclists and pedestrians of all abilities should be involved throughout the planning process and should not be adversely affected by other transportation projects. Regional and local transportation agencies should be able to track annual obligations and expenditures of non-motorized transportation facilities</w:t>
      </w:r>
      <w:r w:rsidR="001C1340">
        <w:rPr>
          <w:rFonts w:cstheme="minorHAnsi"/>
        </w:rPr>
        <w:t>.</w:t>
      </w:r>
      <w:r w:rsidR="001C5435" w:rsidRPr="001C5435">
        <w:rPr>
          <w:rFonts w:cstheme="minorHAnsi"/>
        </w:rPr>
        <w:t xml:space="preserve"> </w:t>
      </w:r>
    </w:p>
    <w:p w14:paraId="66562480" w14:textId="75C95731" w:rsidR="00665A4E" w:rsidRPr="00665A4E" w:rsidRDefault="00665A4E" w:rsidP="00020D20">
      <w:pPr>
        <w:jc w:val="both"/>
        <w:rPr>
          <w:rFonts w:cstheme="minorHAnsi"/>
        </w:rPr>
      </w:pPr>
      <w:r w:rsidRPr="00665A4E">
        <w:rPr>
          <w:rFonts w:cstheme="minorHAnsi"/>
        </w:rPr>
        <w:t>The recently updated ADOT Statewide Bicycle and Pedestrian Plan presents a vision for bicycling and walking in Arizona. This plan is intended to guide transportation decisions regarding the creation of shared roadways and bicycle and pedestrian facilities along the state highway system. The plan includes:</w:t>
      </w:r>
    </w:p>
    <w:p w14:paraId="11C32C14" w14:textId="731955DE" w:rsidR="00665A4E" w:rsidRPr="00665A4E" w:rsidRDefault="00665A4E" w:rsidP="00020D20">
      <w:pPr>
        <w:pStyle w:val="Body-Bullets"/>
        <w:jc w:val="both"/>
      </w:pPr>
      <w:r w:rsidRPr="00665A4E">
        <w:t>Goal No. 1: Increase bicycle and pedestrian trips.</w:t>
      </w:r>
    </w:p>
    <w:p w14:paraId="077EAC1F" w14:textId="6D66827B" w:rsidR="00665A4E" w:rsidRPr="00665A4E" w:rsidRDefault="00665A4E" w:rsidP="00020D20">
      <w:pPr>
        <w:pStyle w:val="Body-Bullets"/>
        <w:jc w:val="both"/>
      </w:pPr>
      <w:r w:rsidRPr="00665A4E">
        <w:t>Goal No. 2: Improve bicycle and pedestrian safety.</w:t>
      </w:r>
    </w:p>
    <w:p w14:paraId="219DE539" w14:textId="48496E5C" w:rsidR="00665A4E" w:rsidRPr="00665A4E" w:rsidRDefault="00665A4E" w:rsidP="00020D20">
      <w:pPr>
        <w:pStyle w:val="Body-Bullets"/>
        <w:jc w:val="both"/>
      </w:pPr>
      <w:r w:rsidRPr="00665A4E">
        <w:t xml:space="preserve">Goal No. 3: Improve bicycle and pedestrian infrastructure. </w:t>
      </w:r>
    </w:p>
    <w:p w14:paraId="52CD75B5" w14:textId="6C01B633" w:rsidR="007C249F" w:rsidRPr="00665A4E" w:rsidRDefault="007C249F" w:rsidP="00020D20">
      <w:pPr>
        <w:pStyle w:val="Heading3"/>
        <w:jc w:val="both"/>
      </w:pPr>
      <w:bookmarkStart w:id="767" w:name="_Ref50050757"/>
      <w:r w:rsidRPr="00665A4E">
        <w:t xml:space="preserve">17.12.2 | </w:t>
      </w:r>
      <w:r>
        <w:t>A</w:t>
      </w:r>
      <w:r w:rsidRPr="00665A4E">
        <w:t xml:space="preserve">rizona </w:t>
      </w:r>
      <w:r>
        <w:t>P</w:t>
      </w:r>
      <w:r w:rsidRPr="00665A4E">
        <w:t>oli</w:t>
      </w:r>
      <w:r w:rsidR="00317205">
        <w:t>cies</w:t>
      </w:r>
      <w:bookmarkEnd w:id="767"/>
    </w:p>
    <w:p w14:paraId="2F29842F" w14:textId="68372868" w:rsidR="007C249F" w:rsidRPr="00794754" w:rsidRDefault="007C249F" w:rsidP="00020D20">
      <w:pPr>
        <w:jc w:val="both"/>
        <w:rPr>
          <w:rFonts w:cstheme="minorHAnsi"/>
        </w:rPr>
      </w:pPr>
      <w:r>
        <w:rPr>
          <w:rFonts w:cstheme="minorHAnsi"/>
          <w:noProof/>
        </w:rPr>
        <mc:AlternateContent>
          <mc:Choice Requires="wps">
            <w:drawing>
              <wp:anchor distT="0" distB="0" distL="114300" distR="114300" simplePos="0" relativeHeight="251618601" behindDoc="1" locked="0" layoutInCell="1" allowOverlap="1" wp14:anchorId="0F84F83A" wp14:editId="0EA76ACE">
                <wp:simplePos x="0" y="0"/>
                <wp:positionH relativeFrom="column">
                  <wp:posOffset>1371600</wp:posOffset>
                </wp:positionH>
                <wp:positionV relativeFrom="paragraph">
                  <wp:posOffset>73025</wp:posOffset>
                </wp:positionV>
                <wp:extent cx="1372870" cy="1123950"/>
                <wp:effectExtent l="95250" t="76200" r="93980" b="76200"/>
                <wp:wrapTight wrapText="bothSides">
                  <wp:wrapPolygon edited="0">
                    <wp:start x="-899" y="-1464"/>
                    <wp:lineTo x="-1499" y="-1098"/>
                    <wp:lineTo x="-1199" y="22698"/>
                    <wp:lineTo x="22479" y="22698"/>
                    <wp:lineTo x="22779" y="4759"/>
                    <wp:lineTo x="22179" y="-732"/>
                    <wp:lineTo x="22179" y="-1464"/>
                    <wp:lineTo x="-899" y="-1464"/>
                  </wp:wrapPolygon>
                </wp:wrapTight>
                <wp:docPr id="1690912077" name="Text Box 1690912077"/>
                <wp:cNvGraphicFramePr/>
                <a:graphic xmlns:a="http://schemas.openxmlformats.org/drawingml/2006/main">
                  <a:graphicData uri="http://schemas.microsoft.com/office/word/2010/wordprocessingShape">
                    <wps:wsp>
                      <wps:cNvSpPr txBox="1"/>
                      <wps:spPr>
                        <a:xfrm>
                          <a:off x="0" y="0"/>
                          <a:ext cx="1372870" cy="11239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0A1941D8" w14:textId="77777777" w:rsidR="00C6444C" w:rsidRDefault="00C6444C" w:rsidP="007C249F">
                            <w:pPr>
                              <w:jc w:val="center"/>
                            </w:pPr>
                            <w:r>
                              <w:rPr>
                                <w:noProof/>
                              </w:rPr>
                              <w:drawing>
                                <wp:inline distT="0" distB="0" distL="0" distR="0" wp14:anchorId="175B2BCE" wp14:editId="1FAC373C">
                                  <wp:extent cx="457200" cy="457200"/>
                                  <wp:effectExtent l="0" t="0" r="0" b="0"/>
                                  <wp:docPr id="1690912798" name="Picture 1690912798">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5FFB0F9" w14:textId="77777777" w:rsidR="00C6444C" w:rsidRDefault="00C6444C" w:rsidP="007C249F">
                            <w:pPr>
                              <w:pStyle w:val="Calloutboxes"/>
                            </w:pPr>
                            <w:r>
                              <w:t>MGT 02.1, Bicycle Policy:</w:t>
                            </w:r>
                          </w:p>
                          <w:p w14:paraId="3D34E818" w14:textId="77777777" w:rsidR="00C6444C" w:rsidRPr="001B1A62" w:rsidRDefault="00202C92" w:rsidP="007C249F">
                            <w:pPr>
                              <w:pStyle w:val="Title"/>
                            </w:pPr>
                            <w:hyperlink r:id="rId1235" w:history="1">
                              <w:r w:rsidR="00C6444C" w:rsidRPr="00C56B05">
                                <w:rPr>
                                  <w:rStyle w:val="Hyperlink"/>
                                  <w:rFonts w:ascii="Calibri" w:hAnsi="Calibri" w:cstheme="majorBidi"/>
                                  <w:i/>
                                  <w:color w:val="CE5B18"/>
                                  <w:u w:val="none"/>
                                </w:rPr>
                                <w:t>http://www.azbikeped.org/downloads/MGT01-2-Bike-Policy.pdf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84F83A" id="Text Box 1690912077" o:spid="_x0000_s1420" type="#_x0000_t202" style="position:absolute;left:0;text-align:left;margin-left:108pt;margin-top:5.75pt;width:108.1pt;height:88.5pt;z-index:-251697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" fillcolor="#f7f7f7" stroked="f" strokeweight=".5pt">
                <v:shadow on="t" type="perspective" color="black" opacity="26214f" offset="0,0" matrix="66847f,,,66847f"/>
                <v:textbox>
                  <w:txbxContent>
                    <w:p w14:paraId="0A1941D8" w14:textId="77777777" w:rsidR="00C6444C" w:rsidRDefault="00C6444C" w:rsidP="007C249F">
                      <w:pPr>
                        <w:jc w:val="center"/>
                      </w:pPr>
                      <w:r>
                        <w:rPr>
                          <w:noProof/>
                        </w:rPr>
                        <w:drawing>
                          <wp:inline distT="0" distB="0" distL="0" distR="0" wp14:anchorId="175B2BCE" wp14:editId="1FAC373C">
                            <wp:extent cx="457200" cy="457200"/>
                            <wp:effectExtent l="0" t="0" r="0" b="0"/>
                            <wp:docPr id="1690912798" name="Picture 1690912798">
                              <a:hlinkClick xmlns:a="http://schemas.openxmlformats.org/drawingml/2006/main" r:id="rId1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1236"/>
                                    </pic:cNvPr>
                                    <pic:cNvPicPr/>
                                  </pic:nvPicPr>
                                  <pic:blipFill>
                                    <a:blip r:embed="rId123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05FFB0F9" w14:textId="77777777" w:rsidR="00C6444C" w:rsidRDefault="00C6444C" w:rsidP="007C249F">
                      <w:pPr>
                        <w:pStyle w:val="Calloutboxes"/>
                      </w:pPr>
                      <w:r>
                        <w:t>MGT 02.1, Bicycle Policy:</w:t>
                      </w:r>
                    </w:p>
                    <w:p w14:paraId="3D34E818" w14:textId="77777777" w:rsidR="00C6444C" w:rsidRPr="001B1A62" w:rsidRDefault="00576D31" w:rsidP="007C249F">
                      <w:pPr>
                        <w:pStyle w:val="Title"/>
                      </w:pPr>
                      <w:hyperlink r:id="rId1238" w:history="1">
                        <w:r w:rsidR="00C6444C" w:rsidRPr="00C56B05">
                          <w:rPr>
                            <w:rStyle w:val="Hyperlink"/>
                            <w:rFonts w:ascii="Calibri" w:hAnsi="Calibri" w:cstheme="majorBidi"/>
                            <w:i/>
                            <w:color w:val="CE5B18"/>
                            <w:u w:val="none"/>
                          </w:rPr>
                          <w:t>http://www.azbikeped.org/downloads/MGT01-2-Bike-Policy.pdf</w:t>
                        </w:r>
                      </w:hyperlink>
                    </w:p>
                  </w:txbxContent>
                </v:textbox>
                <w10:wrap type="tight"/>
              </v:shape>
            </w:pict>
          </mc:Fallback>
        </mc:AlternateContent>
      </w:r>
      <w:r w:rsidRPr="00665A4E">
        <w:rPr>
          <w:rFonts w:cstheme="minorHAnsi"/>
        </w:rPr>
        <w:t xml:space="preserve">ADOT’s adopted bicycle policy (MGT 02.1, Bicycle Policy) promotes safe and convenient access to the state highway system for bicyclists. Section 1(d) of the policy reads: “Provide shared roadway cross-section templates as a minimum condition with new major construction and major </w:t>
      </w:r>
      <w:r>
        <w:rPr>
          <w:rFonts w:cstheme="minorHAnsi"/>
          <w:noProof/>
        </w:rPr>
        <mc:AlternateContent>
          <mc:Choice Requires="wpg">
            <w:drawing>
              <wp:anchor distT="0" distB="0" distL="114300" distR="114300" simplePos="0" relativeHeight="251618634" behindDoc="0" locked="0" layoutInCell="1" allowOverlap="1" wp14:anchorId="00F03C07" wp14:editId="47B91CDA">
                <wp:simplePos x="0" y="0"/>
                <wp:positionH relativeFrom="column">
                  <wp:posOffset>3162300</wp:posOffset>
                </wp:positionH>
                <wp:positionV relativeFrom="paragraph">
                  <wp:posOffset>108585</wp:posOffset>
                </wp:positionV>
                <wp:extent cx="2771775" cy="2352675"/>
                <wp:effectExtent l="95250" t="95250" r="104775" b="104775"/>
                <wp:wrapSquare wrapText="bothSides"/>
                <wp:docPr id="1690912078" name="Group 1690912078"/>
                <wp:cNvGraphicFramePr/>
                <a:graphic xmlns:a="http://schemas.openxmlformats.org/drawingml/2006/main">
                  <a:graphicData uri="http://schemas.microsoft.com/office/word/2010/wordprocessingGroup">
                    <wpg:wgp>
                      <wpg:cNvGrpSpPr/>
                      <wpg:grpSpPr>
                        <a:xfrm>
                          <a:off x="0" y="0"/>
                          <a:ext cx="2771775" cy="2390297"/>
                          <a:chOff x="0" y="-37622"/>
                          <a:chExt cx="2771775" cy="2390297"/>
                        </a:xfrm>
                      </wpg:grpSpPr>
                      <wps:wsp>
                        <wps:cNvPr id="1690912079" name="Text Box 1690912079"/>
                        <wps:cNvSpPr txBox="1"/>
                        <wps:spPr>
                          <a:xfrm>
                            <a:off x="0" y="3374"/>
                            <a:ext cx="2771775" cy="2349301"/>
                          </a:xfrm>
                          <a:prstGeom prst="rect">
                            <a:avLst/>
                          </a:prstGeom>
                          <a:solidFill>
                            <a:srgbClr val="F7F7F7"/>
                          </a:solidFill>
                          <a:ln w="6350">
                            <a:noFill/>
                          </a:ln>
                          <a:effectLst>
                            <a:outerShdw blurRad="63500" sx="102000" sy="102000" algn="ctr" rotWithShape="0">
                              <a:srgbClr val="012768">
                                <a:alpha val="40000"/>
                              </a:srgbClr>
                            </a:outerShdw>
                          </a:effectLst>
                        </wps:spPr>
                        <wps:txbx>
                          <w:txbxContent>
                            <w:tbl>
                              <w:tblPr>
                                <w:tblW w:w="4500" w:type="dxa"/>
                                <w:tblInd w:w="-180" w:type="dxa"/>
                                <w:tblLook w:val="04A0" w:firstRow="1" w:lastRow="0" w:firstColumn="1" w:lastColumn="0" w:noHBand="0" w:noVBand="1"/>
                              </w:tblPr>
                              <w:tblGrid>
                                <w:gridCol w:w="360"/>
                                <w:gridCol w:w="4140"/>
                              </w:tblGrid>
                              <w:tr w:rsidR="00C6444C" w14:paraId="648D722E" w14:textId="77777777" w:rsidTr="006E65C7">
                                <w:trPr>
                                  <w:trHeight w:val="537"/>
                                </w:trPr>
                                <w:tc>
                                  <w:tcPr>
                                    <w:tcW w:w="360" w:type="dxa"/>
                                    <w:shd w:val="clear" w:color="auto" w:fill="auto"/>
                                  </w:tcPr>
                                  <w:p w14:paraId="2CCFB185" w14:textId="77777777" w:rsidR="00C6444C" w:rsidRPr="00C56B05" w:rsidRDefault="00C6444C">
                                    <w:pPr>
                                      <w:pStyle w:val="Calloutboxes"/>
                                      <w:rPr>
                                        <w:color w:val="012768"/>
                                      </w:rPr>
                                    </w:pPr>
                                  </w:p>
                                </w:tc>
                                <w:tc>
                                  <w:tcPr>
                                    <w:tcW w:w="4140" w:type="dxa"/>
                                    <w:shd w:val="clear" w:color="auto" w:fill="auto"/>
                                  </w:tcPr>
                                  <w:p w14:paraId="36DA020D" w14:textId="77777777" w:rsidR="00C6444C" w:rsidRPr="00C56B05" w:rsidRDefault="00C6444C" w:rsidP="00D30138">
                                    <w:pPr>
                                      <w:pStyle w:val="Calloutboxes"/>
                                      <w:jc w:val="left"/>
                                      <w:rPr>
                                        <w:color w:val="FFFFFF" w:themeColor="background1"/>
                                        <w:sz w:val="24"/>
                                        <w:szCs w:val="24"/>
                                      </w:rPr>
                                    </w:pPr>
                                  </w:p>
                                </w:tc>
                              </w:tr>
                              <w:tr w:rsidR="00C6444C" w14:paraId="69F49BD9" w14:textId="77777777" w:rsidTr="001952FF">
                                <w:trPr>
                                  <w:trHeight w:val="3480"/>
                                </w:trPr>
                                <w:tc>
                                  <w:tcPr>
                                    <w:tcW w:w="4500" w:type="dxa"/>
                                    <w:gridSpan w:val="2"/>
                                  </w:tcPr>
                                  <w:p w14:paraId="2162372A" w14:textId="77777777" w:rsidR="00C6444C" w:rsidRDefault="00C6444C" w:rsidP="006E65C7">
                                    <w:pPr>
                                      <w:pStyle w:val="Calloutboxes"/>
                                    </w:pPr>
                                    <w:r>
                                      <w:t>The FHWA provides numerous resources that cover a wide range of bicycle facility planning.</w:t>
                                    </w:r>
                                  </w:p>
                                  <w:p w14:paraId="4FEB01AD" w14:textId="77777777" w:rsidR="00C6444C" w:rsidRPr="006A4C41" w:rsidRDefault="00202C92" w:rsidP="006E65C7">
                                    <w:pPr>
                                      <w:pStyle w:val="Title"/>
                                    </w:pPr>
                                    <w:hyperlink r:id="rId1239" w:history="1">
                                      <w:r w:rsidR="00C6444C" w:rsidRPr="00C56B05">
                                        <w:rPr>
                                          <w:rStyle w:val="Hyperlink"/>
                                          <w:rFonts w:ascii="Calibri" w:hAnsi="Calibri" w:cstheme="majorBidi"/>
                                          <w:color w:val="CE5B18"/>
                                          <w:u w:val="none"/>
                                        </w:rPr>
                                        <w:t>The Bicycle Compatibility Index: A Level of Service Concept Final Report</w:t>
                                      </w:r>
                                    </w:hyperlink>
                                  </w:p>
                                  <w:p w14:paraId="05AC2544" w14:textId="77777777" w:rsidR="00C6444C" w:rsidRDefault="00C6444C" w:rsidP="006E65C7">
                                    <w:pPr>
                                      <w:pStyle w:val="Calloutboxes"/>
                                    </w:pPr>
                                    <w:r>
                                      <w:t>This report presents a methodology to determine how compatible a roadway is for allowing efficient operation of both bicycles and motor vehicles.</w:t>
                                    </w:r>
                                  </w:p>
                                  <w:p w14:paraId="381E45E5" w14:textId="77777777" w:rsidR="00C6444C" w:rsidRPr="006A4C41" w:rsidRDefault="00202C92" w:rsidP="006E65C7">
                                    <w:pPr>
                                      <w:pStyle w:val="Title"/>
                                    </w:pPr>
                                    <w:hyperlink r:id="rId1240" w:history="1">
                                      <w:r w:rsidR="00C6444C" w:rsidRPr="00C56B05">
                                        <w:rPr>
                                          <w:rStyle w:val="Hyperlink"/>
                                          <w:rFonts w:ascii="Calibri" w:hAnsi="Calibri" w:cstheme="majorBidi"/>
                                          <w:color w:val="CE5B18"/>
                                          <w:u w:val="none"/>
                                        </w:rPr>
                                        <w:t>Guidebook on Methods to Estimate Nonmotorized Travel: Overview of Methods</w:t>
                                      </w:r>
                                    </w:hyperlink>
                                  </w:p>
                                  <w:p w14:paraId="7C6C31C3" w14:textId="77777777" w:rsidR="00C6444C" w:rsidRDefault="00C6444C" w:rsidP="006E65C7">
                                    <w:pPr>
                                      <w:pStyle w:val="Calloutboxes"/>
                                    </w:pPr>
                                    <w:r>
                                      <w:t>This guide describes and compares the various methods and tools that can be used to forecast nonmotorized travel demand.</w:t>
                                    </w:r>
                                  </w:p>
                                  <w:p w14:paraId="5DBE024B" w14:textId="28EB9241" w:rsidR="00C6444C" w:rsidRPr="006A4C41" w:rsidRDefault="00202C92" w:rsidP="006E65C7">
                                    <w:pPr>
                                      <w:pStyle w:val="Title"/>
                                    </w:pPr>
                                    <w:hyperlink r:id="rId1241" w:history="1">
                                      <w:r w:rsidR="00C6444C" w:rsidRPr="00C56B05">
                                        <w:rPr>
                                          <w:rStyle w:val="Hyperlink"/>
                                          <w:rFonts w:ascii="Calibri" w:hAnsi="Calibri" w:cstheme="majorBidi"/>
                                          <w:color w:val="CE5B18"/>
                                          <w:u w:val="none"/>
                                        </w:rPr>
                                        <w:t>Geographic Information Systems Applications for Bicycle and Pedestrian Decision-Making Peer Exchange Summary Report</w:t>
                                      </w:r>
                                    </w:hyperlink>
                                  </w:p>
                                  <w:p w14:paraId="5D6AEC35" w14:textId="77777777" w:rsidR="00C6444C" w:rsidRPr="00D30138" w:rsidRDefault="00C6444C" w:rsidP="006E65C7">
                                    <w:pPr>
                                      <w:pStyle w:val="Calloutboxes"/>
                                    </w:pPr>
                                    <w:r>
                                      <w:t>This summary report is as a resource for transportation agencies looking to learn more about the implementation of GIS for bicycle and pedestrian planning.</w:t>
                                    </w:r>
                                  </w:p>
                                </w:tc>
                              </w:tr>
                            </w:tbl>
                            <w:p w14:paraId="680BB191" w14:textId="77777777" w:rsidR="00C6444C" w:rsidRPr="00347D6E" w:rsidRDefault="00C6444C" w:rsidP="007C249F">
                              <w:pPr>
                                <w:pStyle w:val="Calloutboxes"/>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0912080" name="Group 1690912080"/>
                        <wpg:cNvGrpSpPr/>
                        <wpg:grpSpPr>
                          <a:xfrm>
                            <a:off x="0" y="-37622"/>
                            <a:ext cx="2771775" cy="433564"/>
                            <a:chOff x="11875" y="-2229"/>
                            <a:chExt cx="2772410" cy="337550"/>
                          </a:xfrm>
                        </wpg:grpSpPr>
                        <wps:wsp>
                          <wps:cNvPr id="1690912081" name="Rectangle 1690912081"/>
                          <wps:cNvSpPr/>
                          <wps:spPr>
                            <a:xfrm>
                              <a:off x="11875" y="29689"/>
                              <a:ext cx="2772410" cy="252132"/>
                            </a:xfrm>
                            <a:prstGeom prst="rect">
                              <a:avLst/>
                            </a:prstGeom>
                            <a:solidFill>
                              <a:srgbClr val="01276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912082" name="Text Box 1690912082"/>
                          <wps:cNvSpPr txBox="1"/>
                          <wps:spPr>
                            <a:xfrm>
                              <a:off x="11875" y="-2229"/>
                              <a:ext cx="2767957" cy="337550"/>
                            </a:xfrm>
                            <a:prstGeom prst="rect">
                              <a:avLst/>
                            </a:prstGeom>
                            <a:noFill/>
                            <a:ln w="6350">
                              <a:noFill/>
                            </a:ln>
                            <a:effectLst/>
                          </wps:spPr>
                          <wps:txbx>
                            <w:txbxContent>
                              <w:p w14:paraId="7BD9673B" w14:textId="77777777" w:rsidR="00C6444C" w:rsidRPr="00020D20" w:rsidRDefault="00C6444C" w:rsidP="007C249F">
                                <w:pPr>
                                  <w:jc w:val="center"/>
                                  <w:rPr>
                                    <w:color w:val="FFFFFF" w:themeColor="background1"/>
                                    <w:sz w:val="22"/>
                                  </w:rPr>
                                </w:pPr>
                                <w:r w:rsidRPr="00020D20">
                                  <w:rPr>
                                    <w:color w:val="FFFFFF" w:themeColor="background1"/>
                                    <w:sz w:val="22"/>
                                  </w:rPr>
                                  <w:t>DID YOU KNOW</w:t>
                                </w:r>
                              </w:p>
                              <w:p w14:paraId="5E5A4A80" w14:textId="77777777" w:rsidR="00C6444C" w:rsidRPr="003B7F82" w:rsidRDefault="00C6444C" w:rsidP="007C24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0F03C07" id="Group 1690912078" o:spid="_x0000_s1331" style="position:absolute;left:0;text-align:left;margin-left:249pt;margin-top:8.55pt;width:218.25pt;height:185.25pt;z-index:251618634;mso-height-relative:margin" coordorigin=",-376" coordsize="27717,23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">
                <v:shape id="Text Box 1690912079" o:spid="_x0000_s1332" type="#_x0000_t202" style="position:absolute;top:33;width:27717;height:2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" fillcolor="#f7f7f7" stroked="f" strokeweight=".5pt">
                  <v:shadow on="t" type="perspective" color="#012768" opacity="26214f" offset="0,0" matrix="66847f,,,66847f"/>
                  <v:textbox>
                    <w:txbxContent>
                      <w:tbl>
                        <w:tblPr>
                          <w:tblW w:w="4500" w:type="dxa"/>
                          <w:tblInd w:w="-180" w:type="dxa"/>
                          <w:tblLook w:val="04A0" w:firstRow="1" w:lastRow="0" w:firstColumn="1" w:lastColumn="0" w:noHBand="0" w:noVBand="1"/>
                        </w:tblPr>
                        <w:tblGrid>
                          <w:gridCol w:w="360"/>
                          <w:gridCol w:w="4140"/>
                        </w:tblGrid>
                        <w:tr w:rsidR="00C6444C" w14:paraId="648D722E" w14:textId="77777777" w:rsidTr="006E65C7">
                          <w:trPr>
                            <w:trHeight w:val="537"/>
                          </w:trPr>
                          <w:tc>
                            <w:tcPr>
                              <w:tcW w:w="360" w:type="dxa"/>
                              <w:shd w:val="clear" w:color="auto" w:fill="auto"/>
                            </w:tcPr>
                            <w:p w14:paraId="2CCFB185" w14:textId="77777777" w:rsidR="00C6444C" w:rsidRPr="00C56B05" w:rsidRDefault="00C6444C">
                              <w:pPr>
                                <w:pStyle w:val="Calloutboxes"/>
                                <w:rPr>
                                  <w:color w:val="012768"/>
                                </w:rPr>
                              </w:pPr>
                            </w:p>
                          </w:tc>
                          <w:tc>
                            <w:tcPr>
                              <w:tcW w:w="4140" w:type="dxa"/>
                              <w:shd w:val="clear" w:color="auto" w:fill="auto"/>
                            </w:tcPr>
                            <w:p w14:paraId="36DA020D" w14:textId="77777777" w:rsidR="00C6444C" w:rsidRPr="00C56B05" w:rsidRDefault="00C6444C" w:rsidP="00D30138">
                              <w:pPr>
                                <w:pStyle w:val="Calloutboxes"/>
                                <w:jc w:val="left"/>
                                <w:rPr>
                                  <w:color w:val="FFFFFF" w:themeColor="background1"/>
                                  <w:sz w:val="24"/>
                                  <w:szCs w:val="24"/>
                                </w:rPr>
                              </w:pPr>
                            </w:p>
                          </w:tc>
                        </w:tr>
                        <w:tr w:rsidR="00C6444C" w14:paraId="69F49BD9" w14:textId="77777777" w:rsidTr="001952FF">
                          <w:trPr>
                            <w:trHeight w:val="3480"/>
                          </w:trPr>
                          <w:tc>
                            <w:tcPr>
                              <w:tcW w:w="4500" w:type="dxa"/>
                              <w:gridSpan w:val="2"/>
                            </w:tcPr>
                            <w:p w14:paraId="2162372A" w14:textId="77777777" w:rsidR="00C6444C" w:rsidRDefault="00C6444C" w:rsidP="006E65C7">
                              <w:pPr>
                                <w:pStyle w:val="Calloutboxes"/>
                              </w:pPr>
                              <w:r>
                                <w:t>The FHWA provides numerous resources that cover a wide range of bicycle facility planning.</w:t>
                              </w:r>
                            </w:p>
                            <w:p w14:paraId="4FEB01AD" w14:textId="77777777" w:rsidR="00C6444C" w:rsidRPr="006A4C41" w:rsidRDefault="00202C92" w:rsidP="006E65C7">
                              <w:pPr>
                                <w:pStyle w:val="Title"/>
                              </w:pPr>
                              <w:hyperlink r:id="rId1242" w:history="1">
                                <w:r w:rsidR="00C6444C" w:rsidRPr="00C56B05">
                                  <w:rPr>
                                    <w:rStyle w:val="Hyperlink"/>
                                    <w:rFonts w:ascii="Calibri" w:hAnsi="Calibri" w:cstheme="majorBidi"/>
                                    <w:color w:val="CE5B18"/>
                                    <w:u w:val="none"/>
                                  </w:rPr>
                                  <w:t>The Bicycle Compatibility Index: A Level of Service Concept Final Report</w:t>
                                </w:r>
                              </w:hyperlink>
                            </w:p>
                            <w:p w14:paraId="05AC2544" w14:textId="77777777" w:rsidR="00C6444C" w:rsidRDefault="00C6444C" w:rsidP="006E65C7">
                              <w:pPr>
                                <w:pStyle w:val="Calloutboxes"/>
                              </w:pPr>
                              <w:r>
                                <w:t>This report presents a methodology to determine how compatible a roadway is for allowing efficient operation of both bicycles and motor vehicles.</w:t>
                              </w:r>
                            </w:p>
                            <w:p w14:paraId="381E45E5" w14:textId="77777777" w:rsidR="00C6444C" w:rsidRPr="006A4C41" w:rsidRDefault="00202C92" w:rsidP="006E65C7">
                              <w:pPr>
                                <w:pStyle w:val="Title"/>
                              </w:pPr>
                              <w:hyperlink r:id="rId1243" w:history="1">
                                <w:r w:rsidR="00C6444C" w:rsidRPr="00C56B05">
                                  <w:rPr>
                                    <w:rStyle w:val="Hyperlink"/>
                                    <w:rFonts w:ascii="Calibri" w:hAnsi="Calibri" w:cstheme="majorBidi"/>
                                    <w:color w:val="CE5B18"/>
                                    <w:u w:val="none"/>
                                  </w:rPr>
                                  <w:t>Guidebook on Methods to Estimate Nonmotorized Travel: Overview of Methods</w:t>
                                </w:r>
                              </w:hyperlink>
                            </w:p>
                            <w:p w14:paraId="7C6C31C3" w14:textId="77777777" w:rsidR="00C6444C" w:rsidRDefault="00C6444C" w:rsidP="006E65C7">
                              <w:pPr>
                                <w:pStyle w:val="Calloutboxes"/>
                              </w:pPr>
                              <w:r>
                                <w:t>This guide describes and compares the various methods and tools that can be used to forecast nonmotorized travel demand.</w:t>
                              </w:r>
                            </w:p>
                            <w:p w14:paraId="5DBE024B" w14:textId="28EB9241" w:rsidR="00C6444C" w:rsidRPr="006A4C41" w:rsidRDefault="00202C92" w:rsidP="006E65C7">
                              <w:pPr>
                                <w:pStyle w:val="Title"/>
                              </w:pPr>
                              <w:hyperlink r:id="rId1244" w:history="1">
                                <w:r w:rsidR="00C6444C" w:rsidRPr="00C56B05">
                                  <w:rPr>
                                    <w:rStyle w:val="Hyperlink"/>
                                    <w:rFonts w:ascii="Calibri" w:hAnsi="Calibri" w:cstheme="majorBidi"/>
                                    <w:color w:val="CE5B18"/>
                                    <w:u w:val="none"/>
                                  </w:rPr>
                                  <w:t>Geographic Information Systems Applications for Bicycle and Pedestrian Decision-Making Peer Exchange Summary Report</w:t>
                                </w:r>
                              </w:hyperlink>
                            </w:p>
                            <w:p w14:paraId="5D6AEC35" w14:textId="77777777" w:rsidR="00C6444C" w:rsidRPr="00D30138" w:rsidRDefault="00C6444C" w:rsidP="006E65C7">
                              <w:pPr>
                                <w:pStyle w:val="Calloutboxes"/>
                              </w:pPr>
                              <w:r>
                                <w:t>This summary report is as a resource for transportation agencies looking to learn more about the implementation of GIS for bicycle and pedestrian planning.</w:t>
                              </w:r>
                            </w:p>
                          </w:tc>
                        </w:tr>
                      </w:tbl>
                      <w:p w14:paraId="680BB191" w14:textId="77777777" w:rsidR="00C6444C" w:rsidRPr="00347D6E" w:rsidRDefault="00C6444C" w:rsidP="007C249F">
                        <w:pPr>
                          <w:pStyle w:val="Calloutboxes"/>
                          <w:jc w:val="left"/>
                        </w:pPr>
                      </w:p>
                    </w:txbxContent>
                  </v:textbox>
                </v:shape>
                <v:group id="Group 1690912080" o:spid="_x0000_s1333" style="position:absolute;top:-376;width:27717;height:4335" coordorigin="118,-22" coordsize="27724,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">
                  <v:rect id="Rectangle 1690912081" o:spid="_x0000_s1334" style="position:absolute;left:118;top:296;width:27724;height:2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" fillcolor="#012768" strokecolor="#1f4d78 [1604]" strokeweight="1pt"/>
                  <v:shape id="Text Box 1690912082" o:spid="_x0000_s1335" type="#_x0000_t202" style="position:absolute;left:118;top:-22;width:27680;height: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" filled="f" stroked="f" strokeweight=".5pt">
                    <v:textbox>
                      <w:txbxContent>
                        <w:p w14:paraId="7BD9673B" w14:textId="77777777" w:rsidR="00C6444C" w:rsidRPr="00020D20" w:rsidRDefault="00C6444C" w:rsidP="007C249F">
                          <w:pPr>
                            <w:jc w:val="center"/>
                            <w:rPr>
                              <w:color w:val="FFFFFF" w:themeColor="background1"/>
                              <w:sz w:val="22"/>
                            </w:rPr>
                          </w:pPr>
                          <w:r w:rsidRPr="00020D20">
                            <w:rPr>
                              <w:color w:val="FFFFFF" w:themeColor="background1"/>
                              <w:sz w:val="22"/>
                            </w:rPr>
                            <w:t>DID YOU KNOW</w:t>
                          </w:r>
                        </w:p>
                        <w:p w14:paraId="5E5A4A80" w14:textId="77777777" w:rsidR="00C6444C" w:rsidRPr="003B7F82" w:rsidRDefault="00C6444C" w:rsidP="007C249F"/>
                      </w:txbxContent>
                    </v:textbox>
                  </v:shape>
                </v:group>
                <w10:wrap type="square"/>
              </v:group>
            </w:pict>
          </mc:Fallback>
        </mc:AlternateContent>
      </w:r>
      <w:r w:rsidRPr="00665A4E">
        <w:rPr>
          <w:rFonts w:cstheme="minorHAnsi"/>
        </w:rPr>
        <w:t>reconstruction</w:t>
      </w:r>
      <w:r>
        <w:rPr>
          <w:rFonts w:cstheme="minorHAnsi"/>
        </w:rPr>
        <w:t xml:space="preserve"> </w:t>
      </w:r>
      <w:r w:rsidRPr="00794754">
        <w:rPr>
          <w:rFonts w:cstheme="minorHAnsi"/>
        </w:rPr>
        <w:t>projects, regardl</w:t>
      </w:r>
      <w:r w:rsidR="00836FD9">
        <w:rPr>
          <w:rFonts w:cstheme="minorHAnsi"/>
        </w:rPr>
        <w:t>ess of the presence of a shared-</w:t>
      </w:r>
      <w:r w:rsidRPr="00794754">
        <w:rPr>
          <w:rFonts w:cstheme="minorHAnsi"/>
        </w:rPr>
        <w:t xml:space="preserve">use path” (ADOT 2007, 2). </w:t>
      </w:r>
    </w:p>
    <w:p w14:paraId="66C0DA56" w14:textId="77777777" w:rsidR="007C249F" w:rsidRPr="00794754" w:rsidRDefault="007C249F" w:rsidP="00020D20">
      <w:pPr>
        <w:jc w:val="both"/>
        <w:rPr>
          <w:rFonts w:cstheme="minorHAnsi"/>
          <w:b/>
        </w:rPr>
      </w:pPr>
      <w:r>
        <w:rPr>
          <w:rFonts w:cstheme="minorHAnsi"/>
          <w:noProof/>
        </w:rPr>
        <mc:AlternateContent>
          <mc:Choice Requires="wps">
            <w:drawing>
              <wp:anchor distT="0" distB="0" distL="114300" distR="114300" simplePos="0" relativeHeight="251618602" behindDoc="1" locked="0" layoutInCell="1" allowOverlap="1" wp14:anchorId="55D674BB" wp14:editId="2394C3FE">
                <wp:simplePos x="0" y="0"/>
                <wp:positionH relativeFrom="column">
                  <wp:posOffset>1123950</wp:posOffset>
                </wp:positionH>
                <wp:positionV relativeFrom="paragraph">
                  <wp:posOffset>166370</wp:posOffset>
                </wp:positionV>
                <wp:extent cx="1372870" cy="1371600"/>
                <wp:effectExtent l="95250" t="95250" r="93980" b="95250"/>
                <wp:wrapTight wrapText="bothSides">
                  <wp:wrapPolygon edited="0">
                    <wp:start x="-899" y="-1500"/>
                    <wp:lineTo x="-1499" y="-900"/>
                    <wp:lineTo x="-1199" y="22800"/>
                    <wp:lineTo x="22479" y="22800"/>
                    <wp:lineTo x="22779" y="3900"/>
                    <wp:lineTo x="22179" y="-600"/>
                    <wp:lineTo x="22179" y="-1500"/>
                    <wp:lineTo x="-899" y="-1500"/>
                  </wp:wrapPolygon>
                </wp:wrapTight>
                <wp:docPr id="1690912083" name="Text Box 1690912083"/>
                <wp:cNvGraphicFramePr/>
                <a:graphic xmlns:a="http://schemas.openxmlformats.org/drawingml/2006/main">
                  <a:graphicData uri="http://schemas.microsoft.com/office/word/2010/wordprocessingShape">
                    <wps:wsp>
                      <wps:cNvSpPr txBox="1"/>
                      <wps:spPr>
                        <a:xfrm>
                          <a:off x="0" y="0"/>
                          <a:ext cx="1372870" cy="13716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F63A460" w14:textId="77777777" w:rsidR="00C6444C" w:rsidRDefault="00C6444C" w:rsidP="007C249F">
                            <w:pPr>
                              <w:jc w:val="center"/>
                            </w:pPr>
                            <w:r>
                              <w:rPr>
                                <w:noProof/>
                              </w:rPr>
                              <w:drawing>
                                <wp:inline distT="0" distB="0" distL="0" distR="0" wp14:anchorId="36F9CA62" wp14:editId="27D5DEB4">
                                  <wp:extent cx="457200" cy="457200"/>
                                  <wp:effectExtent l="0" t="0" r="0" b="0"/>
                                  <wp:docPr id="1690912799" name="Picture 1690912799">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CA5C614" w14:textId="77777777" w:rsidR="00C6444C" w:rsidRDefault="00C6444C" w:rsidP="007C249F">
                            <w:pPr>
                              <w:pStyle w:val="Calloutboxes"/>
                            </w:pPr>
                            <w:r>
                              <w:t>Subsection 1031:</w:t>
                            </w:r>
                          </w:p>
                          <w:p w14:paraId="1EACA085" w14:textId="77777777" w:rsidR="00C6444C" w:rsidRPr="00A05451" w:rsidRDefault="00202C92" w:rsidP="007C249F">
                            <w:pPr>
                              <w:pStyle w:val="Title"/>
                            </w:pPr>
                            <w:hyperlink r:id="rId1245" w:history="1">
                              <w:r w:rsidR="00C6444C" w:rsidRPr="00C56B05">
                                <w:rPr>
                                  <w:rStyle w:val="Hyperlink"/>
                                  <w:rFonts w:ascii="Calibri" w:hAnsi="Calibri" w:cstheme="majorBidi"/>
                                  <w:i/>
                                  <w:color w:val="CE5B18"/>
                                  <w:u w:val="none"/>
                                </w:rPr>
                                <w:t>https://azdot.gov/business/engineering-and-construction/traffic/guidelines-and-processes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D674BB" id="Text Box 1690912083" o:spid="_x0000_s1426" type="#_x0000_t202" style="position:absolute;left:0;text-align:left;margin-left:88.5pt;margin-top:13.1pt;width:108.1pt;height:108pt;z-index:-251697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" fillcolor="#f7f7f7" stroked="f" strokeweight=".5pt">
                <v:shadow on="t" type="perspective" color="black" opacity="26214f" offset="0,0" matrix="66847f,,,66847f"/>
                <v:textbox>
                  <w:txbxContent>
                    <w:p w14:paraId="2F63A460" w14:textId="77777777" w:rsidR="00C6444C" w:rsidRDefault="00C6444C" w:rsidP="007C249F">
                      <w:pPr>
                        <w:jc w:val="center"/>
                      </w:pPr>
                      <w:r>
                        <w:rPr>
                          <w:noProof/>
                        </w:rPr>
                        <w:drawing>
                          <wp:inline distT="0" distB="0" distL="0" distR="0" wp14:anchorId="36F9CA62" wp14:editId="27D5DEB4">
                            <wp:extent cx="457200" cy="457200"/>
                            <wp:effectExtent l="0" t="0" r="0" b="0"/>
                            <wp:docPr id="1690912799" name="Picture 1690912799">
                              <a:hlinkClick xmlns:a="http://schemas.openxmlformats.org/drawingml/2006/main" r:id="rId1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1236"/>
                                    </pic:cNvPr>
                                    <pic:cNvPicPr/>
                                  </pic:nvPicPr>
                                  <pic:blipFill>
                                    <a:blip r:embed="rId123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1CA5C614" w14:textId="77777777" w:rsidR="00C6444C" w:rsidRDefault="00C6444C" w:rsidP="007C249F">
                      <w:pPr>
                        <w:pStyle w:val="Calloutboxes"/>
                      </w:pPr>
                      <w:r>
                        <w:t>Subsection 1031:</w:t>
                      </w:r>
                    </w:p>
                    <w:p w14:paraId="1EACA085" w14:textId="77777777" w:rsidR="00C6444C" w:rsidRPr="00A05451" w:rsidRDefault="00576D31" w:rsidP="007C249F">
                      <w:pPr>
                        <w:pStyle w:val="Title"/>
                      </w:pPr>
                      <w:hyperlink r:id="rId1246" w:history="1">
                        <w:r w:rsidR="00C6444C" w:rsidRPr="00C56B05">
                          <w:rPr>
                            <w:rStyle w:val="Hyperlink"/>
                            <w:rFonts w:ascii="Calibri" w:hAnsi="Calibri" w:cstheme="majorBidi"/>
                            <w:i/>
                            <w:color w:val="CE5B18"/>
                            <w:u w:val="none"/>
                          </w:rPr>
                          <w:t>https://azdot.gov/business/engineering-and-construction/traffic/guidelines-and-processes</w:t>
                        </w:r>
                      </w:hyperlink>
                    </w:p>
                  </w:txbxContent>
                </v:textbox>
                <w10:wrap type="tight"/>
              </v:shape>
            </w:pict>
          </mc:Fallback>
        </mc:AlternateContent>
      </w:r>
      <w:r w:rsidRPr="00794754">
        <w:rPr>
          <w:rFonts w:cstheme="minorHAnsi"/>
        </w:rPr>
        <w:t>A related policy is Subsection 1031: Signing and Marking of Shared-Use Paths in ADOT’s Traffic Engineering Policies, Guidelines and Procedures, which states that “shared-use paths on State right-of-way parallel and adjacent to roadways shall not be marked or signed for the preferential or exclusive use of bicyclists. This includes the use of centerline markings, BIKE ROUTE signs, STOP or YIELD signs, or similar devices” (ADOT 200</w:t>
      </w:r>
      <w:r w:rsidRPr="00465E88">
        <w:rPr>
          <w:rFonts w:cstheme="minorHAnsi"/>
        </w:rPr>
        <w:t xml:space="preserve">4). </w:t>
      </w:r>
    </w:p>
    <w:p w14:paraId="4EFA3C4C" w14:textId="7A1AC3CE" w:rsidR="00794754" w:rsidRPr="00794754" w:rsidRDefault="00794754" w:rsidP="00020D20">
      <w:pPr>
        <w:pStyle w:val="Heading3"/>
        <w:jc w:val="both"/>
      </w:pPr>
      <w:bookmarkStart w:id="768" w:name="_Ref50050760"/>
      <w:r w:rsidRPr="00794754">
        <w:t>17.12.3 | Bicycle &amp; Pedestrian Planning Considerations</w:t>
      </w:r>
      <w:bookmarkEnd w:id="768"/>
      <w:r w:rsidRPr="00794754">
        <w:t xml:space="preserve"> </w:t>
      </w:r>
    </w:p>
    <w:p w14:paraId="70E80B9E" w14:textId="77777777" w:rsidR="00794754" w:rsidRPr="00794754" w:rsidRDefault="002A46A7" w:rsidP="00020D20">
      <w:pPr>
        <w:jc w:val="both"/>
        <w:rPr>
          <w:rFonts w:cstheme="minorHAnsi"/>
        </w:rPr>
      </w:pPr>
      <w:r>
        <w:rPr>
          <w:rFonts w:cstheme="minorHAnsi"/>
          <w:noProof/>
        </w:rPr>
        <mc:AlternateContent>
          <mc:Choice Requires="wps">
            <w:drawing>
              <wp:anchor distT="0" distB="0" distL="114300" distR="114300" simplePos="0" relativeHeight="251618438" behindDoc="1" locked="0" layoutInCell="1" allowOverlap="1" wp14:anchorId="005A918D" wp14:editId="1D2FB739">
                <wp:simplePos x="0" y="0"/>
                <wp:positionH relativeFrom="column">
                  <wp:posOffset>1123950</wp:posOffset>
                </wp:positionH>
                <wp:positionV relativeFrom="paragraph">
                  <wp:posOffset>122555</wp:posOffset>
                </wp:positionV>
                <wp:extent cx="1372870" cy="1485900"/>
                <wp:effectExtent l="76200" t="95250" r="74930" b="95250"/>
                <wp:wrapTight wrapText="bothSides">
                  <wp:wrapPolygon edited="0">
                    <wp:start x="-1199" y="-1385"/>
                    <wp:lineTo x="-1199" y="22708"/>
                    <wp:lineTo x="22479" y="22708"/>
                    <wp:lineTo x="22479" y="-1385"/>
                    <wp:lineTo x="-1199" y="-1385"/>
                  </wp:wrapPolygon>
                </wp:wrapTight>
                <wp:docPr id="816286324" name="Text Box 816286324"/>
                <wp:cNvGraphicFramePr/>
                <a:graphic xmlns:a="http://schemas.openxmlformats.org/drawingml/2006/main">
                  <a:graphicData uri="http://schemas.microsoft.com/office/word/2010/wordprocessingShape">
                    <wps:wsp>
                      <wps:cNvSpPr txBox="1"/>
                      <wps:spPr>
                        <a:xfrm>
                          <a:off x="0" y="0"/>
                          <a:ext cx="1372870" cy="14859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5EFDE6ED" w14:textId="77777777" w:rsidR="00C6444C" w:rsidRDefault="00C6444C" w:rsidP="00020D20">
                            <w:pPr>
                              <w:jc w:val="center"/>
                            </w:pPr>
                            <w:r>
                              <w:rPr>
                                <w:noProof/>
                              </w:rPr>
                              <w:drawing>
                                <wp:inline distT="0" distB="0" distL="0" distR="0" wp14:anchorId="0778D9D1" wp14:editId="09EBF45D">
                                  <wp:extent cx="457200" cy="457200"/>
                                  <wp:effectExtent l="0" t="0" r="0" b="0"/>
                                  <wp:docPr id="1690912800" name="Picture 1690912800">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04A1339" w14:textId="44A26B1C" w:rsidR="00C6444C" w:rsidRPr="00977A9B" w:rsidRDefault="00C6444C" w:rsidP="00020D20">
                            <w:pPr>
                              <w:pStyle w:val="Calloutboxes"/>
                            </w:pPr>
                            <w:r w:rsidRPr="005A6734">
                              <w:t>Bicycle and Pedestrian Transportation Planning Guide:</w:t>
                            </w:r>
                          </w:p>
                          <w:p w14:paraId="094A3340" w14:textId="603D757E" w:rsidR="00C6444C" w:rsidRPr="00020D20" w:rsidRDefault="00202C92">
                            <w:pPr>
                              <w:pStyle w:val="Title"/>
                              <w:rPr>
                                <w:sz w:val="16"/>
                              </w:rPr>
                            </w:pPr>
                            <w:hyperlink r:id="rId1247" w:history="1">
                              <w:r w:rsidR="00C6444C" w:rsidRPr="00020D20">
                                <w:rPr>
                                  <w:rStyle w:val="Hyperlink"/>
                                  <w:rFonts w:ascii="Calibri" w:hAnsi="Calibri" w:cstheme="majorBidi"/>
                                  <w:i/>
                                  <w:iCs w:val="0"/>
                                  <w:color w:val="CE5B18"/>
                                  <w:szCs w:val="56"/>
                                  <w:u w:val="none"/>
                                </w:rPr>
                                <w:t>https://www.fhwa.dot.gov/environment/bicycle_pedestrian/guidance/guidance_2019.cfm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5A918D" id="Text Box 816286324" o:spid="_x0000_s1337" type="#_x0000_t202" style="position:absolute;left:0;text-align:left;margin-left:88.5pt;margin-top:9.65pt;width:108.1pt;height:117pt;z-index:-2516980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" fillcolor="#f7f7f7" stroked="f" strokeweight=".5pt">
                <v:shadow on="t" type="perspective" color="black" opacity="26214f" offset="0,0" matrix="66847f,,,66847f"/>
                <v:textbox>
                  <w:txbxContent>
                    <w:p w14:paraId="5EFDE6ED" w14:textId="77777777" w:rsidR="00C6444C" w:rsidRDefault="00C6444C" w:rsidP="00020D20">
                      <w:pPr>
                        <w:jc w:val="center"/>
                      </w:pPr>
                      <w:r>
                        <w:rPr>
                          <w:noProof/>
                        </w:rPr>
                        <w:drawing>
                          <wp:inline distT="0" distB="0" distL="0" distR="0" wp14:anchorId="0778D9D1" wp14:editId="09EBF45D">
                            <wp:extent cx="457200" cy="457200"/>
                            <wp:effectExtent l="0" t="0" r="0" b="0"/>
                            <wp:docPr id="1690912800" name="Picture 1690912800">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7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04A1339" w14:textId="44A26B1C" w:rsidR="00C6444C" w:rsidRPr="00977A9B" w:rsidRDefault="00C6444C" w:rsidP="00020D20">
                      <w:pPr>
                        <w:pStyle w:val="Calloutboxes"/>
                      </w:pPr>
                      <w:r w:rsidRPr="005A6734">
                        <w:t>Bicycle and Pedestrian Transportation Planning Guide:</w:t>
                      </w:r>
                    </w:p>
                    <w:p w14:paraId="094A3340" w14:textId="603D757E" w:rsidR="00C6444C" w:rsidRPr="00020D20" w:rsidRDefault="00C6444C">
                      <w:pPr>
                        <w:pStyle w:val="Title"/>
                        <w:rPr>
                          <w:sz w:val="16"/>
                        </w:rPr>
                      </w:pPr>
                      <w:hyperlink r:id="rId1248" w:history="1">
                        <w:r w:rsidRPr="00020D20">
                          <w:rPr>
                            <w:rStyle w:val="Hyperlink"/>
                            <w:rFonts w:ascii="Calibri" w:hAnsi="Calibri" w:cstheme="majorBidi"/>
                            <w:i/>
                            <w:iCs w:val="0"/>
                            <w:color w:val="CE5B18"/>
                            <w:szCs w:val="56"/>
                            <w:u w:val="none"/>
                          </w:rPr>
                          <w:t>https://www.fhwa.dot.gov/environment/bicycle_pedestrian/guidance/guidance_2019.cfm</w:t>
                        </w:r>
                      </w:hyperlink>
                    </w:p>
                  </w:txbxContent>
                </v:textbox>
                <w10:wrap type="tight"/>
              </v:shape>
            </w:pict>
          </mc:Fallback>
        </mc:AlternateContent>
      </w:r>
      <w:r w:rsidR="00794754" w:rsidRPr="00794754">
        <w:rPr>
          <w:rFonts w:cstheme="minorHAnsi"/>
        </w:rPr>
        <w:t xml:space="preserve">Guidance for integrating bicycle and pedestrian facilities into regional transportation plans is available in the FHWA Bicycle Planning Guide. The inclusion of non-motorized elements in transportation plans and programs can be achieved by addressing these issues and needs as part of the transportation planning process. Including a separate section on bicycle-specific issues in the RTP in addition to or in place of integration into the overall system plan may be appropriate. </w:t>
      </w:r>
    </w:p>
    <w:p w14:paraId="1112AEB4" w14:textId="14E82E9F" w:rsidR="00794754" w:rsidRPr="00794754" w:rsidRDefault="00794754" w:rsidP="00020D20">
      <w:pPr>
        <w:spacing w:after="0"/>
        <w:jc w:val="both"/>
        <w:rPr>
          <w:rFonts w:cstheme="minorHAnsi"/>
        </w:rPr>
      </w:pPr>
      <w:r w:rsidRPr="00794754">
        <w:rPr>
          <w:rFonts w:cstheme="minorHAnsi"/>
        </w:rPr>
        <w:t>This approach addresses the USDOT requirement of developing an intermodal transportation system. A bicycle and/or pedestrian plan element should contain policy statements and goals as well as the inclusion of specific projects and programs.</w:t>
      </w:r>
      <w:r w:rsidR="00E654C6" w:rsidRPr="00794754">
        <w:rPr>
          <w:rFonts w:cstheme="minorHAnsi"/>
        </w:rPr>
        <w:t xml:space="preserve"> </w:t>
      </w:r>
      <w:r w:rsidRPr="00794754">
        <w:rPr>
          <w:rFonts w:cstheme="minorHAnsi"/>
        </w:rPr>
        <w:t>Bicycle facilities include a new or improved lane, path, trail</w:t>
      </w:r>
      <w:r w:rsidR="00A303B0">
        <w:rPr>
          <w:rFonts w:cstheme="minorHAnsi"/>
        </w:rPr>
        <w:t>,</w:t>
      </w:r>
      <w:r w:rsidRPr="00794754">
        <w:rPr>
          <w:rFonts w:cstheme="minorHAnsi"/>
        </w:rPr>
        <w:t xml:space="preserve"> or shoulder for use by bicyclists and a traffic control device, shelter, or parking facility for bicycles. As such, facilities that enhance the public’s ability to use bicycles as a transportation mode on a daily basis should be considered. The following steps are useful in developing a bicycle-specific plan at the regional level or incorporating bicycle policies and projects in the overall long</w:t>
      </w:r>
      <w:r w:rsidR="00A303B0">
        <w:rPr>
          <w:rFonts w:cstheme="minorHAnsi"/>
        </w:rPr>
        <w:t>-</w:t>
      </w:r>
      <w:r w:rsidRPr="00794754">
        <w:rPr>
          <w:rFonts w:cstheme="minorHAnsi"/>
        </w:rPr>
        <w:t xml:space="preserve">term transportation plans. </w:t>
      </w:r>
    </w:p>
    <w:p w14:paraId="14C4DE13" w14:textId="77777777" w:rsidR="00794754" w:rsidRPr="00794754" w:rsidRDefault="00794754" w:rsidP="00020D20">
      <w:pPr>
        <w:pStyle w:val="SubHeading3"/>
        <w:jc w:val="both"/>
      </w:pPr>
      <w:bookmarkStart w:id="769" w:name="_Ref50050898"/>
      <w:r w:rsidRPr="00794754">
        <w:t>Create a Vision Statement, Goals, and Performance Criteria</w:t>
      </w:r>
      <w:bookmarkEnd w:id="769"/>
    </w:p>
    <w:p w14:paraId="5F883898" w14:textId="77777777" w:rsidR="00794754" w:rsidRPr="00794754" w:rsidRDefault="00794754" w:rsidP="00020D20">
      <w:pPr>
        <w:jc w:val="both"/>
        <w:rPr>
          <w:rFonts w:cstheme="minorHAnsi"/>
        </w:rPr>
      </w:pPr>
      <w:r w:rsidRPr="00794754">
        <w:rPr>
          <w:rFonts w:cstheme="minorHAnsi"/>
        </w:rPr>
        <w:t>The vision statement expresses what the plan expects to accomplish. Specific plan goals to reach the vision need to be clearly defined and measurable and include a realistic timeframe. An example goal might be to increase bicycle ridership 10 percent each year over the next five years or to double the miles of bicycle lanes, multi-use paths, and trails in 10 years.</w:t>
      </w:r>
    </w:p>
    <w:p w14:paraId="07F01A2E" w14:textId="2A51524B" w:rsidR="00794754" w:rsidRPr="00794754" w:rsidRDefault="00794754" w:rsidP="00020D20">
      <w:pPr>
        <w:pStyle w:val="SubHeading3"/>
        <w:jc w:val="both"/>
      </w:pPr>
      <w:bookmarkStart w:id="770" w:name="_Ref50050902"/>
      <w:r w:rsidRPr="00794754">
        <w:t>Develop Regional Objectives for Non</w:t>
      </w:r>
      <w:r w:rsidR="00836FD9">
        <w:t>m</w:t>
      </w:r>
      <w:r w:rsidRPr="00794754">
        <w:t>otorized Facilities</w:t>
      </w:r>
      <w:bookmarkEnd w:id="770"/>
    </w:p>
    <w:p w14:paraId="219A9A19" w14:textId="0CCEDA7F" w:rsidR="00794754" w:rsidRPr="00794754" w:rsidRDefault="00794754" w:rsidP="00020D20">
      <w:pPr>
        <w:jc w:val="both"/>
        <w:rPr>
          <w:rFonts w:cstheme="minorHAnsi"/>
        </w:rPr>
      </w:pPr>
      <w:r w:rsidRPr="00794754">
        <w:rPr>
          <w:rFonts w:cstheme="minorHAnsi"/>
        </w:rPr>
        <w:t>Existing non-motorized facilities and activity in the community should be assessed and documented to identify the regional bicycling issues and needs. Objectives that build on existing conditions should be developed to define</w:t>
      </w:r>
      <w:r>
        <w:rPr>
          <w:rFonts w:cstheme="minorHAnsi"/>
        </w:rPr>
        <w:t xml:space="preserve"> </w:t>
      </w:r>
      <w:r w:rsidRPr="00794754">
        <w:rPr>
          <w:rFonts w:cstheme="minorHAnsi"/>
        </w:rPr>
        <w:t xml:space="preserve">which elements of the bicycle network should be prioritized and what transportation policies and community activities can enhance usage. This assessment should include </w:t>
      </w:r>
      <w:r w:rsidR="002F007D">
        <w:rPr>
          <w:rFonts w:cstheme="minorHAnsi"/>
          <w:noProof/>
        </w:rPr>
        <mc:AlternateContent>
          <mc:Choice Requires="wps">
            <w:drawing>
              <wp:anchor distT="0" distB="0" distL="114300" distR="114300" simplePos="0" relativeHeight="251618440" behindDoc="1" locked="0" layoutInCell="1" allowOverlap="1" wp14:anchorId="3AD9B7D5" wp14:editId="4A94D847">
                <wp:simplePos x="0" y="0"/>
                <wp:positionH relativeFrom="column">
                  <wp:posOffset>0</wp:posOffset>
                </wp:positionH>
                <wp:positionV relativeFrom="paragraph">
                  <wp:posOffset>632460</wp:posOffset>
                </wp:positionV>
                <wp:extent cx="1372870" cy="2057400"/>
                <wp:effectExtent l="76200" t="95250" r="93980" b="95250"/>
                <wp:wrapTight wrapText="bothSides">
                  <wp:wrapPolygon edited="0">
                    <wp:start x="-1199" y="-1000"/>
                    <wp:lineTo x="-1199" y="22200"/>
                    <wp:lineTo x="-899" y="22400"/>
                    <wp:lineTo x="22179" y="22400"/>
                    <wp:lineTo x="22779" y="21800"/>
                    <wp:lineTo x="22479" y="-1000"/>
                    <wp:lineTo x="-1199" y="-1000"/>
                  </wp:wrapPolygon>
                </wp:wrapTight>
                <wp:docPr id="816286343" name="Text Box 816286343"/>
                <wp:cNvGraphicFramePr/>
                <a:graphic xmlns:a="http://schemas.openxmlformats.org/drawingml/2006/main">
                  <a:graphicData uri="http://schemas.microsoft.com/office/word/2010/wordprocessingShape">
                    <wps:wsp>
                      <wps:cNvSpPr txBox="1"/>
                      <wps:spPr>
                        <a:xfrm>
                          <a:off x="0" y="0"/>
                          <a:ext cx="1372870" cy="20574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38081802" w14:textId="77777777" w:rsidR="00C6444C" w:rsidRDefault="00C6444C" w:rsidP="00020D20">
                            <w:pPr>
                              <w:jc w:val="center"/>
                            </w:pPr>
                            <w:r>
                              <w:rPr>
                                <w:noProof/>
                              </w:rPr>
                              <w:drawing>
                                <wp:inline distT="0" distB="0" distL="0" distR="0" wp14:anchorId="5730E6EB" wp14:editId="1FDA1BAA">
                                  <wp:extent cx="457200" cy="457200"/>
                                  <wp:effectExtent l="0" t="0" r="0" b="0"/>
                                  <wp:docPr id="1690912801" name="Picture 169091280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08C6A46" w14:textId="6B97B9BF" w:rsidR="00C6444C" w:rsidRPr="00977A9B" w:rsidRDefault="00C6444C" w:rsidP="00020D20">
                            <w:pPr>
                              <w:pStyle w:val="Calloutboxes"/>
                            </w:pPr>
                            <w:r w:rsidRPr="005A6734">
                              <w:t>Pedestrian and Bicycle Information Center: A clearinghouse for information about health and safety, engineering, advocacy, education, enforcement, access, and mobility.</w:t>
                            </w:r>
                          </w:p>
                          <w:p w14:paraId="6429E922" w14:textId="2AFF7CE9" w:rsidR="00C6444C" w:rsidRPr="005A6734" w:rsidRDefault="00202C92" w:rsidP="00020D20">
                            <w:pPr>
                              <w:pStyle w:val="BalloonText"/>
                              <w:spacing w:before="0" w:after="0"/>
                              <w:jc w:val="center"/>
                              <w:rPr>
                                <w:sz w:val="16"/>
                                <w:szCs w:val="16"/>
                              </w:rPr>
                            </w:pPr>
                            <w:hyperlink r:id="rId1249" w:history="1">
                              <w:r w:rsidR="00C6444C" w:rsidRPr="003F2921">
                                <w:rPr>
                                  <w:rStyle w:val="Hyperlink"/>
                                  <w:rFonts w:ascii="Calibri" w:hAnsi="Calibri" w:cstheme="majorBidi"/>
                                  <w:i w:val="0"/>
                                  <w:color w:val="CE5B18"/>
                                  <w:u w:val="none"/>
                                </w:rPr>
                                <w:t>http://www.pedbikeinfo.org/state_contacts.cfm?ID=1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9B7D5" id="Text Box 816286343" o:spid="_x0000_s1338" type="#_x0000_t202" style="position:absolute;left:0;text-align:left;margin-left:0;margin-top:49.8pt;width:108.1pt;height:162pt;z-index:-251698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" fillcolor="#f7f7f7" stroked="f" strokeweight=".5pt">
                <v:shadow on="t" type="perspective" color="black" opacity="26214f" offset="0,0" matrix="66847f,,,66847f"/>
                <v:textbox>
                  <w:txbxContent>
                    <w:p w14:paraId="38081802" w14:textId="77777777" w:rsidR="00C6444C" w:rsidRDefault="00C6444C" w:rsidP="00020D20">
                      <w:pPr>
                        <w:jc w:val="center"/>
                      </w:pPr>
                      <w:r>
                        <w:rPr>
                          <w:noProof/>
                        </w:rPr>
                        <w:drawing>
                          <wp:inline distT="0" distB="0" distL="0" distR="0" wp14:anchorId="5730E6EB" wp14:editId="1FDA1BAA">
                            <wp:extent cx="457200" cy="457200"/>
                            <wp:effectExtent l="0" t="0" r="0" b="0"/>
                            <wp:docPr id="1690912801" name="Picture 1690912801">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408C6A46" w14:textId="6B97B9BF" w:rsidR="00C6444C" w:rsidRPr="00977A9B" w:rsidRDefault="00C6444C" w:rsidP="00020D20">
                      <w:pPr>
                        <w:pStyle w:val="Calloutboxes"/>
                      </w:pPr>
                      <w:r w:rsidRPr="005A6734">
                        <w:t>Pedestrian and Bicycle Information Center: A clearinghouse for information about health and safety, engineering, advocacy, education, enforcement, access, and mobility.</w:t>
                      </w:r>
                    </w:p>
                    <w:p w14:paraId="6429E922" w14:textId="2AFF7CE9" w:rsidR="00C6444C" w:rsidRPr="005A6734" w:rsidRDefault="00C6444C" w:rsidP="00020D20">
                      <w:pPr>
                        <w:pStyle w:val="BalloonText"/>
                        <w:spacing w:before="0" w:after="0"/>
                        <w:jc w:val="center"/>
                        <w:rPr>
                          <w:sz w:val="16"/>
                          <w:szCs w:val="16"/>
                        </w:rPr>
                      </w:pPr>
                      <w:hyperlink r:id="rId1250" w:history="1">
                        <w:r w:rsidRPr="003F2921">
                          <w:rPr>
                            <w:rStyle w:val="Hyperlink"/>
                            <w:rFonts w:ascii="Calibri" w:hAnsi="Calibri" w:cstheme="majorBidi"/>
                            <w:i w:val="0"/>
                            <w:color w:val="CE5B18"/>
                            <w:u w:val="none"/>
                          </w:rPr>
                          <w:t>http://www.pedbikeinfo.org/state_contacts.cfm?ID=1</w:t>
                        </w:r>
                      </w:hyperlink>
                    </w:p>
                  </w:txbxContent>
                </v:textbox>
                <w10:wrap type="tight"/>
              </v:shape>
            </w:pict>
          </mc:Fallback>
        </mc:AlternateContent>
      </w:r>
      <w:r w:rsidRPr="00794754">
        <w:rPr>
          <w:rFonts w:cstheme="minorHAnsi"/>
        </w:rPr>
        <w:t xml:space="preserve">determining the current level of bicycle trips, bicycle and pedestrian crash history, evaluation </w:t>
      </w:r>
      <w:r w:rsidR="00836FD9">
        <w:rPr>
          <w:rFonts w:cstheme="minorHAnsi"/>
        </w:rPr>
        <w:t xml:space="preserve">of </w:t>
      </w:r>
      <w:r w:rsidRPr="00794754">
        <w:rPr>
          <w:rFonts w:cstheme="minorHAnsi"/>
        </w:rPr>
        <w:t>the existing transportation infrastructure relative to bicycle facilities, identification of desired travel corridors, review of planning and design standards relative to bicycle and pedestrian capacity and safety, and review</w:t>
      </w:r>
      <w:r w:rsidR="00836FD9">
        <w:rPr>
          <w:rFonts w:cstheme="minorHAnsi"/>
        </w:rPr>
        <w:t xml:space="preserve"> of</w:t>
      </w:r>
      <w:r w:rsidRPr="00794754">
        <w:rPr>
          <w:rFonts w:cstheme="minorHAnsi"/>
        </w:rPr>
        <w:t xml:space="preserve"> the ability of transit to accommodate cyclists. </w:t>
      </w:r>
    </w:p>
    <w:p w14:paraId="43166A7A" w14:textId="1AD61B82" w:rsidR="00794754" w:rsidRPr="00472679" w:rsidRDefault="00794754" w:rsidP="00020D20">
      <w:pPr>
        <w:pStyle w:val="SubHeading3"/>
        <w:jc w:val="both"/>
      </w:pPr>
      <w:bookmarkStart w:id="771" w:name="_Ref50050905"/>
      <w:r w:rsidRPr="000E518A">
        <w:t>Define the Bicycle Network</w:t>
      </w:r>
      <w:bookmarkEnd w:id="771"/>
    </w:p>
    <w:p w14:paraId="4DFFA967" w14:textId="76A0E60B" w:rsidR="00794754" w:rsidRPr="00794754" w:rsidRDefault="00836FD9" w:rsidP="00020D20">
      <w:pPr>
        <w:jc w:val="both"/>
        <w:rPr>
          <w:rFonts w:cstheme="minorHAnsi"/>
        </w:rPr>
      </w:pPr>
      <w:r>
        <w:rPr>
          <w:rFonts w:cstheme="minorHAnsi"/>
        </w:rPr>
        <w:t>C</w:t>
      </w:r>
      <w:r w:rsidR="00794754" w:rsidRPr="00794754">
        <w:rPr>
          <w:rFonts w:cstheme="minorHAnsi"/>
        </w:rPr>
        <w:t xml:space="preserve">yclists should be considered at all levels of the transportation system; therefore, the bicycle network could evolve into local, regional, and interregional levels of facilities. Planning for the widest bicycle user population requires a range of facilities that are accessible to cyclists of all comfort levels, from the assertive rider to the casual beginner. </w:t>
      </w:r>
    </w:p>
    <w:p w14:paraId="6412C183" w14:textId="081E7246" w:rsidR="00794754" w:rsidRPr="00794754" w:rsidRDefault="00794754" w:rsidP="00020D20">
      <w:pPr>
        <w:pStyle w:val="SubHeading3"/>
        <w:jc w:val="both"/>
      </w:pPr>
      <w:bookmarkStart w:id="772" w:name="_Ref50050908"/>
      <w:r w:rsidRPr="00794754">
        <w:t>Develop Intermodal Connections and Wayfinding</w:t>
      </w:r>
      <w:bookmarkEnd w:id="772"/>
    </w:p>
    <w:p w14:paraId="3E96AA69" w14:textId="20F73F43" w:rsidR="00794754" w:rsidRPr="00794754" w:rsidRDefault="00C75B72" w:rsidP="00020D20">
      <w:pPr>
        <w:jc w:val="both"/>
        <w:rPr>
          <w:rFonts w:cstheme="minorHAnsi"/>
        </w:rPr>
      </w:pPr>
      <w:r>
        <w:rPr>
          <w:rFonts w:cstheme="minorHAnsi"/>
          <w:noProof/>
        </w:rPr>
        <mc:AlternateContent>
          <mc:Choice Requires="wps">
            <w:drawing>
              <wp:anchor distT="0" distB="0" distL="114300" distR="114300" simplePos="0" relativeHeight="251618441" behindDoc="1" locked="0" layoutInCell="1" allowOverlap="1" wp14:anchorId="5B13037D" wp14:editId="4B39FC13">
                <wp:simplePos x="0" y="0"/>
                <wp:positionH relativeFrom="column">
                  <wp:posOffset>1028700</wp:posOffset>
                </wp:positionH>
                <wp:positionV relativeFrom="paragraph">
                  <wp:posOffset>146685</wp:posOffset>
                </wp:positionV>
                <wp:extent cx="1372870" cy="1143000"/>
                <wp:effectExtent l="95250" t="76200" r="93980" b="76200"/>
                <wp:wrapTight wrapText="bothSides">
                  <wp:wrapPolygon edited="0">
                    <wp:start x="-899" y="-1440"/>
                    <wp:lineTo x="-1499" y="-1080"/>
                    <wp:lineTo x="-1199" y="22680"/>
                    <wp:lineTo x="22479" y="22680"/>
                    <wp:lineTo x="22779" y="4680"/>
                    <wp:lineTo x="22179" y="-720"/>
                    <wp:lineTo x="22179" y="-1440"/>
                    <wp:lineTo x="-899" y="-1440"/>
                  </wp:wrapPolygon>
                </wp:wrapTight>
                <wp:docPr id="816286349" name="Text Box 816286349"/>
                <wp:cNvGraphicFramePr/>
                <a:graphic xmlns:a="http://schemas.openxmlformats.org/drawingml/2006/main">
                  <a:graphicData uri="http://schemas.microsoft.com/office/word/2010/wordprocessingShape">
                    <wps:wsp>
                      <wps:cNvSpPr txBox="1"/>
                      <wps:spPr>
                        <a:xfrm>
                          <a:off x="0" y="0"/>
                          <a:ext cx="1372870" cy="114300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2B9D1064" w14:textId="77777777" w:rsidR="00C6444C" w:rsidRDefault="00C6444C" w:rsidP="00020D20">
                            <w:pPr>
                              <w:jc w:val="center"/>
                            </w:pPr>
                            <w:r>
                              <w:rPr>
                                <w:noProof/>
                              </w:rPr>
                              <w:drawing>
                                <wp:inline distT="0" distB="0" distL="0" distR="0" wp14:anchorId="0885D4CD" wp14:editId="114184A2">
                                  <wp:extent cx="457200" cy="457200"/>
                                  <wp:effectExtent l="0" t="0" r="0" b="0"/>
                                  <wp:docPr id="1690912802" name="Picture 1690912802">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72">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5ABB89C" w14:textId="14E4981E" w:rsidR="00C6444C" w:rsidRPr="00977A9B" w:rsidRDefault="00C6444C" w:rsidP="00020D20">
                            <w:pPr>
                              <w:pStyle w:val="Calloutboxes"/>
                            </w:pPr>
                            <w:r w:rsidRPr="005A6734">
                              <w:t>Association of Pedestrian and Bicycle Professionals:</w:t>
                            </w:r>
                          </w:p>
                          <w:p w14:paraId="40BC8B52" w14:textId="7F24D62D" w:rsidR="00C6444C" w:rsidRPr="005A6734" w:rsidRDefault="00202C92" w:rsidP="00020D20">
                            <w:pPr>
                              <w:pStyle w:val="BalloonText"/>
                              <w:spacing w:before="0" w:after="0"/>
                              <w:jc w:val="center"/>
                              <w:rPr>
                                <w:sz w:val="16"/>
                                <w:szCs w:val="16"/>
                              </w:rPr>
                            </w:pPr>
                            <w:hyperlink r:id="rId1251" w:history="1">
                              <w:r w:rsidR="00C6444C" w:rsidRPr="003F2921">
                                <w:rPr>
                                  <w:rStyle w:val="Hyperlink"/>
                                  <w:rFonts w:ascii="Calibri" w:hAnsi="Calibri" w:cstheme="majorBidi"/>
                                  <w:i w:val="0"/>
                                  <w:color w:val="CE5B18"/>
                                  <w:u w:val="none"/>
                                </w:rPr>
                                <w:t>https://www.apbp.org/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13037D" id="Text Box 816286349" o:spid="_x0000_s1339" type="#_x0000_t202" style="position:absolute;left:0;text-align:left;margin-left:81pt;margin-top:11.55pt;width:108.1pt;height:90pt;z-index:-251698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" fillcolor="#f7f7f7" stroked="f" strokeweight=".5pt">
                <v:shadow on="t" type="perspective" color="black" opacity="26214f" offset="0,0" matrix="66847f,,,66847f"/>
                <v:textbox>
                  <w:txbxContent>
                    <w:p w14:paraId="2B9D1064" w14:textId="77777777" w:rsidR="00C6444C" w:rsidRDefault="00C6444C" w:rsidP="00020D20">
                      <w:pPr>
                        <w:jc w:val="center"/>
                      </w:pPr>
                      <w:r>
                        <w:rPr>
                          <w:noProof/>
                        </w:rPr>
                        <w:drawing>
                          <wp:inline distT="0" distB="0" distL="0" distR="0" wp14:anchorId="0885D4CD" wp14:editId="114184A2">
                            <wp:extent cx="457200" cy="457200"/>
                            <wp:effectExtent l="0" t="0" r="0" b="0"/>
                            <wp:docPr id="1690912802" name="Picture 1690912802">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5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35ABB89C" w14:textId="14E4981E" w:rsidR="00C6444C" w:rsidRPr="00977A9B" w:rsidRDefault="00C6444C" w:rsidP="00020D20">
                      <w:pPr>
                        <w:pStyle w:val="Calloutboxes"/>
                      </w:pPr>
                      <w:r w:rsidRPr="005A6734">
                        <w:t>Association of Pedestrian and Bicycle Professionals:</w:t>
                      </w:r>
                    </w:p>
                    <w:p w14:paraId="40BC8B52" w14:textId="7F24D62D" w:rsidR="00C6444C" w:rsidRPr="005A6734" w:rsidRDefault="00C6444C" w:rsidP="00020D20">
                      <w:pPr>
                        <w:pStyle w:val="BalloonText"/>
                        <w:spacing w:before="0" w:after="0"/>
                        <w:jc w:val="center"/>
                        <w:rPr>
                          <w:sz w:val="16"/>
                          <w:szCs w:val="16"/>
                        </w:rPr>
                      </w:pPr>
                      <w:hyperlink r:id="rId1252" w:history="1">
                        <w:r w:rsidRPr="003F2921">
                          <w:rPr>
                            <w:rStyle w:val="Hyperlink"/>
                            <w:rFonts w:ascii="Calibri" w:hAnsi="Calibri" w:cstheme="majorBidi"/>
                            <w:i w:val="0"/>
                            <w:color w:val="CE5B18"/>
                            <w:u w:val="none"/>
                          </w:rPr>
                          <w:t>https://www.apbp.org/</w:t>
                        </w:r>
                      </w:hyperlink>
                    </w:p>
                  </w:txbxContent>
                </v:textbox>
                <w10:wrap type="tight"/>
              </v:shape>
            </w:pict>
          </mc:Fallback>
        </mc:AlternateContent>
      </w:r>
      <w:r w:rsidR="00794754" w:rsidRPr="00794754">
        <w:rPr>
          <w:rFonts w:cstheme="minorHAnsi"/>
        </w:rPr>
        <w:t>Cyclist</w:t>
      </w:r>
      <w:r w:rsidR="00836FD9">
        <w:rPr>
          <w:rFonts w:cstheme="minorHAnsi"/>
        </w:rPr>
        <w:t>s</w:t>
      </w:r>
      <w:r w:rsidR="00794754" w:rsidRPr="00794754">
        <w:rPr>
          <w:rFonts w:cstheme="minorHAnsi"/>
        </w:rPr>
        <w:t xml:space="preserve">, just like drivers, require reliable, accessible parking or storage spaces, ideally at locations close to destinations or intermodal exchange centers, such as transit terminals. Guiding cyclists and informing them of available destinations and facilities is an effective way to increase bicycle usage at the regional level. Similar to </w:t>
      </w:r>
      <w:r w:rsidR="00836FD9">
        <w:rPr>
          <w:rFonts w:cstheme="minorHAnsi"/>
        </w:rPr>
        <w:t>automobile drivers</w:t>
      </w:r>
      <w:r w:rsidR="00794754" w:rsidRPr="00794754">
        <w:rPr>
          <w:rFonts w:cstheme="minorHAnsi"/>
        </w:rPr>
        <w:t xml:space="preserve">, cyclists need information about the best routes to regional destinations and connections to intersecting facilities. </w:t>
      </w:r>
    </w:p>
    <w:p w14:paraId="35146698" w14:textId="77777777" w:rsidR="00794754" w:rsidRPr="00794754" w:rsidRDefault="00794754" w:rsidP="00020D20">
      <w:pPr>
        <w:pStyle w:val="SubHeading3"/>
        <w:jc w:val="both"/>
      </w:pPr>
      <w:bookmarkStart w:id="773" w:name="_Ref50050912"/>
      <w:r w:rsidRPr="00794754">
        <w:t>Safety</w:t>
      </w:r>
      <w:bookmarkEnd w:id="773"/>
    </w:p>
    <w:p w14:paraId="6AB0B6FF" w14:textId="089BD45A" w:rsidR="00794754" w:rsidRPr="00794754" w:rsidRDefault="00794754" w:rsidP="00020D20">
      <w:pPr>
        <w:jc w:val="both"/>
        <w:rPr>
          <w:rFonts w:cstheme="minorHAnsi"/>
        </w:rPr>
      </w:pPr>
      <w:r w:rsidRPr="00794754">
        <w:rPr>
          <w:rFonts w:cstheme="minorHAnsi"/>
        </w:rPr>
        <w:t>Bicycle and pedestrian safety can be integrated in the overall regional safety plan or be designated as its own priority based on regional needs and existing condition assessment</w:t>
      </w:r>
      <w:r w:rsidR="00836FD9">
        <w:rPr>
          <w:rFonts w:cstheme="minorHAnsi"/>
        </w:rPr>
        <w:t>s</w:t>
      </w:r>
      <w:r w:rsidRPr="00794754">
        <w:rPr>
          <w:rFonts w:cstheme="minorHAnsi"/>
        </w:rPr>
        <w:t>. Improving safety can involve a number of facility enhancements but also may include driver and rider education. Targeted enforcement of the state statutes on the road for drivers, cyclists, and walkers can improve compliance and increase safety.</w:t>
      </w:r>
    </w:p>
    <w:p w14:paraId="1869566A" w14:textId="77777777" w:rsidR="00794754" w:rsidRPr="00472679" w:rsidRDefault="00794754" w:rsidP="00020D20">
      <w:pPr>
        <w:pStyle w:val="SubHeading3"/>
        <w:jc w:val="both"/>
      </w:pPr>
      <w:bookmarkStart w:id="774" w:name="_Ref50050915"/>
      <w:r w:rsidRPr="000E518A">
        <w:t>Facility Maintenance</w:t>
      </w:r>
      <w:bookmarkEnd w:id="774"/>
    </w:p>
    <w:p w14:paraId="1C24EB10" w14:textId="77777777" w:rsidR="00794754" w:rsidRPr="00794754" w:rsidRDefault="00794754" w:rsidP="00020D20">
      <w:pPr>
        <w:jc w:val="both"/>
        <w:rPr>
          <w:rFonts w:cstheme="minorHAnsi"/>
        </w:rPr>
      </w:pPr>
      <w:r w:rsidRPr="00794754">
        <w:rPr>
          <w:rFonts w:cstheme="minorHAnsi"/>
        </w:rPr>
        <w:t xml:space="preserve">Integrate non-motorized facilities into the routine roadway maintenance programs. Inventory and update the state of existing facilities on a regular basis to facilitate improvement projects across the entire network in a timely manner. </w:t>
      </w:r>
    </w:p>
    <w:p w14:paraId="4F5A9463" w14:textId="77777777" w:rsidR="00794754" w:rsidRPr="00794754" w:rsidRDefault="00794754" w:rsidP="00020D20">
      <w:pPr>
        <w:pStyle w:val="SubHeading3"/>
        <w:jc w:val="both"/>
      </w:pPr>
      <w:bookmarkStart w:id="775" w:name="_Ref50050919"/>
      <w:r w:rsidRPr="00794754">
        <w:t>Education, Encouragement, and Awareness</w:t>
      </w:r>
      <w:bookmarkEnd w:id="775"/>
    </w:p>
    <w:p w14:paraId="60FB700E" w14:textId="77777777" w:rsidR="00794754" w:rsidRPr="00794754" w:rsidRDefault="00794754" w:rsidP="00020D20">
      <w:pPr>
        <w:jc w:val="both"/>
        <w:rPr>
          <w:rFonts w:cstheme="minorHAnsi"/>
        </w:rPr>
      </w:pPr>
      <w:r w:rsidRPr="00794754">
        <w:rPr>
          <w:rFonts w:cstheme="minorHAnsi"/>
        </w:rPr>
        <w:t>Engaging the widest possible population in walking and the use of bicycles for recreational and daily use requires programs that interact with the public. Examples of such programs include:</w:t>
      </w:r>
    </w:p>
    <w:p w14:paraId="2906BDFA" w14:textId="77777777" w:rsidR="00794754" w:rsidRPr="00794754" w:rsidRDefault="00794754" w:rsidP="00020D20">
      <w:pPr>
        <w:pStyle w:val="Body-Bullets"/>
        <w:jc w:val="both"/>
      </w:pPr>
      <w:r w:rsidRPr="00794754">
        <w:t>school outreach programs;</w:t>
      </w:r>
    </w:p>
    <w:p w14:paraId="02B2E116" w14:textId="77777777" w:rsidR="00794754" w:rsidRPr="00794754" w:rsidRDefault="00794754" w:rsidP="00020D20">
      <w:pPr>
        <w:pStyle w:val="Body-Bullets"/>
        <w:jc w:val="both"/>
      </w:pPr>
      <w:r w:rsidRPr="00794754">
        <w:t>helmet safety and compliance programs;</w:t>
      </w:r>
    </w:p>
    <w:p w14:paraId="2371C47D" w14:textId="77777777" w:rsidR="00794754" w:rsidRPr="00794754" w:rsidRDefault="00794754" w:rsidP="00020D20">
      <w:pPr>
        <w:pStyle w:val="Body-Bullets"/>
        <w:jc w:val="both"/>
      </w:pPr>
      <w:r w:rsidRPr="00794754">
        <w:t>motorist awareness and safety programs; and</w:t>
      </w:r>
    </w:p>
    <w:p w14:paraId="5E8BAB6E" w14:textId="77777777" w:rsidR="00794754" w:rsidRPr="00794754" w:rsidRDefault="00794754" w:rsidP="00020D20">
      <w:pPr>
        <w:pStyle w:val="Body-Bullets"/>
        <w:jc w:val="both"/>
      </w:pPr>
      <w:r w:rsidRPr="00794754">
        <w:t>training materials, brochures, and maps.</w:t>
      </w:r>
    </w:p>
    <w:p w14:paraId="2F3C7866" w14:textId="5D2E27F5" w:rsidR="00794754" w:rsidRPr="00794754" w:rsidRDefault="00465E88" w:rsidP="00020D20">
      <w:pPr>
        <w:pStyle w:val="Heading3"/>
        <w:jc w:val="both"/>
      </w:pPr>
      <w:bookmarkStart w:id="776" w:name="_Ref50050763"/>
      <w:r>
        <w:t>17.12.4 | Funding Sources for Non</w:t>
      </w:r>
      <w:r w:rsidR="00836FD9">
        <w:t>m</w:t>
      </w:r>
      <w:r>
        <w:t>otorized I</w:t>
      </w:r>
      <w:r w:rsidR="00794754" w:rsidRPr="00794754">
        <w:t>mprovements</w:t>
      </w:r>
      <w:bookmarkEnd w:id="776"/>
    </w:p>
    <w:p w14:paraId="3DE3A7F0" w14:textId="4EBFC2BC" w:rsidR="00794754" w:rsidRPr="00794754" w:rsidRDefault="00794754" w:rsidP="00020D20">
      <w:pPr>
        <w:jc w:val="both"/>
        <w:rPr>
          <w:rFonts w:cstheme="minorHAnsi"/>
        </w:rPr>
      </w:pPr>
      <w:r w:rsidRPr="00794754">
        <w:rPr>
          <w:rFonts w:cstheme="minorHAnsi"/>
        </w:rPr>
        <w:t>Walking and cycling can be tied to health, economic, and transportation mobility improvements, to name a few benefits. Federal funding sources for those project types are available through a number of programs:</w:t>
      </w:r>
    </w:p>
    <w:p w14:paraId="61AE7595" w14:textId="77777777" w:rsidR="00794754" w:rsidRPr="00794754" w:rsidRDefault="00794754" w:rsidP="00020D20">
      <w:pPr>
        <w:pStyle w:val="SubHeading3"/>
        <w:jc w:val="both"/>
      </w:pPr>
      <w:bookmarkStart w:id="777" w:name="_Ref50051187"/>
      <w:r w:rsidRPr="00794754">
        <w:t>Federal-Aid Highway Programs</w:t>
      </w:r>
      <w:bookmarkEnd w:id="777"/>
    </w:p>
    <w:p w14:paraId="79F686C5" w14:textId="4D217979" w:rsidR="00794754" w:rsidRPr="0054318A" w:rsidRDefault="00317205" w:rsidP="00020D20">
      <w:pPr>
        <w:pStyle w:val="Body-Bullets"/>
        <w:jc w:val="both"/>
      </w:pPr>
      <w:r>
        <w:t>NHPP</w:t>
      </w:r>
      <w:r w:rsidR="00794754" w:rsidRPr="0054318A">
        <w:t xml:space="preserve"> Program</w:t>
      </w:r>
    </w:p>
    <w:p w14:paraId="019D2E61" w14:textId="4562C414" w:rsidR="00794754" w:rsidRPr="0054318A" w:rsidRDefault="00794754" w:rsidP="00020D20">
      <w:pPr>
        <w:pStyle w:val="Body-Bullets"/>
        <w:jc w:val="both"/>
      </w:pPr>
      <w:r w:rsidRPr="0054318A">
        <w:t>ST</w:t>
      </w:r>
      <w:r w:rsidR="007A1665">
        <w:t>BG</w:t>
      </w:r>
      <w:r w:rsidRPr="0054318A">
        <w:t>P</w:t>
      </w:r>
    </w:p>
    <w:p w14:paraId="045AC04E" w14:textId="58D83797" w:rsidR="00665A4E" w:rsidRDefault="00794754" w:rsidP="00020D20">
      <w:pPr>
        <w:pStyle w:val="Body-Bullets"/>
        <w:jc w:val="both"/>
      </w:pPr>
      <w:r w:rsidRPr="0054318A">
        <w:t>Transportation Alternatives Program (TAP)</w:t>
      </w:r>
    </w:p>
    <w:p w14:paraId="76074374" w14:textId="77777777" w:rsidR="0054318A" w:rsidRPr="0054318A" w:rsidRDefault="0054318A" w:rsidP="00020D20">
      <w:pPr>
        <w:pStyle w:val="Body-Bullets"/>
        <w:jc w:val="both"/>
      </w:pPr>
      <w:r w:rsidRPr="0054318A">
        <w:t>Hazard Elimination and Railway-Highway Crossing Program</w:t>
      </w:r>
    </w:p>
    <w:p w14:paraId="0FB3BB4B" w14:textId="77777777" w:rsidR="0054318A" w:rsidRPr="0054318A" w:rsidRDefault="0054318A" w:rsidP="00020D20">
      <w:pPr>
        <w:pStyle w:val="Body-Bullets"/>
        <w:jc w:val="both"/>
      </w:pPr>
      <w:r w:rsidRPr="0054318A">
        <w:t>CMAQ Improvement Program (MAG only—Casa Grande Accord)</w:t>
      </w:r>
    </w:p>
    <w:p w14:paraId="7D24F35A" w14:textId="77777777" w:rsidR="0054318A" w:rsidRPr="0054318A" w:rsidRDefault="0054318A" w:rsidP="00020D20">
      <w:pPr>
        <w:pStyle w:val="Body-Bullets"/>
        <w:jc w:val="both"/>
      </w:pPr>
      <w:r w:rsidRPr="0054318A">
        <w:t>Recreational Trails Program</w:t>
      </w:r>
    </w:p>
    <w:p w14:paraId="0D98AC00" w14:textId="1C5F875E" w:rsidR="0054318A" w:rsidRPr="0054318A" w:rsidRDefault="0054318A" w:rsidP="00020D20">
      <w:pPr>
        <w:pStyle w:val="Body-Bullets"/>
        <w:jc w:val="both"/>
      </w:pPr>
      <w:r w:rsidRPr="0054318A">
        <w:t>FL</w:t>
      </w:r>
      <w:r w:rsidR="00374A7E">
        <w:t>T</w:t>
      </w:r>
      <w:r w:rsidR="00DF7327">
        <w:t>P</w:t>
      </w:r>
    </w:p>
    <w:p w14:paraId="08433758" w14:textId="536B8C1C" w:rsidR="0054318A" w:rsidRPr="0054318A" w:rsidRDefault="00265B15" w:rsidP="00020D20">
      <w:pPr>
        <w:pStyle w:val="Body-Bullets"/>
        <w:jc w:val="both"/>
      </w:pPr>
      <w:r>
        <w:t>Job Access and Reverse Commute (</w:t>
      </w:r>
      <w:r w:rsidR="0054318A" w:rsidRPr="0054318A">
        <w:t>JARC Grants</w:t>
      </w:r>
      <w:r>
        <w:t>)</w:t>
      </w:r>
      <w:r w:rsidR="00C43F55" w:rsidRPr="00C43F55">
        <w:t xml:space="preserve"> </w:t>
      </w:r>
      <w:r w:rsidR="00C43F55">
        <w:t>MOA</w:t>
      </w:r>
    </w:p>
    <w:p w14:paraId="15AECE6A" w14:textId="7298BCAA" w:rsidR="0054318A" w:rsidRPr="0054318A" w:rsidRDefault="0054318A" w:rsidP="00020D20">
      <w:pPr>
        <w:pStyle w:val="Body-Bullets"/>
        <w:jc w:val="both"/>
      </w:pPr>
      <w:r w:rsidRPr="0054318A">
        <w:t>Designated Transportation Enhancement Activities</w:t>
      </w:r>
    </w:p>
    <w:p w14:paraId="6E3168C2" w14:textId="30948D04" w:rsidR="0054318A" w:rsidRDefault="0054318A" w:rsidP="00020D20">
      <w:pPr>
        <w:pStyle w:val="SubHeading3"/>
        <w:jc w:val="both"/>
      </w:pPr>
      <w:bookmarkStart w:id="778" w:name="_Ref50051191"/>
      <w:r w:rsidRPr="0054318A">
        <w:t>Federal Transit Programs</w:t>
      </w:r>
      <w:bookmarkEnd w:id="778"/>
    </w:p>
    <w:p w14:paraId="4E8B9882" w14:textId="77777777" w:rsidR="0054318A" w:rsidRPr="0054318A" w:rsidRDefault="0054318A" w:rsidP="00020D20">
      <w:pPr>
        <w:pStyle w:val="Body-Bullets"/>
        <w:jc w:val="both"/>
      </w:pPr>
      <w:r w:rsidRPr="0054318A">
        <w:t>Urbanized Area (UZA) Formula Grants</w:t>
      </w:r>
    </w:p>
    <w:p w14:paraId="36F43F96" w14:textId="2F4C3AF1" w:rsidR="000C3461" w:rsidRPr="0054318A" w:rsidRDefault="0054318A" w:rsidP="00020D20">
      <w:pPr>
        <w:pStyle w:val="Body-Bullets"/>
        <w:jc w:val="both"/>
      </w:pPr>
      <w:r w:rsidRPr="0054318A">
        <w:t>Capital Investment Grants and Loans</w:t>
      </w:r>
    </w:p>
    <w:p w14:paraId="72B0B366" w14:textId="77777777" w:rsidR="000C3461" w:rsidRDefault="0054318A" w:rsidP="00020D20">
      <w:pPr>
        <w:pStyle w:val="Body-Bullets"/>
        <w:jc w:val="both"/>
      </w:pPr>
      <w:r w:rsidRPr="0054318A">
        <w:t>Formula Program for Other than Urbanized Area</w:t>
      </w:r>
    </w:p>
    <w:p w14:paraId="56177A6B" w14:textId="77777777" w:rsidR="0054318A" w:rsidRPr="0054318A" w:rsidRDefault="0054318A" w:rsidP="00020D20">
      <w:pPr>
        <w:pStyle w:val="SubHeading3"/>
        <w:jc w:val="both"/>
      </w:pPr>
      <w:bookmarkStart w:id="779" w:name="_Ref50051196"/>
      <w:r w:rsidRPr="0054318A">
        <w:t>Highway Safety Programs</w:t>
      </w:r>
      <w:bookmarkEnd w:id="779"/>
    </w:p>
    <w:p w14:paraId="5DC034C9" w14:textId="77777777" w:rsidR="0054318A" w:rsidRPr="0054318A" w:rsidRDefault="0054318A" w:rsidP="00020D20">
      <w:pPr>
        <w:jc w:val="both"/>
        <w:rPr>
          <w:rFonts w:cstheme="minorHAnsi"/>
        </w:rPr>
      </w:pPr>
      <w:r w:rsidRPr="0054318A">
        <w:rPr>
          <w:rFonts w:cstheme="minorHAnsi"/>
        </w:rPr>
        <w:t xml:space="preserve">HSIP funds can be used for bicycle and pedestrian facility safety improvements. </w:t>
      </w:r>
    </w:p>
    <w:bookmarkStart w:id="780" w:name="_Ref50051198"/>
    <w:p w14:paraId="31B5DBA9" w14:textId="77777777" w:rsidR="0054318A" w:rsidRPr="0054318A" w:rsidRDefault="00D10447" w:rsidP="00020D20">
      <w:pPr>
        <w:pStyle w:val="SubHeading3"/>
        <w:jc w:val="both"/>
      </w:pPr>
      <w:r>
        <w:rPr>
          <w:noProof/>
        </w:rPr>
        <mc:AlternateContent>
          <mc:Choice Requires="wps">
            <w:drawing>
              <wp:anchor distT="0" distB="0" distL="114300" distR="114300" simplePos="0" relativeHeight="251618442" behindDoc="1" locked="0" layoutInCell="1" allowOverlap="1" wp14:anchorId="31218411" wp14:editId="0A884E68">
                <wp:simplePos x="0" y="0"/>
                <wp:positionH relativeFrom="column">
                  <wp:posOffset>1485900</wp:posOffset>
                </wp:positionH>
                <wp:positionV relativeFrom="paragraph">
                  <wp:posOffset>158115</wp:posOffset>
                </wp:positionV>
                <wp:extent cx="1258570" cy="1162050"/>
                <wp:effectExtent l="76200" t="76200" r="74930" b="76200"/>
                <wp:wrapTight wrapText="bothSides">
                  <wp:wrapPolygon edited="0">
                    <wp:start x="-981" y="-1416"/>
                    <wp:lineTo x="-1308" y="-1062"/>
                    <wp:lineTo x="-1308" y="22662"/>
                    <wp:lineTo x="22559" y="22662"/>
                    <wp:lineTo x="22559" y="4603"/>
                    <wp:lineTo x="22232" y="-708"/>
                    <wp:lineTo x="22232" y="-1416"/>
                    <wp:lineTo x="-981" y="-1416"/>
                  </wp:wrapPolygon>
                </wp:wrapTight>
                <wp:docPr id="816286370" name="Text Box 816286370"/>
                <wp:cNvGraphicFramePr/>
                <a:graphic xmlns:a="http://schemas.openxmlformats.org/drawingml/2006/main">
                  <a:graphicData uri="http://schemas.microsoft.com/office/word/2010/wordprocessingShape">
                    <wps:wsp>
                      <wps:cNvSpPr txBox="1"/>
                      <wps:spPr>
                        <a:xfrm>
                          <a:off x="0" y="0"/>
                          <a:ext cx="1258570" cy="1162050"/>
                        </a:xfrm>
                        <a:prstGeom prst="rect">
                          <a:avLst/>
                        </a:prstGeom>
                        <a:solidFill>
                          <a:srgbClr val="F7F7F7"/>
                        </a:solidFill>
                        <a:ln w="6350">
                          <a:noFill/>
                        </a:ln>
                        <a:effectLst>
                          <a:outerShdw blurRad="63500" sx="102000" sy="102000" algn="ctr" rotWithShape="0">
                            <a:prstClr val="black">
                              <a:alpha val="40000"/>
                            </a:prstClr>
                          </a:outerShdw>
                        </a:effectLst>
                      </wps:spPr>
                      <wps:txbx>
                        <w:txbxContent>
                          <w:p w14:paraId="1EEF4904" w14:textId="77777777" w:rsidR="00C6444C" w:rsidRDefault="00C6444C" w:rsidP="00020D20">
                            <w:pPr>
                              <w:jc w:val="center"/>
                            </w:pPr>
                            <w:r>
                              <w:rPr>
                                <w:noProof/>
                              </w:rPr>
                              <w:drawing>
                                <wp:inline distT="0" distB="0" distL="0" distR="0" wp14:anchorId="13BB5DFD" wp14:editId="6CC9A805">
                                  <wp:extent cx="457200" cy="457200"/>
                                  <wp:effectExtent l="0" t="0" r="0" b="0"/>
                                  <wp:docPr id="1690911424" name="Picture 169091142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07"/>
                                          </pic:cNvPr>
                                          <pic:cNvPicPr/>
                                        </pic:nvPicPr>
                                        <pic:blipFill>
                                          <a:blip r:embed="rId163">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3123D9F" w14:textId="7B24D642" w:rsidR="00C6444C" w:rsidRPr="001E4049" w:rsidRDefault="00C6444C" w:rsidP="00020D20">
                            <w:pPr>
                              <w:pStyle w:val="Calloutboxes"/>
                            </w:pPr>
                            <w:r w:rsidRPr="005A6734">
                              <w:t xml:space="preserve">Arizona GOHS </w:t>
                            </w:r>
                            <w:hyperlink r:id="rId1253" w:history="1">
                              <w:r w:rsidRPr="00020D20">
                                <w:rPr>
                                  <w:rStyle w:val="TitleChar"/>
                                  <w:sz w:val="16"/>
                                  <w:szCs w:val="16"/>
                                </w:rPr>
                                <w:t>Bike</w:t>
                              </w:r>
                            </w:hyperlink>
                            <w:r w:rsidRPr="005A6734">
                              <w:t xml:space="preserve"> and </w:t>
                            </w:r>
                            <w:hyperlink r:id="rId1254" w:history="1">
                              <w:r w:rsidRPr="00020D20">
                                <w:rPr>
                                  <w:rStyle w:val="TitleChar"/>
                                  <w:sz w:val="16"/>
                                  <w:szCs w:val="16"/>
                                </w:rPr>
                                <w:t>Pedestrian</w:t>
                              </w:r>
                            </w:hyperlink>
                            <w:r w:rsidRPr="005A6734">
                              <w:t xml:space="preserve"> Safety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218411" id="Text Box 816286370" o:spid="_x0000_s1340" type="#_x0000_t202" style="position:absolute;left:0;text-align:left;margin-left:117pt;margin-top:12.45pt;width:99.1pt;height:91.5pt;z-index:-251698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" fillcolor="#f7f7f7" stroked="f" strokeweight=".5pt">
                <v:shadow on="t" type="perspective" color="black" opacity="26214f" offset="0,0" matrix="66847f,,,66847f"/>
                <v:textbox>
                  <w:txbxContent>
                    <w:p w14:paraId="1EEF4904" w14:textId="77777777" w:rsidR="00C6444C" w:rsidRDefault="00C6444C" w:rsidP="00020D20">
                      <w:pPr>
                        <w:jc w:val="center"/>
                      </w:pPr>
                      <w:r>
                        <w:rPr>
                          <w:noProof/>
                        </w:rPr>
                        <w:drawing>
                          <wp:inline distT="0" distB="0" distL="0" distR="0" wp14:anchorId="13BB5DFD" wp14:editId="6CC9A805">
                            <wp:extent cx="457200" cy="457200"/>
                            <wp:effectExtent l="0" t="0" r="0" b="0"/>
                            <wp:docPr id="1690911424" name="Picture 169091142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6083" name="Picture 816286083">
                                      <a:hlinkClick r:id="rId818"/>
                                    </pic:cNvPr>
                                    <pic:cNvPicPr/>
                                  </pic:nvPicPr>
                                  <pic:blipFill>
                                    <a:blip r:embed="rId16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p w14:paraId="53123D9F" w14:textId="7B24D642" w:rsidR="00C6444C" w:rsidRPr="001E4049" w:rsidRDefault="00C6444C" w:rsidP="00020D20">
                      <w:pPr>
                        <w:pStyle w:val="Calloutboxes"/>
                      </w:pPr>
                      <w:r w:rsidRPr="005A6734">
                        <w:t xml:space="preserve">Arizona GOHS </w:t>
                      </w:r>
                      <w:hyperlink r:id="rId1255" w:history="1">
                        <w:r w:rsidRPr="00020D20">
                          <w:rPr>
                            <w:rStyle w:val="TitleChar"/>
                            <w:sz w:val="16"/>
                            <w:szCs w:val="16"/>
                          </w:rPr>
                          <w:t>Bike</w:t>
                        </w:r>
                      </w:hyperlink>
                      <w:r w:rsidRPr="005A6734">
                        <w:t xml:space="preserve"> and </w:t>
                      </w:r>
                      <w:hyperlink r:id="rId1256" w:history="1">
                        <w:r w:rsidRPr="00020D20">
                          <w:rPr>
                            <w:rStyle w:val="TitleChar"/>
                            <w:sz w:val="16"/>
                            <w:szCs w:val="16"/>
                          </w:rPr>
                          <w:t>Pedestrian</w:t>
                        </w:r>
                      </w:hyperlink>
                      <w:r w:rsidRPr="005A6734">
                        <w:t xml:space="preserve"> Safety programs</w:t>
                      </w:r>
                    </w:p>
                  </w:txbxContent>
                </v:textbox>
                <w10:wrap type="tight"/>
              </v:shape>
            </w:pict>
          </mc:Fallback>
        </mc:AlternateContent>
      </w:r>
      <w:r w:rsidR="0054318A" w:rsidRPr="0054318A">
        <w:t>NHTSA 402 Grants</w:t>
      </w:r>
      <w:bookmarkEnd w:id="780"/>
    </w:p>
    <w:p w14:paraId="28B8B7AA" w14:textId="2573DD80" w:rsidR="0054318A" w:rsidRPr="0054318A" w:rsidRDefault="0054318A" w:rsidP="00020D20">
      <w:pPr>
        <w:jc w:val="both"/>
        <w:rPr>
          <w:rFonts w:cstheme="minorHAnsi"/>
        </w:rPr>
      </w:pPr>
      <w:r w:rsidRPr="0054318A">
        <w:rPr>
          <w:rFonts w:cstheme="minorHAnsi"/>
        </w:rPr>
        <w:t xml:space="preserve">The Arizona GOHS administers </w:t>
      </w:r>
      <w:r w:rsidR="006F2666">
        <w:rPr>
          <w:rFonts w:cstheme="minorHAnsi"/>
        </w:rPr>
        <w:t>National Highway Traffic Safety Administration (</w:t>
      </w:r>
      <w:r w:rsidRPr="0054318A">
        <w:rPr>
          <w:rFonts w:cstheme="minorHAnsi"/>
        </w:rPr>
        <w:t>NHTSA</w:t>
      </w:r>
      <w:r w:rsidR="006F2666">
        <w:rPr>
          <w:rFonts w:cstheme="minorHAnsi"/>
        </w:rPr>
        <w:t>)</w:t>
      </w:r>
      <w:r w:rsidRPr="0054318A">
        <w:rPr>
          <w:rFonts w:cstheme="minorHAnsi"/>
        </w:rPr>
        <w:t xml:space="preserve"> 402 funds to agencies throughout Arizona to promote pedestrian and bicycle safety. Programs include the following:</w:t>
      </w:r>
    </w:p>
    <w:p w14:paraId="516AC35B" w14:textId="7FCA3DDB" w:rsidR="0054318A" w:rsidRPr="0054318A" w:rsidRDefault="0054318A" w:rsidP="00020D20">
      <w:pPr>
        <w:pStyle w:val="Body-Bullets"/>
        <w:jc w:val="both"/>
      </w:pPr>
      <w:r w:rsidRPr="0054318A">
        <w:t>Bicycle Programs</w:t>
      </w:r>
    </w:p>
    <w:p w14:paraId="07D568A8" w14:textId="48C45267" w:rsidR="0054318A" w:rsidRPr="0054318A" w:rsidRDefault="0054318A" w:rsidP="00020D20">
      <w:pPr>
        <w:pStyle w:val="Body-Bullets"/>
        <w:jc w:val="both"/>
      </w:pPr>
      <w:r w:rsidRPr="0054318A">
        <w:t>Driver Behavior Modification/Keeping Bicyclists Safe</w:t>
      </w:r>
    </w:p>
    <w:p w14:paraId="211CAC68" w14:textId="38386EF9" w:rsidR="0054318A" w:rsidRPr="0054318A" w:rsidRDefault="0054318A" w:rsidP="00020D20">
      <w:pPr>
        <w:pStyle w:val="Body-Bullets"/>
        <w:jc w:val="both"/>
      </w:pPr>
      <w:r w:rsidRPr="0054318A">
        <w:t>Sharing the Road with Pedestrians guide</w:t>
      </w:r>
    </w:p>
    <w:p w14:paraId="640ECE2C" w14:textId="320E5A21" w:rsidR="0054318A" w:rsidRPr="0054318A" w:rsidRDefault="0054318A" w:rsidP="00020D20">
      <w:pPr>
        <w:pStyle w:val="Body-Bullets"/>
        <w:jc w:val="both"/>
      </w:pPr>
      <w:r w:rsidRPr="0054318A">
        <w:t>Bike Safety and Laws</w:t>
      </w:r>
    </w:p>
    <w:p w14:paraId="27085743" w14:textId="77777777" w:rsidR="0054318A" w:rsidRPr="0054318A" w:rsidRDefault="0054318A" w:rsidP="00020D20">
      <w:pPr>
        <w:pStyle w:val="Body-Bullets"/>
        <w:jc w:val="both"/>
      </w:pPr>
      <w:r w:rsidRPr="0054318A">
        <w:t>Arizona Bicycle Laws</w:t>
      </w:r>
    </w:p>
    <w:p w14:paraId="060860B0" w14:textId="77777777" w:rsidR="0054318A" w:rsidRPr="0054318A" w:rsidRDefault="0054318A" w:rsidP="00020D20">
      <w:pPr>
        <w:pStyle w:val="Body-Bullets"/>
        <w:jc w:val="both"/>
      </w:pPr>
      <w:r w:rsidRPr="0054318A">
        <w:t>Laws for Bicycle Riders Only</w:t>
      </w:r>
    </w:p>
    <w:p w14:paraId="0A71EE06" w14:textId="77777777" w:rsidR="0054318A" w:rsidRPr="0054318A" w:rsidRDefault="0054318A" w:rsidP="00020D20">
      <w:pPr>
        <w:pStyle w:val="Body-Bullets"/>
        <w:jc w:val="both"/>
      </w:pPr>
      <w:r w:rsidRPr="0054318A">
        <w:t>Bicycle Safety Tips</w:t>
      </w:r>
    </w:p>
    <w:p w14:paraId="79D97804" w14:textId="224821AE" w:rsidR="0054318A" w:rsidRDefault="0054318A" w:rsidP="00020D20">
      <w:pPr>
        <w:pStyle w:val="Body-Bullets"/>
        <w:jc w:val="both"/>
      </w:pPr>
      <w:r w:rsidRPr="0054318A">
        <w:t>Safe Bicycle Riding</w:t>
      </w:r>
    </w:p>
    <w:p w14:paraId="1918C2CD" w14:textId="77777777" w:rsidR="00775BB7" w:rsidRDefault="00775BB7">
      <w:pPr>
        <w:sectPr w:rsidR="00775BB7" w:rsidSect="00020D20">
          <w:type w:val="continuous"/>
          <w:pgSz w:w="12240" w:h="15840"/>
          <w:pgMar w:top="1440" w:right="1440" w:bottom="1440" w:left="1440" w:header="720" w:footer="720" w:gutter="0"/>
          <w:pgNumType w:chapStyle="1"/>
          <w:cols w:num="2" w:space="720"/>
          <w:docGrid w:linePitch="360"/>
        </w:sectPr>
      </w:pPr>
    </w:p>
    <w:p w14:paraId="62A29B97" w14:textId="4CFCCB86" w:rsidR="00775BB7" w:rsidRDefault="00775BB7">
      <w:pPr>
        <w:sectPr w:rsidR="00775BB7" w:rsidSect="008E695B">
          <w:type w:val="continuous"/>
          <w:pgSz w:w="12240" w:h="15840"/>
          <w:pgMar w:top="1440" w:right="1440" w:bottom="1440" w:left="1440" w:header="720" w:footer="720" w:gutter="0"/>
          <w:cols w:space="720"/>
          <w:docGrid w:linePitch="360"/>
        </w:sectPr>
      </w:pPr>
    </w:p>
    <w:p w14:paraId="2A1433AF" w14:textId="3E23FACF" w:rsidR="0043738C" w:rsidRDefault="0043738C" w:rsidP="0043738C">
      <w:pPr>
        <w:pStyle w:val="Heading1"/>
        <w:numPr>
          <w:ilvl w:val="0"/>
          <w:numId w:val="0"/>
        </w:numPr>
        <w:ind w:left="360" w:hanging="360"/>
        <w:sectPr w:rsidR="0043738C" w:rsidSect="00020D20">
          <w:footerReference w:type="default" r:id="rId1257"/>
          <w:pgSz w:w="12240" w:h="15840"/>
          <w:pgMar w:top="1440" w:right="1440" w:bottom="1440" w:left="1440" w:header="720" w:footer="720" w:gutter="0"/>
          <w:pgNumType w:start="1"/>
          <w:cols w:space="720"/>
          <w:docGrid w:linePitch="360"/>
        </w:sectPr>
      </w:pPr>
      <w:bookmarkStart w:id="781" w:name="_Appendix_A_|"/>
      <w:bookmarkStart w:id="782" w:name="_Toc50540257"/>
      <w:bookmarkStart w:id="783" w:name="_Toc49862257"/>
      <w:bookmarkStart w:id="784" w:name="_Toc49870654"/>
      <w:bookmarkEnd w:id="781"/>
      <w:r>
        <w:rPr>
          <w:rStyle w:val="Heading1Char"/>
          <w:b/>
        </w:rPr>
        <w:t xml:space="preserve">Appendix </w:t>
      </w:r>
      <w:r w:rsidR="009C32D8">
        <w:rPr>
          <w:rStyle w:val="Heading1Char"/>
          <w:b/>
        </w:rPr>
        <w:t>A</w:t>
      </w:r>
      <w:r>
        <w:rPr>
          <w:rStyle w:val="Heading1Char"/>
          <w:b/>
        </w:rPr>
        <w:t xml:space="preserve"> | </w:t>
      </w:r>
      <w:r w:rsidRPr="00020D20">
        <w:t>Common Acronyms</w:t>
      </w:r>
      <w:bookmarkEnd w:id="782"/>
      <w:r w:rsidRPr="00047F0F">
        <w:t xml:space="preserve"> </w:t>
      </w:r>
    </w:p>
    <w:tbl>
      <w:tblPr>
        <w:tblStyle w:val="GridTable2"/>
        <w:tblW w:w="4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1676"/>
        <w:gridCol w:w="1210"/>
      </w:tblGrid>
      <w:tr w:rsidR="0090691B" w:rsidRPr="00F276EA" w14:paraId="25F11DDE" w14:textId="77777777" w:rsidTr="00847C1F">
        <w:trPr>
          <w:cnfStyle w:val="100000000000" w:firstRow="1" w:lastRow="0" w:firstColumn="0" w:lastColumn="0" w:oddVBand="0" w:evenVBand="0" w:oddHBand="0"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top w:val="single" w:sz="4" w:space="0" w:color="auto"/>
              <w:left w:val="single" w:sz="4" w:space="0" w:color="auto"/>
              <w:bottom w:val="single" w:sz="4" w:space="0" w:color="auto"/>
              <w:right w:val="single" w:sz="4" w:space="0" w:color="FFFFFF" w:themeColor="background1"/>
            </w:tcBorders>
            <w:shd w:val="clear" w:color="auto" w:fill="002060"/>
            <w:noWrap/>
            <w:hideMark/>
          </w:tcPr>
          <w:p w14:paraId="786866D6" w14:textId="77777777" w:rsidR="0043738C" w:rsidRPr="00F276EA" w:rsidRDefault="0043738C" w:rsidP="00020D20">
            <w:pPr>
              <w:rPr>
                <w:rFonts w:eastAsia="Times New Roman" w:cstheme="minorHAnsi"/>
                <w:color w:val="FFFFFF" w:themeColor="background1"/>
                <w:sz w:val="18"/>
                <w:szCs w:val="18"/>
              </w:rPr>
            </w:pPr>
            <w:r w:rsidRPr="00F276EA">
              <w:rPr>
                <w:rFonts w:eastAsia="Times New Roman" w:cstheme="minorHAnsi"/>
                <w:color w:val="FFFFFF" w:themeColor="background1"/>
                <w:sz w:val="18"/>
                <w:szCs w:val="18"/>
              </w:rPr>
              <w:t>Acronym</w:t>
            </w:r>
          </w:p>
        </w:tc>
        <w:tc>
          <w:tcPr>
            <w:tcW w:w="16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14:paraId="583E0891" w14:textId="77777777" w:rsidR="0043738C" w:rsidRPr="00F276EA" w:rsidRDefault="0043738C" w:rsidP="00020D20">
            <w:pP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8"/>
                <w:szCs w:val="18"/>
              </w:rPr>
            </w:pPr>
            <w:r w:rsidRPr="00F276EA">
              <w:rPr>
                <w:rFonts w:eastAsia="Times New Roman" w:cstheme="minorHAnsi"/>
                <w:color w:val="FFFFFF" w:themeColor="background1"/>
                <w:sz w:val="18"/>
                <w:szCs w:val="18"/>
              </w:rPr>
              <w:t>Phrase</w:t>
            </w:r>
          </w:p>
        </w:tc>
        <w:tc>
          <w:tcPr>
            <w:tcW w:w="1210" w:type="dxa"/>
            <w:tcBorders>
              <w:top w:val="single" w:sz="4" w:space="0" w:color="auto"/>
              <w:left w:val="single" w:sz="4" w:space="0" w:color="FFFFFF" w:themeColor="background1"/>
              <w:bottom w:val="single" w:sz="4" w:space="0" w:color="auto"/>
              <w:right w:val="single" w:sz="4" w:space="0" w:color="auto"/>
            </w:tcBorders>
            <w:shd w:val="clear" w:color="auto" w:fill="002060"/>
            <w:noWrap/>
            <w:hideMark/>
          </w:tcPr>
          <w:p w14:paraId="5EDB8102" w14:textId="289842D2" w:rsidR="0043738C" w:rsidRPr="00F276EA" w:rsidRDefault="00265722" w:rsidP="00020D20">
            <w:pP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8"/>
                <w:szCs w:val="18"/>
              </w:rPr>
            </w:pPr>
            <w:r>
              <w:rPr>
                <w:rFonts w:eastAsia="Times New Roman" w:cstheme="minorHAnsi"/>
                <w:color w:val="FFFFFF" w:themeColor="background1"/>
                <w:sz w:val="18"/>
                <w:szCs w:val="18"/>
              </w:rPr>
              <w:t xml:space="preserve">Section </w:t>
            </w:r>
            <w:r w:rsidR="0043738C" w:rsidRPr="00F276EA">
              <w:rPr>
                <w:rFonts w:eastAsia="Times New Roman" w:cstheme="minorHAnsi"/>
                <w:color w:val="FFFFFF" w:themeColor="background1"/>
                <w:sz w:val="18"/>
                <w:szCs w:val="18"/>
              </w:rPr>
              <w:t>First Mentioned</w:t>
            </w:r>
          </w:p>
        </w:tc>
      </w:tr>
      <w:tr w:rsidR="0043738C" w:rsidRPr="00777B8C" w14:paraId="7BAED997"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tcBorders>
            <w:noWrap/>
            <w:hideMark/>
          </w:tcPr>
          <w:p w14:paraId="2E1395F5"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3-C</w:t>
            </w:r>
          </w:p>
        </w:tc>
        <w:tc>
          <w:tcPr>
            <w:tcW w:w="0" w:type="dxa"/>
            <w:tcBorders>
              <w:top w:val="single" w:sz="4" w:space="0" w:color="auto"/>
            </w:tcBorders>
            <w:hideMark/>
          </w:tcPr>
          <w:p w14:paraId="406C9658"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comprehensive, cooperative, and continuing (planning process)</w:t>
            </w:r>
          </w:p>
        </w:tc>
        <w:tc>
          <w:tcPr>
            <w:tcW w:w="0" w:type="dxa"/>
            <w:tcBorders>
              <w:top w:val="single" w:sz="4" w:space="0" w:color="auto"/>
            </w:tcBorders>
            <w:noWrap/>
            <w:hideMark/>
          </w:tcPr>
          <w:p w14:paraId="20D08C9B"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47B1B76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DDE7A66"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AASHTO</w:t>
            </w:r>
          </w:p>
        </w:tc>
        <w:tc>
          <w:tcPr>
            <w:tcW w:w="0" w:type="dxa"/>
            <w:hideMark/>
          </w:tcPr>
          <w:p w14:paraId="5B0AA7B2"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American Association of State Highway and Transportation Officials</w:t>
            </w:r>
          </w:p>
        </w:tc>
        <w:tc>
          <w:tcPr>
            <w:tcW w:w="0" w:type="dxa"/>
            <w:noWrap/>
            <w:hideMark/>
          </w:tcPr>
          <w:p w14:paraId="42D02F41"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17.5</w:t>
            </w:r>
          </w:p>
        </w:tc>
      </w:tr>
      <w:tr w:rsidR="0043738C" w:rsidRPr="00777B8C" w14:paraId="0726AE3E"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7D63F71"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ABMs</w:t>
            </w:r>
          </w:p>
        </w:tc>
        <w:tc>
          <w:tcPr>
            <w:tcW w:w="0" w:type="dxa"/>
            <w:hideMark/>
          </w:tcPr>
          <w:p w14:paraId="414C9509"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activity-based models</w:t>
            </w:r>
          </w:p>
        </w:tc>
        <w:tc>
          <w:tcPr>
            <w:tcW w:w="0" w:type="dxa"/>
            <w:noWrap/>
            <w:hideMark/>
          </w:tcPr>
          <w:p w14:paraId="31FE62F2"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17.4</w:t>
            </w:r>
          </w:p>
        </w:tc>
      </w:tr>
      <w:tr w:rsidR="0043738C" w:rsidRPr="00777B8C" w14:paraId="31B9E225"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1F72935"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ACIP</w:t>
            </w:r>
          </w:p>
        </w:tc>
        <w:tc>
          <w:tcPr>
            <w:tcW w:w="0" w:type="dxa"/>
            <w:hideMark/>
          </w:tcPr>
          <w:p w14:paraId="31F4C84C"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Airport Capital Improvement Plan</w:t>
            </w:r>
          </w:p>
        </w:tc>
        <w:tc>
          <w:tcPr>
            <w:tcW w:w="0" w:type="dxa"/>
            <w:noWrap/>
            <w:hideMark/>
          </w:tcPr>
          <w:p w14:paraId="16B4D0C5"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543EB24A"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43257158"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ADA</w:t>
            </w:r>
          </w:p>
        </w:tc>
        <w:tc>
          <w:tcPr>
            <w:tcW w:w="0" w:type="dxa"/>
            <w:hideMark/>
          </w:tcPr>
          <w:p w14:paraId="0E7A16E3"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Americans with Disabilities Act</w:t>
            </w:r>
          </w:p>
        </w:tc>
        <w:tc>
          <w:tcPr>
            <w:tcW w:w="0" w:type="dxa"/>
            <w:noWrap/>
            <w:hideMark/>
          </w:tcPr>
          <w:p w14:paraId="7CCCB4BD"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8</w:t>
            </w:r>
          </w:p>
        </w:tc>
      </w:tr>
      <w:tr w:rsidR="0043738C" w:rsidRPr="00777B8C" w14:paraId="177FD306"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44AB600"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ADEQ</w:t>
            </w:r>
          </w:p>
        </w:tc>
        <w:tc>
          <w:tcPr>
            <w:tcW w:w="0" w:type="dxa"/>
            <w:hideMark/>
          </w:tcPr>
          <w:p w14:paraId="4134CDCE"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Department of Environmental Quality</w:t>
            </w:r>
          </w:p>
        </w:tc>
        <w:tc>
          <w:tcPr>
            <w:tcW w:w="0" w:type="dxa"/>
            <w:noWrap/>
            <w:hideMark/>
          </w:tcPr>
          <w:p w14:paraId="21C82D55"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7197D597"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DCF490D"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ADOT</w:t>
            </w:r>
          </w:p>
        </w:tc>
        <w:tc>
          <w:tcPr>
            <w:tcW w:w="0" w:type="dxa"/>
            <w:hideMark/>
          </w:tcPr>
          <w:p w14:paraId="34323038"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Department of Transportation</w:t>
            </w:r>
          </w:p>
        </w:tc>
        <w:tc>
          <w:tcPr>
            <w:tcW w:w="0" w:type="dxa"/>
            <w:noWrap/>
            <w:hideMark/>
          </w:tcPr>
          <w:p w14:paraId="0470AC8A"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4206649E"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8E9E92E"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ADT</w:t>
            </w:r>
          </w:p>
        </w:tc>
        <w:tc>
          <w:tcPr>
            <w:tcW w:w="0" w:type="dxa"/>
            <w:hideMark/>
          </w:tcPr>
          <w:p w14:paraId="70A37621"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average daily traffic</w:t>
            </w:r>
          </w:p>
        </w:tc>
        <w:tc>
          <w:tcPr>
            <w:tcW w:w="0" w:type="dxa"/>
            <w:noWrap/>
            <w:hideMark/>
          </w:tcPr>
          <w:p w14:paraId="49F7C9D2"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17.3</w:t>
            </w:r>
          </w:p>
        </w:tc>
      </w:tr>
      <w:tr w:rsidR="0043738C" w:rsidRPr="00777B8C" w14:paraId="4A47260F"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A4EC763"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AFB</w:t>
            </w:r>
          </w:p>
        </w:tc>
        <w:tc>
          <w:tcPr>
            <w:tcW w:w="0" w:type="dxa"/>
            <w:hideMark/>
          </w:tcPr>
          <w:p w14:paraId="0B43C71B"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Air Force Base</w:t>
            </w:r>
          </w:p>
        </w:tc>
        <w:tc>
          <w:tcPr>
            <w:tcW w:w="0" w:type="dxa"/>
            <w:noWrap/>
            <w:hideMark/>
          </w:tcPr>
          <w:p w14:paraId="423A1BBE"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43738C" w:rsidRPr="00777B8C" w14:paraId="3855FBC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268BE5B7"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AGIC</w:t>
            </w:r>
          </w:p>
        </w:tc>
        <w:tc>
          <w:tcPr>
            <w:tcW w:w="0" w:type="dxa"/>
            <w:hideMark/>
          </w:tcPr>
          <w:p w14:paraId="5FF87645"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Geographic Information Council</w:t>
            </w:r>
          </w:p>
        </w:tc>
        <w:tc>
          <w:tcPr>
            <w:tcW w:w="0" w:type="dxa"/>
            <w:noWrap/>
            <w:hideMark/>
          </w:tcPr>
          <w:p w14:paraId="59DE1845" w14:textId="77777777" w:rsidR="0043738C" w:rsidRPr="00777B8C" w:rsidRDefault="0043738C" w:rsidP="00A304F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17.9</w:t>
            </w:r>
          </w:p>
        </w:tc>
      </w:tr>
      <w:tr w:rsidR="0043738C" w:rsidRPr="00777B8C" w14:paraId="0680CD1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55A93D5D" w14:textId="77777777" w:rsidR="0043738C" w:rsidRPr="00777B8C" w:rsidRDefault="0043738C" w:rsidP="00A304F3">
            <w:pPr>
              <w:rPr>
                <w:rFonts w:eastAsia="Times New Roman" w:cstheme="minorHAnsi"/>
                <w:color w:val="000000"/>
                <w:sz w:val="18"/>
                <w:szCs w:val="18"/>
              </w:rPr>
            </w:pPr>
            <w:r w:rsidRPr="00777B8C">
              <w:rPr>
                <w:rFonts w:eastAsia="Times New Roman" w:cstheme="minorHAnsi"/>
                <w:color w:val="000000"/>
                <w:sz w:val="18"/>
                <w:szCs w:val="18"/>
              </w:rPr>
              <w:t>AIP</w:t>
            </w:r>
          </w:p>
        </w:tc>
        <w:tc>
          <w:tcPr>
            <w:tcW w:w="0" w:type="dxa"/>
            <w:tcBorders>
              <w:bottom w:val="single" w:sz="4" w:space="0" w:color="auto"/>
            </w:tcBorders>
            <w:hideMark/>
          </w:tcPr>
          <w:p w14:paraId="58A3EF7A"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Airport Improvement Program</w:t>
            </w:r>
          </w:p>
        </w:tc>
        <w:tc>
          <w:tcPr>
            <w:tcW w:w="0" w:type="dxa"/>
            <w:tcBorders>
              <w:bottom w:val="single" w:sz="4" w:space="0" w:color="auto"/>
            </w:tcBorders>
            <w:noWrap/>
            <w:hideMark/>
          </w:tcPr>
          <w:p w14:paraId="2426FB3B" w14:textId="77777777" w:rsidR="0043738C" w:rsidRPr="00777B8C" w:rsidRDefault="0043738C" w:rsidP="00A304F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43738C" w:rsidRPr="00777B8C" w14:paraId="3F99905E"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5215E7C8" w14:textId="0AFDAF9D" w:rsidR="0043738C" w:rsidRPr="00777B8C" w:rsidRDefault="0043738C">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2D69D4F3" w14:textId="4146E078" w:rsidR="0043738C" w:rsidRPr="00777B8C" w:rsidRDefault="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501B3A54" w14:textId="09FDD93A" w:rsidR="0043738C" w:rsidRPr="00777B8C" w:rsidRDefault="0026572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0043738C" w:rsidRPr="00F276EA">
              <w:rPr>
                <w:rFonts w:eastAsia="Times New Roman" w:cstheme="minorHAnsi"/>
                <w:b/>
                <w:color w:val="FFFFFF" w:themeColor="background1"/>
                <w:sz w:val="18"/>
                <w:szCs w:val="18"/>
              </w:rPr>
              <w:t>First Mentioned</w:t>
            </w:r>
          </w:p>
        </w:tc>
      </w:tr>
      <w:tr w:rsidR="0043738C" w:rsidRPr="00777B8C" w14:paraId="64B03362"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648D036"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AIRFA</w:t>
            </w:r>
          </w:p>
        </w:tc>
        <w:tc>
          <w:tcPr>
            <w:tcW w:w="0" w:type="dxa"/>
            <w:hideMark/>
          </w:tcPr>
          <w:p w14:paraId="02686DD4"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American Indian Religious Freedom Act</w:t>
            </w:r>
          </w:p>
        </w:tc>
        <w:tc>
          <w:tcPr>
            <w:tcW w:w="0" w:type="dxa"/>
            <w:noWrap/>
            <w:hideMark/>
          </w:tcPr>
          <w:p w14:paraId="7B4A190E"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17.6 (in table)</w:t>
            </w:r>
          </w:p>
        </w:tc>
      </w:tr>
      <w:tr w:rsidR="0043738C" w:rsidRPr="00777B8C" w14:paraId="4C474274"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56B02CC3"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ALP</w:t>
            </w:r>
          </w:p>
        </w:tc>
        <w:tc>
          <w:tcPr>
            <w:tcW w:w="0" w:type="dxa"/>
            <w:hideMark/>
          </w:tcPr>
          <w:p w14:paraId="3FB21FD6"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Airport Layout Plans</w:t>
            </w:r>
          </w:p>
        </w:tc>
        <w:tc>
          <w:tcPr>
            <w:tcW w:w="0" w:type="dxa"/>
            <w:noWrap/>
            <w:hideMark/>
          </w:tcPr>
          <w:p w14:paraId="2F7C3D45"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 (in table)</w:t>
            </w:r>
          </w:p>
        </w:tc>
      </w:tr>
      <w:tr w:rsidR="0043738C" w:rsidRPr="00777B8C" w14:paraId="7219BA9B"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4CD336E"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ALRIS</w:t>
            </w:r>
          </w:p>
        </w:tc>
        <w:tc>
          <w:tcPr>
            <w:tcW w:w="0" w:type="dxa"/>
            <w:hideMark/>
          </w:tcPr>
          <w:p w14:paraId="2F3AF441"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Land Resource Information System</w:t>
            </w:r>
          </w:p>
        </w:tc>
        <w:tc>
          <w:tcPr>
            <w:tcW w:w="0" w:type="dxa"/>
            <w:noWrap/>
            <w:hideMark/>
          </w:tcPr>
          <w:p w14:paraId="03B92DAB"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17.10</w:t>
            </w:r>
          </w:p>
        </w:tc>
      </w:tr>
      <w:tr w:rsidR="0043738C" w:rsidRPr="00777B8C" w14:paraId="191F8281"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018C311"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AMP</w:t>
            </w:r>
          </w:p>
        </w:tc>
        <w:tc>
          <w:tcPr>
            <w:tcW w:w="0" w:type="dxa"/>
            <w:hideMark/>
          </w:tcPr>
          <w:p w14:paraId="31005FA2"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Airport Master Plan</w:t>
            </w:r>
          </w:p>
        </w:tc>
        <w:tc>
          <w:tcPr>
            <w:tcW w:w="0" w:type="dxa"/>
            <w:noWrap/>
            <w:hideMark/>
          </w:tcPr>
          <w:p w14:paraId="76619860"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 (in table)</w:t>
            </w:r>
          </w:p>
        </w:tc>
      </w:tr>
      <w:tr w:rsidR="0043738C" w:rsidRPr="00777B8C" w14:paraId="2C3F5533"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8DE4A6E"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AMUG</w:t>
            </w:r>
          </w:p>
        </w:tc>
        <w:tc>
          <w:tcPr>
            <w:tcW w:w="0" w:type="dxa"/>
            <w:hideMark/>
          </w:tcPr>
          <w:p w14:paraId="32DA4750"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Modeling Users Group</w:t>
            </w:r>
          </w:p>
        </w:tc>
        <w:tc>
          <w:tcPr>
            <w:tcW w:w="0" w:type="dxa"/>
            <w:noWrap/>
            <w:hideMark/>
          </w:tcPr>
          <w:p w14:paraId="7AEE8A5F"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17.4</w:t>
            </w:r>
          </w:p>
        </w:tc>
      </w:tr>
      <w:tr w:rsidR="0043738C" w:rsidRPr="00777B8C" w14:paraId="3A58BD44"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4A3BD74E"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ARPA</w:t>
            </w:r>
          </w:p>
        </w:tc>
        <w:tc>
          <w:tcPr>
            <w:tcW w:w="0" w:type="dxa"/>
            <w:hideMark/>
          </w:tcPr>
          <w:p w14:paraId="74BFA47F"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Archaeological Resources Protection Act</w:t>
            </w:r>
          </w:p>
        </w:tc>
        <w:tc>
          <w:tcPr>
            <w:tcW w:w="0" w:type="dxa"/>
            <w:noWrap/>
            <w:hideMark/>
          </w:tcPr>
          <w:p w14:paraId="7716A22E"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17.6 (in table)</w:t>
            </w:r>
          </w:p>
        </w:tc>
      </w:tr>
      <w:tr w:rsidR="0043738C" w:rsidRPr="00777B8C" w14:paraId="2B521FD3"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961AB99"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A.R.S.</w:t>
            </w:r>
          </w:p>
        </w:tc>
        <w:tc>
          <w:tcPr>
            <w:tcW w:w="0" w:type="dxa"/>
            <w:hideMark/>
          </w:tcPr>
          <w:p w14:paraId="3300FAE1"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Revised Statutes</w:t>
            </w:r>
          </w:p>
        </w:tc>
        <w:tc>
          <w:tcPr>
            <w:tcW w:w="0" w:type="dxa"/>
            <w:noWrap/>
            <w:hideMark/>
          </w:tcPr>
          <w:p w14:paraId="47A54B9A"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695E32F5"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89BA312"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ASLRRA</w:t>
            </w:r>
          </w:p>
        </w:tc>
        <w:tc>
          <w:tcPr>
            <w:tcW w:w="0" w:type="dxa"/>
            <w:hideMark/>
          </w:tcPr>
          <w:p w14:paraId="55CB8C9B"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American Short Line and Regional Railroad Association</w:t>
            </w:r>
          </w:p>
        </w:tc>
        <w:tc>
          <w:tcPr>
            <w:tcW w:w="0" w:type="dxa"/>
            <w:noWrap/>
            <w:hideMark/>
          </w:tcPr>
          <w:p w14:paraId="7CDDF072"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43738C" w:rsidRPr="00777B8C" w14:paraId="7B34DC4A"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5DD5D06C"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ASTB</w:t>
            </w:r>
          </w:p>
        </w:tc>
        <w:tc>
          <w:tcPr>
            <w:tcW w:w="0" w:type="dxa"/>
            <w:hideMark/>
          </w:tcPr>
          <w:p w14:paraId="6EA99CE4"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State Transportation Board</w:t>
            </w:r>
          </w:p>
        </w:tc>
        <w:tc>
          <w:tcPr>
            <w:tcW w:w="0" w:type="dxa"/>
            <w:noWrap/>
            <w:hideMark/>
          </w:tcPr>
          <w:p w14:paraId="7BF4D8FA"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6EF74470"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35F3EB42"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ATA</w:t>
            </w:r>
          </w:p>
        </w:tc>
        <w:tc>
          <w:tcPr>
            <w:tcW w:w="0" w:type="dxa"/>
            <w:tcBorders>
              <w:bottom w:val="single" w:sz="4" w:space="0" w:color="auto"/>
            </w:tcBorders>
            <w:hideMark/>
          </w:tcPr>
          <w:p w14:paraId="69951DDD"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Trucking Association</w:t>
            </w:r>
          </w:p>
        </w:tc>
        <w:tc>
          <w:tcPr>
            <w:tcW w:w="0" w:type="dxa"/>
            <w:tcBorders>
              <w:bottom w:val="single" w:sz="4" w:space="0" w:color="auto"/>
            </w:tcBorders>
            <w:noWrap/>
            <w:hideMark/>
          </w:tcPr>
          <w:p w14:paraId="18A78DCA"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43738C" w:rsidRPr="00777B8C" w14:paraId="3F10FE9A"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1F097686"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ATIS Roads</w:t>
            </w:r>
          </w:p>
        </w:tc>
        <w:tc>
          <w:tcPr>
            <w:tcW w:w="0" w:type="dxa"/>
            <w:tcBorders>
              <w:bottom w:val="single" w:sz="4" w:space="0" w:color="auto"/>
            </w:tcBorders>
            <w:hideMark/>
          </w:tcPr>
          <w:p w14:paraId="4914B3A4"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Transportation Information System</w:t>
            </w:r>
          </w:p>
        </w:tc>
        <w:tc>
          <w:tcPr>
            <w:tcW w:w="0" w:type="dxa"/>
            <w:tcBorders>
              <w:bottom w:val="single" w:sz="4" w:space="0" w:color="auto"/>
            </w:tcBorders>
            <w:noWrap/>
            <w:hideMark/>
          </w:tcPr>
          <w:p w14:paraId="3A3C86ED"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1E8E97D4"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right w:val="single" w:sz="4" w:space="0" w:color="FFFFFF" w:themeColor="background1"/>
            </w:tcBorders>
            <w:shd w:val="clear" w:color="auto" w:fill="002060"/>
            <w:noWrap/>
          </w:tcPr>
          <w:p w14:paraId="455F218F" w14:textId="02F9E3DF" w:rsidR="0043738C" w:rsidRPr="00777B8C" w:rsidRDefault="0043738C">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right w:val="single" w:sz="4" w:space="0" w:color="FFFFFF" w:themeColor="background1"/>
            </w:tcBorders>
            <w:shd w:val="clear" w:color="auto" w:fill="002060"/>
          </w:tcPr>
          <w:p w14:paraId="6D97539F" w14:textId="47A7842E" w:rsidR="0043738C" w:rsidRPr="00777B8C" w:rsidRDefault="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tcBorders>
            <w:shd w:val="clear" w:color="auto" w:fill="002060"/>
            <w:noWrap/>
          </w:tcPr>
          <w:p w14:paraId="616FF172" w14:textId="174400F1" w:rsidR="0043738C" w:rsidRPr="00777B8C" w:rsidRDefault="0026572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0043738C" w:rsidRPr="00F276EA">
              <w:rPr>
                <w:rFonts w:eastAsia="Times New Roman" w:cstheme="minorHAnsi"/>
                <w:b/>
                <w:color w:val="FFFFFF" w:themeColor="background1"/>
                <w:sz w:val="18"/>
                <w:szCs w:val="18"/>
              </w:rPr>
              <w:t>First Mentioned</w:t>
            </w:r>
          </w:p>
        </w:tc>
      </w:tr>
      <w:tr w:rsidR="0043738C" w:rsidRPr="00777B8C" w14:paraId="5336DDF4"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A041EE2"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ATSPT</w:t>
            </w:r>
          </w:p>
        </w:tc>
        <w:tc>
          <w:tcPr>
            <w:tcW w:w="0" w:type="dxa"/>
            <w:hideMark/>
          </w:tcPr>
          <w:p w14:paraId="5B217BC6"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Tribal Strategic Partnering Team</w:t>
            </w:r>
          </w:p>
        </w:tc>
        <w:tc>
          <w:tcPr>
            <w:tcW w:w="0" w:type="dxa"/>
            <w:noWrap/>
            <w:hideMark/>
          </w:tcPr>
          <w:p w14:paraId="2E963332"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17.6 (in text box)</w:t>
            </w:r>
          </w:p>
        </w:tc>
      </w:tr>
      <w:tr w:rsidR="0043738C" w:rsidRPr="00777B8C" w14:paraId="3FB0DE38"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AEDBCD8"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AWOS</w:t>
            </w:r>
          </w:p>
        </w:tc>
        <w:tc>
          <w:tcPr>
            <w:tcW w:w="0" w:type="dxa"/>
            <w:hideMark/>
          </w:tcPr>
          <w:p w14:paraId="0D729731"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automated weather observing system</w:t>
            </w:r>
          </w:p>
        </w:tc>
        <w:tc>
          <w:tcPr>
            <w:tcW w:w="0" w:type="dxa"/>
            <w:noWrap/>
            <w:hideMark/>
          </w:tcPr>
          <w:p w14:paraId="001EFBDC"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43738C" w:rsidRPr="00777B8C" w14:paraId="5E2FF8CC"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F49E621"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ADEQ</w:t>
            </w:r>
          </w:p>
        </w:tc>
        <w:tc>
          <w:tcPr>
            <w:tcW w:w="0" w:type="dxa"/>
            <w:hideMark/>
          </w:tcPr>
          <w:p w14:paraId="510E7BC5"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Department of Environmental Quality</w:t>
            </w:r>
          </w:p>
        </w:tc>
        <w:tc>
          <w:tcPr>
            <w:tcW w:w="0" w:type="dxa"/>
            <w:noWrap/>
            <w:hideMark/>
          </w:tcPr>
          <w:p w14:paraId="33AF111B"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261213EB"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1688897"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AZGFD</w:t>
            </w:r>
          </w:p>
        </w:tc>
        <w:tc>
          <w:tcPr>
            <w:tcW w:w="0" w:type="dxa"/>
            <w:hideMark/>
          </w:tcPr>
          <w:p w14:paraId="524D0AEE"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Game and Fish Department</w:t>
            </w:r>
          </w:p>
        </w:tc>
        <w:tc>
          <w:tcPr>
            <w:tcW w:w="0" w:type="dxa"/>
            <w:noWrap/>
            <w:hideMark/>
          </w:tcPr>
          <w:p w14:paraId="70A932E3"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17.11</w:t>
            </w:r>
          </w:p>
        </w:tc>
      </w:tr>
      <w:tr w:rsidR="0043738C" w:rsidRPr="00777B8C" w14:paraId="011F7EFB"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E92F61D"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AZTDM</w:t>
            </w:r>
          </w:p>
        </w:tc>
        <w:tc>
          <w:tcPr>
            <w:tcW w:w="0" w:type="dxa"/>
            <w:hideMark/>
          </w:tcPr>
          <w:p w14:paraId="06F884EA"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Arizona Travel Demand Model</w:t>
            </w:r>
          </w:p>
        </w:tc>
        <w:tc>
          <w:tcPr>
            <w:tcW w:w="0" w:type="dxa"/>
            <w:noWrap/>
            <w:hideMark/>
          </w:tcPr>
          <w:p w14:paraId="070FB856"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43998623"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30571E74"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B/C</w:t>
            </w:r>
          </w:p>
        </w:tc>
        <w:tc>
          <w:tcPr>
            <w:tcW w:w="0" w:type="dxa"/>
            <w:hideMark/>
          </w:tcPr>
          <w:p w14:paraId="1938159F"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benefit-cost</w:t>
            </w:r>
          </w:p>
        </w:tc>
        <w:tc>
          <w:tcPr>
            <w:tcW w:w="0" w:type="dxa"/>
            <w:noWrap/>
            <w:hideMark/>
          </w:tcPr>
          <w:p w14:paraId="17A22CB3"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17.5</w:t>
            </w:r>
          </w:p>
        </w:tc>
      </w:tr>
      <w:tr w:rsidR="0043738C" w:rsidRPr="00777B8C" w14:paraId="356B8319"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3BBCA43"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BIA</w:t>
            </w:r>
          </w:p>
        </w:tc>
        <w:tc>
          <w:tcPr>
            <w:tcW w:w="0" w:type="dxa"/>
            <w:hideMark/>
          </w:tcPr>
          <w:p w14:paraId="064B50E6"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Bureau of Indian Affairs</w:t>
            </w:r>
          </w:p>
        </w:tc>
        <w:tc>
          <w:tcPr>
            <w:tcW w:w="0" w:type="dxa"/>
            <w:noWrap/>
            <w:hideMark/>
          </w:tcPr>
          <w:p w14:paraId="126B320B"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617C1EB6"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8912B46"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BIADOT</w:t>
            </w:r>
          </w:p>
        </w:tc>
        <w:tc>
          <w:tcPr>
            <w:tcW w:w="0" w:type="dxa"/>
            <w:hideMark/>
          </w:tcPr>
          <w:p w14:paraId="74360A6C"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Bureau of Indian Affairs Division of Transportation</w:t>
            </w:r>
          </w:p>
        </w:tc>
        <w:tc>
          <w:tcPr>
            <w:tcW w:w="0" w:type="dxa"/>
            <w:noWrap/>
            <w:hideMark/>
          </w:tcPr>
          <w:p w14:paraId="583AC3F3"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267AC5D9"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1B3195C"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BLM</w:t>
            </w:r>
          </w:p>
        </w:tc>
        <w:tc>
          <w:tcPr>
            <w:tcW w:w="0" w:type="dxa"/>
            <w:hideMark/>
          </w:tcPr>
          <w:p w14:paraId="7EE0D82D"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Bureau of Land Management</w:t>
            </w:r>
          </w:p>
        </w:tc>
        <w:tc>
          <w:tcPr>
            <w:tcW w:w="0" w:type="dxa"/>
            <w:noWrap/>
            <w:hideMark/>
          </w:tcPr>
          <w:p w14:paraId="12D23CFF"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17.9</w:t>
            </w:r>
          </w:p>
        </w:tc>
      </w:tr>
      <w:tr w:rsidR="0043738C" w:rsidRPr="00777B8C" w14:paraId="63D952DC"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4F04ED0C"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BMP</w:t>
            </w:r>
          </w:p>
        </w:tc>
        <w:tc>
          <w:tcPr>
            <w:tcW w:w="0" w:type="dxa"/>
            <w:hideMark/>
          </w:tcPr>
          <w:p w14:paraId="0B06CFB0" w14:textId="77777777" w:rsidR="0043738C" w:rsidRPr="00777B8C" w:rsidRDefault="0043738C" w:rsidP="0043738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Border Master Plan</w:t>
            </w:r>
          </w:p>
        </w:tc>
        <w:tc>
          <w:tcPr>
            <w:tcW w:w="0" w:type="dxa"/>
            <w:noWrap/>
            <w:hideMark/>
          </w:tcPr>
          <w:p w14:paraId="1F5A3CC0" w14:textId="77777777" w:rsidR="0043738C" w:rsidRPr="00777B8C" w:rsidRDefault="0043738C" w:rsidP="0043738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43738C" w:rsidRPr="00777B8C" w14:paraId="754D9D1A"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C7734AD"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BNSF</w:t>
            </w:r>
          </w:p>
        </w:tc>
        <w:tc>
          <w:tcPr>
            <w:tcW w:w="0" w:type="dxa"/>
            <w:hideMark/>
          </w:tcPr>
          <w:p w14:paraId="242C8706"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Burlington Northern Santa Fe Railroad</w:t>
            </w:r>
          </w:p>
        </w:tc>
        <w:tc>
          <w:tcPr>
            <w:tcW w:w="0" w:type="dxa"/>
            <w:noWrap/>
            <w:hideMark/>
          </w:tcPr>
          <w:p w14:paraId="5B44B12B"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43738C" w:rsidRPr="00777B8C" w14:paraId="11B96A11"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3D90F085"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BqAZ</w:t>
            </w:r>
          </w:p>
        </w:tc>
        <w:tc>
          <w:tcPr>
            <w:tcW w:w="0" w:type="dxa"/>
            <w:hideMark/>
          </w:tcPr>
          <w:p w14:paraId="7C6804BD"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Building a Quality Arizona</w:t>
            </w:r>
          </w:p>
        </w:tc>
        <w:tc>
          <w:tcPr>
            <w:tcW w:w="0" w:type="dxa"/>
            <w:noWrap/>
            <w:hideMark/>
          </w:tcPr>
          <w:p w14:paraId="3D8AD27A"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6B428CD6"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1126B631"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CAA</w:t>
            </w:r>
          </w:p>
        </w:tc>
        <w:tc>
          <w:tcPr>
            <w:tcW w:w="0" w:type="dxa"/>
            <w:tcBorders>
              <w:bottom w:val="single" w:sz="4" w:space="0" w:color="auto"/>
            </w:tcBorders>
            <w:hideMark/>
          </w:tcPr>
          <w:p w14:paraId="15282921"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Clean Air Act</w:t>
            </w:r>
          </w:p>
        </w:tc>
        <w:tc>
          <w:tcPr>
            <w:tcW w:w="0" w:type="dxa"/>
            <w:tcBorders>
              <w:bottom w:val="single" w:sz="4" w:space="0" w:color="auto"/>
            </w:tcBorders>
            <w:noWrap/>
            <w:hideMark/>
          </w:tcPr>
          <w:p w14:paraId="40BE9AB9"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43738C" w:rsidRPr="00777B8C" w14:paraId="0372CDD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256BA85E" w14:textId="27766A31" w:rsidR="0043738C" w:rsidRPr="00777B8C" w:rsidRDefault="0043738C">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2E26F7C4" w14:textId="04D4B298" w:rsidR="0043738C" w:rsidRPr="00777B8C" w:rsidRDefault="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27FBD6F9" w14:textId="6BB26255" w:rsidR="0043738C" w:rsidRPr="00777B8C" w:rsidRDefault="0026572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0043738C" w:rsidRPr="00F276EA">
              <w:rPr>
                <w:rFonts w:eastAsia="Times New Roman" w:cstheme="minorHAnsi"/>
                <w:b/>
                <w:color w:val="FFFFFF" w:themeColor="background1"/>
                <w:sz w:val="18"/>
                <w:szCs w:val="18"/>
              </w:rPr>
              <w:t>First Mentioned</w:t>
            </w:r>
          </w:p>
        </w:tc>
      </w:tr>
      <w:tr w:rsidR="0043738C" w:rsidRPr="00777B8C" w14:paraId="4A91F399"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321E194"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CAAA</w:t>
            </w:r>
          </w:p>
        </w:tc>
        <w:tc>
          <w:tcPr>
            <w:tcW w:w="0" w:type="dxa"/>
            <w:hideMark/>
          </w:tcPr>
          <w:p w14:paraId="75D7E412"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Clean Air Acts Amendments</w:t>
            </w:r>
          </w:p>
        </w:tc>
        <w:tc>
          <w:tcPr>
            <w:tcW w:w="0" w:type="dxa"/>
            <w:noWrap/>
            <w:hideMark/>
          </w:tcPr>
          <w:p w14:paraId="765589BC"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w:t>
            </w:r>
          </w:p>
        </w:tc>
      </w:tr>
      <w:tr w:rsidR="0043738C" w:rsidRPr="00777B8C" w14:paraId="6688D6BB"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5C3B09A0"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CAG</w:t>
            </w:r>
          </w:p>
        </w:tc>
        <w:tc>
          <w:tcPr>
            <w:tcW w:w="0" w:type="dxa"/>
            <w:hideMark/>
          </w:tcPr>
          <w:p w14:paraId="5FED1F2E"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Central Arizona Governments</w:t>
            </w:r>
          </w:p>
        </w:tc>
        <w:tc>
          <w:tcPr>
            <w:tcW w:w="0" w:type="dxa"/>
            <w:noWrap/>
            <w:hideMark/>
          </w:tcPr>
          <w:p w14:paraId="26D222AC"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6250752F"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2AA2B141"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CANAMEX</w:t>
            </w:r>
          </w:p>
        </w:tc>
        <w:tc>
          <w:tcPr>
            <w:tcW w:w="0" w:type="dxa"/>
            <w:hideMark/>
          </w:tcPr>
          <w:p w14:paraId="3E76E4FA"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Canada to Mexico corridor</w:t>
            </w:r>
          </w:p>
        </w:tc>
        <w:tc>
          <w:tcPr>
            <w:tcW w:w="0" w:type="dxa"/>
            <w:noWrap/>
            <w:hideMark/>
          </w:tcPr>
          <w:p w14:paraId="723B26E8"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43738C" w:rsidRPr="00777B8C" w14:paraId="5CE2D8A7"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43AC8349"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CAP</w:t>
            </w:r>
          </w:p>
        </w:tc>
        <w:tc>
          <w:tcPr>
            <w:tcW w:w="0" w:type="dxa"/>
            <w:hideMark/>
          </w:tcPr>
          <w:p w14:paraId="4C3560FC"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Corrective Action Plan</w:t>
            </w:r>
          </w:p>
        </w:tc>
        <w:tc>
          <w:tcPr>
            <w:tcW w:w="0" w:type="dxa"/>
            <w:noWrap/>
            <w:hideMark/>
          </w:tcPr>
          <w:p w14:paraId="36D678BE"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79888974"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59E7163"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CASPP</w:t>
            </w:r>
          </w:p>
        </w:tc>
        <w:tc>
          <w:tcPr>
            <w:tcW w:w="0" w:type="dxa"/>
            <w:hideMark/>
          </w:tcPr>
          <w:p w14:paraId="2A7099F7"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Continuous Airport System Planning Process</w:t>
            </w:r>
          </w:p>
        </w:tc>
        <w:tc>
          <w:tcPr>
            <w:tcW w:w="0" w:type="dxa"/>
            <w:noWrap/>
            <w:hideMark/>
          </w:tcPr>
          <w:p w14:paraId="3CCF58A5"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06D83A6F"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60E2D57"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CCTV</w:t>
            </w:r>
          </w:p>
        </w:tc>
        <w:tc>
          <w:tcPr>
            <w:tcW w:w="0" w:type="dxa"/>
            <w:hideMark/>
          </w:tcPr>
          <w:p w14:paraId="68EE225E"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closed circuit television</w:t>
            </w:r>
          </w:p>
        </w:tc>
        <w:tc>
          <w:tcPr>
            <w:tcW w:w="0" w:type="dxa"/>
            <w:noWrap/>
            <w:hideMark/>
          </w:tcPr>
          <w:p w14:paraId="12A96018"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17.2</w:t>
            </w:r>
          </w:p>
        </w:tc>
      </w:tr>
      <w:tr w:rsidR="0043738C" w:rsidRPr="00777B8C" w14:paraId="6B3859A0"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30467344"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CFLHD</w:t>
            </w:r>
          </w:p>
        </w:tc>
        <w:tc>
          <w:tcPr>
            <w:tcW w:w="0" w:type="dxa"/>
            <w:hideMark/>
          </w:tcPr>
          <w:p w14:paraId="19C0C15C"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Central Federal Lands Highway Division</w:t>
            </w:r>
          </w:p>
        </w:tc>
        <w:tc>
          <w:tcPr>
            <w:tcW w:w="0" w:type="dxa"/>
            <w:noWrap/>
            <w:hideMark/>
          </w:tcPr>
          <w:p w14:paraId="12C6AF1B"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43738C" w:rsidRPr="00777B8C" w14:paraId="21A02D54"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BD33F84"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CFR</w:t>
            </w:r>
          </w:p>
        </w:tc>
        <w:tc>
          <w:tcPr>
            <w:tcW w:w="0" w:type="dxa"/>
            <w:hideMark/>
          </w:tcPr>
          <w:p w14:paraId="2238967A"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Code of Federal Regulations</w:t>
            </w:r>
          </w:p>
        </w:tc>
        <w:tc>
          <w:tcPr>
            <w:tcW w:w="0" w:type="dxa"/>
            <w:noWrap/>
            <w:hideMark/>
          </w:tcPr>
          <w:p w14:paraId="6FF192F8"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43738C" w:rsidRPr="00777B8C" w14:paraId="76D3F7E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8F7C576"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CIKR</w:t>
            </w:r>
          </w:p>
        </w:tc>
        <w:tc>
          <w:tcPr>
            <w:tcW w:w="0" w:type="dxa"/>
            <w:hideMark/>
          </w:tcPr>
          <w:p w14:paraId="745F0074"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Critical Infrastructure and Key Resources</w:t>
            </w:r>
          </w:p>
        </w:tc>
        <w:tc>
          <w:tcPr>
            <w:tcW w:w="0" w:type="dxa"/>
            <w:noWrap/>
            <w:hideMark/>
          </w:tcPr>
          <w:p w14:paraId="7BA15201"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43738C" w:rsidRPr="00777B8C" w14:paraId="56EB3855"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3CDA6FC0"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CMAQ</w:t>
            </w:r>
          </w:p>
        </w:tc>
        <w:tc>
          <w:tcPr>
            <w:tcW w:w="0" w:type="dxa"/>
            <w:hideMark/>
          </w:tcPr>
          <w:p w14:paraId="22FDE4F4"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Congestion Mitigation and Air Quality</w:t>
            </w:r>
          </w:p>
        </w:tc>
        <w:tc>
          <w:tcPr>
            <w:tcW w:w="0" w:type="dxa"/>
            <w:noWrap/>
            <w:hideMark/>
          </w:tcPr>
          <w:p w14:paraId="01453412"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4</w:t>
            </w:r>
          </w:p>
        </w:tc>
      </w:tr>
      <w:tr w:rsidR="0043738C" w:rsidRPr="00777B8C" w14:paraId="2F82163A"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8DCEBA6"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CMFs</w:t>
            </w:r>
          </w:p>
        </w:tc>
        <w:tc>
          <w:tcPr>
            <w:tcW w:w="0" w:type="dxa"/>
            <w:hideMark/>
          </w:tcPr>
          <w:p w14:paraId="6E490B48"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Crash Modification Factors</w:t>
            </w:r>
          </w:p>
        </w:tc>
        <w:tc>
          <w:tcPr>
            <w:tcW w:w="0" w:type="dxa"/>
            <w:noWrap/>
            <w:hideMark/>
          </w:tcPr>
          <w:p w14:paraId="0342AA0B" w14:textId="77777777" w:rsidR="0043738C" w:rsidRPr="00777B8C" w:rsidRDefault="0043738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17.5</w:t>
            </w:r>
          </w:p>
        </w:tc>
      </w:tr>
      <w:tr w:rsidR="0043738C" w:rsidRPr="00777B8C" w14:paraId="34B08416"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2C9B8BAF" w14:textId="77777777" w:rsidR="0043738C" w:rsidRPr="00777B8C" w:rsidRDefault="0043738C" w:rsidP="0043738C">
            <w:pPr>
              <w:rPr>
                <w:rFonts w:eastAsia="Times New Roman" w:cstheme="minorHAnsi"/>
                <w:color w:val="000000"/>
                <w:sz w:val="18"/>
                <w:szCs w:val="18"/>
              </w:rPr>
            </w:pPr>
            <w:r w:rsidRPr="00777B8C">
              <w:rPr>
                <w:rFonts w:eastAsia="Times New Roman" w:cstheme="minorHAnsi"/>
                <w:color w:val="000000"/>
                <w:sz w:val="18"/>
                <w:szCs w:val="18"/>
              </w:rPr>
              <w:t>CMP</w:t>
            </w:r>
          </w:p>
        </w:tc>
        <w:tc>
          <w:tcPr>
            <w:tcW w:w="0" w:type="dxa"/>
            <w:tcBorders>
              <w:bottom w:val="single" w:sz="4" w:space="0" w:color="auto"/>
            </w:tcBorders>
            <w:hideMark/>
          </w:tcPr>
          <w:p w14:paraId="664A9688"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Congestion Management Process</w:t>
            </w:r>
          </w:p>
        </w:tc>
        <w:tc>
          <w:tcPr>
            <w:tcW w:w="0" w:type="dxa"/>
            <w:tcBorders>
              <w:bottom w:val="single" w:sz="4" w:space="0" w:color="auto"/>
            </w:tcBorders>
            <w:noWrap/>
            <w:hideMark/>
          </w:tcPr>
          <w:p w14:paraId="567DD711" w14:textId="77777777" w:rsidR="0043738C" w:rsidRPr="00777B8C" w:rsidRDefault="0043738C" w:rsidP="0043738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7</w:t>
            </w:r>
          </w:p>
        </w:tc>
      </w:tr>
      <w:tr w:rsidR="00FD4D2C" w:rsidRPr="00777B8C" w14:paraId="02810987"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shd w:val="clear" w:color="auto" w:fill="FFFFFF" w:themeFill="background1"/>
            <w:noWrap/>
          </w:tcPr>
          <w:p w14:paraId="58C9356C" w14:textId="77777777" w:rsidR="00FD4D2C" w:rsidRPr="00777B8C" w:rsidRDefault="00FD4D2C" w:rsidP="0043738C">
            <w:pPr>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FFFFFF" w:themeFill="background1"/>
          </w:tcPr>
          <w:p w14:paraId="3A135F81" w14:textId="77777777" w:rsidR="00FD4D2C" w:rsidRPr="00777B8C" w:rsidRDefault="00FD4D2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FFFFFF" w:themeFill="background1"/>
            <w:noWrap/>
          </w:tcPr>
          <w:p w14:paraId="1443A797" w14:textId="77777777" w:rsidR="00FD4D2C" w:rsidRPr="00777B8C" w:rsidRDefault="00FD4D2C" w:rsidP="0043738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FD4D2C" w:rsidRPr="00777B8C" w14:paraId="496D6ACE"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right w:val="single" w:sz="4" w:space="0" w:color="FFFFFF" w:themeColor="background1"/>
            </w:tcBorders>
            <w:shd w:val="clear" w:color="auto" w:fill="002060"/>
            <w:noWrap/>
          </w:tcPr>
          <w:p w14:paraId="319BDB04" w14:textId="728EE0E7" w:rsidR="00FD4D2C" w:rsidRPr="00777B8C" w:rsidRDefault="00FD4D2C" w:rsidP="00FD4D2C">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right w:val="single" w:sz="4" w:space="0" w:color="FFFFFF" w:themeColor="background1"/>
            </w:tcBorders>
            <w:shd w:val="clear" w:color="auto" w:fill="002060"/>
          </w:tcPr>
          <w:p w14:paraId="432DFF85" w14:textId="67D8FB81"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tcBorders>
            <w:shd w:val="clear" w:color="auto" w:fill="002060"/>
            <w:noWrap/>
          </w:tcPr>
          <w:p w14:paraId="56B06DB4" w14:textId="55F3519D"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FD4D2C" w:rsidRPr="00777B8C" w14:paraId="3A9E7CD6"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2C822D2"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CMSA</w:t>
            </w:r>
          </w:p>
        </w:tc>
        <w:tc>
          <w:tcPr>
            <w:tcW w:w="0" w:type="dxa"/>
            <w:hideMark/>
          </w:tcPr>
          <w:p w14:paraId="02ECC289"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Consolidated Metropolitan Statistical Area</w:t>
            </w:r>
          </w:p>
        </w:tc>
        <w:tc>
          <w:tcPr>
            <w:tcW w:w="0" w:type="dxa"/>
            <w:noWrap/>
            <w:hideMark/>
          </w:tcPr>
          <w:p w14:paraId="4FEFB924"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FD4D2C" w:rsidRPr="00777B8C" w14:paraId="407FA996"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D27F7A7" w14:textId="519BF7AD"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CO</w:t>
            </w:r>
          </w:p>
        </w:tc>
        <w:tc>
          <w:tcPr>
            <w:tcW w:w="0" w:type="dxa"/>
            <w:hideMark/>
          </w:tcPr>
          <w:p w14:paraId="3154C0AC"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carbon monoxide</w:t>
            </w:r>
          </w:p>
        </w:tc>
        <w:tc>
          <w:tcPr>
            <w:tcW w:w="0" w:type="dxa"/>
            <w:noWrap/>
            <w:hideMark/>
          </w:tcPr>
          <w:p w14:paraId="1B705BD5"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FD4D2C" w:rsidRPr="00777B8C" w14:paraId="5E946775"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C99A399"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COG</w:t>
            </w:r>
          </w:p>
        </w:tc>
        <w:tc>
          <w:tcPr>
            <w:tcW w:w="0" w:type="dxa"/>
            <w:hideMark/>
          </w:tcPr>
          <w:p w14:paraId="2D26290F"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Council of Governments</w:t>
            </w:r>
          </w:p>
        </w:tc>
        <w:tc>
          <w:tcPr>
            <w:tcW w:w="0" w:type="dxa"/>
            <w:noWrap/>
            <w:hideMark/>
          </w:tcPr>
          <w:p w14:paraId="2C01DD52"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FD4D2C" w:rsidRPr="00777B8C" w14:paraId="56F9FDA0"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F68B983"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CTOC</w:t>
            </w:r>
          </w:p>
        </w:tc>
        <w:tc>
          <w:tcPr>
            <w:tcW w:w="0" w:type="dxa"/>
            <w:hideMark/>
          </w:tcPr>
          <w:p w14:paraId="0FA1A950"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Citizens Transportation Oversight Committee</w:t>
            </w:r>
          </w:p>
        </w:tc>
        <w:tc>
          <w:tcPr>
            <w:tcW w:w="0" w:type="dxa"/>
            <w:noWrap/>
            <w:hideMark/>
          </w:tcPr>
          <w:p w14:paraId="47E929EB"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FD4D2C" w:rsidRPr="00777B8C" w14:paraId="36695451"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4F83DA7C"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CYMPO</w:t>
            </w:r>
          </w:p>
        </w:tc>
        <w:tc>
          <w:tcPr>
            <w:tcW w:w="0" w:type="dxa"/>
            <w:hideMark/>
          </w:tcPr>
          <w:p w14:paraId="1061AE73"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Central Yavapai Metropolitan Planning Organization</w:t>
            </w:r>
          </w:p>
        </w:tc>
        <w:tc>
          <w:tcPr>
            <w:tcW w:w="0" w:type="dxa"/>
            <w:noWrap/>
            <w:hideMark/>
          </w:tcPr>
          <w:p w14:paraId="0E6E3EBB"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FD4D2C" w:rsidRPr="00777B8C" w14:paraId="17AF2160"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1D46CBD"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DBE</w:t>
            </w:r>
          </w:p>
        </w:tc>
        <w:tc>
          <w:tcPr>
            <w:tcW w:w="0" w:type="dxa"/>
            <w:hideMark/>
          </w:tcPr>
          <w:p w14:paraId="4D5C42CF"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Disadvantaged Business Enterprise</w:t>
            </w:r>
          </w:p>
        </w:tc>
        <w:tc>
          <w:tcPr>
            <w:tcW w:w="0" w:type="dxa"/>
            <w:noWrap/>
            <w:hideMark/>
          </w:tcPr>
          <w:p w14:paraId="677BE939"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FD4D2C" w:rsidRPr="00777B8C" w14:paraId="365DF57C"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34A02868"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DHS</w:t>
            </w:r>
          </w:p>
        </w:tc>
        <w:tc>
          <w:tcPr>
            <w:tcW w:w="0" w:type="dxa"/>
            <w:hideMark/>
          </w:tcPr>
          <w:p w14:paraId="7F3AF106"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Department of Homeland Security</w:t>
            </w:r>
          </w:p>
        </w:tc>
        <w:tc>
          <w:tcPr>
            <w:tcW w:w="0" w:type="dxa"/>
            <w:noWrap/>
            <w:hideMark/>
          </w:tcPr>
          <w:p w14:paraId="133D6BD1"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FD4D2C" w:rsidRPr="00777B8C" w14:paraId="198107EC"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4D9F779A"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DIF</w:t>
            </w:r>
          </w:p>
        </w:tc>
        <w:tc>
          <w:tcPr>
            <w:tcW w:w="0" w:type="dxa"/>
            <w:hideMark/>
          </w:tcPr>
          <w:p w14:paraId="79BC3BD0"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development impact fee</w:t>
            </w:r>
          </w:p>
        </w:tc>
        <w:tc>
          <w:tcPr>
            <w:tcW w:w="0" w:type="dxa"/>
            <w:noWrap/>
            <w:hideMark/>
          </w:tcPr>
          <w:p w14:paraId="454F97D8"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FD4D2C" w:rsidRPr="00777B8C" w14:paraId="6B59FB1B"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0619A308"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DOI</w:t>
            </w:r>
          </w:p>
        </w:tc>
        <w:tc>
          <w:tcPr>
            <w:tcW w:w="0" w:type="dxa"/>
            <w:hideMark/>
          </w:tcPr>
          <w:p w14:paraId="20902986"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Department of Interior</w:t>
            </w:r>
          </w:p>
        </w:tc>
        <w:tc>
          <w:tcPr>
            <w:tcW w:w="0" w:type="dxa"/>
            <w:noWrap/>
            <w:hideMark/>
          </w:tcPr>
          <w:p w14:paraId="5595B552"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FD4D2C" w:rsidRPr="00777B8C" w14:paraId="0D60D391"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6031F5C"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DOJ</w:t>
            </w:r>
          </w:p>
        </w:tc>
        <w:tc>
          <w:tcPr>
            <w:tcW w:w="0" w:type="dxa"/>
            <w:hideMark/>
          </w:tcPr>
          <w:p w14:paraId="70D703A1"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Department of Justice</w:t>
            </w:r>
          </w:p>
        </w:tc>
        <w:tc>
          <w:tcPr>
            <w:tcW w:w="0" w:type="dxa"/>
            <w:noWrap/>
            <w:hideMark/>
          </w:tcPr>
          <w:p w14:paraId="03B33765"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12</w:t>
            </w:r>
          </w:p>
        </w:tc>
      </w:tr>
      <w:tr w:rsidR="00FD4D2C" w:rsidRPr="00777B8C" w14:paraId="17824B9E"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56A12C27"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DOTs</w:t>
            </w:r>
          </w:p>
        </w:tc>
        <w:tc>
          <w:tcPr>
            <w:tcW w:w="0" w:type="dxa"/>
            <w:tcBorders>
              <w:bottom w:val="single" w:sz="4" w:space="0" w:color="auto"/>
            </w:tcBorders>
            <w:hideMark/>
          </w:tcPr>
          <w:p w14:paraId="0027C324"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departments of transportation</w:t>
            </w:r>
          </w:p>
        </w:tc>
        <w:tc>
          <w:tcPr>
            <w:tcW w:w="0" w:type="dxa"/>
            <w:tcBorders>
              <w:bottom w:val="single" w:sz="4" w:space="0" w:color="auto"/>
            </w:tcBorders>
            <w:noWrap/>
            <w:hideMark/>
          </w:tcPr>
          <w:p w14:paraId="1075EFEF" w14:textId="77777777" w:rsidR="00FD4D2C" w:rsidRPr="00777B8C" w:rsidRDefault="00FD4D2C"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FD4D2C" w:rsidRPr="00777B8C" w14:paraId="5966FCC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7C9B992F" w14:textId="77777777" w:rsidR="00FD4D2C" w:rsidRPr="00777B8C" w:rsidRDefault="00FD4D2C" w:rsidP="00FD4D2C">
            <w:pPr>
              <w:rPr>
                <w:rFonts w:eastAsia="Times New Roman" w:cstheme="minorHAnsi"/>
                <w:color w:val="000000"/>
                <w:sz w:val="18"/>
                <w:szCs w:val="18"/>
              </w:rPr>
            </w:pPr>
            <w:r w:rsidRPr="00777B8C">
              <w:rPr>
                <w:rFonts w:eastAsia="Times New Roman" w:cstheme="minorHAnsi"/>
                <w:color w:val="000000"/>
                <w:sz w:val="18"/>
                <w:szCs w:val="18"/>
              </w:rPr>
              <w:t>EPA</w:t>
            </w:r>
          </w:p>
        </w:tc>
        <w:tc>
          <w:tcPr>
            <w:tcW w:w="0" w:type="dxa"/>
            <w:tcBorders>
              <w:bottom w:val="single" w:sz="4" w:space="0" w:color="auto"/>
            </w:tcBorders>
            <w:hideMark/>
          </w:tcPr>
          <w:p w14:paraId="78509996"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Environmental Protection Agency</w:t>
            </w:r>
          </w:p>
        </w:tc>
        <w:tc>
          <w:tcPr>
            <w:tcW w:w="0" w:type="dxa"/>
            <w:tcBorders>
              <w:bottom w:val="single" w:sz="4" w:space="0" w:color="auto"/>
            </w:tcBorders>
            <w:noWrap/>
            <w:hideMark/>
          </w:tcPr>
          <w:p w14:paraId="4721091A" w14:textId="77777777" w:rsidR="00FD4D2C" w:rsidRPr="00777B8C" w:rsidRDefault="00FD4D2C" w:rsidP="00FD4D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5D4DAF" w:rsidRPr="00777B8C" w14:paraId="177881C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top w:val="single" w:sz="4" w:space="0" w:color="auto"/>
              <w:left w:val="nil"/>
              <w:bottom w:val="nil"/>
              <w:right w:val="nil"/>
            </w:tcBorders>
            <w:shd w:val="clear" w:color="auto" w:fill="FFFFFF" w:themeFill="background1"/>
            <w:noWrap/>
          </w:tcPr>
          <w:p w14:paraId="046CBE27" w14:textId="77777777" w:rsidR="005D4DAF" w:rsidRPr="00777B8C" w:rsidRDefault="005D4DAF" w:rsidP="00FD4D2C">
            <w:pPr>
              <w:rPr>
                <w:rFonts w:eastAsia="Times New Roman" w:cstheme="minorHAnsi"/>
                <w:color w:val="000000"/>
                <w:sz w:val="18"/>
                <w:szCs w:val="18"/>
              </w:rPr>
            </w:pPr>
          </w:p>
        </w:tc>
        <w:tc>
          <w:tcPr>
            <w:tcW w:w="1676" w:type="dxa"/>
            <w:tcBorders>
              <w:top w:val="single" w:sz="4" w:space="0" w:color="auto"/>
              <w:left w:val="nil"/>
              <w:bottom w:val="nil"/>
              <w:right w:val="nil"/>
            </w:tcBorders>
            <w:shd w:val="clear" w:color="auto" w:fill="FFFFFF" w:themeFill="background1"/>
          </w:tcPr>
          <w:p w14:paraId="5AC78461" w14:textId="77777777" w:rsidR="005D4DAF" w:rsidRPr="00777B8C" w:rsidRDefault="005D4DAF"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1210" w:type="dxa"/>
            <w:tcBorders>
              <w:top w:val="single" w:sz="4" w:space="0" w:color="auto"/>
              <w:left w:val="nil"/>
              <w:bottom w:val="nil"/>
              <w:right w:val="nil"/>
            </w:tcBorders>
            <w:shd w:val="clear" w:color="auto" w:fill="FFFFFF" w:themeFill="background1"/>
            <w:noWrap/>
          </w:tcPr>
          <w:p w14:paraId="332E6F81" w14:textId="77777777" w:rsidR="005D4DAF" w:rsidRPr="00777B8C" w:rsidRDefault="005D4DAF" w:rsidP="00FD4D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5D4DAF" w:rsidRPr="00777B8C" w14:paraId="22026E58"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right w:val="single" w:sz="4" w:space="0" w:color="FFFFFF" w:themeColor="background1"/>
            </w:tcBorders>
            <w:shd w:val="clear" w:color="auto" w:fill="002060"/>
            <w:noWrap/>
          </w:tcPr>
          <w:p w14:paraId="39115C50" w14:textId="3BC12786" w:rsidR="005D4DAF" w:rsidRDefault="005D4DAF" w:rsidP="005D4DA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right w:val="single" w:sz="4" w:space="0" w:color="FFFFFF" w:themeColor="background1"/>
            </w:tcBorders>
            <w:shd w:val="clear" w:color="auto" w:fill="002060"/>
          </w:tcPr>
          <w:p w14:paraId="6A0F4BBE" w14:textId="2E5CB4E6" w:rsidR="005D4DAF"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tcBorders>
            <w:shd w:val="clear" w:color="auto" w:fill="002060"/>
            <w:noWrap/>
          </w:tcPr>
          <w:p w14:paraId="67D99A54" w14:textId="380F3DC3" w:rsidR="005D4DAF"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5D4DAF" w:rsidRPr="00777B8C" w14:paraId="746E0E19"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top w:val="single" w:sz="4" w:space="0" w:color="auto"/>
            </w:tcBorders>
            <w:noWrap/>
          </w:tcPr>
          <w:p w14:paraId="76659092" w14:textId="2FC1C780" w:rsidR="005D4DAF" w:rsidRPr="00777B8C" w:rsidRDefault="005D4DAF" w:rsidP="005D4DAF">
            <w:pPr>
              <w:rPr>
                <w:rFonts w:eastAsia="Times New Roman" w:cstheme="minorHAnsi"/>
                <w:color w:val="000000"/>
                <w:sz w:val="18"/>
                <w:szCs w:val="18"/>
              </w:rPr>
            </w:pPr>
            <w:r>
              <w:rPr>
                <w:rFonts w:eastAsia="Times New Roman" w:cstheme="minorHAnsi"/>
                <w:color w:val="000000"/>
                <w:sz w:val="18"/>
                <w:szCs w:val="18"/>
              </w:rPr>
              <w:t>ESTIP</w:t>
            </w:r>
          </w:p>
        </w:tc>
        <w:tc>
          <w:tcPr>
            <w:tcW w:w="1676" w:type="dxa"/>
            <w:tcBorders>
              <w:top w:val="single" w:sz="4" w:space="0" w:color="auto"/>
            </w:tcBorders>
          </w:tcPr>
          <w:p w14:paraId="3168321B" w14:textId="5AFF6DA8"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Electronic</w:t>
            </w:r>
            <w:r w:rsidRPr="00777B8C">
              <w:rPr>
                <w:rFonts w:eastAsia="Times New Roman" w:cstheme="minorHAnsi"/>
                <w:color w:val="000000"/>
                <w:sz w:val="18"/>
                <w:szCs w:val="18"/>
              </w:rPr>
              <w:t xml:space="preserve"> State Transportation Improvement Program</w:t>
            </w:r>
          </w:p>
        </w:tc>
        <w:tc>
          <w:tcPr>
            <w:tcW w:w="1210" w:type="dxa"/>
            <w:tcBorders>
              <w:top w:val="single" w:sz="4" w:space="0" w:color="auto"/>
            </w:tcBorders>
            <w:noWrap/>
          </w:tcPr>
          <w:p w14:paraId="0556F7D3" w14:textId="755DEFB4"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8</w:t>
            </w:r>
          </w:p>
        </w:tc>
      </w:tr>
      <w:tr w:rsidR="005D4DAF" w:rsidRPr="00777B8C" w14:paraId="7EF40C64"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5EFCC31F"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FAA</w:t>
            </w:r>
          </w:p>
        </w:tc>
        <w:tc>
          <w:tcPr>
            <w:tcW w:w="0" w:type="dxa"/>
            <w:tcBorders>
              <w:bottom w:val="single" w:sz="4" w:space="0" w:color="auto"/>
            </w:tcBorders>
            <w:hideMark/>
          </w:tcPr>
          <w:p w14:paraId="21D67220"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Federal Aviation Administration</w:t>
            </w:r>
          </w:p>
        </w:tc>
        <w:tc>
          <w:tcPr>
            <w:tcW w:w="0" w:type="dxa"/>
            <w:tcBorders>
              <w:bottom w:val="single" w:sz="4" w:space="0" w:color="auto"/>
            </w:tcBorders>
            <w:noWrap/>
            <w:hideMark/>
          </w:tcPr>
          <w:p w14:paraId="3AE504C0"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5D4DAF" w:rsidRPr="00777B8C" w14:paraId="4018FE47"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38C65F1"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FEMA</w:t>
            </w:r>
          </w:p>
        </w:tc>
        <w:tc>
          <w:tcPr>
            <w:tcW w:w="0" w:type="dxa"/>
            <w:hideMark/>
          </w:tcPr>
          <w:p w14:paraId="6C2FB414"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Federal Emergency Management Agency</w:t>
            </w:r>
          </w:p>
        </w:tc>
        <w:tc>
          <w:tcPr>
            <w:tcW w:w="0" w:type="dxa"/>
            <w:noWrap/>
            <w:hideMark/>
          </w:tcPr>
          <w:p w14:paraId="7D1C41E6"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17.9 (in table)</w:t>
            </w:r>
          </w:p>
        </w:tc>
      </w:tr>
      <w:tr w:rsidR="005D4DAF" w:rsidRPr="00777B8C" w14:paraId="74383C95"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9DFCF06" w14:textId="085FC0AE"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FHWA</w:t>
            </w:r>
          </w:p>
        </w:tc>
        <w:tc>
          <w:tcPr>
            <w:tcW w:w="0" w:type="dxa"/>
            <w:hideMark/>
          </w:tcPr>
          <w:p w14:paraId="3A15DBDE"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Federal Highway Administration</w:t>
            </w:r>
          </w:p>
        </w:tc>
        <w:tc>
          <w:tcPr>
            <w:tcW w:w="0" w:type="dxa"/>
            <w:noWrap/>
            <w:hideMark/>
          </w:tcPr>
          <w:p w14:paraId="73A0A072"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text box)</w:t>
            </w:r>
          </w:p>
        </w:tc>
      </w:tr>
      <w:tr w:rsidR="005D4DAF" w:rsidRPr="00777B8C" w14:paraId="493F4DE6"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2C79140B" w14:textId="09F16591"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FL</w:t>
            </w:r>
            <w:r>
              <w:rPr>
                <w:rFonts w:eastAsia="Times New Roman" w:cstheme="minorHAnsi"/>
                <w:color w:val="000000"/>
                <w:sz w:val="18"/>
                <w:szCs w:val="18"/>
              </w:rPr>
              <w:t>T</w:t>
            </w:r>
            <w:r w:rsidRPr="00777B8C">
              <w:rPr>
                <w:rFonts w:eastAsia="Times New Roman" w:cstheme="minorHAnsi"/>
                <w:color w:val="000000"/>
                <w:sz w:val="18"/>
                <w:szCs w:val="18"/>
              </w:rPr>
              <w:t>P</w:t>
            </w:r>
          </w:p>
        </w:tc>
        <w:tc>
          <w:tcPr>
            <w:tcW w:w="0" w:type="dxa"/>
            <w:hideMark/>
          </w:tcPr>
          <w:p w14:paraId="3C02C3D6" w14:textId="03345F2A"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 xml:space="preserve">Federal Lands </w:t>
            </w:r>
            <w:r>
              <w:rPr>
                <w:rFonts w:eastAsia="Times New Roman" w:cstheme="minorHAnsi"/>
                <w:color w:val="000000"/>
                <w:sz w:val="18"/>
                <w:szCs w:val="18"/>
              </w:rPr>
              <w:t>Transportation</w:t>
            </w:r>
            <w:r w:rsidRPr="00777B8C">
              <w:rPr>
                <w:rFonts w:eastAsia="Times New Roman" w:cstheme="minorHAnsi"/>
                <w:color w:val="000000"/>
                <w:sz w:val="18"/>
                <w:szCs w:val="18"/>
              </w:rPr>
              <w:t xml:space="preserve"> Program</w:t>
            </w:r>
          </w:p>
        </w:tc>
        <w:tc>
          <w:tcPr>
            <w:tcW w:w="0" w:type="dxa"/>
            <w:noWrap/>
            <w:hideMark/>
          </w:tcPr>
          <w:p w14:paraId="511FBA6A"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10D21E24"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713B311D" w14:textId="51AD8B17" w:rsidR="00847C1F" w:rsidRPr="00777B8C" w:rsidRDefault="00847C1F" w:rsidP="005D4DAF">
            <w:pPr>
              <w:rPr>
                <w:rFonts w:eastAsia="Times New Roman" w:cstheme="minorHAnsi"/>
                <w:color w:val="000000"/>
                <w:sz w:val="18"/>
                <w:szCs w:val="18"/>
              </w:rPr>
            </w:pPr>
            <w:r>
              <w:rPr>
                <w:rFonts w:eastAsia="Times New Roman" w:cstheme="minorHAnsi"/>
                <w:color w:val="000000"/>
                <w:sz w:val="18"/>
                <w:szCs w:val="18"/>
              </w:rPr>
              <w:t>FMPO</w:t>
            </w:r>
          </w:p>
        </w:tc>
        <w:tc>
          <w:tcPr>
            <w:tcW w:w="1676" w:type="dxa"/>
          </w:tcPr>
          <w:p w14:paraId="06D820F2" w14:textId="4F96B546" w:rsidR="00847C1F" w:rsidRPr="00777B8C" w:rsidRDefault="00847C1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Flagstaff Municipal Planning Organization</w:t>
            </w:r>
          </w:p>
        </w:tc>
        <w:tc>
          <w:tcPr>
            <w:tcW w:w="1210" w:type="dxa"/>
            <w:noWrap/>
          </w:tcPr>
          <w:p w14:paraId="2C749DAF" w14:textId="771BDC8B" w:rsidR="00847C1F" w:rsidRDefault="00847C1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1</w:t>
            </w:r>
          </w:p>
        </w:tc>
      </w:tr>
      <w:tr w:rsidR="005D4DAF" w:rsidRPr="00777B8C" w14:paraId="0D640826"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C9C3EC8"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FMS</w:t>
            </w:r>
          </w:p>
        </w:tc>
        <w:tc>
          <w:tcPr>
            <w:tcW w:w="0" w:type="dxa"/>
            <w:hideMark/>
          </w:tcPr>
          <w:p w14:paraId="31214A69" w14:textId="0D24359D"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Financial Management Servic</w:t>
            </w:r>
            <w:r>
              <w:rPr>
                <w:rFonts w:eastAsia="Times New Roman" w:cstheme="minorHAnsi"/>
                <w:color w:val="000000"/>
                <w:sz w:val="18"/>
                <w:szCs w:val="18"/>
              </w:rPr>
              <w:t>es</w:t>
            </w:r>
          </w:p>
        </w:tc>
        <w:tc>
          <w:tcPr>
            <w:tcW w:w="0" w:type="dxa"/>
            <w:noWrap/>
            <w:hideMark/>
          </w:tcPr>
          <w:p w14:paraId="65306A1F" w14:textId="20DA92E0"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8</w:t>
            </w:r>
          </w:p>
        </w:tc>
      </w:tr>
      <w:tr w:rsidR="005D4DAF" w:rsidRPr="00777B8C" w14:paraId="5AB9BF9C"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519947F6"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FPN</w:t>
            </w:r>
          </w:p>
        </w:tc>
        <w:tc>
          <w:tcPr>
            <w:tcW w:w="0" w:type="dxa"/>
            <w:hideMark/>
          </w:tcPr>
          <w:p w14:paraId="006A7E04"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financial project number</w:t>
            </w:r>
          </w:p>
        </w:tc>
        <w:tc>
          <w:tcPr>
            <w:tcW w:w="0" w:type="dxa"/>
            <w:noWrap/>
            <w:hideMark/>
          </w:tcPr>
          <w:p w14:paraId="1071042C"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8</w:t>
            </w:r>
          </w:p>
        </w:tc>
      </w:tr>
      <w:tr w:rsidR="005D4DAF" w:rsidRPr="00777B8C" w14:paraId="3822A8F4"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22F8AEC9"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FTA</w:t>
            </w:r>
          </w:p>
        </w:tc>
        <w:tc>
          <w:tcPr>
            <w:tcW w:w="0" w:type="dxa"/>
            <w:hideMark/>
          </w:tcPr>
          <w:p w14:paraId="39560E6A"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Federal Transit Administration</w:t>
            </w:r>
          </w:p>
        </w:tc>
        <w:tc>
          <w:tcPr>
            <w:tcW w:w="0" w:type="dxa"/>
            <w:noWrap/>
            <w:hideMark/>
          </w:tcPr>
          <w:p w14:paraId="3573D798"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5D4DAF" w:rsidRPr="00777B8C" w14:paraId="458358D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24B85E1A"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FR</w:t>
            </w:r>
          </w:p>
        </w:tc>
        <w:tc>
          <w:tcPr>
            <w:tcW w:w="0" w:type="dxa"/>
            <w:hideMark/>
          </w:tcPr>
          <w:p w14:paraId="4FFECD88"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Federal Register</w:t>
            </w:r>
          </w:p>
        </w:tc>
        <w:tc>
          <w:tcPr>
            <w:tcW w:w="0" w:type="dxa"/>
            <w:noWrap/>
            <w:hideMark/>
          </w:tcPr>
          <w:p w14:paraId="7D1FBC2F"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5D4DAF" w:rsidRPr="00777B8C" w14:paraId="6E3A2111"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75B442A3"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FRA</w:t>
            </w:r>
          </w:p>
        </w:tc>
        <w:tc>
          <w:tcPr>
            <w:tcW w:w="0" w:type="dxa"/>
            <w:tcBorders>
              <w:bottom w:val="single" w:sz="4" w:space="0" w:color="auto"/>
            </w:tcBorders>
            <w:hideMark/>
          </w:tcPr>
          <w:p w14:paraId="1F6D6B51"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Federal Railroad Administration</w:t>
            </w:r>
          </w:p>
        </w:tc>
        <w:tc>
          <w:tcPr>
            <w:tcW w:w="0" w:type="dxa"/>
            <w:tcBorders>
              <w:bottom w:val="single" w:sz="4" w:space="0" w:color="auto"/>
            </w:tcBorders>
            <w:noWrap/>
            <w:hideMark/>
          </w:tcPr>
          <w:p w14:paraId="43BABEE5" w14:textId="77777777" w:rsidR="005D4DAF" w:rsidRPr="00777B8C" w:rsidRDefault="005D4DA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5703C686"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47138D20" w14:textId="77777777" w:rsidR="005D4DAF" w:rsidRPr="00777B8C" w:rsidRDefault="005D4DAF" w:rsidP="005D4DAF">
            <w:pPr>
              <w:rPr>
                <w:rFonts w:eastAsia="Times New Roman" w:cstheme="minorHAnsi"/>
                <w:color w:val="000000"/>
                <w:sz w:val="18"/>
                <w:szCs w:val="18"/>
              </w:rPr>
            </w:pPr>
            <w:r w:rsidRPr="00777B8C">
              <w:rPr>
                <w:rFonts w:eastAsia="Times New Roman" w:cstheme="minorHAnsi"/>
                <w:color w:val="000000"/>
                <w:sz w:val="18"/>
                <w:szCs w:val="18"/>
              </w:rPr>
              <w:t>GA</w:t>
            </w:r>
          </w:p>
        </w:tc>
        <w:tc>
          <w:tcPr>
            <w:tcW w:w="0" w:type="dxa"/>
            <w:tcBorders>
              <w:bottom w:val="single" w:sz="4" w:space="0" w:color="auto"/>
            </w:tcBorders>
            <w:hideMark/>
          </w:tcPr>
          <w:p w14:paraId="5419D985"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general aviation</w:t>
            </w:r>
          </w:p>
        </w:tc>
        <w:tc>
          <w:tcPr>
            <w:tcW w:w="0" w:type="dxa"/>
            <w:tcBorders>
              <w:bottom w:val="single" w:sz="4" w:space="0" w:color="auto"/>
            </w:tcBorders>
            <w:noWrap/>
            <w:hideMark/>
          </w:tcPr>
          <w:p w14:paraId="7EBA956F" w14:textId="77777777" w:rsidR="005D4DAF" w:rsidRPr="00777B8C" w:rsidRDefault="005D4DAF" w:rsidP="005D4DA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2BCA2CF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shd w:val="clear" w:color="auto" w:fill="auto"/>
            <w:noWrap/>
          </w:tcPr>
          <w:p w14:paraId="452F9D8C" w14:textId="77777777" w:rsidR="00847C1F" w:rsidRPr="00777B8C" w:rsidRDefault="00847C1F" w:rsidP="005D4DAF">
            <w:pPr>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tcPr>
          <w:p w14:paraId="4EBBE21E" w14:textId="77777777" w:rsidR="00847C1F" w:rsidRPr="00777B8C" w:rsidRDefault="00847C1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noWrap/>
          </w:tcPr>
          <w:p w14:paraId="18DE8612" w14:textId="77777777" w:rsidR="00847C1F" w:rsidRPr="00777B8C" w:rsidRDefault="00847C1F" w:rsidP="005D4DA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847C1F" w:rsidRPr="00777B8C" w14:paraId="34263A0E"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auto"/>
              <w:bottom w:val="single" w:sz="4" w:space="0" w:color="auto"/>
              <w:right w:val="single" w:sz="4" w:space="0" w:color="FFFFFF" w:themeColor="background1"/>
            </w:tcBorders>
            <w:shd w:val="clear" w:color="auto" w:fill="002060"/>
            <w:noWrap/>
          </w:tcPr>
          <w:p w14:paraId="1044927F" w14:textId="2B8F9D0F"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bottom w:val="single" w:sz="4" w:space="0" w:color="auto"/>
              <w:right w:val="single" w:sz="4" w:space="0" w:color="FFFFFF" w:themeColor="background1"/>
            </w:tcBorders>
            <w:shd w:val="clear" w:color="auto" w:fill="002060"/>
          </w:tcPr>
          <w:p w14:paraId="31B4CB29" w14:textId="3F43F2BA"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bottom w:val="single" w:sz="4" w:space="0" w:color="auto"/>
              <w:right w:val="single" w:sz="4" w:space="0" w:color="auto"/>
            </w:tcBorders>
            <w:shd w:val="clear" w:color="auto" w:fill="002060"/>
            <w:noWrap/>
          </w:tcPr>
          <w:p w14:paraId="7FE2A022" w14:textId="77023A9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16E037E1"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tcBorders>
            <w:noWrap/>
            <w:hideMark/>
          </w:tcPr>
          <w:p w14:paraId="46E3DE9E" w14:textId="7777777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GAO</w:t>
            </w:r>
          </w:p>
        </w:tc>
        <w:tc>
          <w:tcPr>
            <w:tcW w:w="0" w:type="dxa"/>
            <w:tcBorders>
              <w:top w:val="single" w:sz="4" w:space="0" w:color="auto"/>
            </w:tcBorders>
            <w:hideMark/>
          </w:tcPr>
          <w:p w14:paraId="2EE0285E"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Government Accountability Office, U.S.</w:t>
            </w:r>
          </w:p>
        </w:tc>
        <w:tc>
          <w:tcPr>
            <w:tcW w:w="0" w:type="dxa"/>
            <w:tcBorders>
              <w:top w:val="single" w:sz="4" w:space="0" w:color="auto"/>
            </w:tcBorders>
            <w:noWrap/>
            <w:hideMark/>
          </w:tcPr>
          <w:p w14:paraId="6879773C"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40E5392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32CC689D" w14:textId="7777777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GARVEEs</w:t>
            </w:r>
          </w:p>
        </w:tc>
        <w:tc>
          <w:tcPr>
            <w:tcW w:w="0" w:type="dxa"/>
            <w:tcBorders>
              <w:bottom w:val="single" w:sz="4" w:space="0" w:color="auto"/>
            </w:tcBorders>
            <w:hideMark/>
          </w:tcPr>
          <w:p w14:paraId="66D61983"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Grant Anticipation Revenue Vehicles</w:t>
            </w:r>
          </w:p>
        </w:tc>
        <w:tc>
          <w:tcPr>
            <w:tcW w:w="0" w:type="dxa"/>
            <w:tcBorders>
              <w:bottom w:val="single" w:sz="4" w:space="0" w:color="auto"/>
            </w:tcBorders>
            <w:noWrap/>
            <w:hideMark/>
          </w:tcPr>
          <w:p w14:paraId="3E9DA58F"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64B52688"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34CECE69" w14:textId="75E78F7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GIS</w:t>
            </w:r>
          </w:p>
        </w:tc>
        <w:tc>
          <w:tcPr>
            <w:tcW w:w="1676" w:type="dxa"/>
            <w:tcBorders>
              <w:bottom w:val="single" w:sz="4" w:space="0" w:color="auto"/>
            </w:tcBorders>
            <w:hideMark/>
          </w:tcPr>
          <w:p w14:paraId="7CD156ED"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geographic information system</w:t>
            </w:r>
          </w:p>
        </w:tc>
        <w:tc>
          <w:tcPr>
            <w:tcW w:w="1210" w:type="dxa"/>
            <w:tcBorders>
              <w:bottom w:val="single" w:sz="4" w:space="0" w:color="auto"/>
            </w:tcBorders>
            <w:noWrap/>
            <w:hideMark/>
          </w:tcPr>
          <w:p w14:paraId="0600B890"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3B66C78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9E42F16" w14:textId="51AF029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GIS-T</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31EF31CA" w14:textId="28E8072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Geographic Information Systems for Transportation</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055ECB6" w14:textId="6868207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2AABDC37"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75A24097" w14:textId="45DF7E0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GOHS</w:t>
            </w:r>
          </w:p>
        </w:tc>
        <w:tc>
          <w:tcPr>
            <w:tcW w:w="0" w:type="dxa"/>
            <w:hideMark/>
          </w:tcPr>
          <w:p w14:paraId="6C94D0DF"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Governor’s Office of Highway Safety</w:t>
            </w:r>
          </w:p>
        </w:tc>
        <w:tc>
          <w:tcPr>
            <w:tcW w:w="0" w:type="dxa"/>
            <w:noWrap/>
            <w:hideMark/>
          </w:tcPr>
          <w:p w14:paraId="241DEA22" w14:textId="7606929E"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17.5</w:t>
            </w:r>
          </w:p>
        </w:tc>
      </w:tr>
      <w:tr w:rsidR="00847C1F" w:rsidRPr="00777B8C" w14:paraId="13892BA0"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E2BF6DC" w14:textId="4D84ADA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GPS</w:t>
            </w:r>
          </w:p>
        </w:tc>
        <w:tc>
          <w:tcPr>
            <w:tcW w:w="0" w:type="dxa"/>
            <w:hideMark/>
          </w:tcPr>
          <w:p w14:paraId="17AA1756"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global positioning system</w:t>
            </w:r>
          </w:p>
        </w:tc>
        <w:tc>
          <w:tcPr>
            <w:tcW w:w="0" w:type="dxa"/>
            <w:noWrap/>
            <w:hideMark/>
          </w:tcPr>
          <w:p w14:paraId="734E07AB" w14:textId="072C6754"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2D65BED5"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tcPr>
          <w:p w14:paraId="43D33418" w14:textId="481FCDF1" w:rsidR="00847C1F" w:rsidRPr="00777B8C" w:rsidRDefault="00847C1F" w:rsidP="00847C1F">
            <w:pPr>
              <w:rPr>
                <w:rFonts w:eastAsia="Times New Roman" w:cstheme="minorHAnsi"/>
                <w:color w:val="000000"/>
                <w:sz w:val="18"/>
                <w:szCs w:val="18"/>
              </w:rPr>
            </w:pPr>
            <w:r>
              <w:rPr>
                <w:rFonts w:eastAsia="Times New Roman" w:cstheme="minorHAnsi"/>
                <w:color w:val="000000"/>
                <w:sz w:val="18"/>
                <w:szCs w:val="18"/>
              </w:rPr>
              <w:t>GRT</w:t>
            </w:r>
          </w:p>
        </w:tc>
        <w:tc>
          <w:tcPr>
            <w:tcW w:w="0" w:type="dxa"/>
          </w:tcPr>
          <w:p w14:paraId="1882652C" w14:textId="63138E81"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Grant Agreement</w:t>
            </w:r>
          </w:p>
        </w:tc>
        <w:tc>
          <w:tcPr>
            <w:tcW w:w="0" w:type="dxa"/>
            <w:noWrap/>
          </w:tcPr>
          <w:p w14:paraId="5D700467" w14:textId="52C0C3AE"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1</w:t>
            </w:r>
          </w:p>
        </w:tc>
      </w:tr>
      <w:tr w:rsidR="00847C1F" w:rsidRPr="00777B8C" w14:paraId="3D6EC024"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105B6063" w14:textId="758036B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HEW</w:t>
            </w:r>
          </w:p>
        </w:tc>
        <w:tc>
          <w:tcPr>
            <w:tcW w:w="0" w:type="dxa"/>
            <w:hideMark/>
          </w:tcPr>
          <w:p w14:paraId="1C8D5F7A"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Department of Health, Education, and Welfare</w:t>
            </w:r>
          </w:p>
        </w:tc>
        <w:tc>
          <w:tcPr>
            <w:tcW w:w="0" w:type="dxa"/>
            <w:noWrap/>
            <w:hideMark/>
          </w:tcPr>
          <w:p w14:paraId="769496EC" w14:textId="58B366EB"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12</w:t>
            </w:r>
          </w:p>
        </w:tc>
      </w:tr>
      <w:tr w:rsidR="00847C1F" w:rsidRPr="00777B8C" w14:paraId="3D3B4FBD"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5CCDE7D6" w14:textId="5D106304"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HOV</w:t>
            </w:r>
          </w:p>
        </w:tc>
        <w:tc>
          <w:tcPr>
            <w:tcW w:w="0" w:type="dxa"/>
            <w:hideMark/>
          </w:tcPr>
          <w:p w14:paraId="6243F6E0"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high occupancy vehicle</w:t>
            </w:r>
          </w:p>
        </w:tc>
        <w:tc>
          <w:tcPr>
            <w:tcW w:w="0" w:type="dxa"/>
            <w:noWrap/>
            <w:hideMark/>
          </w:tcPr>
          <w:p w14:paraId="6462CC0F" w14:textId="2CD75CD0"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17.11 (in table)</w:t>
            </w:r>
          </w:p>
        </w:tc>
      </w:tr>
      <w:tr w:rsidR="00847C1F" w:rsidRPr="00777B8C" w14:paraId="52248F5E"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276EDBE8" w14:textId="4B202FD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HPMS</w:t>
            </w:r>
          </w:p>
        </w:tc>
        <w:tc>
          <w:tcPr>
            <w:tcW w:w="0" w:type="dxa"/>
            <w:hideMark/>
          </w:tcPr>
          <w:p w14:paraId="62F70961"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Highway Performance Monitoring System</w:t>
            </w:r>
          </w:p>
        </w:tc>
        <w:tc>
          <w:tcPr>
            <w:tcW w:w="0" w:type="dxa"/>
            <w:noWrap/>
            <w:hideMark/>
          </w:tcPr>
          <w:p w14:paraId="3A2FAD9F" w14:textId="6002165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7A10969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5F9CE47C" w14:textId="06A76CB5"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HSIP</w:t>
            </w:r>
          </w:p>
        </w:tc>
        <w:tc>
          <w:tcPr>
            <w:tcW w:w="0" w:type="dxa"/>
            <w:hideMark/>
          </w:tcPr>
          <w:p w14:paraId="20F652FF"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Highway Safety Improvement Program</w:t>
            </w:r>
          </w:p>
        </w:tc>
        <w:tc>
          <w:tcPr>
            <w:tcW w:w="0" w:type="dxa"/>
            <w:noWrap/>
            <w:hideMark/>
          </w:tcPr>
          <w:p w14:paraId="24DAD455" w14:textId="2C6054F1"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6ADACB83"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696E3DA0" w14:textId="52C360A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HSTCP</w:t>
            </w:r>
          </w:p>
        </w:tc>
        <w:tc>
          <w:tcPr>
            <w:tcW w:w="0" w:type="dxa"/>
            <w:tcBorders>
              <w:bottom w:val="single" w:sz="4" w:space="0" w:color="auto"/>
            </w:tcBorders>
            <w:hideMark/>
          </w:tcPr>
          <w:p w14:paraId="453F1F6E"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Human Services Transportation Coordination Plan</w:t>
            </w:r>
          </w:p>
        </w:tc>
        <w:tc>
          <w:tcPr>
            <w:tcW w:w="0" w:type="dxa"/>
            <w:tcBorders>
              <w:bottom w:val="single" w:sz="4" w:space="0" w:color="auto"/>
            </w:tcBorders>
            <w:noWrap/>
            <w:hideMark/>
          </w:tcPr>
          <w:p w14:paraId="21A5A5EA" w14:textId="6549941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14</w:t>
            </w:r>
          </w:p>
        </w:tc>
      </w:tr>
      <w:tr w:rsidR="00847C1F" w:rsidRPr="00777B8C" w14:paraId="229430A7"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017F2F3B" w14:textId="0CC937B4"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07438B2E" w14:textId="75095D91"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453F25A6" w14:textId="6B75444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061EB36C"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6BE41B2" w14:textId="69F7DF9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HTF</w:t>
            </w:r>
          </w:p>
        </w:tc>
        <w:tc>
          <w:tcPr>
            <w:tcW w:w="1676" w:type="dxa"/>
            <w:hideMark/>
          </w:tcPr>
          <w:p w14:paraId="2BEB3317"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Highway Trust Fund</w:t>
            </w:r>
          </w:p>
        </w:tc>
        <w:tc>
          <w:tcPr>
            <w:tcW w:w="1210" w:type="dxa"/>
            <w:noWrap/>
            <w:hideMark/>
          </w:tcPr>
          <w:p w14:paraId="7913C2A2" w14:textId="437B3D9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44CFC02C"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noWrap/>
            <w:hideMark/>
          </w:tcPr>
          <w:p w14:paraId="62D5DF5E" w14:textId="7D15AC2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HUD</w:t>
            </w:r>
          </w:p>
        </w:tc>
        <w:tc>
          <w:tcPr>
            <w:tcW w:w="0" w:type="dxa"/>
            <w:hideMark/>
          </w:tcPr>
          <w:p w14:paraId="41E70EA3"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Housing and Urban Development</w:t>
            </w:r>
          </w:p>
        </w:tc>
        <w:tc>
          <w:tcPr>
            <w:tcW w:w="0" w:type="dxa"/>
            <w:noWrap/>
            <w:hideMark/>
          </w:tcPr>
          <w:p w14:paraId="582955DC" w14:textId="1E10944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03284C07"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710C3D5C" w14:textId="12C80265"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HURF</w:t>
            </w:r>
          </w:p>
        </w:tc>
        <w:tc>
          <w:tcPr>
            <w:tcW w:w="1676" w:type="dxa"/>
            <w:tcBorders>
              <w:bottom w:val="single" w:sz="4" w:space="0" w:color="auto"/>
            </w:tcBorders>
            <w:hideMark/>
          </w:tcPr>
          <w:p w14:paraId="7D9AE968"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Highway User Revenue Fund</w:t>
            </w:r>
          </w:p>
        </w:tc>
        <w:tc>
          <w:tcPr>
            <w:tcW w:w="1210" w:type="dxa"/>
            <w:tcBorders>
              <w:bottom w:val="single" w:sz="4" w:space="0" w:color="auto"/>
            </w:tcBorders>
            <w:noWrap/>
            <w:hideMark/>
          </w:tcPr>
          <w:p w14:paraId="3AF925B4" w14:textId="09EAE10A"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4951B68A"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3BF94FA8" w14:textId="22C03E04"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IRR</w:t>
            </w:r>
          </w:p>
        </w:tc>
        <w:tc>
          <w:tcPr>
            <w:tcW w:w="1676" w:type="dxa"/>
            <w:tcBorders>
              <w:bottom w:val="single" w:sz="4" w:space="0" w:color="auto"/>
            </w:tcBorders>
            <w:hideMark/>
          </w:tcPr>
          <w:p w14:paraId="6671B2D4"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Indian Reservation Roads Program</w:t>
            </w:r>
          </w:p>
        </w:tc>
        <w:tc>
          <w:tcPr>
            <w:tcW w:w="1210" w:type="dxa"/>
            <w:tcBorders>
              <w:bottom w:val="single" w:sz="4" w:space="0" w:color="auto"/>
            </w:tcBorders>
            <w:noWrap/>
            <w:hideMark/>
          </w:tcPr>
          <w:p w14:paraId="32E654D8" w14:textId="22770EA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17.6</w:t>
            </w:r>
          </w:p>
        </w:tc>
      </w:tr>
      <w:tr w:rsidR="00847C1F" w:rsidRPr="00777B8C" w14:paraId="79D20CC7"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5ED49E54" w14:textId="32DA7C19"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ISDEAA</w:t>
            </w:r>
          </w:p>
        </w:tc>
        <w:tc>
          <w:tcPr>
            <w:tcW w:w="1676" w:type="dxa"/>
            <w:tcBorders>
              <w:bottom w:val="single" w:sz="4" w:space="0" w:color="auto"/>
            </w:tcBorders>
            <w:hideMark/>
          </w:tcPr>
          <w:p w14:paraId="1DCAE053" w14:textId="77777777" w:rsidR="00847C1F" w:rsidRPr="006B1633"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8"/>
              </w:rPr>
            </w:pPr>
            <w:r w:rsidRPr="006B1633">
              <w:rPr>
                <w:rFonts w:eastAsia="Times New Roman" w:cstheme="minorHAnsi"/>
                <w:color w:val="000000"/>
                <w:sz w:val="16"/>
                <w:szCs w:val="18"/>
              </w:rPr>
              <w:t>Indian Self-Determination and Education Assistance Act of 1975</w:t>
            </w:r>
          </w:p>
        </w:tc>
        <w:tc>
          <w:tcPr>
            <w:tcW w:w="1210" w:type="dxa"/>
            <w:tcBorders>
              <w:bottom w:val="single" w:sz="4" w:space="0" w:color="auto"/>
            </w:tcBorders>
            <w:noWrap/>
            <w:hideMark/>
          </w:tcPr>
          <w:p w14:paraId="0B0C8189" w14:textId="227171A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42B3842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tcBorders>
            <w:shd w:val="clear" w:color="auto" w:fill="CCCCCC"/>
            <w:noWrap/>
            <w:hideMark/>
          </w:tcPr>
          <w:p w14:paraId="26AB0A50" w14:textId="29E0B8D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ISTEA</w:t>
            </w:r>
          </w:p>
        </w:tc>
        <w:tc>
          <w:tcPr>
            <w:tcW w:w="0" w:type="dxa"/>
            <w:tcBorders>
              <w:top w:val="single" w:sz="4" w:space="0" w:color="auto"/>
            </w:tcBorders>
            <w:shd w:val="clear" w:color="auto" w:fill="CCCCCC"/>
            <w:hideMark/>
          </w:tcPr>
          <w:p w14:paraId="0AB7625A"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Intermodal Surface Transportation Efficiency Act</w:t>
            </w:r>
          </w:p>
        </w:tc>
        <w:tc>
          <w:tcPr>
            <w:tcW w:w="0" w:type="dxa"/>
            <w:tcBorders>
              <w:top w:val="single" w:sz="4" w:space="0" w:color="auto"/>
            </w:tcBorders>
            <w:shd w:val="clear" w:color="auto" w:fill="CCCCCC"/>
            <w:noWrap/>
            <w:hideMark/>
          </w:tcPr>
          <w:p w14:paraId="3844CE85" w14:textId="3333EEBC"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847C1F" w:rsidRPr="00777B8C" w14:paraId="769C580D"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BE1C313" w14:textId="535D25F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ITEA</w:t>
            </w:r>
          </w:p>
        </w:tc>
        <w:tc>
          <w:tcPr>
            <w:tcW w:w="1676" w:type="dxa"/>
            <w:hideMark/>
          </w:tcPr>
          <w:p w14:paraId="1F05BA39"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Indian tribal economic alliance</w:t>
            </w:r>
          </w:p>
        </w:tc>
        <w:tc>
          <w:tcPr>
            <w:tcW w:w="1210" w:type="dxa"/>
            <w:noWrap/>
            <w:hideMark/>
          </w:tcPr>
          <w:p w14:paraId="39C5DC2C" w14:textId="59963335"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3B826F70"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6EAE348" w14:textId="3B62019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JARC</w:t>
            </w:r>
          </w:p>
        </w:tc>
        <w:tc>
          <w:tcPr>
            <w:tcW w:w="1676" w:type="dxa"/>
            <w:hideMark/>
          </w:tcPr>
          <w:p w14:paraId="5C1E2509"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Job Access and Reverse Commute</w:t>
            </w:r>
          </w:p>
        </w:tc>
        <w:tc>
          <w:tcPr>
            <w:tcW w:w="1210" w:type="dxa"/>
            <w:noWrap/>
            <w:hideMark/>
          </w:tcPr>
          <w:p w14:paraId="0B7FA8FC" w14:textId="0F83652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17.12</w:t>
            </w:r>
          </w:p>
        </w:tc>
      </w:tr>
      <w:tr w:rsidR="00847C1F" w:rsidRPr="00777B8C" w14:paraId="0DE50141"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53719905" w14:textId="7C21F93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LEP</w:t>
            </w:r>
          </w:p>
        </w:tc>
        <w:tc>
          <w:tcPr>
            <w:tcW w:w="1676" w:type="dxa"/>
            <w:hideMark/>
          </w:tcPr>
          <w:p w14:paraId="48082FB4"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Limited English Proficient</w:t>
            </w:r>
          </w:p>
        </w:tc>
        <w:tc>
          <w:tcPr>
            <w:tcW w:w="1210" w:type="dxa"/>
            <w:noWrap/>
            <w:hideMark/>
          </w:tcPr>
          <w:p w14:paraId="7D1AF2E4" w14:textId="2ED1205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12</w:t>
            </w:r>
          </w:p>
        </w:tc>
      </w:tr>
      <w:tr w:rsidR="00847C1F" w:rsidRPr="00777B8C" w14:paraId="73AD4284" w14:textId="77777777" w:rsidTr="0013524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6768218D" w14:textId="5096B259" w:rsidR="00847C1F" w:rsidRPr="00777B8C" w:rsidRDefault="00847C1F" w:rsidP="00847C1F">
            <w:pPr>
              <w:rPr>
                <w:rFonts w:eastAsia="Times New Roman" w:cstheme="minorHAnsi"/>
                <w:color w:val="000000"/>
                <w:sz w:val="18"/>
                <w:szCs w:val="18"/>
              </w:rPr>
            </w:pPr>
            <w:r>
              <w:rPr>
                <w:rFonts w:eastAsia="Times New Roman" w:cstheme="minorHAnsi"/>
                <w:color w:val="000000"/>
                <w:sz w:val="18"/>
                <w:szCs w:val="18"/>
              </w:rPr>
              <w:t>LPA</w:t>
            </w:r>
          </w:p>
        </w:tc>
        <w:tc>
          <w:tcPr>
            <w:tcW w:w="1676" w:type="dxa"/>
          </w:tcPr>
          <w:p w14:paraId="20DC0EC5" w14:textId="2F8C0851"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Local Public Agency</w:t>
            </w:r>
          </w:p>
        </w:tc>
        <w:tc>
          <w:tcPr>
            <w:tcW w:w="1210" w:type="dxa"/>
            <w:noWrap/>
          </w:tcPr>
          <w:p w14:paraId="352F53C3" w14:textId="3BED813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17.3</w:t>
            </w:r>
          </w:p>
        </w:tc>
      </w:tr>
      <w:tr w:rsidR="00847C1F" w:rsidRPr="00777B8C" w14:paraId="363EE918"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56DC7CC" w14:textId="65F7299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LPV</w:t>
            </w:r>
          </w:p>
        </w:tc>
        <w:tc>
          <w:tcPr>
            <w:tcW w:w="1676" w:type="dxa"/>
            <w:hideMark/>
          </w:tcPr>
          <w:p w14:paraId="7F96A4E3"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Localizer Performance with Vertical guidance</w:t>
            </w:r>
          </w:p>
        </w:tc>
        <w:tc>
          <w:tcPr>
            <w:tcW w:w="1210" w:type="dxa"/>
            <w:noWrap/>
            <w:hideMark/>
          </w:tcPr>
          <w:p w14:paraId="5140991E" w14:textId="783AF57E"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6E87481E"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2681055A" w14:textId="7B3959B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LPOE</w:t>
            </w:r>
          </w:p>
        </w:tc>
        <w:tc>
          <w:tcPr>
            <w:tcW w:w="0" w:type="dxa"/>
            <w:tcBorders>
              <w:bottom w:val="single" w:sz="4" w:space="0" w:color="auto"/>
            </w:tcBorders>
            <w:hideMark/>
          </w:tcPr>
          <w:p w14:paraId="3EB71A0C"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land port of entry</w:t>
            </w:r>
          </w:p>
        </w:tc>
        <w:tc>
          <w:tcPr>
            <w:tcW w:w="0" w:type="dxa"/>
            <w:tcBorders>
              <w:bottom w:val="single" w:sz="4" w:space="0" w:color="auto"/>
            </w:tcBorders>
            <w:noWrap/>
            <w:hideMark/>
          </w:tcPr>
          <w:p w14:paraId="116F1BB9" w14:textId="6415B8A6"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476B18D2"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56E6A4C7" w14:textId="6209D449"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LRTP</w:t>
            </w:r>
          </w:p>
        </w:tc>
        <w:tc>
          <w:tcPr>
            <w:tcW w:w="0" w:type="dxa"/>
            <w:tcBorders>
              <w:bottom w:val="single" w:sz="4" w:space="0" w:color="auto"/>
            </w:tcBorders>
            <w:hideMark/>
          </w:tcPr>
          <w:p w14:paraId="694C4620"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Long-Range Transportation Plan</w:t>
            </w:r>
          </w:p>
        </w:tc>
        <w:tc>
          <w:tcPr>
            <w:tcW w:w="0" w:type="dxa"/>
            <w:tcBorders>
              <w:bottom w:val="single" w:sz="4" w:space="0" w:color="auto"/>
            </w:tcBorders>
            <w:noWrap/>
            <w:hideMark/>
          </w:tcPr>
          <w:p w14:paraId="2E2B1FAE" w14:textId="69114A1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4E9EC52E"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shd w:val="clear" w:color="auto" w:fill="auto"/>
            <w:noWrap/>
          </w:tcPr>
          <w:p w14:paraId="267C13E2" w14:textId="77777777" w:rsidR="00847C1F" w:rsidRPr="00777B8C" w:rsidRDefault="00847C1F" w:rsidP="00847C1F">
            <w:pPr>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tcPr>
          <w:p w14:paraId="01138638"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noWrap/>
          </w:tcPr>
          <w:p w14:paraId="6510BFE6"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847C1F" w:rsidRPr="00777B8C" w14:paraId="03064771"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right w:val="single" w:sz="4" w:space="0" w:color="FFFFFF" w:themeColor="background1"/>
            </w:tcBorders>
            <w:shd w:val="clear" w:color="auto" w:fill="002060"/>
            <w:noWrap/>
          </w:tcPr>
          <w:p w14:paraId="3980A744" w14:textId="59FDA2F5"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right w:val="single" w:sz="4" w:space="0" w:color="FFFFFF" w:themeColor="background1"/>
            </w:tcBorders>
            <w:shd w:val="clear" w:color="auto" w:fill="002060"/>
          </w:tcPr>
          <w:p w14:paraId="179DBE29" w14:textId="25916F83"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tcBorders>
            <w:shd w:val="clear" w:color="auto" w:fill="002060"/>
            <w:noWrap/>
          </w:tcPr>
          <w:p w14:paraId="1994F84C" w14:textId="08F5D51E"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4889D7CB"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2A41C7C" w14:textId="0052D77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MAG</w:t>
            </w:r>
          </w:p>
        </w:tc>
        <w:tc>
          <w:tcPr>
            <w:tcW w:w="1676" w:type="dxa"/>
            <w:hideMark/>
          </w:tcPr>
          <w:p w14:paraId="1CE5A5FA"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Maricopa Association of Governments</w:t>
            </w:r>
          </w:p>
        </w:tc>
        <w:tc>
          <w:tcPr>
            <w:tcW w:w="1210" w:type="dxa"/>
            <w:noWrap/>
            <w:hideMark/>
          </w:tcPr>
          <w:p w14:paraId="311D3513" w14:textId="60EF9C0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586BF22E"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B2861EE" w14:textId="0E85EB4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MAP</w:t>
            </w:r>
          </w:p>
        </w:tc>
        <w:tc>
          <w:tcPr>
            <w:tcW w:w="1676" w:type="dxa"/>
            <w:hideMark/>
          </w:tcPr>
          <w:p w14:paraId="0741E9D7"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Military Airport Program, FAA</w:t>
            </w:r>
          </w:p>
        </w:tc>
        <w:tc>
          <w:tcPr>
            <w:tcW w:w="1210" w:type="dxa"/>
            <w:noWrap/>
            <w:hideMark/>
          </w:tcPr>
          <w:p w14:paraId="06B492AF" w14:textId="60C07F53"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32288C54"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4036A7CD" w14:textId="1DA5C51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MAP-21</w:t>
            </w:r>
          </w:p>
        </w:tc>
        <w:tc>
          <w:tcPr>
            <w:tcW w:w="1676" w:type="dxa"/>
            <w:tcBorders>
              <w:bottom w:val="single" w:sz="4" w:space="0" w:color="auto"/>
            </w:tcBorders>
            <w:hideMark/>
          </w:tcPr>
          <w:p w14:paraId="0BD03C31"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Moving Ahead for Progress in the 21st Century Act</w:t>
            </w:r>
          </w:p>
        </w:tc>
        <w:tc>
          <w:tcPr>
            <w:tcW w:w="1210" w:type="dxa"/>
            <w:tcBorders>
              <w:bottom w:val="single" w:sz="4" w:space="0" w:color="auto"/>
            </w:tcBorders>
            <w:noWrap/>
            <w:hideMark/>
          </w:tcPr>
          <w:p w14:paraId="4EA1D9AC" w14:textId="45D40D62"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847C1F" w:rsidRPr="00777B8C" w14:paraId="6952C2D0"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589C3B1F" w14:textId="44D6239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MMI</w:t>
            </w:r>
          </w:p>
        </w:tc>
        <w:tc>
          <w:tcPr>
            <w:tcW w:w="1676" w:type="dxa"/>
            <w:tcBorders>
              <w:bottom w:val="single" w:sz="4" w:space="0" w:color="auto"/>
            </w:tcBorders>
            <w:hideMark/>
          </w:tcPr>
          <w:p w14:paraId="7C94EE79"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Multimodal Infrastructure</w:t>
            </w:r>
          </w:p>
        </w:tc>
        <w:tc>
          <w:tcPr>
            <w:tcW w:w="1210" w:type="dxa"/>
            <w:tcBorders>
              <w:bottom w:val="single" w:sz="4" w:space="0" w:color="auto"/>
            </w:tcBorders>
            <w:noWrap/>
            <w:hideMark/>
          </w:tcPr>
          <w:p w14:paraId="788D8C78" w14:textId="048B0CA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34AA5121"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2708A312" w14:textId="60BB656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MOA</w:t>
            </w:r>
          </w:p>
        </w:tc>
        <w:tc>
          <w:tcPr>
            <w:tcW w:w="1676" w:type="dxa"/>
            <w:tcBorders>
              <w:bottom w:val="single" w:sz="4" w:space="0" w:color="auto"/>
            </w:tcBorders>
            <w:hideMark/>
          </w:tcPr>
          <w:p w14:paraId="1164A689" w14:textId="037B9CB9"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Memorandum of Agreement</w:t>
            </w:r>
          </w:p>
        </w:tc>
        <w:tc>
          <w:tcPr>
            <w:tcW w:w="1210" w:type="dxa"/>
            <w:tcBorders>
              <w:bottom w:val="single" w:sz="4" w:space="0" w:color="auto"/>
            </w:tcBorders>
            <w:noWrap/>
            <w:hideMark/>
          </w:tcPr>
          <w:p w14:paraId="5D5583B3" w14:textId="0D90EF90"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847C1F" w:rsidRPr="00777B8C" w14:paraId="7098F140"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top w:val="single" w:sz="4" w:space="0" w:color="auto"/>
            </w:tcBorders>
            <w:noWrap/>
            <w:hideMark/>
          </w:tcPr>
          <w:p w14:paraId="04F7366F" w14:textId="3A6D4AC3"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MOU</w:t>
            </w:r>
          </w:p>
        </w:tc>
        <w:tc>
          <w:tcPr>
            <w:tcW w:w="1676" w:type="dxa"/>
            <w:tcBorders>
              <w:top w:val="single" w:sz="4" w:space="0" w:color="auto"/>
            </w:tcBorders>
            <w:hideMark/>
          </w:tcPr>
          <w:p w14:paraId="1AEFF2D4"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memorandum of understanding</w:t>
            </w:r>
          </w:p>
        </w:tc>
        <w:tc>
          <w:tcPr>
            <w:tcW w:w="1210" w:type="dxa"/>
            <w:tcBorders>
              <w:top w:val="single" w:sz="4" w:space="0" w:color="auto"/>
            </w:tcBorders>
            <w:noWrap/>
            <w:hideMark/>
          </w:tcPr>
          <w:p w14:paraId="024372D4" w14:textId="4A69549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17.4</w:t>
            </w:r>
          </w:p>
        </w:tc>
      </w:tr>
      <w:tr w:rsidR="00847C1F" w:rsidRPr="00777B8C" w14:paraId="1CB42E63"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3173165B" w14:textId="47DEC9CC" w:rsidR="00847C1F" w:rsidRPr="00777B8C" w:rsidRDefault="00847C1F" w:rsidP="00847C1F">
            <w:pPr>
              <w:rPr>
                <w:rFonts w:eastAsia="Times New Roman" w:cstheme="minorHAnsi"/>
                <w:color w:val="000000"/>
                <w:sz w:val="18"/>
                <w:szCs w:val="18"/>
              </w:rPr>
            </w:pPr>
          </w:p>
        </w:tc>
        <w:tc>
          <w:tcPr>
            <w:tcW w:w="1676" w:type="dxa"/>
          </w:tcPr>
          <w:p w14:paraId="272D811E" w14:textId="37BC6700"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1210" w:type="dxa"/>
            <w:noWrap/>
          </w:tcPr>
          <w:p w14:paraId="17BF307F" w14:textId="5D30FC30"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847C1F" w:rsidRPr="00777B8C" w14:paraId="473CA1B1"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366C13F9" w14:textId="6FFB3C7E"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MOVES</w:t>
            </w:r>
          </w:p>
        </w:tc>
        <w:tc>
          <w:tcPr>
            <w:tcW w:w="1676" w:type="dxa"/>
            <w:hideMark/>
          </w:tcPr>
          <w:p w14:paraId="6B46FB44"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Motor Vehicle Emission Simulator</w:t>
            </w:r>
          </w:p>
        </w:tc>
        <w:tc>
          <w:tcPr>
            <w:tcW w:w="1210" w:type="dxa"/>
            <w:noWrap/>
            <w:hideMark/>
          </w:tcPr>
          <w:p w14:paraId="1D22484E" w14:textId="218DE4AE"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w:t>
            </w:r>
          </w:p>
        </w:tc>
      </w:tr>
      <w:tr w:rsidR="00847C1F" w:rsidRPr="00777B8C" w14:paraId="167BAB21"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C13D678" w14:textId="6F0786E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MPA</w:t>
            </w:r>
          </w:p>
        </w:tc>
        <w:tc>
          <w:tcPr>
            <w:tcW w:w="1676" w:type="dxa"/>
            <w:hideMark/>
          </w:tcPr>
          <w:p w14:paraId="2017AB43"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Metropolitan Planning Area</w:t>
            </w:r>
          </w:p>
        </w:tc>
        <w:tc>
          <w:tcPr>
            <w:tcW w:w="1210" w:type="dxa"/>
            <w:noWrap/>
            <w:hideMark/>
          </w:tcPr>
          <w:p w14:paraId="4711F1F2" w14:textId="68E15CE8"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847C1F" w:rsidRPr="00777B8C" w14:paraId="2EC2921C"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160DF24" w14:textId="4C6B341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MPD</w:t>
            </w:r>
          </w:p>
        </w:tc>
        <w:tc>
          <w:tcPr>
            <w:tcW w:w="1676" w:type="dxa"/>
            <w:hideMark/>
          </w:tcPr>
          <w:p w14:paraId="1C5D2CDD"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Multimodal Planning Division</w:t>
            </w:r>
          </w:p>
        </w:tc>
        <w:tc>
          <w:tcPr>
            <w:tcW w:w="1210" w:type="dxa"/>
            <w:noWrap/>
            <w:hideMark/>
          </w:tcPr>
          <w:p w14:paraId="3D8EEA62" w14:textId="1C09AE1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1FD33C89"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96C1436" w14:textId="000CFF3F"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MPO</w:t>
            </w:r>
          </w:p>
        </w:tc>
        <w:tc>
          <w:tcPr>
            <w:tcW w:w="1676" w:type="dxa"/>
            <w:hideMark/>
          </w:tcPr>
          <w:p w14:paraId="425045DE"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Metropolitan Planning Organization</w:t>
            </w:r>
          </w:p>
        </w:tc>
        <w:tc>
          <w:tcPr>
            <w:tcW w:w="1210" w:type="dxa"/>
            <w:noWrap/>
            <w:hideMark/>
          </w:tcPr>
          <w:p w14:paraId="1C951F01" w14:textId="2CD3B0EF"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63640432"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F161979" w14:textId="1530C93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MSA</w:t>
            </w:r>
          </w:p>
        </w:tc>
        <w:tc>
          <w:tcPr>
            <w:tcW w:w="1676" w:type="dxa"/>
            <w:hideMark/>
          </w:tcPr>
          <w:p w14:paraId="7DDC0A93"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Metropolitan Statistical Area</w:t>
            </w:r>
          </w:p>
        </w:tc>
        <w:tc>
          <w:tcPr>
            <w:tcW w:w="1210" w:type="dxa"/>
            <w:noWrap/>
            <w:hideMark/>
          </w:tcPr>
          <w:p w14:paraId="7D8E9E83" w14:textId="5E3A4A2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847C1F" w:rsidRPr="00777B8C" w14:paraId="302546EC"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0F01CEB4" w14:textId="2EB1D78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MTIP</w:t>
            </w:r>
          </w:p>
        </w:tc>
        <w:tc>
          <w:tcPr>
            <w:tcW w:w="0" w:type="dxa"/>
            <w:tcBorders>
              <w:bottom w:val="single" w:sz="4" w:space="0" w:color="auto"/>
            </w:tcBorders>
            <w:hideMark/>
          </w:tcPr>
          <w:p w14:paraId="53638F61"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Metropolitan Transportation Improvement Program</w:t>
            </w:r>
          </w:p>
        </w:tc>
        <w:tc>
          <w:tcPr>
            <w:tcW w:w="0" w:type="dxa"/>
            <w:tcBorders>
              <w:bottom w:val="single" w:sz="4" w:space="0" w:color="auto"/>
            </w:tcBorders>
            <w:noWrap/>
            <w:hideMark/>
          </w:tcPr>
          <w:p w14:paraId="2D805AB9" w14:textId="18100476"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 (in table)</w:t>
            </w:r>
          </w:p>
        </w:tc>
      </w:tr>
      <w:tr w:rsidR="00847C1F" w:rsidRPr="00777B8C" w14:paraId="136566ED"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74D644A8" w14:textId="5261394E"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5B14C476" w14:textId="606FFFE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46C1C9BE" w14:textId="2BE6DAB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5ABE89B8"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11E8BCD" w14:textId="4CEB47B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MTP</w:t>
            </w:r>
          </w:p>
        </w:tc>
        <w:tc>
          <w:tcPr>
            <w:tcW w:w="1676" w:type="dxa"/>
            <w:hideMark/>
          </w:tcPr>
          <w:p w14:paraId="2BE5F690"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Metropolitan Transportation Plan</w:t>
            </w:r>
          </w:p>
        </w:tc>
        <w:tc>
          <w:tcPr>
            <w:tcW w:w="1210" w:type="dxa"/>
            <w:noWrap/>
            <w:hideMark/>
          </w:tcPr>
          <w:p w14:paraId="3030C9E8" w14:textId="6F866E88"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7DFBC1EA"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5AB639C6" w14:textId="2FE150DE"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NAAQS</w:t>
            </w:r>
          </w:p>
        </w:tc>
        <w:tc>
          <w:tcPr>
            <w:tcW w:w="1676" w:type="dxa"/>
            <w:hideMark/>
          </w:tcPr>
          <w:p w14:paraId="1BD34A48"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Ambient Air Quality Standards</w:t>
            </w:r>
          </w:p>
        </w:tc>
        <w:tc>
          <w:tcPr>
            <w:tcW w:w="1210" w:type="dxa"/>
            <w:noWrap/>
            <w:hideMark/>
          </w:tcPr>
          <w:p w14:paraId="13D56E79" w14:textId="57BC38FE"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5</w:t>
            </w:r>
          </w:p>
        </w:tc>
      </w:tr>
      <w:tr w:rsidR="00847C1F" w:rsidRPr="00777B8C" w14:paraId="7B9A9F58"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3E4B236C" w14:textId="5CE1092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NACOG</w:t>
            </w:r>
          </w:p>
        </w:tc>
        <w:tc>
          <w:tcPr>
            <w:tcW w:w="1676" w:type="dxa"/>
            <w:tcBorders>
              <w:bottom w:val="single" w:sz="4" w:space="0" w:color="auto"/>
            </w:tcBorders>
            <w:hideMark/>
          </w:tcPr>
          <w:p w14:paraId="639AB1FC"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Northern Arizona Council of Governments</w:t>
            </w:r>
          </w:p>
        </w:tc>
        <w:tc>
          <w:tcPr>
            <w:tcW w:w="1210" w:type="dxa"/>
            <w:tcBorders>
              <w:bottom w:val="single" w:sz="4" w:space="0" w:color="auto"/>
            </w:tcBorders>
            <w:noWrap/>
            <w:hideMark/>
          </w:tcPr>
          <w:p w14:paraId="40AB02E3" w14:textId="6BB976C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2CA3FCEF"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75DFEDD9" w14:textId="4379F3D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NAGPRA</w:t>
            </w:r>
          </w:p>
        </w:tc>
        <w:tc>
          <w:tcPr>
            <w:tcW w:w="1676" w:type="dxa"/>
            <w:tcBorders>
              <w:bottom w:val="single" w:sz="4" w:space="0" w:color="auto"/>
            </w:tcBorders>
            <w:hideMark/>
          </w:tcPr>
          <w:p w14:paraId="2AB499D7"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Native American Graves Protection and Repatriation Act</w:t>
            </w:r>
          </w:p>
        </w:tc>
        <w:tc>
          <w:tcPr>
            <w:tcW w:w="1210" w:type="dxa"/>
            <w:tcBorders>
              <w:bottom w:val="single" w:sz="4" w:space="0" w:color="auto"/>
            </w:tcBorders>
            <w:noWrap/>
            <w:hideMark/>
          </w:tcPr>
          <w:p w14:paraId="6D7E9842" w14:textId="421DB88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17.6 (in table)</w:t>
            </w:r>
          </w:p>
        </w:tc>
      </w:tr>
      <w:tr w:rsidR="00847C1F" w:rsidRPr="00777B8C" w14:paraId="40FFA1CA"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top w:val="single" w:sz="4" w:space="0" w:color="auto"/>
            </w:tcBorders>
            <w:noWrap/>
            <w:hideMark/>
          </w:tcPr>
          <w:p w14:paraId="2A2B3877" w14:textId="68ED125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NEPA</w:t>
            </w:r>
          </w:p>
        </w:tc>
        <w:tc>
          <w:tcPr>
            <w:tcW w:w="1676" w:type="dxa"/>
            <w:tcBorders>
              <w:top w:val="single" w:sz="4" w:space="0" w:color="auto"/>
            </w:tcBorders>
            <w:hideMark/>
          </w:tcPr>
          <w:p w14:paraId="5721E653"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Environmental Policy Act of 1969</w:t>
            </w:r>
          </w:p>
        </w:tc>
        <w:tc>
          <w:tcPr>
            <w:tcW w:w="1210" w:type="dxa"/>
            <w:tcBorders>
              <w:top w:val="single" w:sz="4" w:space="0" w:color="auto"/>
            </w:tcBorders>
            <w:noWrap/>
            <w:hideMark/>
          </w:tcPr>
          <w:p w14:paraId="4A8DE7BA" w14:textId="2BEA1AD9"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3DD25582"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9EE8658" w14:textId="26789B4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NHPP</w:t>
            </w:r>
          </w:p>
        </w:tc>
        <w:tc>
          <w:tcPr>
            <w:tcW w:w="1676" w:type="dxa"/>
            <w:hideMark/>
          </w:tcPr>
          <w:p w14:paraId="3EA4AE24"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Highway Performance Program</w:t>
            </w:r>
          </w:p>
        </w:tc>
        <w:tc>
          <w:tcPr>
            <w:tcW w:w="1210" w:type="dxa"/>
            <w:noWrap/>
            <w:hideMark/>
          </w:tcPr>
          <w:p w14:paraId="4EB9828E" w14:textId="786E2DC0"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0C57579D"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927207C" w14:textId="1C53EC9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NHPA</w:t>
            </w:r>
          </w:p>
        </w:tc>
        <w:tc>
          <w:tcPr>
            <w:tcW w:w="1676" w:type="dxa"/>
            <w:hideMark/>
          </w:tcPr>
          <w:p w14:paraId="7D162117"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Historic Preservation Act</w:t>
            </w:r>
          </w:p>
        </w:tc>
        <w:tc>
          <w:tcPr>
            <w:tcW w:w="1210" w:type="dxa"/>
            <w:noWrap/>
            <w:hideMark/>
          </w:tcPr>
          <w:p w14:paraId="55006CB6" w14:textId="6F41FA08"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17.6 (in table)</w:t>
            </w:r>
          </w:p>
        </w:tc>
      </w:tr>
      <w:tr w:rsidR="00847C1F" w:rsidRPr="00777B8C" w14:paraId="4A552977"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0DC8DF2E" w14:textId="6C05EFF8"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NHS</w:t>
            </w:r>
          </w:p>
        </w:tc>
        <w:tc>
          <w:tcPr>
            <w:tcW w:w="1676" w:type="dxa"/>
            <w:hideMark/>
          </w:tcPr>
          <w:p w14:paraId="6E26A393"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Highway System</w:t>
            </w:r>
          </w:p>
        </w:tc>
        <w:tc>
          <w:tcPr>
            <w:tcW w:w="1210" w:type="dxa"/>
            <w:noWrap/>
            <w:hideMark/>
          </w:tcPr>
          <w:p w14:paraId="5B5E43A0" w14:textId="4CE7BB1A"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6</w:t>
            </w:r>
          </w:p>
        </w:tc>
      </w:tr>
      <w:tr w:rsidR="00847C1F" w:rsidRPr="00777B8C" w14:paraId="11F4EFF9"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02499FD" w14:textId="23C9D2A4"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NHTSA</w:t>
            </w:r>
          </w:p>
        </w:tc>
        <w:tc>
          <w:tcPr>
            <w:tcW w:w="1676" w:type="dxa"/>
            <w:hideMark/>
          </w:tcPr>
          <w:p w14:paraId="57345DFE"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Highway Traffic Safety Administration</w:t>
            </w:r>
          </w:p>
        </w:tc>
        <w:tc>
          <w:tcPr>
            <w:tcW w:w="1210" w:type="dxa"/>
            <w:noWrap/>
            <w:hideMark/>
          </w:tcPr>
          <w:p w14:paraId="0F06C65F" w14:textId="6F8A9C6F"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17.12</w:t>
            </w:r>
          </w:p>
        </w:tc>
      </w:tr>
      <w:tr w:rsidR="00847C1F" w:rsidRPr="00777B8C" w14:paraId="7B7B1DAD"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CA6E58A" w14:textId="066A4CC4"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NIPP</w:t>
            </w:r>
          </w:p>
        </w:tc>
        <w:tc>
          <w:tcPr>
            <w:tcW w:w="1676" w:type="dxa"/>
            <w:hideMark/>
          </w:tcPr>
          <w:p w14:paraId="29C0E747"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Infrastructure Protection Plan</w:t>
            </w:r>
          </w:p>
        </w:tc>
        <w:tc>
          <w:tcPr>
            <w:tcW w:w="1210" w:type="dxa"/>
            <w:noWrap/>
            <w:hideMark/>
          </w:tcPr>
          <w:p w14:paraId="68756A47" w14:textId="648FE06A"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3210F4D1"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3D2E67AA" w14:textId="6B3BBF3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NOFA</w:t>
            </w:r>
          </w:p>
        </w:tc>
        <w:tc>
          <w:tcPr>
            <w:tcW w:w="1676" w:type="dxa"/>
            <w:hideMark/>
          </w:tcPr>
          <w:p w14:paraId="384BBB4D"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Notice of Funding Availability</w:t>
            </w:r>
          </w:p>
        </w:tc>
        <w:tc>
          <w:tcPr>
            <w:tcW w:w="1210" w:type="dxa"/>
            <w:noWrap/>
            <w:hideMark/>
          </w:tcPr>
          <w:p w14:paraId="4C5D4AF2" w14:textId="0D20591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14</w:t>
            </w:r>
          </w:p>
        </w:tc>
      </w:tr>
      <w:tr w:rsidR="00847C1F" w:rsidRPr="00777B8C" w14:paraId="0000EE65"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4F8CB3AB" w14:textId="7311F07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NOx</w:t>
            </w:r>
          </w:p>
        </w:tc>
        <w:tc>
          <w:tcPr>
            <w:tcW w:w="0" w:type="dxa"/>
            <w:tcBorders>
              <w:bottom w:val="single" w:sz="4" w:space="0" w:color="auto"/>
            </w:tcBorders>
            <w:hideMark/>
          </w:tcPr>
          <w:p w14:paraId="63D5745F"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nitrogen dioxide</w:t>
            </w:r>
          </w:p>
        </w:tc>
        <w:tc>
          <w:tcPr>
            <w:tcW w:w="0" w:type="dxa"/>
            <w:tcBorders>
              <w:bottom w:val="single" w:sz="4" w:space="0" w:color="auto"/>
            </w:tcBorders>
            <w:noWrap/>
            <w:hideMark/>
          </w:tcPr>
          <w:p w14:paraId="0EDE44C5" w14:textId="54B09294"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 (in table)</w:t>
            </w:r>
          </w:p>
        </w:tc>
      </w:tr>
      <w:tr w:rsidR="00847C1F" w:rsidRPr="00777B8C" w14:paraId="3E345200"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74E77757" w14:textId="2795DFEB"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6EDA3F8F" w14:textId="3E2EB599"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45C55400" w14:textId="321D42B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28B54E87"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3EC64E57" w14:textId="5979C12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NPIAS</w:t>
            </w:r>
          </w:p>
        </w:tc>
        <w:tc>
          <w:tcPr>
            <w:tcW w:w="1676" w:type="dxa"/>
            <w:hideMark/>
          </w:tcPr>
          <w:p w14:paraId="58B83B8B"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National Plan of Integrated Airport Systems</w:t>
            </w:r>
          </w:p>
        </w:tc>
        <w:tc>
          <w:tcPr>
            <w:tcW w:w="1210" w:type="dxa"/>
            <w:noWrap/>
            <w:hideMark/>
          </w:tcPr>
          <w:p w14:paraId="2ED12641" w14:textId="14FE3473"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 (in table)</w:t>
            </w:r>
          </w:p>
        </w:tc>
      </w:tr>
      <w:tr w:rsidR="00847C1F" w:rsidRPr="00777B8C" w14:paraId="347C5F7D"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E924C63" w14:textId="079B07CE"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OIG</w:t>
            </w:r>
          </w:p>
        </w:tc>
        <w:tc>
          <w:tcPr>
            <w:tcW w:w="1676" w:type="dxa"/>
            <w:hideMark/>
          </w:tcPr>
          <w:p w14:paraId="5D894668"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Office of the Inspector General</w:t>
            </w:r>
          </w:p>
        </w:tc>
        <w:tc>
          <w:tcPr>
            <w:tcW w:w="1210" w:type="dxa"/>
            <w:noWrap/>
            <w:hideMark/>
          </w:tcPr>
          <w:p w14:paraId="765EF8D1" w14:textId="55269013"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9</w:t>
            </w:r>
          </w:p>
        </w:tc>
      </w:tr>
      <w:tr w:rsidR="00847C1F" w:rsidRPr="00777B8C" w14:paraId="4B4F1472"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2268181A" w14:textId="23725D2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OMB</w:t>
            </w:r>
          </w:p>
        </w:tc>
        <w:tc>
          <w:tcPr>
            <w:tcW w:w="1676" w:type="dxa"/>
            <w:tcBorders>
              <w:bottom w:val="single" w:sz="4" w:space="0" w:color="auto"/>
            </w:tcBorders>
            <w:hideMark/>
          </w:tcPr>
          <w:p w14:paraId="0E71612F"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Office of Management and Budget</w:t>
            </w:r>
          </w:p>
        </w:tc>
        <w:tc>
          <w:tcPr>
            <w:tcW w:w="1210" w:type="dxa"/>
            <w:tcBorders>
              <w:bottom w:val="single" w:sz="4" w:space="0" w:color="auto"/>
            </w:tcBorders>
            <w:noWrap/>
            <w:hideMark/>
          </w:tcPr>
          <w:p w14:paraId="2EAA0358" w14:textId="175EECC0"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847C1F" w:rsidRPr="00777B8C" w14:paraId="5393F20A"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637E3914" w14:textId="1EF5B24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P3</w:t>
            </w:r>
          </w:p>
        </w:tc>
        <w:tc>
          <w:tcPr>
            <w:tcW w:w="1676" w:type="dxa"/>
            <w:tcBorders>
              <w:bottom w:val="single" w:sz="4" w:space="0" w:color="auto"/>
            </w:tcBorders>
            <w:hideMark/>
          </w:tcPr>
          <w:p w14:paraId="7C6092F9"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public private partnership</w:t>
            </w:r>
          </w:p>
        </w:tc>
        <w:tc>
          <w:tcPr>
            <w:tcW w:w="1210" w:type="dxa"/>
            <w:tcBorders>
              <w:bottom w:val="single" w:sz="4" w:space="0" w:color="auto"/>
            </w:tcBorders>
            <w:noWrap/>
            <w:hideMark/>
          </w:tcPr>
          <w:p w14:paraId="1FF34B14" w14:textId="18323A95"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63A65A3C"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6DB9572D" w14:textId="3092F61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PAC</w:t>
            </w:r>
          </w:p>
        </w:tc>
        <w:tc>
          <w:tcPr>
            <w:tcW w:w="1676" w:type="dxa"/>
            <w:tcBorders>
              <w:bottom w:val="single" w:sz="4" w:space="0" w:color="auto"/>
            </w:tcBorders>
            <w:hideMark/>
          </w:tcPr>
          <w:p w14:paraId="7A52489D"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Policy Advisory Committee</w:t>
            </w:r>
          </w:p>
        </w:tc>
        <w:tc>
          <w:tcPr>
            <w:tcW w:w="1210" w:type="dxa"/>
            <w:tcBorders>
              <w:bottom w:val="single" w:sz="4" w:space="0" w:color="auto"/>
            </w:tcBorders>
            <w:noWrap/>
            <w:hideMark/>
          </w:tcPr>
          <w:p w14:paraId="41B8A533" w14:textId="20E5190B"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0F99AE42"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FE09F49" w14:textId="6E2F3163"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PAG</w:t>
            </w:r>
          </w:p>
        </w:tc>
        <w:tc>
          <w:tcPr>
            <w:tcW w:w="1676" w:type="dxa"/>
            <w:hideMark/>
          </w:tcPr>
          <w:p w14:paraId="674BBE82"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Pima Association of Governments</w:t>
            </w:r>
          </w:p>
        </w:tc>
        <w:tc>
          <w:tcPr>
            <w:tcW w:w="1210" w:type="dxa"/>
            <w:noWrap/>
            <w:hideMark/>
          </w:tcPr>
          <w:p w14:paraId="5FD87F54" w14:textId="3AD89729"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136D3E77"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15BECD4E" w14:textId="0CF8711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PABs</w:t>
            </w:r>
          </w:p>
        </w:tc>
        <w:tc>
          <w:tcPr>
            <w:tcW w:w="1676" w:type="dxa"/>
            <w:hideMark/>
          </w:tcPr>
          <w:p w14:paraId="53D6ED12"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private activity bonds</w:t>
            </w:r>
          </w:p>
        </w:tc>
        <w:tc>
          <w:tcPr>
            <w:tcW w:w="1210" w:type="dxa"/>
            <w:noWrap/>
            <w:hideMark/>
          </w:tcPr>
          <w:p w14:paraId="7751AD2B" w14:textId="2171BC4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42771A7B"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10207D0" w14:textId="03338D0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PARA</w:t>
            </w:r>
          </w:p>
        </w:tc>
        <w:tc>
          <w:tcPr>
            <w:tcW w:w="1676" w:type="dxa"/>
            <w:hideMark/>
          </w:tcPr>
          <w:p w14:paraId="25F29353"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Planning Assistance for Rural Areas</w:t>
            </w:r>
          </w:p>
        </w:tc>
        <w:tc>
          <w:tcPr>
            <w:tcW w:w="1210" w:type="dxa"/>
            <w:noWrap/>
            <w:hideMark/>
          </w:tcPr>
          <w:p w14:paraId="660AAC0B" w14:textId="0C5F44D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4F88D812"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E3FBD84" w14:textId="538F441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PE</w:t>
            </w:r>
          </w:p>
        </w:tc>
        <w:tc>
          <w:tcPr>
            <w:tcW w:w="1676" w:type="dxa"/>
            <w:hideMark/>
          </w:tcPr>
          <w:p w14:paraId="1E56732E"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preliminary engineering</w:t>
            </w:r>
          </w:p>
        </w:tc>
        <w:tc>
          <w:tcPr>
            <w:tcW w:w="1210" w:type="dxa"/>
            <w:noWrap/>
            <w:hideMark/>
          </w:tcPr>
          <w:p w14:paraId="758D79DC" w14:textId="499AFFC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7</w:t>
            </w:r>
          </w:p>
        </w:tc>
      </w:tr>
      <w:tr w:rsidR="00847C1F" w:rsidRPr="00777B8C" w14:paraId="1A91FF8B"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FD5FAC9" w14:textId="78BBB2BE"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PEL</w:t>
            </w:r>
          </w:p>
        </w:tc>
        <w:tc>
          <w:tcPr>
            <w:tcW w:w="1676" w:type="dxa"/>
            <w:hideMark/>
          </w:tcPr>
          <w:p w14:paraId="5F02DF76"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Planning and Environmental Linkages</w:t>
            </w:r>
          </w:p>
        </w:tc>
        <w:tc>
          <w:tcPr>
            <w:tcW w:w="1210" w:type="dxa"/>
            <w:noWrap/>
            <w:hideMark/>
          </w:tcPr>
          <w:p w14:paraId="0C43A808" w14:textId="222638A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2387C1F3"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E0539A8" w14:textId="145F3F2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PGLs</w:t>
            </w:r>
          </w:p>
        </w:tc>
        <w:tc>
          <w:tcPr>
            <w:tcW w:w="1676" w:type="dxa"/>
            <w:hideMark/>
          </w:tcPr>
          <w:p w14:paraId="5981CAC8"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Planning Grant Program</w:t>
            </w:r>
          </w:p>
        </w:tc>
        <w:tc>
          <w:tcPr>
            <w:tcW w:w="1210" w:type="dxa"/>
            <w:noWrap/>
            <w:hideMark/>
          </w:tcPr>
          <w:p w14:paraId="634D3219" w14:textId="1AA4B5BB"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5EEC7592"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2A284B17" w14:textId="4668B0F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PL</w:t>
            </w:r>
          </w:p>
        </w:tc>
        <w:tc>
          <w:tcPr>
            <w:tcW w:w="0" w:type="dxa"/>
            <w:tcBorders>
              <w:bottom w:val="single" w:sz="4" w:space="0" w:color="auto"/>
            </w:tcBorders>
            <w:hideMark/>
          </w:tcPr>
          <w:p w14:paraId="66D57397"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Metropolitan Planning program</w:t>
            </w:r>
          </w:p>
        </w:tc>
        <w:tc>
          <w:tcPr>
            <w:tcW w:w="0" w:type="dxa"/>
            <w:tcBorders>
              <w:bottom w:val="single" w:sz="4" w:space="0" w:color="auto"/>
            </w:tcBorders>
            <w:noWrap/>
            <w:hideMark/>
          </w:tcPr>
          <w:p w14:paraId="25C05793" w14:textId="7A483988"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14</w:t>
            </w:r>
          </w:p>
        </w:tc>
      </w:tr>
      <w:tr w:rsidR="00847C1F" w:rsidRPr="00777B8C" w14:paraId="6E37CF79"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306753B5" w14:textId="6D2D5A39"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PM</w:t>
            </w:r>
          </w:p>
        </w:tc>
        <w:tc>
          <w:tcPr>
            <w:tcW w:w="0" w:type="dxa"/>
            <w:tcBorders>
              <w:bottom w:val="single" w:sz="4" w:space="0" w:color="auto"/>
            </w:tcBorders>
            <w:hideMark/>
          </w:tcPr>
          <w:p w14:paraId="07030F4A"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particulate matter</w:t>
            </w:r>
          </w:p>
        </w:tc>
        <w:tc>
          <w:tcPr>
            <w:tcW w:w="0" w:type="dxa"/>
            <w:tcBorders>
              <w:bottom w:val="single" w:sz="4" w:space="0" w:color="auto"/>
            </w:tcBorders>
            <w:noWrap/>
            <w:hideMark/>
          </w:tcPr>
          <w:p w14:paraId="1B6E36C4" w14:textId="47ECB29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w:t>
            </w:r>
          </w:p>
        </w:tc>
      </w:tr>
      <w:tr w:rsidR="00847C1F" w:rsidRPr="00777B8C" w14:paraId="571DCE8F"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shd w:val="clear" w:color="auto" w:fill="auto"/>
            <w:noWrap/>
          </w:tcPr>
          <w:p w14:paraId="778B4AF9" w14:textId="77777777" w:rsidR="00847C1F" w:rsidRPr="00777B8C" w:rsidRDefault="00847C1F" w:rsidP="00847C1F">
            <w:pPr>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tcPr>
          <w:p w14:paraId="35C82E77"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noWrap/>
          </w:tcPr>
          <w:p w14:paraId="5BAB5662"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847C1F" w:rsidRPr="00777B8C" w14:paraId="02CE6D9C"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right w:val="single" w:sz="4" w:space="0" w:color="FFFFFF" w:themeColor="background1"/>
            </w:tcBorders>
            <w:shd w:val="clear" w:color="auto" w:fill="002060"/>
            <w:noWrap/>
          </w:tcPr>
          <w:p w14:paraId="55C0A525" w14:textId="403584B1"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right w:val="single" w:sz="4" w:space="0" w:color="FFFFFF" w:themeColor="background1"/>
            </w:tcBorders>
            <w:shd w:val="clear" w:color="auto" w:fill="002060"/>
          </w:tcPr>
          <w:p w14:paraId="5A8C50A9" w14:textId="28529B5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tcBorders>
            <w:shd w:val="clear" w:color="auto" w:fill="002060"/>
            <w:noWrap/>
          </w:tcPr>
          <w:p w14:paraId="53FF4387" w14:textId="7D690018"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53249D2C"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E1F3FBA" w14:textId="65E3286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PMS</w:t>
            </w:r>
          </w:p>
        </w:tc>
        <w:tc>
          <w:tcPr>
            <w:tcW w:w="1676" w:type="dxa"/>
            <w:hideMark/>
          </w:tcPr>
          <w:p w14:paraId="3FDCBCA1"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pavement management system</w:t>
            </w:r>
          </w:p>
        </w:tc>
        <w:tc>
          <w:tcPr>
            <w:tcW w:w="1210" w:type="dxa"/>
            <w:noWrap/>
            <w:hideMark/>
          </w:tcPr>
          <w:p w14:paraId="123D4249" w14:textId="6106369C"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17.3 (in table)</w:t>
            </w:r>
          </w:p>
        </w:tc>
      </w:tr>
      <w:tr w:rsidR="00847C1F" w:rsidRPr="00777B8C" w14:paraId="1B41A3D3"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3EAE72BB" w14:textId="50DF589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POE</w:t>
            </w:r>
          </w:p>
        </w:tc>
        <w:tc>
          <w:tcPr>
            <w:tcW w:w="1676" w:type="dxa"/>
            <w:hideMark/>
          </w:tcPr>
          <w:p w14:paraId="4574504B"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port of entry</w:t>
            </w:r>
          </w:p>
        </w:tc>
        <w:tc>
          <w:tcPr>
            <w:tcW w:w="1210" w:type="dxa"/>
            <w:noWrap/>
            <w:hideMark/>
          </w:tcPr>
          <w:p w14:paraId="1A39175A" w14:textId="70AE6675"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600A6A05"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40369E1C" w14:textId="39748AB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POP</w:t>
            </w:r>
          </w:p>
        </w:tc>
        <w:tc>
          <w:tcPr>
            <w:tcW w:w="1676" w:type="dxa"/>
            <w:tcBorders>
              <w:bottom w:val="single" w:sz="4" w:space="0" w:color="auto"/>
            </w:tcBorders>
            <w:hideMark/>
          </w:tcPr>
          <w:p w14:paraId="0A5C6474"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Program of Projects</w:t>
            </w:r>
          </w:p>
        </w:tc>
        <w:tc>
          <w:tcPr>
            <w:tcW w:w="1210" w:type="dxa"/>
            <w:tcBorders>
              <w:bottom w:val="single" w:sz="4" w:space="0" w:color="auto"/>
            </w:tcBorders>
            <w:noWrap/>
            <w:hideMark/>
          </w:tcPr>
          <w:p w14:paraId="1586662C" w14:textId="77F21A88"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13</w:t>
            </w:r>
          </w:p>
        </w:tc>
      </w:tr>
      <w:tr w:rsidR="00847C1F" w:rsidRPr="00777B8C" w14:paraId="655FBE94"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0A9218F6" w14:textId="72F4072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PPAC</w:t>
            </w:r>
          </w:p>
        </w:tc>
        <w:tc>
          <w:tcPr>
            <w:tcW w:w="1676" w:type="dxa"/>
            <w:tcBorders>
              <w:bottom w:val="single" w:sz="4" w:space="0" w:color="auto"/>
            </w:tcBorders>
            <w:hideMark/>
          </w:tcPr>
          <w:p w14:paraId="21D4525C"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Priority Planning Advisory Committee</w:t>
            </w:r>
          </w:p>
        </w:tc>
        <w:tc>
          <w:tcPr>
            <w:tcW w:w="1210" w:type="dxa"/>
            <w:tcBorders>
              <w:bottom w:val="single" w:sz="4" w:space="0" w:color="auto"/>
            </w:tcBorders>
            <w:noWrap/>
            <w:hideMark/>
          </w:tcPr>
          <w:p w14:paraId="696867B7" w14:textId="7A72CE6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7C40F8F4"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51F3192" w14:textId="4008D64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PPP</w:t>
            </w:r>
          </w:p>
        </w:tc>
        <w:tc>
          <w:tcPr>
            <w:tcW w:w="1676" w:type="dxa"/>
            <w:hideMark/>
          </w:tcPr>
          <w:p w14:paraId="38BD86E8"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Priority Programming Process</w:t>
            </w:r>
          </w:p>
        </w:tc>
        <w:tc>
          <w:tcPr>
            <w:tcW w:w="1210" w:type="dxa"/>
            <w:noWrap/>
            <w:hideMark/>
          </w:tcPr>
          <w:p w14:paraId="59ED3617" w14:textId="59EDE61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46D9C51A"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639B985B" w14:textId="4095BF2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RASP</w:t>
            </w:r>
          </w:p>
        </w:tc>
        <w:tc>
          <w:tcPr>
            <w:tcW w:w="1676" w:type="dxa"/>
            <w:tcBorders>
              <w:bottom w:val="single" w:sz="4" w:space="0" w:color="auto"/>
            </w:tcBorders>
            <w:hideMark/>
          </w:tcPr>
          <w:p w14:paraId="6330D4AA"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Regional Aviation System Plan</w:t>
            </w:r>
          </w:p>
        </w:tc>
        <w:tc>
          <w:tcPr>
            <w:tcW w:w="1210" w:type="dxa"/>
            <w:tcBorders>
              <w:bottom w:val="single" w:sz="4" w:space="0" w:color="auto"/>
            </w:tcBorders>
            <w:noWrap/>
            <w:hideMark/>
          </w:tcPr>
          <w:p w14:paraId="635B7664" w14:textId="515A81D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0C6BD433"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B6B4A11" w14:textId="031DED04"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RIC</w:t>
            </w:r>
          </w:p>
        </w:tc>
        <w:tc>
          <w:tcPr>
            <w:tcW w:w="1676" w:type="dxa"/>
            <w:hideMark/>
          </w:tcPr>
          <w:p w14:paraId="4E053CED"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Recommended Investment Choice</w:t>
            </w:r>
          </w:p>
        </w:tc>
        <w:tc>
          <w:tcPr>
            <w:tcW w:w="1210" w:type="dxa"/>
            <w:noWrap/>
            <w:hideMark/>
          </w:tcPr>
          <w:p w14:paraId="39FF2644" w14:textId="6F07A2A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06EF39C8"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1FB865AC" w14:textId="3112BF79"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RIMS</w:t>
            </w:r>
          </w:p>
        </w:tc>
        <w:tc>
          <w:tcPr>
            <w:tcW w:w="1676" w:type="dxa"/>
            <w:hideMark/>
          </w:tcPr>
          <w:p w14:paraId="0021335B"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Roadway Inventory Management Section</w:t>
            </w:r>
          </w:p>
        </w:tc>
        <w:tc>
          <w:tcPr>
            <w:tcW w:w="1210" w:type="dxa"/>
            <w:noWrap/>
            <w:hideMark/>
          </w:tcPr>
          <w:p w14:paraId="14BBE28F" w14:textId="0B3F014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13A3B328"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3513074" w14:textId="46EDC9F5"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ROW</w:t>
            </w:r>
          </w:p>
        </w:tc>
        <w:tc>
          <w:tcPr>
            <w:tcW w:w="1676" w:type="dxa"/>
            <w:hideMark/>
          </w:tcPr>
          <w:p w14:paraId="7CBC93D9"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right-of-way</w:t>
            </w:r>
          </w:p>
        </w:tc>
        <w:tc>
          <w:tcPr>
            <w:tcW w:w="1210" w:type="dxa"/>
            <w:noWrap/>
            <w:hideMark/>
          </w:tcPr>
          <w:p w14:paraId="6980F77F" w14:textId="1C09CEC9"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33491206"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0A1CCE37" w14:textId="1544DD2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RTAP</w:t>
            </w:r>
          </w:p>
        </w:tc>
        <w:tc>
          <w:tcPr>
            <w:tcW w:w="1676" w:type="dxa"/>
            <w:hideMark/>
          </w:tcPr>
          <w:p w14:paraId="0E1FCECD"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Rural Transit Assistance Program</w:t>
            </w:r>
          </w:p>
        </w:tc>
        <w:tc>
          <w:tcPr>
            <w:tcW w:w="1210" w:type="dxa"/>
            <w:noWrap/>
            <w:hideMark/>
          </w:tcPr>
          <w:p w14:paraId="754D5880" w14:textId="65C0F35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14 (in table)</w:t>
            </w:r>
          </w:p>
        </w:tc>
      </w:tr>
      <w:tr w:rsidR="00847C1F" w:rsidRPr="00777B8C" w14:paraId="5C037202"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15453CD6" w14:textId="615A4A2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RTP</w:t>
            </w:r>
          </w:p>
        </w:tc>
        <w:tc>
          <w:tcPr>
            <w:tcW w:w="0" w:type="dxa"/>
            <w:tcBorders>
              <w:bottom w:val="single" w:sz="4" w:space="0" w:color="auto"/>
            </w:tcBorders>
            <w:hideMark/>
          </w:tcPr>
          <w:p w14:paraId="1C3B8A41"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Regional Transportation Plan</w:t>
            </w:r>
          </w:p>
        </w:tc>
        <w:tc>
          <w:tcPr>
            <w:tcW w:w="0" w:type="dxa"/>
            <w:tcBorders>
              <w:bottom w:val="single" w:sz="4" w:space="0" w:color="auto"/>
            </w:tcBorders>
            <w:noWrap/>
            <w:hideMark/>
          </w:tcPr>
          <w:p w14:paraId="33338F0B" w14:textId="7A8F1985"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847C1F" w:rsidRPr="00777B8C" w14:paraId="2F2FE85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0B39AED7" w14:textId="4314505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RTPO</w:t>
            </w:r>
          </w:p>
        </w:tc>
        <w:tc>
          <w:tcPr>
            <w:tcW w:w="0" w:type="dxa"/>
            <w:tcBorders>
              <w:bottom w:val="single" w:sz="4" w:space="0" w:color="auto"/>
            </w:tcBorders>
            <w:hideMark/>
          </w:tcPr>
          <w:p w14:paraId="3EF5281A"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Regional Transportation Planning Organization</w:t>
            </w:r>
          </w:p>
        </w:tc>
        <w:tc>
          <w:tcPr>
            <w:tcW w:w="0" w:type="dxa"/>
            <w:tcBorders>
              <w:bottom w:val="single" w:sz="4" w:space="0" w:color="auto"/>
            </w:tcBorders>
            <w:noWrap/>
            <w:hideMark/>
          </w:tcPr>
          <w:p w14:paraId="5E10378C" w14:textId="04F5EAC4"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71BB0B6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shd w:val="clear" w:color="auto" w:fill="auto"/>
            <w:noWrap/>
          </w:tcPr>
          <w:p w14:paraId="22E93A0F" w14:textId="77777777" w:rsidR="00847C1F" w:rsidRPr="00777B8C" w:rsidRDefault="00847C1F" w:rsidP="00847C1F">
            <w:pPr>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tcPr>
          <w:p w14:paraId="68652631"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noWrap/>
          </w:tcPr>
          <w:p w14:paraId="0B77105A"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847C1F" w:rsidRPr="00777B8C" w14:paraId="1BA30C17"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right w:val="single" w:sz="4" w:space="0" w:color="FFFFFF" w:themeColor="background1"/>
            </w:tcBorders>
            <w:shd w:val="clear" w:color="auto" w:fill="002060"/>
            <w:noWrap/>
          </w:tcPr>
          <w:p w14:paraId="6643270C" w14:textId="491FB7D9"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right w:val="single" w:sz="4" w:space="0" w:color="FFFFFF" w:themeColor="background1"/>
            </w:tcBorders>
            <w:shd w:val="clear" w:color="auto" w:fill="002060"/>
          </w:tcPr>
          <w:p w14:paraId="393DEFEB" w14:textId="3C246572"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tcBorders>
            <w:shd w:val="clear" w:color="auto" w:fill="002060"/>
            <w:noWrap/>
          </w:tcPr>
          <w:p w14:paraId="1829EE2E" w14:textId="544DD63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7F82AD3B"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5BF18D26" w14:textId="658A48A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SAFETEA-LU</w:t>
            </w:r>
          </w:p>
        </w:tc>
        <w:tc>
          <w:tcPr>
            <w:tcW w:w="1676" w:type="dxa"/>
            <w:hideMark/>
          </w:tcPr>
          <w:p w14:paraId="5CC0DD72"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Safe, Accountable, Flexible, Efficient Transportation Equity Act: A Legacy for Users</w:t>
            </w:r>
          </w:p>
        </w:tc>
        <w:tc>
          <w:tcPr>
            <w:tcW w:w="1210" w:type="dxa"/>
            <w:noWrap/>
            <w:hideMark/>
          </w:tcPr>
          <w:p w14:paraId="6DFC34CE" w14:textId="08F6C21C"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847C1F" w:rsidRPr="00777B8C" w14:paraId="12402961"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533CADF0" w14:textId="0303907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SALEO</w:t>
            </w:r>
          </w:p>
        </w:tc>
        <w:tc>
          <w:tcPr>
            <w:tcW w:w="1676" w:type="dxa"/>
            <w:hideMark/>
          </w:tcPr>
          <w:p w14:paraId="59E9B39E"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Southern Arizona Logistics Education Organization</w:t>
            </w:r>
          </w:p>
        </w:tc>
        <w:tc>
          <w:tcPr>
            <w:tcW w:w="1210" w:type="dxa"/>
            <w:noWrap/>
            <w:hideMark/>
          </w:tcPr>
          <w:p w14:paraId="759C8FA8" w14:textId="6B1F4785"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4519B6E7"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2801FC4" w14:textId="0514C123"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SANS</w:t>
            </w:r>
          </w:p>
        </w:tc>
        <w:tc>
          <w:tcPr>
            <w:tcW w:w="1676" w:type="dxa"/>
            <w:hideMark/>
          </w:tcPr>
          <w:p w14:paraId="484F7E84"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Aviation Needs Study</w:t>
            </w:r>
          </w:p>
        </w:tc>
        <w:tc>
          <w:tcPr>
            <w:tcW w:w="1210" w:type="dxa"/>
            <w:noWrap/>
            <w:hideMark/>
          </w:tcPr>
          <w:p w14:paraId="2CB55F67" w14:textId="557FB69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63C2DA6A"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068A9683" w14:textId="0587C5C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SASP</w:t>
            </w:r>
          </w:p>
        </w:tc>
        <w:tc>
          <w:tcPr>
            <w:tcW w:w="1676" w:type="dxa"/>
            <w:tcBorders>
              <w:bottom w:val="single" w:sz="4" w:space="0" w:color="auto"/>
            </w:tcBorders>
            <w:hideMark/>
          </w:tcPr>
          <w:p w14:paraId="0DBCC3DC"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Airports System Plan</w:t>
            </w:r>
          </w:p>
        </w:tc>
        <w:tc>
          <w:tcPr>
            <w:tcW w:w="1210" w:type="dxa"/>
            <w:tcBorders>
              <w:bottom w:val="single" w:sz="4" w:space="0" w:color="auto"/>
            </w:tcBorders>
            <w:noWrap/>
            <w:hideMark/>
          </w:tcPr>
          <w:p w14:paraId="1DB27F1A" w14:textId="05780224"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0922158E"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54209C5" w14:textId="2CD00988"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SCT</w:t>
            </w:r>
          </w:p>
        </w:tc>
        <w:tc>
          <w:tcPr>
            <w:tcW w:w="1676" w:type="dxa"/>
            <w:hideMark/>
          </w:tcPr>
          <w:p w14:paraId="117DAEAC"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Secretaría de Comunicaciones y Transportes</w:t>
            </w:r>
          </w:p>
        </w:tc>
        <w:tc>
          <w:tcPr>
            <w:tcW w:w="1210" w:type="dxa"/>
            <w:noWrap/>
            <w:hideMark/>
          </w:tcPr>
          <w:p w14:paraId="1DA2C9BD" w14:textId="0D272869"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1ECF6B91"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7BA19D68" w14:textId="0EA047B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SEAGO</w:t>
            </w:r>
          </w:p>
        </w:tc>
        <w:tc>
          <w:tcPr>
            <w:tcW w:w="1676" w:type="dxa"/>
            <w:tcBorders>
              <w:bottom w:val="single" w:sz="4" w:space="0" w:color="auto"/>
            </w:tcBorders>
            <w:hideMark/>
          </w:tcPr>
          <w:p w14:paraId="0220A129"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Southeastern Arizona Governments Organization</w:t>
            </w:r>
          </w:p>
        </w:tc>
        <w:tc>
          <w:tcPr>
            <w:tcW w:w="1210" w:type="dxa"/>
            <w:tcBorders>
              <w:bottom w:val="single" w:sz="4" w:space="0" w:color="auto"/>
            </w:tcBorders>
            <w:noWrap/>
            <w:hideMark/>
          </w:tcPr>
          <w:p w14:paraId="38D35778" w14:textId="5407FD9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30F94196"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165E6368" w14:textId="569F3CA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SGR</w:t>
            </w:r>
          </w:p>
        </w:tc>
        <w:tc>
          <w:tcPr>
            <w:tcW w:w="1676" w:type="dxa"/>
            <w:hideMark/>
          </w:tcPr>
          <w:p w14:paraId="3E185C6E"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of Good Repair</w:t>
            </w:r>
          </w:p>
        </w:tc>
        <w:tc>
          <w:tcPr>
            <w:tcW w:w="1210" w:type="dxa"/>
            <w:noWrap/>
            <w:hideMark/>
          </w:tcPr>
          <w:p w14:paraId="479EC506" w14:textId="620584F4"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6</w:t>
            </w:r>
          </w:p>
        </w:tc>
      </w:tr>
      <w:tr w:rsidR="00847C1F" w:rsidRPr="00777B8C" w14:paraId="312B28C5"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555D921" w14:textId="34FB0B6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SHS</w:t>
            </w:r>
          </w:p>
        </w:tc>
        <w:tc>
          <w:tcPr>
            <w:tcW w:w="1676" w:type="dxa"/>
            <w:hideMark/>
          </w:tcPr>
          <w:p w14:paraId="2977A553"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Highway System</w:t>
            </w:r>
          </w:p>
        </w:tc>
        <w:tc>
          <w:tcPr>
            <w:tcW w:w="1210" w:type="dxa"/>
            <w:noWrap/>
            <w:hideMark/>
          </w:tcPr>
          <w:p w14:paraId="6E0E2EED" w14:textId="38A2878E"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457B566B"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5FC7CBFB" w14:textId="11E6BABC" w:rsidR="00847C1F" w:rsidRPr="00777B8C" w:rsidRDefault="00847C1F" w:rsidP="00847C1F">
            <w:pPr>
              <w:rPr>
                <w:rFonts w:eastAsia="Times New Roman" w:cstheme="minorHAnsi"/>
                <w:color w:val="000000"/>
                <w:sz w:val="18"/>
                <w:szCs w:val="18"/>
              </w:rPr>
            </w:pPr>
            <w:r>
              <w:rPr>
                <w:rFonts w:eastAsia="Times New Roman" w:cstheme="minorHAnsi"/>
                <w:color w:val="000000"/>
                <w:sz w:val="18"/>
                <w:szCs w:val="18"/>
              </w:rPr>
              <w:t>SIBs</w:t>
            </w:r>
          </w:p>
        </w:tc>
        <w:tc>
          <w:tcPr>
            <w:tcW w:w="1676" w:type="dxa"/>
            <w:hideMark/>
          </w:tcPr>
          <w:p w14:paraId="0EE941CA" w14:textId="1C19B19E"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State Infrastructure Banks</w:t>
            </w:r>
          </w:p>
        </w:tc>
        <w:tc>
          <w:tcPr>
            <w:tcW w:w="1210" w:type="dxa"/>
            <w:noWrap/>
            <w:hideMark/>
          </w:tcPr>
          <w:p w14:paraId="258DA18D" w14:textId="21C4F744"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10</w:t>
            </w:r>
          </w:p>
        </w:tc>
      </w:tr>
      <w:tr w:rsidR="00847C1F" w:rsidRPr="00777B8C" w14:paraId="2EE62527"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0C5A82D4" w14:textId="7F0A38E8"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SIP</w:t>
            </w:r>
          </w:p>
        </w:tc>
        <w:tc>
          <w:tcPr>
            <w:tcW w:w="1676" w:type="dxa"/>
            <w:hideMark/>
          </w:tcPr>
          <w:p w14:paraId="0759BC89"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Implementation Plan</w:t>
            </w:r>
          </w:p>
        </w:tc>
        <w:tc>
          <w:tcPr>
            <w:tcW w:w="1210" w:type="dxa"/>
            <w:noWrap/>
            <w:hideMark/>
          </w:tcPr>
          <w:p w14:paraId="18A28C1E" w14:textId="3B19E123"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54EE6B3F"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4E2C233B" w14:textId="783356D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SOV</w:t>
            </w:r>
          </w:p>
        </w:tc>
        <w:tc>
          <w:tcPr>
            <w:tcW w:w="0" w:type="dxa"/>
            <w:tcBorders>
              <w:bottom w:val="single" w:sz="4" w:space="0" w:color="auto"/>
            </w:tcBorders>
            <w:hideMark/>
          </w:tcPr>
          <w:p w14:paraId="0E507504"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single-occupancy (or occupant) vehicle</w:t>
            </w:r>
          </w:p>
        </w:tc>
        <w:tc>
          <w:tcPr>
            <w:tcW w:w="0" w:type="dxa"/>
            <w:tcBorders>
              <w:bottom w:val="single" w:sz="4" w:space="0" w:color="auto"/>
            </w:tcBorders>
            <w:noWrap/>
            <w:hideMark/>
          </w:tcPr>
          <w:p w14:paraId="3FA5C11E" w14:textId="426E004E"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w:t>
            </w:r>
          </w:p>
        </w:tc>
      </w:tr>
      <w:tr w:rsidR="00847C1F" w:rsidRPr="00777B8C" w14:paraId="417DDDE6"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679C3EA6" w14:textId="15F1F9BD"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701C599E" w14:textId="1F0A288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0AA6F125" w14:textId="053D264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168BB158"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59953770" w14:textId="4C0DA892"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SPF</w:t>
            </w:r>
          </w:p>
        </w:tc>
        <w:tc>
          <w:tcPr>
            <w:tcW w:w="1676" w:type="dxa"/>
            <w:hideMark/>
          </w:tcPr>
          <w:p w14:paraId="4C7C9E93"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Safety Performance Function</w:t>
            </w:r>
          </w:p>
        </w:tc>
        <w:tc>
          <w:tcPr>
            <w:tcW w:w="1210" w:type="dxa"/>
            <w:noWrap/>
            <w:hideMark/>
          </w:tcPr>
          <w:p w14:paraId="63DC53E7" w14:textId="423618CE"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17.5</w:t>
            </w:r>
          </w:p>
        </w:tc>
      </w:tr>
      <w:tr w:rsidR="00847C1F" w:rsidRPr="00777B8C" w14:paraId="368A3A7F"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1221377B" w14:textId="05709D54"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SPR</w:t>
            </w:r>
          </w:p>
        </w:tc>
        <w:tc>
          <w:tcPr>
            <w:tcW w:w="1676" w:type="dxa"/>
            <w:hideMark/>
          </w:tcPr>
          <w:p w14:paraId="1F5A2F5F"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Planning and Research</w:t>
            </w:r>
          </w:p>
        </w:tc>
        <w:tc>
          <w:tcPr>
            <w:tcW w:w="1210" w:type="dxa"/>
            <w:noWrap/>
            <w:hideMark/>
          </w:tcPr>
          <w:p w14:paraId="61D80023" w14:textId="1DA91E6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1A565687"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FF2F6AC" w14:textId="2553519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SPSR</w:t>
            </w:r>
          </w:p>
        </w:tc>
        <w:tc>
          <w:tcPr>
            <w:tcW w:w="1676" w:type="dxa"/>
            <w:hideMark/>
          </w:tcPr>
          <w:p w14:paraId="56EE0AD6"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San Pedro &amp; Southwestern Railroad</w:t>
            </w:r>
          </w:p>
        </w:tc>
        <w:tc>
          <w:tcPr>
            <w:tcW w:w="1210" w:type="dxa"/>
            <w:noWrap/>
            <w:hideMark/>
          </w:tcPr>
          <w:p w14:paraId="05229261" w14:textId="63C1ED9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28292E09"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7D4230DC" w14:textId="5F4E2DC5"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SRP</w:t>
            </w:r>
          </w:p>
        </w:tc>
        <w:tc>
          <w:tcPr>
            <w:tcW w:w="1676" w:type="dxa"/>
            <w:tcBorders>
              <w:bottom w:val="single" w:sz="4" w:space="0" w:color="auto"/>
            </w:tcBorders>
            <w:hideMark/>
          </w:tcPr>
          <w:p w14:paraId="6F59747C"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Rail Plan</w:t>
            </w:r>
          </w:p>
        </w:tc>
        <w:tc>
          <w:tcPr>
            <w:tcW w:w="1210" w:type="dxa"/>
            <w:tcBorders>
              <w:bottom w:val="single" w:sz="4" w:space="0" w:color="auto"/>
            </w:tcBorders>
            <w:noWrap/>
            <w:hideMark/>
          </w:tcPr>
          <w:p w14:paraId="55D6AFF5" w14:textId="5F031090"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23C8E43A"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top w:val="single" w:sz="4" w:space="0" w:color="auto"/>
              <w:left w:val="single" w:sz="4" w:space="0" w:color="auto"/>
              <w:bottom w:val="single" w:sz="4" w:space="0" w:color="auto"/>
              <w:right w:val="single" w:sz="4" w:space="0" w:color="auto"/>
            </w:tcBorders>
            <w:noWrap/>
            <w:hideMark/>
          </w:tcPr>
          <w:p w14:paraId="4ED7D58D" w14:textId="32C1FC2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SSPP</w:t>
            </w:r>
          </w:p>
        </w:tc>
        <w:tc>
          <w:tcPr>
            <w:tcW w:w="1676" w:type="dxa"/>
            <w:tcBorders>
              <w:top w:val="single" w:sz="4" w:space="0" w:color="auto"/>
              <w:left w:val="single" w:sz="4" w:space="0" w:color="auto"/>
              <w:bottom w:val="single" w:sz="4" w:space="0" w:color="auto"/>
              <w:right w:val="single" w:sz="4" w:space="0" w:color="auto"/>
            </w:tcBorders>
            <w:hideMark/>
          </w:tcPr>
          <w:p w14:paraId="49286A99"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System Safety Program Plan</w:t>
            </w:r>
          </w:p>
        </w:tc>
        <w:tc>
          <w:tcPr>
            <w:tcW w:w="1210" w:type="dxa"/>
            <w:tcBorders>
              <w:top w:val="single" w:sz="4" w:space="0" w:color="auto"/>
              <w:left w:val="single" w:sz="4" w:space="0" w:color="auto"/>
              <w:bottom w:val="single" w:sz="4" w:space="0" w:color="auto"/>
              <w:right w:val="single" w:sz="4" w:space="0" w:color="auto"/>
            </w:tcBorders>
            <w:noWrap/>
            <w:hideMark/>
          </w:tcPr>
          <w:p w14:paraId="2E8E4A66" w14:textId="05E3483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34C4A49A"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30772887" w14:textId="454E481D" w:rsidR="00847C1F" w:rsidRPr="00777B8C" w:rsidRDefault="00847C1F" w:rsidP="00847C1F">
            <w:pPr>
              <w:rPr>
                <w:rFonts w:eastAsia="Times New Roman" w:cstheme="minorHAnsi"/>
                <w:color w:val="000000"/>
                <w:sz w:val="18"/>
                <w:szCs w:val="18"/>
              </w:rPr>
            </w:pPr>
            <w:r>
              <w:rPr>
                <w:rFonts w:eastAsia="Times New Roman" w:cstheme="minorHAnsi"/>
                <w:color w:val="000000"/>
                <w:sz w:val="18"/>
                <w:szCs w:val="18"/>
              </w:rPr>
              <w:t>STBG</w:t>
            </w:r>
          </w:p>
        </w:tc>
        <w:tc>
          <w:tcPr>
            <w:tcW w:w="1676" w:type="dxa"/>
          </w:tcPr>
          <w:p w14:paraId="665A9F6D" w14:textId="63491E74"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Surface transportation B</w:t>
            </w:r>
            <w:r w:rsidRPr="00265722">
              <w:rPr>
                <w:rFonts w:eastAsia="Times New Roman" w:cstheme="minorHAnsi"/>
                <w:color w:val="000000"/>
                <w:sz w:val="18"/>
                <w:szCs w:val="18"/>
              </w:rPr>
              <w:t xml:space="preserve">lock </w:t>
            </w:r>
            <w:r>
              <w:rPr>
                <w:rFonts w:eastAsia="Times New Roman" w:cstheme="minorHAnsi"/>
                <w:color w:val="000000"/>
                <w:sz w:val="18"/>
                <w:szCs w:val="18"/>
              </w:rPr>
              <w:t>G</w:t>
            </w:r>
            <w:r w:rsidRPr="00265722">
              <w:rPr>
                <w:rFonts w:eastAsia="Times New Roman" w:cstheme="minorHAnsi"/>
                <w:color w:val="000000"/>
                <w:sz w:val="18"/>
                <w:szCs w:val="18"/>
              </w:rPr>
              <w:t>rant</w:t>
            </w:r>
          </w:p>
        </w:tc>
        <w:tc>
          <w:tcPr>
            <w:tcW w:w="1210" w:type="dxa"/>
            <w:noWrap/>
          </w:tcPr>
          <w:p w14:paraId="3DA31760" w14:textId="664D9FC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1</w:t>
            </w:r>
          </w:p>
        </w:tc>
      </w:tr>
      <w:tr w:rsidR="00847C1F" w:rsidRPr="00777B8C" w14:paraId="759D83A4"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CE84F3F" w14:textId="24C0B67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STIP</w:t>
            </w:r>
          </w:p>
        </w:tc>
        <w:tc>
          <w:tcPr>
            <w:tcW w:w="1676" w:type="dxa"/>
            <w:hideMark/>
          </w:tcPr>
          <w:p w14:paraId="27351D59"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State Transportation Improvement Program</w:t>
            </w:r>
          </w:p>
        </w:tc>
        <w:tc>
          <w:tcPr>
            <w:tcW w:w="1210" w:type="dxa"/>
            <w:noWrap/>
            <w:hideMark/>
          </w:tcPr>
          <w:p w14:paraId="3BB3A3BE" w14:textId="4A407105"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2C1C5649"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tcPr>
          <w:p w14:paraId="02F800B9" w14:textId="0C147F0A" w:rsidR="00847C1F" w:rsidRPr="00777B8C" w:rsidRDefault="00847C1F" w:rsidP="00847C1F">
            <w:pPr>
              <w:rPr>
                <w:rFonts w:eastAsia="Times New Roman" w:cstheme="minorHAnsi"/>
                <w:color w:val="000000"/>
                <w:sz w:val="18"/>
                <w:szCs w:val="18"/>
              </w:rPr>
            </w:pPr>
            <w:r>
              <w:rPr>
                <w:rFonts w:eastAsia="Times New Roman" w:cstheme="minorHAnsi"/>
                <w:color w:val="000000"/>
                <w:sz w:val="18"/>
                <w:szCs w:val="18"/>
              </w:rPr>
              <w:t>STSP</w:t>
            </w:r>
          </w:p>
        </w:tc>
        <w:tc>
          <w:tcPr>
            <w:tcW w:w="1676" w:type="dxa"/>
            <w:tcBorders>
              <w:bottom w:val="single" w:sz="4" w:space="0" w:color="auto"/>
            </w:tcBorders>
          </w:tcPr>
          <w:p w14:paraId="7F406064" w14:textId="57D42DEE"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Strategic Traffic Safety Plan</w:t>
            </w:r>
          </w:p>
        </w:tc>
        <w:tc>
          <w:tcPr>
            <w:tcW w:w="1210" w:type="dxa"/>
            <w:tcBorders>
              <w:bottom w:val="single" w:sz="4" w:space="0" w:color="auto"/>
            </w:tcBorders>
            <w:noWrap/>
          </w:tcPr>
          <w:p w14:paraId="63BEDC75" w14:textId="4EFBF0A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2</w:t>
            </w:r>
          </w:p>
        </w:tc>
      </w:tr>
      <w:tr w:rsidR="00847C1F" w:rsidRPr="00777B8C" w14:paraId="183C2F5A"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CCD8192" w14:textId="62BD40A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SVMPO</w:t>
            </w:r>
          </w:p>
        </w:tc>
        <w:tc>
          <w:tcPr>
            <w:tcW w:w="1676" w:type="dxa"/>
            <w:hideMark/>
          </w:tcPr>
          <w:p w14:paraId="02F09961"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Sierra Vista MPO</w:t>
            </w:r>
          </w:p>
        </w:tc>
        <w:tc>
          <w:tcPr>
            <w:tcW w:w="1210" w:type="dxa"/>
            <w:noWrap/>
            <w:hideMark/>
          </w:tcPr>
          <w:p w14:paraId="6338E1D2" w14:textId="016AA118"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6ECCA079"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308A2400" w14:textId="1AC3D98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TA</w:t>
            </w:r>
          </w:p>
        </w:tc>
        <w:tc>
          <w:tcPr>
            <w:tcW w:w="1676" w:type="dxa"/>
          </w:tcPr>
          <w:p w14:paraId="3E93E513" w14:textId="48A6ACDB"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Alternatives</w:t>
            </w:r>
          </w:p>
        </w:tc>
        <w:tc>
          <w:tcPr>
            <w:tcW w:w="1210" w:type="dxa"/>
            <w:noWrap/>
          </w:tcPr>
          <w:p w14:paraId="4AC7D1E8" w14:textId="5BA3F6E8"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4</w:t>
            </w:r>
          </w:p>
        </w:tc>
      </w:tr>
      <w:tr w:rsidR="00847C1F" w:rsidRPr="00777B8C" w14:paraId="36C0DE8F"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57F1560D" w14:textId="324FF82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TAC</w:t>
            </w:r>
          </w:p>
        </w:tc>
        <w:tc>
          <w:tcPr>
            <w:tcW w:w="1676" w:type="dxa"/>
          </w:tcPr>
          <w:p w14:paraId="607F2010" w14:textId="76BFEBE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Technical Advisory Committee</w:t>
            </w:r>
          </w:p>
        </w:tc>
        <w:tc>
          <w:tcPr>
            <w:tcW w:w="1210" w:type="dxa"/>
            <w:noWrap/>
          </w:tcPr>
          <w:p w14:paraId="07FE02DF" w14:textId="4596BCB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09E37CA4"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2026DA9C" w14:textId="4117EE1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TCM</w:t>
            </w:r>
          </w:p>
        </w:tc>
        <w:tc>
          <w:tcPr>
            <w:tcW w:w="1676" w:type="dxa"/>
          </w:tcPr>
          <w:p w14:paraId="0D9D512A" w14:textId="0F69FC98"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Control Measure</w:t>
            </w:r>
          </w:p>
        </w:tc>
        <w:tc>
          <w:tcPr>
            <w:tcW w:w="1210" w:type="dxa"/>
            <w:noWrap/>
          </w:tcPr>
          <w:p w14:paraId="673F7E77" w14:textId="4E16B418"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8</w:t>
            </w:r>
          </w:p>
        </w:tc>
      </w:tr>
      <w:tr w:rsidR="00847C1F" w:rsidRPr="00777B8C" w14:paraId="2FDBD868"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tcPr>
          <w:p w14:paraId="77315825" w14:textId="0A0D1F7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TDM</w:t>
            </w:r>
          </w:p>
        </w:tc>
        <w:tc>
          <w:tcPr>
            <w:tcW w:w="0" w:type="dxa"/>
            <w:tcBorders>
              <w:bottom w:val="single" w:sz="4" w:space="0" w:color="auto"/>
            </w:tcBorders>
          </w:tcPr>
          <w:p w14:paraId="3B0F88F7" w14:textId="0B01548F"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travel demand model</w:t>
            </w:r>
          </w:p>
        </w:tc>
        <w:tc>
          <w:tcPr>
            <w:tcW w:w="0" w:type="dxa"/>
            <w:tcBorders>
              <w:bottom w:val="single" w:sz="4" w:space="0" w:color="auto"/>
            </w:tcBorders>
            <w:noWrap/>
          </w:tcPr>
          <w:p w14:paraId="5E063994" w14:textId="1E93D733"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w:t>
            </w:r>
          </w:p>
        </w:tc>
      </w:tr>
      <w:tr w:rsidR="00847C1F" w:rsidRPr="00777B8C" w14:paraId="50C8BC3A"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7A983E39" w14:textId="2F7F74E7"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3D97FE54" w14:textId="251787A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0B04C365" w14:textId="5E4F9E7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1F93C424"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2009C801" w14:textId="086B340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TDM&amp;A Group</w:t>
            </w:r>
          </w:p>
        </w:tc>
        <w:tc>
          <w:tcPr>
            <w:tcW w:w="1676" w:type="dxa"/>
          </w:tcPr>
          <w:p w14:paraId="324A8703" w14:textId="448CA19F"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Travel Demand Modeling &amp; Analysis Group</w:t>
            </w:r>
          </w:p>
        </w:tc>
        <w:tc>
          <w:tcPr>
            <w:tcW w:w="1210" w:type="dxa"/>
            <w:noWrap/>
          </w:tcPr>
          <w:p w14:paraId="702A3DDA" w14:textId="302F96D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1A7BE84F"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02D85AF2" w14:textId="67EA6525"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TDMS</w:t>
            </w:r>
          </w:p>
        </w:tc>
        <w:tc>
          <w:tcPr>
            <w:tcW w:w="1676" w:type="dxa"/>
          </w:tcPr>
          <w:p w14:paraId="41259C6D" w14:textId="5805219A"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Data Management System</w:t>
            </w:r>
          </w:p>
        </w:tc>
        <w:tc>
          <w:tcPr>
            <w:tcW w:w="1210" w:type="dxa"/>
            <w:noWrap/>
          </w:tcPr>
          <w:p w14:paraId="5AEEE960" w14:textId="676BB87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18F23E93"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tcPr>
          <w:p w14:paraId="1E8BEFC6" w14:textId="5B0E6BC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TDP</w:t>
            </w:r>
          </w:p>
        </w:tc>
        <w:tc>
          <w:tcPr>
            <w:tcW w:w="1676" w:type="dxa"/>
            <w:tcBorders>
              <w:bottom w:val="single" w:sz="4" w:space="0" w:color="auto"/>
            </w:tcBorders>
          </w:tcPr>
          <w:p w14:paraId="797A46EF" w14:textId="2C9D4A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Transit Development Plan</w:t>
            </w:r>
          </w:p>
        </w:tc>
        <w:tc>
          <w:tcPr>
            <w:tcW w:w="1210" w:type="dxa"/>
            <w:tcBorders>
              <w:bottom w:val="single" w:sz="4" w:space="0" w:color="auto"/>
            </w:tcBorders>
            <w:noWrap/>
          </w:tcPr>
          <w:p w14:paraId="63002E04" w14:textId="4EE0D413"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8</w:t>
            </w:r>
          </w:p>
        </w:tc>
      </w:tr>
      <w:tr w:rsidR="00847C1F" w:rsidRPr="00777B8C" w14:paraId="1DF41EBA" w14:textId="77777777" w:rsidTr="00847C1F">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tcPr>
          <w:p w14:paraId="20574F31" w14:textId="63900E9B"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TEA-21</w:t>
            </w:r>
          </w:p>
        </w:tc>
        <w:tc>
          <w:tcPr>
            <w:tcW w:w="1676" w:type="dxa"/>
            <w:tcBorders>
              <w:bottom w:val="single" w:sz="4" w:space="0" w:color="auto"/>
            </w:tcBorders>
          </w:tcPr>
          <w:p w14:paraId="5085D0B5" w14:textId="2D4C685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Equity Act for the 21st Century</w:t>
            </w:r>
          </w:p>
        </w:tc>
        <w:tc>
          <w:tcPr>
            <w:tcW w:w="1210" w:type="dxa"/>
            <w:tcBorders>
              <w:bottom w:val="single" w:sz="4" w:space="0" w:color="auto"/>
            </w:tcBorders>
            <w:noWrap/>
          </w:tcPr>
          <w:p w14:paraId="38A49BA7" w14:textId="0C0A7269"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847C1F" w:rsidRPr="00777B8C" w14:paraId="3D9B4278"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5E30DD50" w14:textId="42C02BC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TIFIA</w:t>
            </w:r>
          </w:p>
        </w:tc>
        <w:tc>
          <w:tcPr>
            <w:tcW w:w="1676" w:type="dxa"/>
          </w:tcPr>
          <w:p w14:paraId="13A72958" w14:textId="7AB66C8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Infrastructure Finance and Innovation Act</w:t>
            </w:r>
          </w:p>
        </w:tc>
        <w:tc>
          <w:tcPr>
            <w:tcW w:w="1210" w:type="dxa"/>
            <w:noWrap/>
          </w:tcPr>
          <w:p w14:paraId="0EE9E24C" w14:textId="4BE0036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1C4A6945"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0851CCAA" w14:textId="2FD616D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TIP</w:t>
            </w:r>
          </w:p>
        </w:tc>
        <w:tc>
          <w:tcPr>
            <w:tcW w:w="1676" w:type="dxa"/>
          </w:tcPr>
          <w:p w14:paraId="45254BC8" w14:textId="57B6ECF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Improvement Program</w:t>
            </w:r>
          </w:p>
        </w:tc>
        <w:tc>
          <w:tcPr>
            <w:tcW w:w="1210" w:type="dxa"/>
            <w:noWrap/>
          </w:tcPr>
          <w:p w14:paraId="42D91012" w14:textId="37DC465F"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6CE8543A"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6DB530AA" w14:textId="437095B8"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TMA</w:t>
            </w:r>
          </w:p>
        </w:tc>
        <w:tc>
          <w:tcPr>
            <w:tcW w:w="1676" w:type="dxa"/>
          </w:tcPr>
          <w:p w14:paraId="5B18D73A" w14:textId="20D50F8B"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Transportation Management Area</w:t>
            </w:r>
          </w:p>
        </w:tc>
        <w:tc>
          <w:tcPr>
            <w:tcW w:w="1210" w:type="dxa"/>
            <w:noWrap/>
          </w:tcPr>
          <w:p w14:paraId="6305B472" w14:textId="749EB880"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7ACB63D3" w14:textId="77777777" w:rsidTr="009358F6">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tcPr>
          <w:p w14:paraId="15407A2B" w14:textId="59E79D2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TOD</w:t>
            </w:r>
          </w:p>
        </w:tc>
        <w:tc>
          <w:tcPr>
            <w:tcW w:w="1676" w:type="dxa"/>
            <w:tcBorders>
              <w:bottom w:val="single" w:sz="4" w:space="0" w:color="auto"/>
            </w:tcBorders>
          </w:tcPr>
          <w:p w14:paraId="659B92F8" w14:textId="6217EA52"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Transit Oriented Development</w:t>
            </w:r>
          </w:p>
        </w:tc>
        <w:tc>
          <w:tcPr>
            <w:tcW w:w="1210" w:type="dxa"/>
            <w:tcBorders>
              <w:bottom w:val="single" w:sz="4" w:space="0" w:color="auto"/>
            </w:tcBorders>
            <w:noWrap/>
          </w:tcPr>
          <w:p w14:paraId="1C621BA6" w14:textId="138DCE0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17.11</w:t>
            </w:r>
          </w:p>
        </w:tc>
      </w:tr>
      <w:tr w:rsidR="00847C1F" w:rsidRPr="00777B8C" w14:paraId="0EEA3326"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tcPr>
          <w:p w14:paraId="67C1A284" w14:textId="256597BA" w:rsidR="00847C1F" w:rsidRPr="00777B8C" w:rsidRDefault="00847C1F" w:rsidP="00847C1F">
            <w:pPr>
              <w:rPr>
                <w:rFonts w:eastAsia="Times New Roman" w:cstheme="minorHAnsi"/>
                <w:color w:val="000000"/>
                <w:sz w:val="18"/>
                <w:szCs w:val="18"/>
              </w:rPr>
            </w:pPr>
            <w:r>
              <w:rPr>
                <w:rFonts w:eastAsia="Times New Roman" w:cstheme="minorHAnsi"/>
                <w:color w:val="000000"/>
                <w:sz w:val="18"/>
                <w:szCs w:val="18"/>
              </w:rPr>
              <w:t>TTAC</w:t>
            </w:r>
          </w:p>
        </w:tc>
        <w:tc>
          <w:tcPr>
            <w:tcW w:w="1676" w:type="dxa"/>
          </w:tcPr>
          <w:p w14:paraId="0A848E61" w14:textId="5CB026C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Transportation Technical Advisory Committee</w:t>
            </w:r>
          </w:p>
        </w:tc>
        <w:tc>
          <w:tcPr>
            <w:tcW w:w="1210" w:type="dxa"/>
            <w:noWrap/>
          </w:tcPr>
          <w:p w14:paraId="1A56CC59" w14:textId="053DAB5F"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4</w:t>
            </w:r>
          </w:p>
        </w:tc>
      </w:tr>
      <w:tr w:rsidR="00847C1F" w:rsidRPr="00777B8C" w14:paraId="05C1FBA0"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38B17EFD" w14:textId="30B4189F"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TTIP</w:t>
            </w:r>
          </w:p>
        </w:tc>
        <w:tc>
          <w:tcPr>
            <w:tcW w:w="1676" w:type="dxa"/>
            <w:hideMark/>
          </w:tcPr>
          <w:p w14:paraId="0C6184F5"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Tribal Transportation Improvement Program</w:t>
            </w:r>
          </w:p>
        </w:tc>
        <w:tc>
          <w:tcPr>
            <w:tcW w:w="1210" w:type="dxa"/>
            <w:noWrap/>
            <w:hideMark/>
          </w:tcPr>
          <w:p w14:paraId="143664B4" w14:textId="7AAAF92D"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2</w:t>
            </w:r>
          </w:p>
        </w:tc>
      </w:tr>
      <w:tr w:rsidR="00847C1F" w:rsidRPr="00777B8C" w14:paraId="6CD851FB"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7DDEDF5F" w14:textId="07AAD38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TTP</w:t>
            </w:r>
          </w:p>
        </w:tc>
        <w:tc>
          <w:tcPr>
            <w:tcW w:w="0" w:type="dxa"/>
            <w:tcBorders>
              <w:bottom w:val="single" w:sz="4" w:space="0" w:color="auto"/>
            </w:tcBorders>
            <w:hideMark/>
          </w:tcPr>
          <w:p w14:paraId="6A2C2CD4"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Tribal Transportation Program</w:t>
            </w:r>
          </w:p>
        </w:tc>
        <w:tc>
          <w:tcPr>
            <w:tcW w:w="0" w:type="dxa"/>
            <w:tcBorders>
              <w:bottom w:val="single" w:sz="4" w:space="0" w:color="auto"/>
            </w:tcBorders>
            <w:noWrap/>
            <w:hideMark/>
          </w:tcPr>
          <w:p w14:paraId="3BC0C1D1" w14:textId="435BD1A0"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31F35ADE"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hemeColor="background1"/>
            </w:tcBorders>
            <w:shd w:val="clear" w:color="auto" w:fill="002060"/>
            <w:noWrap/>
          </w:tcPr>
          <w:p w14:paraId="4DB114DE" w14:textId="1B27FD11" w:rsidR="00847C1F" w:rsidRPr="00777B8C" w:rsidRDefault="00847C1F" w:rsidP="00847C1F">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left w:val="single" w:sz="4" w:space="0" w:color="FFFFFF" w:themeColor="background1"/>
              <w:right w:val="single" w:sz="4" w:space="0" w:color="FFFFFF" w:themeColor="background1"/>
            </w:tcBorders>
            <w:shd w:val="clear" w:color="auto" w:fill="002060"/>
          </w:tcPr>
          <w:p w14:paraId="1D7A6A22" w14:textId="7CBE27E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left w:val="single" w:sz="4" w:space="0" w:color="FFFFFF" w:themeColor="background1"/>
            </w:tcBorders>
            <w:shd w:val="clear" w:color="auto" w:fill="002060"/>
            <w:noWrap/>
          </w:tcPr>
          <w:p w14:paraId="7C4659E3" w14:textId="109ABBEC"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847C1F" w:rsidRPr="00777B8C" w14:paraId="7A3C76FD"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41CDE8F8" w14:textId="7F2782D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TWG</w:t>
            </w:r>
          </w:p>
        </w:tc>
        <w:tc>
          <w:tcPr>
            <w:tcW w:w="1676" w:type="dxa"/>
            <w:hideMark/>
          </w:tcPr>
          <w:p w14:paraId="136F4365"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Technical Working Group</w:t>
            </w:r>
          </w:p>
        </w:tc>
        <w:tc>
          <w:tcPr>
            <w:tcW w:w="1210" w:type="dxa"/>
            <w:noWrap/>
            <w:hideMark/>
          </w:tcPr>
          <w:p w14:paraId="2E79303E" w14:textId="705B991D"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15</w:t>
            </w:r>
          </w:p>
        </w:tc>
      </w:tr>
      <w:tr w:rsidR="00847C1F" w:rsidRPr="00777B8C" w14:paraId="73E0C4A0"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CADB826" w14:textId="6EFA038C"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UPRR</w:t>
            </w:r>
          </w:p>
        </w:tc>
        <w:tc>
          <w:tcPr>
            <w:tcW w:w="1676" w:type="dxa"/>
            <w:hideMark/>
          </w:tcPr>
          <w:p w14:paraId="2F7E8DE8"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Union Pacific Railroad</w:t>
            </w:r>
          </w:p>
        </w:tc>
        <w:tc>
          <w:tcPr>
            <w:tcW w:w="1210" w:type="dxa"/>
            <w:noWrap/>
            <w:hideMark/>
          </w:tcPr>
          <w:p w14:paraId="2516B9C0" w14:textId="5A212B38"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5</w:t>
            </w:r>
          </w:p>
        </w:tc>
      </w:tr>
      <w:tr w:rsidR="00847C1F" w:rsidRPr="00777B8C" w14:paraId="213DD746"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10E43214" w14:textId="0A030309"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UPWP</w:t>
            </w:r>
          </w:p>
        </w:tc>
        <w:tc>
          <w:tcPr>
            <w:tcW w:w="1676" w:type="dxa"/>
            <w:hideMark/>
          </w:tcPr>
          <w:p w14:paraId="1D61D7CC"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Unified Planning Work Program</w:t>
            </w:r>
          </w:p>
        </w:tc>
        <w:tc>
          <w:tcPr>
            <w:tcW w:w="1210" w:type="dxa"/>
            <w:noWrap/>
            <w:hideMark/>
          </w:tcPr>
          <w:p w14:paraId="4DA07F3B" w14:textId="76C7A88D"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847C1F" w:rsidRPr="00777B8C" w14:paraId="69186C9B" w14:textId="77777777" w:rsidTr="00A0215C">
        <w:trPr>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5C784DED" w14:textId="625EED15"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U.S.C</w:t>
            </w:r>
            <w:r>
              <w:rPr>
                <w:rFonts w:eastAsia="Times New Roman" w:cstheme="minorHAnsi"/>
                <w:color w:val="000000"/>
                <w:sz w:val="18"/>
                <w:szCs w:val="18"/>
              </w:rPr>
              <w:t>.</w:t>
            </w:r>
          </w:p>
        </w:tc>
        <w:tc>
          <w:tcPr>
            <w:tcW w:w="1676" w:type="dxa"/>
            <w:tcBorders>
              <w:bottom w:val="single" w:sz="4" w:space="0" w:color="auto"/>
            </w:tcBorders>
            <w:hideMark/>
          </w:tcPr>
          <w:p w14:paraId="0E527177"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United States Code</w:t>
            </w:r>
          </w:p>
        </w:tc>
        <w:tc>
          <w:tcPr>
            <w:tcW w:w="1210" w:type="dxa"/>
            <w:tcBorders>
              <w:bottom w:val="single" w:sz="4" w:space="0" w:color="auto"/>
            </w:tcBorders>
            <w:noWrap/>
            <w:hideMark/>
          </w:tcPr>
          <w:p w14:paraId="0BD79915" w14:textId="6115A82B"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15E23C5D" w14:textId="77777777" w:rsidTr="00847C1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690B5611" w14:textId="0CD25AE1"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USDOT</w:t>
            </w:r>
          </w:p>
        </w:tc>
        <w:tc>
          <w:tcPr>
            <w:tcW w:w="1676" w:type="dxa"/>
            <w:tcBorders>
              <w:bottom w:val="single" w:sz="4" w:space="0" w:color="auto"/>
            </w:tcBorders>
            <w:hideMark/>
          </w:tcPr>
          <w:p w14:paraId="72F1A942"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Department of Transportation</w:t>
            </w:r>
          </w:p>
        </w:tc>
        <w:tc>
          <w:tcPr>
            <w:tcW w:w="1210" w:type="dxa"/>
            <w:tcBorders>
              <w:bottom w:val="single" w:sz="4" w:space="0" w:color="auto"/>
            </w:tcBorders>
            <w:noWrap/>
            <w:hideMark/>
          </w:tcPr>
          <w:p w14:paraId="3BF73613" w14:textId="397AB52A"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486FD773"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3327DE0" w14:textId="2512580A"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USFWS</w:t>
            </w:r>
          </w:p>
        </w:tc>
        <w:tc>
          <w:tcPr>
            <w:tcW w:w="1676" w:type="dxa"/>
            <w:hideMark/>
          </w:tcPr>
          <w:p w14:paraId="6313B5CB"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Fish and Wildlife Service</w:t>
            </w:r>
          </w:p>
        </w:tc>
        <w:tc>
          <w:tcPr>
            <w:tcW w:w="1210" w:type="dxa"/>
            <w:noWrap/>
            <w:hideMark/>
          </w:tcPr>
          <w:p w14:paraId="0632082A" w14:textId="62E954A8"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17.9 (in table)</w:t>
            </w:r>
          </w:p>
        </w:tc>
      </w:tr>
      <w:tr w:rsidR="00847C1F" w:rsidRPr="00777B8C" w14:paraId="56D9B2E8"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05A9265B" w14:textId="27EA576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USGS</w:t>
            </w:r>
          </w:p>
        </w:tc>
        <w:tc>
          <w:tcPr>
            <w:tcW w:w="1676" w:type="dxa"/>
            <w:hideMark/>
          </w:tcPr>
          <w:p w14:paraId="453120CA"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Geologic Service</w:t>
            </w:r>
          </w:p>
        </w:tc>
        <w:tc>
          <w:tcPr>
            <w:tcW w:w="1210" w:type="dxa"/>
            <w:noWrap/>
            <w:hideMark/>
          </w:tcPr>
          <w:p w14:paraId="08C3B3E9" w14:textId="68715484"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17.9</w:t>
            </w:r>
          </w:p>
        </w:tc>
      </w:tr>
      <w:tr w:rsidR="00847C1F" w:rsidRPr="00777B8C" w14:paraId="787141C5"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78B15022" w14:textId="504C8F5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USPS</w:t>
            </w:r>
          </w:p>
        </w:tc>
        <w:tc>
          <w:tcPr>
            <w:tcW w:w="1676" w:type="dxa"/>
            <w:hideMark/>
          </w:tcPr>
          <w:p w14:paraId="455C3118"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U.S. Postal Service</w:t>
            </w:r>
          </w:p>
        </w:tc>
        <w:tc>
          <w:tcPr>
            <w:tcW w:w="1210" w:type="dxa"/>
            <w:noWrap/>
            <w:hideMark/>
          </w:tcPr>
          <w:p w14:paraId="7CD45296" w14:textId="3910181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12769CAC" w14:textId="77777777" w:rsidTr="00FD4D2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2BF51762" w14:textId="1F28593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UZA</w:t>
            </w:r>
          </w:p>
        </w:tc>
        <w:tc>
          <w:tcPr>
            <w:tcW w:w="1676" w:type="dxa"/>
            <w:hideMark/>
          </w:tcPr>
          <w:p w14:paraId="748EC4F8"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urbanized area</w:t>
            </w:r>
          </w:p>
        </w:tc>
        <w:tc>
          <w:tcPr>
            <w:tcW w:w="1210" w:type="dxa"/>
            <w:noWrap/>
            <w:hideMark/>
          </w:tcPr>
          <w:p w14:paraId="24274B0B" w14:textId="0D5B24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3</w:t>
            </w:r>
          </w:p>
        </w:tc>
      </w:tr>
      <w:tr w:rsidR="00847C1F" w:rsidRPr="00777B8C" w14:paraId="01517506"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B652462" w14:textId="0F7B2267"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VLT</w:t>
            </w:r>
          </w:p>
        </w:tc>
        <w:tc>
          <w:tcPr>
            <w:tcW w:w="1676" w:type="dxa"/>
            <w:hideMark/>
          </w:tcPr>
          <w:p w14:paraId="2231C2C2"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vehicle license tax</w:t>
            </w:r>
          </w:p>
        </w:tc>
        <w:tc>
          <w:tcPr>
            <w:tcW w:w="1210" w:type="dxa"/>
            <w:noWrap/>
            <w:hideMark/>
          </w:tcPr>
          <w:p w14:paraId="6A094964" w14:textId="068592CC"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10</w:t>
            </w:r>
          </w:p>
        </w:tc>
      </w:tr>
      <w:tr w:rsidR="00847C1F" w:rsidRPr="00777B8C" w14:paraId="62C9844A" w14:textId="77777777" w:rsidTr="009358F6">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40" w:type="dxa"/>
            <w:tcBorders>
              <w:bottom w:val="single" w:sz="4" w:space="0" w:color="auto"/>
            </w:tcBorders>
            <w:noWrap/>
            <w:hideMark/>
          </w:tcPr>
          <w:p w14:paraId="2D0305AD" w14:textId="5E8C461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VMT</w:t>
            </w:r>
          </w:p>
        </w:tc>
        <w:tc>
          <w:tcPr>
            <w:tcW w:w="1676" w:type="dxa"/>
            <w:tcBorders>
              <w:bottom w:val="single" w:sz="4" w:space="0" w:color="auto"/>
            </w:tcBorders>
            <w:hideMark/>
          </w:tcPr>
          <w:p w14:paraId="67FD94EA"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vehicle miles traveled</w:t>
            </w:r>
          </w:p>
        </w:tc>
        <w:tc>
          <w:tcPr>
            <w:tcW w:w="1210" w:type="dxa"/>
            <w:tcBorders>
              <w:bottom w:val="single" w:sz="4" w:space="0" w:color="auto"/>
            </w:tcBorders>
            <w:noWrap/>
            <w:hideMark/>
          </w:tcPr>
          <w:p w14:paraId="0646BCE6" w14:textId="5A92A9F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6 (in table)</w:t>
            </w:r>
          </w:p>
        </w:tc>
      </w:tr>
      <w:tr w:rsidR="00847C1F" w:rsidRPr="00777B8C" w14:paraId="0FE79C8B"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7E508AF" w14:textId="0989CD16"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VOC</w:t>
            </w:r>
          </w:p>
        </w:tc>
        <w:tc>
          <w:tcPr>
            <w:tcW w:w="1676" w:type="dxa"/>
            <w:hideMark/>
          </w:tcPr>
          <w:p w14:paraId="588B20CD"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volatile organic compounds</w:t>
            </w:r>
          </w:p>
        </w:tc>
        <w:tc>
          <w:tcPr>
            <w:tcW w:w="1210" w:type="dxa"/>
            <w:noWrap/>
            <w:hideMark/>
          </w:tcPr>
          <w:p w14:paraId="6C7642A5" w14:textId="397CEED1"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16</w:t>
            </w:r>
          </w:p>
        </w:tc>
      </w:tr>
      <w:tr w:rsidR="00847C1F" w:rsidRPr="00777B8C" w14:paraId="3D3042AC"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436D49DA" w14:textId="56AF3ED0"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WACOG</w:t>
            </w:r>
          </w:p>
        </w:tc>
        <w:tc>
          <w:tcPr>
            <w:tcW w:w="0" w:type="dxa"/>
            <w:tcBorders>
              <w:bottom w:val="single" w:sz="4" w:space="0" w:color="auto"/>
            </w:tcBorders>
            <w:hideMark/>
          </w:tcPr>
          <w:p w14:paraId="52B7035D" w14:textId="77777777"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Western Arizona Council of Governments</w:t>
            </w:r>
          </w:p>
        </w:tc>
        <w:tc>
          <w:tcPr>
            <w:tcW w:w="0" w:type="dxa"/>
            <w:tcBorders>
              <w:bottom w:val="single" w:sz="4" w:space="0" w:color="auto"/>
            </w:tcBorders>
            <w:noWrap/>
            <w:hideMark/>
          </w:tcPr>
          <w:p w14:paraId="5208F873" w14:textId="363789FF" w:rsidR="00847C1F" w:rsidRPr="00777B8C" w:rsidRDefault="00847C1F" w:rsidP="00847C1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847C1F" w:rsidRPr="00777B8C" w14:paraId="5C8787CB"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noWrap/>
            <w:hideMark/>
          </w:tcPr>
          <w:p w14:paraId="58A67CC5" w14:textId="7ED6CD4D" w:rsidR="00847C1F" w:rsidRPr="00777B8C" w:rsidRDefault="00847C1F" w:rsidP="00847C1F">
            <w:pPr>
              <w:rPr>
                <w:rFonts w:eastAsia="Times New Roman" w:cstheme="minorHAnsi"/>
                <w:color w:val="000000"/>
                <w:sz w:val="18"/>
                <w:szCs w:val="18"/>
              </w:rPr>
            </w:pPr>
            <w:r w:rsidRPr="00777B8C">
              <w:rPr>
                <w:rFonts w:eastAsia="Times New Roman" w:cstheme="minorHAnsi"/>
                <w:color w:val="000000"/>
                <w:sz w:val="18"/>
                <w:szCs w:val="18"/>
              </w:rPr>
              <w:t>WP</w:t>
            </w:r>
          </w:p>
        </w:tc>
        <w:tc>
          <w:tcPr>
            <w:tcW w:w="0" w:type="dxa"/>
            <w:tcBorders>
              <w:bottom w:val="single" w:sz="4" w:space="0" w:color="auto"/>
            </w:tcBorders>
            <w:hideMark/>
          </w:tcPr>
          <w:p w14:paraId="060D687D" w14:textId="77777777"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Work Program</w:t>
            </w:r>
          </w:p>
        </w:tc>
        <w:tc>
          <w:tcPr>
            <w:tcW w:w="0" w:type="dxa"/>
            <w:tcBorders>
              <w:bottom w:val="single" w:sz="4" w:space="0" w:color="auto"/>
            </w:tcBorders>
            <w:noWrap/>
            <w:hideMark/>
          </w:tcPr>
          <w:p w14:paraId="4B6E2B7F" w14:textId="15F6CCF6" w:rsidR="00847C1F" w:rsidRPr="00777B8C" w:rsidRDefault="00847C1F" w:rsidP="00847C1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 (in table)</w:t>
            </w:r>
          </w:p>
        </w:tc>
      </w:tr>
      <w:tr w:rsidR="00BD48AE" w:rsidRPr="00777B8C" w14:paraId="2C64A4CA"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shd w:val="clear" w:color="auto" w:fill="auto"/>
            <w:noWrap/>
          </w:tcPr>
          <w:p w14:paraId="13178178" w14:textId="015D7392" w:rsidR="00BD48AE" w:rsidRPr="00777B8C" w:rsidRDefault="00BD48AE" w:rsidP="00BD48AE">
            <w:pPr>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tcPr>
          <w:p w14:paraId="07CE8C39" w14:textId="77777777" w:rsidR="00BD48AE" w:rsidRPr="00777B8C" w:rsidRDefault="00BD48AE" w:rsidP="00BD48A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c>
          <w:tcPr>
            <w:tcW w:w="0" w:type="dxa"/>
            <w:tcBorders>
              <w:top w:val="single" w:sz="4" w:space="0" w:color="auto"/>
              <w:left w:val="nil"/>
              <w:bottom w:val="nil"/>
              <w:right w:val="nil"/>
            </w:tcBorders>
            <w:shd w:val="clear" w:color="auto" w:fill="auto"/>
            <w:noWrap/>
          </w:tcPr>
          <w:p w14:paraId="19E61FF4" w14:textId="71771B41" w:rsidR="00BD48AE" w:rsidRPr="00777B8C" w:rsidRDefault="00BD48AE" w:rsidP="00BD48A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p>
        </w:tc>
      </w:tr>
      <w:tr w:rsidR="00BD48AE" w:rsidRPr="00777B8C" w14:paraId="413B7123" w14:textId="77777777" w:rsidTr="00020D20">
        <w:trPr>
          <w:trHeight w:val="648"/>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auto"/>
              <w:bottom w:val="single" w:sz="4" w:space="0" w:color="auto"/>
              <w:right w:val="single" w:sz="4" w:space="0" w:color="FFFFFF" w:themeColor="background1"/>
            </w:tcBorders>
            <w:shd w:val="clear" w:color="auto" w:fill="002060"/>
            <w:noWrap/>
          </w:tcPr>
          <w:p w14:paraId="4D60BE85" w14:textId="4CDA6590" w:rsidR="00BD48AE" w:rsidRDefault="00BD48AE" w:rsidP="00BD48AE">
            <w:pPr>
              <w:rPr>
                <w:rFonts w:eastAsia="Times New Roman" w:cstheme="minorHAnsi"/>
                <w:color w:val="000000"/>
                <w:sz w:val="18"/>
                <w:szCs w:val="18"/>
              </w:rPr>
            </w:pPr>
            <w:r w:rsidRPr="00F276EA">
              <w:rPr>
                <w:rFonts w:eastAsia="Times New Roman" w:cstheme="minorHAnsi"/>
                <w:color w:val="FFFFFF" w:themeColor="background1"/>
                <w:sz w:val="18"/>
                <w:szCs w:val="18"/>
              </w:rPr>
              <w:t>Acronym</w:t>
            </w:r>
          </w:p>
        </w:tc>
        <w:tc>
          <w:tcPr>
            <w:tcW w:w="0" w:type="dxa"/>
            <w:tcBorders>
              <w:top w:val="nil"/>
              <w:left w:val="single" w:sz="4" w:space="0" w:color="FFFFFF" w:themeColor="background1"/>
              <w:bottom w:val="single" w:sz="4" w:space="0" w:color="auto"/>
              <w:right w:val="single" w:sz="4" w:space="0" w:color="FFFFFF" w:themeColor="background1"/>
            </w:tcBorders>
            <w:shd w:val="clear" w:color="auto" w:fill="002060"/>
          </w:tcPr>
          <w:p w14:paraId="1379C817" w14:textId="0523A72F" w:rsidR="00BD48AE" w:rsidRPr="00777B8C" w:rsidRDefault="00BD48AE" w:rsidP="00BD48A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F276EA">
              <w:rPr>
                <w:rFonts w:eastAsia="Times New Roman" w:cstheme="minorHAnsi"/>
                <w:b/>
                <w:color w:val="FFFFFF" w:themeColor="background1"/>
                <w:sz w:val="18"/>
                <w:szCs w:val="18"/>
              </w:rPr>
              <w:t>Phrase</w:t>
            </w:r>
          </w:p>
        </w:tc>
        <w:tc>
          <w:tcPr>
            <w:tcW w:w="0" w:type="dxa"/>
            <w:tcBorders>
              <w:top w:val="nil"/>
              <w:left w:val="single" w:sz="4" w:space="0" w:color="FFFFFF" w:themeColor="background1"/>
              <w:bottom w:val="single" w:sz="4" w:space="0" w:color="auto"/>
              <w:right w:val="single" w:sz="4" w:space="0" w:color="auto"/>
            </w:tcBorders>
            <w:shd w:val="clear" w:color="auto" w:fill="002060"/>
            <w:noWrap/>
          </w:tcPr>
          <w:p w14:paraId="41FDD0AE" w14:textId="38451243" w:rsidR="00BD48AE" w:rsidRDefault="00BD48AE" w:rsidP="00BD48A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b/>
                <w:color w:val="FFFFFF" w:themeColor="background1"/>
                <w:sz w:val="18"/>
                <w:szCs w:val="18"/>
              </w:rPr>
              <w:t xml:space="preserve">Section </w:t>
            </w:r>
            <w:r w:rsidRPr="00F276EA">
              <w:rPr>
                <w:rFonts w:eastAsia="Times New Roman" w:cstheme="minorHAnsi"/>
                <w:b/>
                <w:color w:val="FFFFFF" w:themeColor="background1"/>
                <w:sz w:val="18"/>
                <w:szCs w:val="18"/>
              </w:rPr>
              <w:t>First Mentioned</w:t>
            </w:r>
          </w:p>
        </w:tc>
      </w:tr>
      <w:tr w:rsidR="00BD48AE" w:rsidRPr="00777B8C" w14:paraId="1745BF61" w14:textId="77777777" w:rsidTr="00020D2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tcBorders>
            <w:noWrap/>
            <w:hideMark/>
          </w:tcPr>
          <w:p w14:paraId="56715CB9" w14:textId="706D138C" w:rsidR="00BD48AE" w:rsidRPr="00777B8C" w:rsidRDefault="00BD48AE" w:rsidP="00BD48AE">
            <w:pPr>
              <w:rPr>
                <w:rFonts w:eastAsia="Times New Roman" w:cstheme="minorHAnsi"/>
                <w:color w:val="000000"/>
                <w:sz w:val="18"/>
                <w:szCs w:val="18"/>
              </w:rPr>
            </w:pPr>
            <w:r w:rsidRPr="00777B8C">
              <w:rPr>
                <w:rFonts w:eastAsia="Times New Roman" w:cstheme="minorHAnsi"/>
                <w:color w:val="000000"/>
                <w:sz w:val="18"/>
                <w:szCs w:val="18"/>
              </w:rPr>
              <w:t>YMPO</w:t>
            </w:r>
          </w:p>
        </w:tc>
        <w:tc>
          <w:tcPr>
            <w:tcW w:w="0" w:type="dxa"/>
            <w:tcBorders>
              <w:top w:val="single" w:sz="4" w:space="0" w:color="auto"/>
            </w:tcBorders>
            <w:hideMark/>
          </w:tcPr>
          <w:p w14:paraId="55FF0736" w14:textId="636943F7" w:rsidR="00BD48AE" w:rsidRPr="00777B8C" w:rsidRDefault="00BD48AE" w:rsidP="00BD48A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Yuma Metropolitan Planning Organization</w:t>
            </w:r>
          </w:p>
        </w:tc>
        <w:tc>
          <w:tcPr>
            <w:tcW w:w="0" w:type="dxa"/>
            <w:tcBorders>
              <w:top w:val="single" w:sz="4" w:space="0" w:color="auto"/>
            </w:tcBorders>
            <w:noWrap/>
            <w:hideMark/>
          </w:tcPr>
          <w:p w14:paraId="33C492F0" w14:textId="24B49081" w:rsidR="00BD48AE" w:rsidRPr="00777B8C" w:rsidRDefault="00BD48AE" w:rsidP="00BD48A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1</w:t>
            </w:r>
          </w:p>
        </w:tc>
      </w:tr>
      <w:tr w:rsidR="00BD48AE" w:rsidRPr="00777B8C" w14:paraId="3A058141" w14:textId="77777777" w:rsidTr="00FD4D2C">
        <w:trPr>
          <w:trHeight w:val="648"/>
        </w:trPr>
        <w:tc>
          <w:tcPr>
            <w:cnfStyle w:val="001000000000" w:firstRow="0" w:lastRow="0" w:firstColumn="1" w:lastColumn="0" w:oddVBand="0" w:evenVBand="0" w:oddHBand="0" w:evenHBand="0" w:firstRowFirstColumn="0" w:firstRowLastColumn="0" w:lastRowFirstColumn="0" w:lastRowLastColumn="0"/>
            <w:tcW w:w="1140" w:type="dxa"/>
            <w:noWrap/>
            <w:hideMark/>
          </w:tcPr>
          <w:p w14:paraId="69CBBCEF" w14:textId="4BCA5C2F" w:rsidR="00BD48AE" w:rsidRPr="00777B8C" w:rsidRDefault="00BD48AE" w:rsidP="00BD48AE">
            <w:pPr>
              <w:rPr>
                <w:rFonts w:eastAsia="Times New Roman" w:cstheme="minorHAnsi"/>
                <w:color w:val="000000"/>
                <w:sz w:val="18"/>
                <w:szCs w:val="18"/>
              </w:rPr>
            </w:pPr>
            <w:r w:rsidRPr="00777B8C">
              <w:rPr>
                <w:rFonts w:eastAsia="Times New Roman" w:cstheme="minorHAnsi"/>
                <w:color w:val="000000"/>
                <w:sz w:val="18"/>
                <w:szCs w:val="18"/>
              </w:rPr>
              <w:t>YOE</w:t>
            </w:r>
          </w:p>
        </w:tc>
        <w:tc>
          <w:tcPr>
            <w:tcW w:w="1676" w:type="dxa"/>
            <w:hideMark/>
          </w:tcPr>
          <w:p w14:paraId="481C0EB7" w14:textId="725D63AD" w:rsidR="00BD48AE" w:rsidRPr="00777B8C" w:rsidRDefault="00BD48AE" w:rsidP="00BD48A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Year of Expenditure</w:t>
            </w:r>
          </w:p>
        </w:tc>
        <w:tc>
          <w:tcPr>
            <w:tcW w:w="1210" w:type="dxa"/>
            <w:noWrap/>
            <w:hideMark/>
          </w:tcPr>
          <w:p w14:paraId="776D5FEA" w14:textId="5712F7C4" w:rsidR="00BD48AE" w:rsidRPr="00777B8C" w:rsidRDefault="00BD48AE" w:rsidP="00BD48A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77B8C">
              <w:rPr>
                <w:rFonts w:eastAsia="Times New Roman" w:cstheme="minorHAnsi"/>
                <w:color w:val="000000"/>
                <w:sz w:val="18"/>
                <w:szCs w:val="18"/>
              </w:rPr>
              <w:t>7</w:t>
            </w:r>
          </w:p>
        </w:tc>
      </w:tr>
      <w:bookmarkEnd w:id="783"/>
      <w:bookmarkEnd w:id="784"/>
    </w:tbl>
    <w:p w14:paraId="7A484A39" w14:textId="7DB217F4" w:rsidR="00A060A4" w:rsidRPr="00A060A4" w:rsidRDefault="00A060A4" w:rsidP="00020D20">
      <w:pPr>
        <w:rPr>
          <w:rFonts w:cstheme="minorHAnsi"/>
        </w:rPr>
      </w:pPr>
    </w:p>
    <w:sectPr w:rsidR="00A060A4" w:rsidRPr="00A060A4" w:rsidSect="00020D20">
      <w:type w:val="continuous"/>
      <w:pgSz w:w="12240" w:h="15840"/>
      <w:pgMar w:top="1440" w:right="1440" w:bottom="1440" w:left="1440" w:header="720" w:footer="720" w:gutter="0"/>
      <w:pgNumType w:start="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BB5E1F" w14:textId="77777777" w:rsidR="00C6444C" w:rsidRDefault="00C6444C" w:rsidP="00BA7FD1">
      <w:r>
        <w:separator/>
      </w:r>
    </w:p>
  </w:endnote>
  <w:endnote w:type="continuationSeparator" w:id="0">
    <w:p w14:paraId="74DBC226" w14:textId="77777777" w:rsidR="00C6444C" w:rsidRDefault="00C6444C" w:rsidP="00BA7FD1">
      <w:r>
        <w:continuationSeparator/>
      </w:r>
    </w:p>
  </w:endnote>
  <w:endnote w:type="continuationNotice" w:id="1">
    <w:p w14:paraId="734E42F4" w14:textId="77777777" w:rsidR="00C6444C" w:rsidRDefault="00C6444C" w:rsidP="00BA7F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panose1 w:val="020B0703030403020204"/>
    <w:charset w:val="00"/>
    <w:family w:val="swiss"/>
    <w:notTrueType/>
    <w:pitch w:val="variable"/>
    <w:sig w:usb0="A00002AF" w:usb1="500020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Myriad Pro Bold Condensed">
    <w:altName w:val="Segoe U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MinionPro-Regular">
    <w:altName w:val="MS Gothic"/>
    <w:panose1 w:val="00000000000000000000"/>
    <w:charset w:val="00"/>
    <w:family w:val="auto"/>
    <w:notTrueType/>
    <w:pitch w:val="default"/>
    <w:sig w:usb0="00000003" w:usb1="00000000" w:usb2="00000000" w:usb3="00000000" w:csb0="00000001" w:csb1="00000000"/>
  </w:font>
  <w:font w:name="MyriadPro-It">
    <w:altName w:val="Calibri"/>
    <w:panose1 w:val="00000000000000000000"/>
    <w:charset w:val="00"/>
    <w:family w:val="auto"/>
    <w:notTrueType/>
    <w:pitch w:val="default"/>
    <w:sig w:usb0="00000003" w:usb1="00000000" w:usb2="00000000" w:usb3="00000000" w:csb0="00000001" w:csb1="00000000"/>
  </w:font>
  <w:font w:name="Myriad Pro Condensed">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yriadPro-Regular">
    <w:altName w:val="Arial"/>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Neue">
    <w:charset w:val="00"/>
    <w:family w:val="auto"/>
    <w:pitch w:val="variable"/>
    <w:sig w:usb0="8000006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3476635"/>
      <w:docPartObj>
        <w:docPartGallery w:val="Page Numbers (Bottom of Page)"/>
        <w:docPartUnique/>
      </w:docPartObj>
    </w:sdtPr>
    <w:sdtEndPr>
      <w:rPr>
        <w:noProof/>
      </w:rPr>
    </w:sdtEndPr>
    <w:sdtContent>
      <w:p w14:paraId="5FDA32E3" w14:textId="2FFBA773" w:rsidR="00C6444C" w:rsidRDefault="00C6444C">
        <w:pPr>
          <w:pStyle w:val="Footer"/>
        </w:pPr>
        <w:r>
          <w:rPr>
            <w:noProof/>
          </w:rPr>
          <w:drawing>
            <wp:anchor distT="0" distB="0" distL="114300" distR="114300" simplePos="0" relativeHeight="251658244" behindDoc="1" locked="0" layoutInCell="1" allowOverlap="1" wp14:anchorId="7FAE3502" wp14:editId="0D260E8E">
              <wp:simplePos x="0" y="0"/>
              <wp:positionH relativeFrom="column">
                <wp:posOffset>-676275</wp:posOffset>
              </wp:positionH>
              <wp:positionV relativeFrom="paragraph">
                <wp:posOffset>5080</wp:posOffset>
              </wp:positionV>
              <wp:extent cx="8010144" cy="969264"/>
              <wp:effectExtent l="0" t="0" r="0" b="2540"/>
              <wp:wrapNone/>
              <wp:docPr id="1690912941" name="Picture 1690912941"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i</w:t>
        </w:r>
        <w:r>
          <w:rPr>
            <w:noProof/>
          </w:rPr>
          <w:fldChar w:fldCharType="end"/>
        </w:r>
      </w:p>
    </w:sdtContent>
  </w:sdt>
  <w:p w14:paraId="6AB0B79C" w14:textId="1E6E5562" w:rsidR="00C6444C" w:rsidRDefault="00C6444C" w:rsidP="05839DC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F7F91C" w14:textId="5E1E5857" w:rsidR="00C6444C" w:rsidRDefault="00C6444C">
    <w:pPr>
      <w:pStyle w:val="Footer"/>
    </w:pPr>
    <w:r>
      <w:rPr>
        <w:noProof/>
      </w:rPr>
      <w:drawing>
        <wp:anchor distT="0" distB="0" distL="114300" distR="114300" simplePos="0" relativeHeight="251658251" behindDoc="1" locked="0" layoutInCell="1" allowOverlap="1" wp14:anchorId="4D2FDDC4" wp14:editId="4C60ECA4">
          <wp:simplePos x="0" y="0"/>
          <wp:positionH relativeFrom="column">
            <wp:posOffset>-942975</wp:posOffset>
          </wp:positionH>
          <wp:positionV relativeFrom="page">
            <wp:posOffset>9062093</wp:posOffset>
          </wp:positionV>
          <wp:extent cx="8008045" cy="969010"/>
          <wp:effectExtent l="0" t="0" r="0" b="2540"/>
          <wp:wrapNone/>
          <wp:docPr id="1690912977" name="Picture 1690912977"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1C612C" w14:textId="77777777" w:rsidR="00C6444C" w:rsidRDefault="00C6444C" w:rsidP="05839DC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8152125"/>
      <w:docPartObj>
        <w:docPartGallery w:val="Page Numbers (Bottom of Page)"/>
        <w:docPartUnique/>
      </w:docPartObj>
    </w:sdtPr>
    <w:sdtEndPr>
      <w:rPr>
        <w:noProof/>
      </w:rPr>
    </w:sdtEndPr>
    <w:sdtContent>
      <w:p w14:paraId="69573FB3" w14:textId="797E10BF" w:rsidR="00C6444C" w:rsidRDefault="00C6444C">
        <w:pPr>
          <w:pStyle w:val="Footer"/>
        </w:pPr>
        <w:r>
          <w:rPr>
            <w:noProof/>
          </w:rPr>
          <w:drawing>
            <wp:anchor distT="0" distB="0" distL="114300" distR="114300" simplePos="0" relativeHeight="251658252" behindDoc="1" locked="0" layoutInCell="1" allowOverlap="1" wp14:anchorId="2325941F" wp14:editId="4E730F2E">
              <wp:simplePos x="0" y="0"/>
              <wp:positionH relativeFrom="column">
                <wp:posOffset>-942975</wp:posOffset>
              </wp:positionH>
              <wp:positionV relativeFrom="page">
                <wp:posOffset>9062085</wp:posOffset>
              </wp:positionV>
              <wp:extent cx="8008045" cy="969010"/>
              <wp:effectExtent l="0" t="0" r="0" b="2540"/>
              <wp:wrapNone/>
              <wp:docPr id="1690912978" name="Picture 1690912978"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5-7</w:t>
        </w:r>
        <w:r>
          <w:rPr>
            <w:noProof/>
          </w:rPr>
          <w:fldChar w:fldCharType="end"/>
        </w:r>
      </w:p>
    </w:sdtContent>
  </w:sdt>
  <w:p w14:paraId="533393C3" w14:textId="77777777" w:rsidR="00C6444C" w:rsidRDefault="00C6444C" w:rsidP="05839DC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9FB7D" w14:textId="6284EEFE" w:rsidR="00C6444C" w:rsidRDefault="00C6444C">
    <w:pPr>
      <w:pStyle w:val="Footer"/>
    </w:pPr>
    <w:r>
      <w:rPr>
        <w:noProof/>
      </w:rPr>
      <w:drawing>
        <wp:anchor distT="0" distB="0" distL="114300" distR="114300" simplePos="0" relativeHeight="251658253" behindDoc="1" locked="0" layoutInCell="1" allowOverlap="1" wp14:anchorId="20D17F23" wp14:editId="0D978030">
          <wp:simplePos x="0" y="0"/>
          <wp:positionH relativeFrom="column">
            <wp:posOffset>-942975</wp:posOffset>
          </wp:positionH>
          <wp:positionV relativeFrom="page">
            <wp:posOffset>9062092</wp:posOffset>
          </wp:positionV>
          <wp:extent cx="8008045" cy="969010"/>
          <wp:effectExtent l="0" t="0" r="0" b="2540"/>
          <wp:wrapNone/>
          <wp:docPr id="1690912979" name="Picture 1690912979"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F1EB23" w14:textId="77777777" w:rsidR="00C6444C" w:rsidRDefault="00C6444C" w:rsidP="05839DC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0469066"/>
      <w:docPartObj>
        <w:docPartGallery w:val="Page Numbers (Bottom of Page)"/>
        <w:docPartUnique/>
      </w:docPartObj>
    </w:sdtPr>
    <w:sdtEndPr>
      <w:rPr>
        <w:noProof/>
      </w:rPr>
    </w:sdtEndPr>
    <w:sdtContent>
      <w:p w14:paraId="76D63EF1" w14:textId="557D300C" w:rsidR="00C6444C" w:rsidRDefault="00C6444C">
        <w:pPr>
          <w:pStyle w:val="Footer"/>
        </w:pPr>
        <w:r>
          <w:rPr>
            <w:noProof/>
          </w:rPr>
          <w:drawing>
            <wp:anchor distT="0" distB="0" distL="114300" distR="114300" simplePos="0" relativeHeight="251658254" behindDoc="1" locked="0" layoutInCell="1" allowOverlap="1" wp14:anchorId="5CA4FA99" wp14:editId="57486571">
              <wp:simplePos x="0" y="0"/>
              <wp:positionH relativeFrom="column">
                <wp:posOffset>-942975</wp:posOffset>
              </wp:positionH>
              <wp:positionV relativeFrom="page">
                <wp:posOffset>9062092</wp:posOffset>
              </wp:positionV>
              <wp:extent cx="8008045" cy="969010"/>
              <wp:effectExtent l="0" t="0" r="0" b="2540"/>
              <wp:wrapNone/>
              <wp:docPr id="1690912980" name="Picture 1690912980"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6-3</w:t>
        </w:r>
        <w:r>
          <w:rPr>
            <w:noProof/>
          </w:rPr>
          <w:fldChar w:fldCharType="end"/>
        </w:r>
      </w:p>
    </w:sdtContent>
  </w:sdt>
  <w:p w14:paraId="14398975" w14:textId="77777777" w:rsidR="00C6444C" w:rsidRDefault="00C6444C" w:rsidP="05839DC1">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A03C4" w14:textId="2E16B3AE" w:rsidR="00C6444C" w:rsidRDefault="00C6444C">
    <w:pPr>
      <w:pStyle w:val="Footer"/>
    </w:pPr>
    <w:r>
      <w:rPr>
        <w:noProof/>
      </w:rPr>
      <w:drawing>
        <wp:anchor distT="0" distB="0" distL="114300" distR="114300" simplePos="0" relativeHeight="251658255" behindDoc="1" locked="0" layoutInCell="1" allowOverlap="1" wp14:anchorId="37F7F6F9" wp14:editId="417860B6">
          <wp:simplePos x="0" y="0"/>
          <wp:positionH relativeFrom="column">
            <wp:posOffset>-942975</wp:posOffset>
          </wp:positionH>
          <wp:positionV relativeFrom="page">
            <wp:posOffset>9062092</wp:posOffset>
          </wp:positionV>
          <wp:extent cx="8008045" cy="969010"/>
          <wp:effectExtent l="0" t="0" r="0" b="2540"/>
          <wp:wrapNone/>
          <wp:docPr id="1690912981" name="Picture 1690912981"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AF7CEE" w14:textId="77777777" w:rsidR="00C6444C" w:rsidRDefault="00C6444C" w:rsidP="05839DC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5104990"/>
      <w:docPartObj>
        <w:docPartGallery w:val="Page Numbers (Bottom of Page)"/>
        <w:docPartUnique/>
      </w:docPartObj>
    </w:sdtPr>
    <w:sdtEndPr>
      <w:rPr>
        <w:noProof/>
      </w:rPr>
    </w:sdtEndPr>
    <w:sdtContent>
      <w:p w14:paraId="73C52701" w14:textId="793B71A2" w:rsidR="00C6444C" w:rsidRDefault="00C6444C">
        <w:pPr>
          <w:pStyle w:val="Footer"/>
        </w:pPr>
        <w:r>
          <w:rPr>
            <w:noProof/>
          </w:rPr>
          <w:drawing>
            <wp:anchor distT="0" distB="0" distL="114300" distR="114300" simplePos="0" relativeHeight="251658256" behindDoc="1" locked="0" layoutInCell="1" allowOverlap="1" wp14:anchorId="7EA7B49D" wp14:editId="3B20616D">
              <wp:simplePos x="0" y="0"/>
              <wp:positionH relativeFrom="column">
                <wp:posOffset>-942975</wp:posOffset>
              </wp:positionH>
              <wp:positionV relativeFrom="page">
                <wp:posOffset>9062092</wp:posOffset>
              </wp:positionV>
              <wp:extent cx="8008045" cy="969010"/>
              <wp:effectExtent l="0" t="0" r="0" b="2540"/>
              <wp:wrapNone/>
              <wp:docPr id="1690912982" name="Picture 1690912982"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7-8</w:t>
        </w:r>
        <w:r>
          <w:rPr>
            <w:noProof/>
          </w:rPr>
          <w:fldChar w:fldCharType="end"/>
        </w:r>
      </w:p>
    </w:sdtContent>
  </w:sdt>
  <w:p w14:paraId="6D7650AA" w14:textId="77777777" w:rsidR="00C6444C" w:rsidRDefault="00C6444C" w:rsidP="05839DC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84206" w14:textId="464AE05F" w:rsidR="00C6444C" w:rsidRDefault="00C6444C">
    <w:pPr>
      <w:pStyle w:val="Footer"/>
    </w:pPr>
    <w:r>
      <w:rPr>
        <w:noProof/>
      </w:rPr>
      <w:drawing>
        <wp:anchor distT="0" distB="0" distL="114300" distR="114300" simplePos="0" relativeHeight="251658257" behindDoc="1" locked="0" layoutInCell="1" allowOverlap="1" wp14:anchorId="418E7E38" wp14:editId="103C5B42">
          <wp:simplePos x="0" y="0"/>
          <wp:positionH relativeFrom="column">
            <wp:posOffset>-942975</wp:posOffset>
          </wp:positionH>
          <wp:positionV relativeFrom="page">
            <wp:posOffset>9062085</wp:posOffset>
          </wp:positionV>
          <wp:extent cx="8008045" cy="969010"/>
          <wp:effectExtent l="0" t="0" r="0" b="2540"/>
          <wp:wrapNone/>
          <wp:docPr id="1690912983" name="Picture 1690912983"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B99348" w14:textId="77777777" w:rsidR="00C6444C" w:rsidRDefault="00C6444C" w:rsidP="05839DC1">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1337411"/>
      <w:docPartObj>
        <w:docPartGallery w:val="Page Numbers (Bottom of Page)"/>
        <w:docPartUnique/>
      </w:docPartObj>
    </w:sdtPr>
    <w:sdtEndPr>
      <w:rPr>
        <w:noProof/>
      </w:rPr>
    </w:sdtEndPr>
    <w:sdtContent>
      <w:p w14:paraId="2C66D538" w14:textId="75CE7058" w:rsidR="00C6444C" w:rsidRDefault="00C6444C">
        <w:pPr>
          <w:pStyle w:val="Footer"/>
        </w:pPr>
        <w:r>
          <w:rPr>
            <w:noProof/>
          </w:rPr>
          <w:drawing>
            <wp:anchor distT="0" distB="0" distL="114300" distR="114300" simplePos="0" relativeHeight="251658278" behindDoc="1" locked="0" layoutInCell="1" allowOverlap="1" wp14:anchorId="3034CD03" wp14:editId="71B10DD8">
              <wp:simplePos x="0" y="0"/>
              <wp:positionH relativeFrom="column">
                <wp:posOffset>-942975</wp:posOffset>
              </wp:positionH>
              <wp:positionV relativeFrom="page">
                <wp:posOffset>9062092</wp:posOffset>
              </wp:positionV>
              <wp:extent cx="8008045" cy="969010"/>
              <wp:effectExtent l="0" t="0" r="0" b="2540"/>
              <wp:wrapNone/>
              <wp:docPr id="1690912984" name="Picture 1690912984"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8-9</w:t>
        </w:r>
        <w:r>
          <w:rPr>
            <w:noProof/>
          </w:rPr>
          <w:fldChar w:fldCharType="end"/>
        </w:r>
      </w:p>
    </w:sdtContent>
  </w:sdt>
  <w:p w14:paraId="2FC88C45" w14:textId="77777777" w:rsidR="00C6444C" w:rsidRDefault="00C6444C" w:rsidP="05839DC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81302"/>
      <w:docPartObj>
        <w:docPartGallery w:val="Page Numbers (Bottom of Page)"/>
        <w:docPartUnique/>
      </w:docPartObj>
    </w:sdtPr>
    <w:sdtEndPr>
      <w:rPr>
        <w:noProof/>
      </w:rPr>
    </w:sdtEndPr>
    <w:sdtContent>
      <w:p w14:paraId="162454FB" w14:textId="77777777" w:rsidR="00C6444C" w:rsidRDefault="00C6444C">
        <w:pPr>
          <w:pStyle w:val="Footer"/>
        </w:pPr>
        <w:r>
          <w:rPr>
            <w:noProof/>
          </w:rPr>
          <w:drawing>
            <wp:anchor distT="0" distB="0" distL="114300" distR="114300" simplePos="0" relativeHeight="251658258" behindDoc="1" locked="0" layoutInCell="1" allowOverlap="1" wp14:anchorId="5480ECF2" wp14:editId="710EE1D8">
              <wp:simplePos x="0" y="0"/>
              <wp:positionH relativeFrom="column">
                <wp:posOffset>-942975</wp:posOffset>
              </wp:positionH>
              <wp:positionV relativeFrom="page">
                <wp:posOffset>9062085</wp:posOffset>
              </wp:positionV>
              <wp:extent cx="8008045" cy="969010"/>
              <wp:effectExtent l="0" t="0" r="0" b="2540"/>
              <wp:wrapNone/>
              <wp:docPr id="1690912985" name="Picture 1690912985"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0ADCD26A" w14:textId="77777777" w:rsidR="00C6444C" w:rsidRDefault="00C6444C" w:rsidP="05839DC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792216"/>
      <w:docPartObj>
        <w:docPartGallery w:val="Page Numbers (Bottom of Page)"/>
        <w:docPartUnique/>
      </w:docPartObj>
    </w:sdtPr>
    <w:sdtEndPr>
      <w:rPr>
        <w:noProof/>
      </w:rPr>
    </w:sdtEndPr>
    <w:sdtContent>
      <w:p w14:paraId="3D461B70" w14:textId="35C02A74" w:rsidR="00C6444C" w:rsidRDefault="00C6444C">
        <w:pPr>
          <w:pStyle w:val="Footer"/>
        </w:pPr>
        <w:r>
          <w:rPr>
            <w:noProof/>
          </w:rPr>
          <w:drawing>
            <wp:anchor distT="0" distB="0" distL="114300" distR="114300" simplePos="0" relativeHeight="251658259" behindDoc="1" locked="0" layoutInCell="1" allowOverlap="1" wp14:anchorId="5D7CC365" wp14:editId="18E12A3E">
              <wp:simplePos x="0" y="0"/>
              <wp:positionH relativeFrom="column">
                <wp:posOffset>-942975</wp:posOffset>
              </wp:positionH>
              <wp:positionV relativeFrom="page">
                <wp:posOffset>9062092</wp:posOffset>
              </wp:positionV>
              <wp:extent cx="8008045" cy="969010"/>
              <wp:effectExtent l="0" t="0" r="0" b="2540"/>
              <wp:wrapNone/>
              <wp:docPr id="1690912986" name="Picture 1690912986"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9-6</w:t>
        </w:r>
        <w:r>
          <w:rPr>
            <w:noProof/>
          </w:rPr>
          <w:fldChar w:fldCharType="end"/>
        </w:r>
      </w:p>
    </w:sdtContent>
  </w:sdt>
  <w:p w14:paraId="45976371" w14:textId="77777777" w:rsidR="00C6444C" w:rsidRDefault="00C6444C" w:rsidP="05839D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DADAD" w14:textId="315D7B3A" w:rsidR="00C6444C" w:rsidRDefault="00C6444C">
    <w:pPr>
      <w:pStyle w:val="Footer"/>
    </w:pPr>
    <w:r>
      <w:rPr>
        <w:noProof/>
      </w:rPr>
      <w:drawing>
        <wp:anchor distT="0" distB="0" distL="114300" distR="114300" simplePos="0" relativeHeight="251658245" behindDoc="1" locked="0" layoutInCell="1" allowOverlap="1" wp14:anchorId="1E071551" wp14:editId="709DE8C2">
          <wp:simplePos x="0" y="0"/>
          <wp:positionH relativeFrom="column">
            <wp:posOffset>-848360</wp:posOffset>
          </wp:positionH>
          <wp:positionV relativeFrom="paragraph">
            <wp:posOffset>8890</wp:posOffset>
          </wp:positionV>
          <wp:extent cx="8010144" cy="969264"/>
          <wp:effectExtent l="0" t="0" r="0" b="2540"/>
          <wp:wrapNone/>
          <wp:docPr id="1690912965" name="Picture 1690912965"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9A3061" w14:textId="529ECE4F" w:rsidR="00C6444C" w:rsidRDefault="00C6444C" w:rsidP="05839DC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5C4B7" w14:textId="2578C10C" w:rsidR="00C6444C" w:rsidRDefault="00C6444C" w:rsidP="00020D20">
    <w:pPr>
      <w:pStyle w:val="Footer"/>
      <w:tabs>
        <w:tab w:val="clear" w:pos="360"/>
      </w:tabs>
    </w:pPr>
    <w:r>
      <w:rPr>
        <w:noProof/>
      </w:rPr>
      <w:drawing>
        <wp:anchor distT="0" distB="0" distL="114300" distR="114300" simplePos="0" relativeHeight="251658260" behindDoc="1" locked="0" layoutInCell="1" allowOverlap="1" wp14:anchorId="2492AB13" wp14:editId="7D0B5F4A">
          <wp:simplePos x="0" y="0"/>
          <wp:positionH relativeFrom="column">
            <wp:posOffset>-942975</wp:posOffset>
          </wp:positionH>
          <wp:positionV relativeFrom="page">
            <wp:posOffset>9062085</wp:posOffset>
          </wp:positionV>
          <wp:extent cx="8008045" cy="969010"/>
          <wp:effectExtent l="0" t="0" r="0" b="2540"/>
          <wp:wrapNone/>
          <wp:docPr id="1690912987" name="Picture 1690912987"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88615" w14:textId="77777777" w:rsidR="00C6444C" w:rsidRDefault="00C6444C" w:rsidP="05839DC1">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858330"/>
      <w:docPartObj>
        <w:docPartGallery w:val="Page Numbers (Bottom of Page)"/>
        <w:docPartUnique/>
      </w:docPartObj>
    </w:sdtPr>
    <w:sdtEndPr>
      <w:rPr>
        <w:noProof/>
      </w:rPr>
    </w:sdtEndPr>
    <w:sdtContent>
      <w:p w14:paraId="79420911" w14:textId="76C99825" w:rsidR="00C6444C" w:rsidRDefault="00C6444C">
        <w:pPr>
          <w:pStyle w:val="Footer"/>
        </w:pPr>
        <w:r>
          <w:rPr>
            <w:noProof/>
          </w:rPr>
          <w:drawing>
            <wp:anchor distT="0" distB="0" distL="114300" distR="114300" simplePos="0" relativeHeight="251658261" behindDoc="1" locked="0" layoutInCell="1" allowOverlap="1" wp14:anchorId="495F35CD" wp14:editId="20688047">
              <wp:simplePos x="0" y="0"/>
              <wp:positionH relativeFrom="column">
                <wp:posOffset>-942975</wp:posOffset>
              </wp:positionH>
              <wp:positionV relativeFrom="page">
                <wp:posOffset>9062092</wp:posOffset>
              </wp:positionV>
              <wp:extent cx="8008045" cy="969010"/>
              <wp:effectExtent l="0" t="0" r="0" b="2540"/>
              <wp:wrapNone/>
              <wp:docPr id="1690912988" name="Picture 1690912988"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10-12</w:t>
        </w:r>
        <w:r>
          <w:rPr>
            <w:noProof/>
          </w:rPr>
          <w:fldChar w:fldCharType="end"/>
        </w:r>
      </w:p>
    </w:sdtContent>
  </w:sdt>
  <w:p w14:paraId="7C03EB83" w14:textId="77777777" w:rsidR="00C6444C" w:rsidRDefault="00C6444C" w:rsidP="05839DC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4259519"/>
      <w:docPartObj>
        <w:docPartGallery w:val="Page Numbers (Bottom of Page)"/>
        <w:docPartUnique/>
      </w:docPartObj>
    </w:sdtPr>
    <w:sdtEndPr>
      <w:rPr>
        <w:noProof/>
      </w:rPr>
    </w:sdtEndPr>
    <w:sdtContent>
      <w:p w14:paraId="3D455B51" w14:textId="5AD73EA2" w:rsidR="00C6444C" w:rsidRDefault="00C6444C">
        <w:pPr>
          <w:pStyle w:val="Footer"/>
        </w:pPr>
        <w:r>
          <w:rPr>
            <w:noProof/>
          </w:rPr>
          <w:drawing>
            <wp:anchor distT="0" distB="0" distL="114300" distR="114300" simplePos="0" relativeHeight="251658262" behindDoc="1" locked="0" layoutInCell="1" allowOverlap="1" wp14:anchorId="0E8AB202" wp14:editId="1FC0AD63">
              <wp:simplePos x="0" y="0"/>
              <wp:positionH relativeFrom="column">
                <wp:posOffset>-942975</wp:posOffset>
              </wp:positionH>
              <wp:positionV relativeFrom="page">
                <wp:posOffset>9062092</wp:posOffset>
              </wp:positionV>
              <wp:extent cx="8008045" cy="969010"/>
              <wp:effectExtent l="0" t="0" r="0" b="2540"/>
              <wp:wrapNone/>
              <wp:docPr id="1690912989" name="Picture 1690912989"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28CCF5B7" w14:textId="77777777" w:rsidR="00C6444C" w:rsidRDefault="00C6444C" w:rsidP="05839DC1">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4618696"/>
      <w:docPartObj>
        <w:docPartGallery w:val="Page Numbers (Bottom of Page)"/>
        <w:docPartUnique/>
      </w:docPartObj>
    </w:sdtPr>
    <w:sdtEndPr>
      <w:rPr>
        <w:noProof/>
      </w:rPr>
    </w:sdtEndPr>
    <w:sdtContent>
      <w:p w14:paraId="26CD0AEB" w14:textId="7DE89269" w:rsidR="00C6444C" w:rsidRDefault="00C6444C">
        <w:pPr>
          <w:pStyle w:val="Footer"/>
        </w:pPr>
        <w:r>
          <w:rPr>
            <w:noProof/>
          </w:rPr>
          <w:drawing>
            <wp:anchor distT="0" distB="0" distL="114300" distR="114300" simplePos="0" relativeHeight="251658263" behindDoc="1" locked="0" layoutInCell="1" allowOverlap="1" wp14:anchorId="6DA64615" wp14:editId="475CF9F0">
              <wp:simplePos x="0" y="0"/>
              <wp:positionH relativeFrom="column">
                <wp:posOffset>-942975</wp:posOffset>
              </wp:positionH>
              <wp:positionV relativeFrom="page">
                <wp:posOffset>9062092</wp:posOffset>
              </wp:positionV>
              <wp:extent cx="8008045" cy="969010"/>
              <wp:effectExtent l="0" t="0" r="0" b="2540"/>
              <wp:wrapNone/>
              <wp:docPr id="1690912990" name="Picture 1690912990"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11-4</w:t>
        </w:r>
        <w:r>
          <w:rPr>
            <w:noProof/>
          </w:rPr>
          <w:fldChar w:fldCharType="end"/>
        </w:r>
      </w:p>
    </w:sdtContent>
  </w:sdt>
  <w:p w14:paraId="67D259D9" w14:textId="77777777" w:rsidR="00C6444C" w:rsidRDefault="00C6444C" w:rsidP="05839DC1">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8390022"/>
      <w:docPartObj>
        <w:docPartGallery w:val="Page Numbers (Bottom of Page)"/>
        <w:docPartUnique/>
      </w:docPartObj>
    </w:sdtPr>
    <w:sdtEndPr>
      <w:rPr>
        <w:noProof/>
      </w:rPr>
    </w:sdtEndPr>
    <w:sdtContent>
      <w:p w14:paraId="5ECD93D5" w14:textId="24EF585A" w:rsidR="00C6444C" w:rsidRDefault="00C6444C">
        <w:pPr>
          <w:pStyle w:val="Footer"/>
        </w:pPr>
        <w:r>
          <w:rPr>
            <w:noProof/>
          </w:rPr>
          <w:drawing>
            <wp:anchor distT="0" distB="0" distL="114300" distR="114300" simplePos="0" relativeHeight="251658264" behindDoc="1" locked="0" layoutInCell="1" allowOverlap="1" wp14:anchorId="0D1D4B9E" wp14:editId="55D0C64C">
              <wp:simplePos x="0" y="0"/>
              <wp:positionH relativeFrom="column">
                <wp:posOffset>-942975</wp:posOffset>
              </wp:positionH>
              <wp:positionV relativeFrom="page">
                <wp:posOffset>9062092</wp:posOffset>
              </wp:positionV>
              <wp:extent cx="8008045" cy="969010"/>
              <wp:effectExtent l="0" t="0" r="0" b="2540"/>
              <wp:wrapNone/>
              <wp:docPr id="1690912991" name="Picture 1690912991"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0FAD3BF5" w14:textId="77777777" w:rsidR="00C6444C" w:rsidRDefault="00C6444C" w:rsidP="05839DC1">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7731029"/>
      <w:docPartObj>
        <w:docPartGallery w:val="Page Numbers (Bottom of Page)"/>
        <w:docPartUnique/>
      </w:docPartObj>
    </w:sdtPr>
    <w:sdtEndPr>
      <w:rPr>
        <w:noProof/>
      </w:rPr>
    </w:sdtEndPr>
    <w:sdtContent>
      <w:p w14:paraId="29C3DD01" w14:textId="0B7DF708" w:rsidR="00C6444C" w:rsidRDefault="00C6444C">
        <w:pPr>
          <w:pStyle w:val="Footer"/>
        </w:pPr>
        <w:r>
          <w:rPr>
            <w:noProof/>
          </w:rPr>
          <w:drawing>
            <wp:anchor distT="0" distB="0" distL="114300" distR="114300" simplePos="0" relativeHeight="251658265" behindDoc="1" locked="0" layoutInCell="1" allowOverlap="1" wp14:anchorId="167575CE" wp14:editId="6DF3966F">
              <wp:simplePos x="0" y="0"/>
              <wp:positionH relativeFrom="column">
                <wp:posOffset>-942975</wp:posOffset>
              </wp:positionH>
              <wp:positionV relativeFrom="page">
                <wp:posOffset>9062085</wp:posOffset>
              </wp:positionV>
              <wp:extent cx="8008045" cy="969010"/>
              <wp:effectExtent l="0" t="0" r="0" b="2540"/>
              <wp:wrapNone/>
              <wp:docPr id="1690912992" name="Picture 1690912992"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12-12</w:t>
        </w:r>
        <w:r>
          <w:rPr>
            <w:noProof/>
          </w:rPr>
          <w:fldChar w:fldCharType="end"/>
        </w:r>
      </w:p>
    </w:sdtContent>
  </w:sdt>
  <w:p w14:paraId="3E4D8DFB" w14:textId="77777777" w:rsidR="00C6444C" w:rsidRDefault="00C6444C" w:rsidP="05839DC1">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4104356"/>
      <w:docPartObj>
        <w:docPartGallery w:val="Page Numbers (Bottom of Page)"/>
        <w:docPartUnique/>
      </w:docPartObj>
    </w:sdtPr>
    <w:sdtEndPr>
      <w:rPr>
        <w:noProof/>
      </w:rPr>
    </w:sdtEndPr>
    <w:sdtContent>
      <w:p w14:paraId="51E5962A" w14:textId="18606256" w:rsidR="00C6444C" w:rsidRDefault="00C6444C">
        <w:pPr>
          <w:pStyle w:val="Footer"/>
        </w:pPr>
        <w:r>
          <w:rPr>
            <w:noProof/>
          </w:rPr>
          <w:drawing>
            <wp:anchor distT="0" distB="0" distL="114300" distR="114300" simplePos="0" relativeHeight="251658266" behindDoc="1" locked="0" layoutInCell="1" allowOverlap="1" wp14:anchorId="44A93AFC" wp14:editId="493570EC">
              <wp:simplePos x="0" y="0"/>
              <wp:positionH relativeFrom="column">
                <wp:posOffset>-942975</wp:posOffset>
              </wp:positionH>
              <wp:positionV relativeFrom="page">
                <wp:posOffset>9062092</wp:posOffset>
              </wp:positionV>
              <wp:extent cx="8008045" cy="969010"/>
              <wp:effectExtent l="0" t="0" r="0" b="2540"/>
              <wp:wrapNone/>
              <wp:docPr id="1690912993" name="Picture 1690912993"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6FBEAAD0" w14:textId="77777777" w:rsidR="00C6444C" w:rsidRDefault="00C6444C" w:rsidP="05839DC1">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9426658"/>
      <w:docPartObj>
        <w:docPartGallery w:val="Page Numbers (Bottom of Page)"/>
        <w:docPartUnique/>
      </w:docPartObj>
    </w:sdtPr>
    <w:sdtEndPr>
      <w:rPr>
        <w:noProof/>
      </w:rPr>
    </w:sdtEndPr>
    <w:sdtContent>
      <w:p w14:paraId="6FD96A86" w14:textId="460A732C" w:rsidR="00C6444C" w:rsidRDefault="00C6444C">
        <w:pPr>
          <w:pStyle w:val="Footer"/>
        </w:pPr>
        <w:r>
          <w:rPr>
            <w:noProof/>
          </w:rPr>
          <w:drawing>
            <wp:anchor distT="0" distB="0" distL="114300" distR="114300" simplePos="0" relativeHeight="251658267" behindDoc="1" locked="0" layoutInCell="1" allowOverlap="1" wp14:anchorId="36F09795" wp14:editId="0374749E">
              <wp:simplePos x="0" y="0"/>
              <wp:positionH relativeFrom="column">
                <wp:posOffset>-942975</wp:posOffset>
              </wp:positionH>
              <wp:positionV relativeFrom="page">
                <wp:posOffset>9062085</wp:posOffset>
              </wp:positionV>
              <wp:extent cx="8008045" cy="969010"/>
              <wp:effectExtent l="0" t="0" r="0" b="2540"/>
              <wp:wrapNone/>
              <wp:docPr id="1690912994" name="Picture 1690912994"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13-3</w:t>
        </w:r>
        <w:r>
          <w:rPr>
            <w:noProof/>
          </w:rPr>
          <w:fldChar w:fldCharType="end"/>
        </w:r>
      </w:p>
    </w:sdtContent>
  </w:sdt>
  <w:p w14:paraId="4B13275E" w14:textId="77777777" w:rsidR="00C6444C" w:rsidRPr="00003E69" w:rsidRDefault="00C6444C">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24930" w14:textId="093FDBD9" w:rsidR="00C6444C" w:rsidRDefault="00C6444C">
    <w:pPr>
      <w:pStyle w:val="Footer"/>
    </w:pPr>
    <w:r>
      <w:rPr>
        <w:noProof/>
      </w:rPr>
      <w:drawing>
        <wp:anchor distT="0" distB="0" distL="114300" distR="114300" simplePos="0" relativeHeight="251658268" behindDoc="1" locked="0" layoutInCell="1" allowOverlap="1" wp14:anchorId="71E1DA90" wp14:editId="36317F79">
          <wp:simplePos x="0" y="0"/>
          <wp:positionH relativeFrom="column">
            <wp:posOffset>-942975</wp:posOffset>
          </wp:positionH>
          <wp:positionV relativeFrom="page">
            <wp:posOffset>9062085</wp:posOffset>
          </wp:positionV>
          <wp:extent cx="8008045" cy="969010"/>
          <wp:effectExtent l="0" t="0" r="0" b="2540"/>
          <wp:wrapNone/>
          <wp:docPr id="1690912995" name="Picture 1690912995"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EC2A2" w14:textId="77777777" w:rsidR="00C6444C" w:rsidRDefault="00C6444C" w:rsidP="05839DC1">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4986589"/>
      <w:docPartObj>
        <w:docPartGallery w:val="Page Numbers (Bottom of Page)"/>
        <w:docPartUnique/>
      </w:docPartObj>
    </w:sdtPr>
    <w:sdtEndPr>
      <w:rPr>
        <w:noProof/>
      </w:rPr>
    </w:sdtEndPr>
    <w:sdtContent>
      <w:p w14:paraId="68274FD5" w14:textId="71C220A2" w:rsidR="00C6444C" w:rsidRDefault="00C6444C">
        <w:pPr>
          <w:pStyle w:val="Footer"/>
        </w:pPr>
        <w:r>
          <w:rPr>
            <w:noProof/>
          </w:rPr>
          <w:drawing>
            <wp:anchor distT="0" distB="0" distL="114300" distR="114300" simplePos="0" relativeHeight="251658269" behindDoc="1" locked="0" layoutInCell="1" allowOverlap="1" wp14:anchorId="1436783D" wp14:editId="4CFC1AAC">
              <wp:simplePos x="0" y="0"/>
              <wp:positionH relativeFrom="column">
                <wp:posOffset>-942975</wp:posOffset>
              </wp:positionH>
              <wp:positionV relativeFrom="page">
                <wp:posOffset>9062092</wp:posOffset>
              </wp:positionV>
              <wp:extent cx="8008045" cy="969010"/>
              <wp:effectExtent l="0" t="0" r="0" b="2540"/>
              <wp:wrapNone/>
              <wp:docPr id="1690912996" name="Picture 1690912996"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14-7</w:t>
        </w:r>
        <w:r>
          <w:rPr>
            <w:noProof/>
          </w:rPr>
          <w:fldChar w:fldCharType="end"/>
        </w:r>
      </w:p>
    </w:sdtContent>
  </w:sdt>
  <w:p w14:paraId="3F6DA361" w14:textId="77777777" w:rsidR="00C6444C" w:rsidRDefault="00C6444C" w:rsidP="05839D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7313021"/>
      <w:docPartObj>
        <w:docPartGallery w:val="Page Numbers (Bottom of Page)"/>
        <w:docPartUnique/>
      </w:docPartObj>
    </w:sdtPr>
    <w:sdtEndPr>
      <w:rPr>
        <w:noProof/>
      </w:rPr>
    </w:sdtEndPr>
    <w:sdtContent>
      <w:p w14:paraId="4BBFC424" w14:textId="09B949A6" w:rsidR="00C6444C" w:rsidRDefault="00C6444C">
        <w:pPr>
          <w:pStyle w:val="Footer"/>
        </w:pPr>
        <w:r>
          <w:rPr>
            <w:noProof/>
          </w:rPr>
          <w:drawing>
            <wp:anchor distT="0" distB="0" distL="114300" distR="114300" simplePos="0" relativeHeight="251658246" behindDoc="1" locked="0" layoutInCell="1" allowOverlap="1" wp14:anchorId="5C938CEA" wp14:editId="34150A7C">
              <wp:simplePos x="0" y="0"/>
              <wp:positionH relativeFrom="column">
                <wp:posOffset>-848360</wp:posOffset>
              </wp:positionH>
              <wp:positionV relativeFrom="paragraph">
                <wp:posOffset>8890</wp:posOffset>
              </wp:positionV>
              <wp:extent cx="8009890" cy="969010"/>
              <wp:effectExtent l="0" t="0" r="0" b="2540"/>
              <wp:wrapNone/>
              <wp:docPr id="1690912966" name="Picture 1690912966"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9890"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1-23</w:t>
        </w:r>
        <w:r>
          <w:rPr>
            <w:noProof/>
          </w:rPr>
          <w:fldChar w:fldCharType="end"/>
        </w:r>
      </w:p>
    </w:sdtContent>
  </w:sdt>
  <w:p w14:paraId="16D4879A" w14:textId="481B425A" w:rsidR="00C6444C" w:rsidRDefault="00C6444C" w:rsidP="00020D20">
    <w:pPr>
      <w:pStyle w:val="Footer"/>
      <w:tabs>
        <w:tab w:val="clear" w:pos="180"/>
        <w:tab w:val="clear" w:pos="360"/>
        <w:tab w:val="clear" w:pos="540"/>
        <w:tab w:val="clear" w:pos="720"/>
        <w:tab w:val="clear" w:pos="9360"/>
      </w:tabs>
    </w:pPr>
    <w:r>
      <w:tab/>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87335A" w14:textId="41D28907" w:rsidR="00C6444C" w:rsidRDefault="00C6444C">
    <w:pPr>
      <w:pStyle w:val="Footer"/>
    </w:pPr>
    <w:r>
      <w:rPr>
        <w:noProof/>
      </w:rPr>
      <w:drawing>
        <wp:anchor distT="0" distB="0" distL="114300" distR="114300" simplePos="0" relativeHeight="251658270" behindDoc="1" locked="0" layoutInCell="1" allowOverlap="1" wp14:anchorId="44DF98CD" wp14:editId="303EBE8C">
          <wp:simplePos x="0" y="0"/>
          <wp:positionH relativeFrom="column">
            <wp:posOffset>-942975</wp:posOffset>
          </wp:positionH>
          <wp:positionV relativeFrom="page">
            <wp:posOffset>9062085</wp:posOffset>
          </wp:positionV>
          <wp:extent cx="8008045" cy="969010"/>
          <wp:effectExtent l="0" t="0" r="0" b="2540"/>
          <wp:wrapNone/>
          <wp:docPr id="1690912997" name="Picture 1690912997"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C9AB2F" w14:textId="77777777" w:rsidR="00C6444C" w:rsidRDefault="00C6444C" w:rsidP="05839DC1">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4658769"/>
      <w:docPartObj>
        <w:docPartGallery w:val="Page Numbers (Bottom of Page)"/>
        <w:docPartUnique/>
      </w:docPartObj>
    </w:sdtPr>
    <w:sdtEndPr>
      <w:rPr>
        <w:noProof/>
      </w:rPr>
    </w:sdtEndPr>
    <w:sdtContent>
      <w:p w14:paraId="10C22F98" w14:textId="2F4D760C" w:rsidR="00C6444C" w:rsidRDefault="00C6444C">
        <w:pPr>
          <w:pStyle w:val="Footer"/>
        </w:pPr>
        <w:r>
          <w:rPr>
            <w:noProof/>
          </w:rPr>
          <w:drawing>
            <wp:anchor distT="0" distB="0" distL="114300" distR="114300" simplePos="0" relativeHeight="251658271" behindDoc="1" locked="0" layoutInCell="1" allowOverlap="1" wp14:anchorId="56705778" wp14:editId="4B903650">
              <wp:simplePos x="0" y="0"/>
              <wp:positionH relativeFrom="column">
                <wp:posOffset>-942975</wp:posOffset>
              </wp:positionH>
              <wp:positionV relativeFrom="page">
                <wp:posOffset>9062092</wp:posOffset>
              </wp:positionV>
              <wp:extent cx="8008045" cy="969010"/>
              <wp:effectExtent l="0" t="0" r="0" b="2540"/>
              <wp:wrapNone/>
              <wp:docPr id="1690912998" name="Picture 1690912998"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15-15</w:t>
        </w:r>
        <w:r>
          <w:rPr>
            <w:noProof/>
          </w:rPr>
          <w:fldChar w:fldCharType="end"/>
        </w:r>
      </w:p>
    </w:sdtContent>
  </w:sdt>
  <w:p w14:paraId="008C8424" w14:textId="77777777" w:rsidR="00C6444C" w:rsidRDefault="00C6444C" w:rsidP="05839DC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3EF24" w14:textId="12B03F5B" w:rsidR="00C6444C" w:rsidRDefault="00C6444C">
    <w:pPr>
      <w:pStyle w:val="Footer"/>
    </w:pPr>
    <w:r>
      <w:rPr>
        <w:noProof/>
      </w:rPr>
      <w:drawing>
        <wp:anchor distT="0" distB="0" distL="114300" distR="114300" simplePos="0" relativeHeight="251658272" behindDoc="1" locked="0" layoutInCell="1" allowOverlap="1" wp14:anchorId="0E7B3E42" wp14:editId="37F037D6">
          <wp:simplePos x="0" y="0"/>
          <wp:positionH relativeFrom="column">
            <wp:posOffset>-942975</wp:posOffset>
          </wp:positionH>
          <wp:positionV relativeFrom="page">
            <wp:posOffset>9062092</wp:posOffset>
          </wp:positionV>
          <wp:extent cx="8008045" cy="969010"/>
          <wp:effectExtent l="0" t="0" r="0" b="2540"/>
          <wp:wrapNone/>
          <wp:docPr id="1690912999" name="Picture 1690912999"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1A00FB" w14:textId="77777777" w:rsidR="00C6444C" w:rsidRDefault="00C6444C" w:rsidP="05839DC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1734695"/>
      <w:docPartObj>
        <w:docPartGallery w:val="Page Numbers (Bottom of Page)"/>
        <w:docPartUnique/>
      </w:docPartObj>
    </w:sdtPr>
    <w:sdtEndPr>
      <w:rPr>
        <w:noProof/>
      </w:rPr>
    </w:sdtEndPr>
    <w:sdtContent>
      <w:p w14:paraId="1C21753B" w14:textId="17EBA197" w:rsidR="00C6444C" w:rsidRDefault="00C6444C">
        <w:pPr>
          <w:pStyle w:val="Footer"/>
        </w:pPr>
        <w:r>
          <w:rPr>
            <w:noProof/>
          </w:rPr>
          <w:drawing>
            <wp:anchor distT="0" distB="0" distL="114300" distR="114300" simplePos="0" relativeHeight="251658273" behindDoc="1" locked="0" layoutInCell="1" allowOverlap="1" wp14:anchorId="210217D8" wp14:editId="715C8B3C">
              <wp:simplePos x="0" y="0"/>
              <wp:positionH relativeFrom="column">
                <wp:posOffset>-942975</wp:posOffset>
              </wp:positionH>
              <wp:positionV relativeFrom="page">
                <wp:posOffset>9062092</wp:posOffset>
              </wp:positionV>
              <wp:extent cx="8008045" cy="969010"/>
              <wp:effectExtent l="0" t="0" r="0" b="2540"/>
              <wp:wrapNone/>
              <wp:docPr id="1690913000" name="Picture 1690913000"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16-11</w:t>
        </w:r>
        <w:r>
          <w:rPr>
            <w:noProof/>
          </w:rPr>
          <w:fldChar w:fldCharType="end"/>
        </w:r>
      </w:p>
    </w:sdtContent>
  </w:sdt>
  <w:p w14:paraId="1C2506E6" w14:textId="77777777" w:rsidR="00C6444C" w:rsidRDefault="00C6444C" w:rsidP="05839DC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7152807"/>
      <w:docPartObj>
        <w:docPartGallery w:val="Page Numbers (Bottom of Page)"/>
        <w:docPartUnique/>
      </w:docPartObj>
    </w:sdtPr>
    <w:sdtEndPr>
      <w:rPr>
        <w:noProof/>
      </w:rPr>
    </w:sdtEndPr>
    <w:sdtContent>
      <w:p w14:paraId="16D97109" w14:textId="5C2E9BD9" w:rsidR="00C6444C" w:rsidRDefault="00C6444C">
        <w:pPr>
          <w:pStyle w:val="Footer"/>
        </w:pPr>
        <w:r>
          <w:rPr>
            <w:noProof/>
          </w:rPr>
          <w:drawing>
            <wp:anchor distT="0" distB="0" distL="114300" distR="114300" simplePos="0" relativeHeight="251658274" behindDoc="1" locked="0" layoutInCell="1" allowOverlap="1" wp14:anchorId="031DB6AB" wp14:editId="6901F594">
              <wp:simplePos x="0" y="0"/>
              <wp:positionH relativeFrom="column">
                <wp:posOffset>-942975</wp:posOffset>
              </wp:positionH>
              <wp:positionV relativeFrom="page">
                <wp:posOffset>9062092</wp:posOffset>
              </wp:positionV>
              <wp:extent cx="8008045" cy="969010"/>
              <wp:effectExtent l="0" t="0" r="0" b="2540"/>
              <wp:wrapNone/>
              <wp:docPr id="1690913001" name="Picture 1690913001"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2ED2365F" w14:textId="77777777" w:rsidR="00C6444C" w:rsidRDefault="00C6444C" w:rsidP="05839DC1">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3560988"/>
      <w:docPartObj>
        <w:docPartGallery w:val="Page Numbers (Bottom of Page)"/>
        <w:docPartUnique/>
      </w:docPartObj>
    </w:sdtPr>
    <w:sdtEndPr>
      <w:rPr>
        <w:noProof/>
      </w:rPr>
    </w:sdtEndPr>
    <w:sdtContent>
      <w:p w14:paraId="05F33640" w14:textId="2F7DED90" w:rsidR="00C6444C" w:rsidRDefault="00C6444C">
        <w:pPr>
          <w:pStyle w:val="Footer"/>
        </w:pPr>
        <w:r>
          <w:fldChar w:fldCharType="begin"/>
        </w:r>
        <w:r>
          <w:instrText xml:space="preserve"> PAGE   \* MERGEFORMAT </w:instrText>
        </w:r>
        <w:r>
          <w:fldChar w:fldCharType="separate"/>
        </w:r>
        <w:r w:rsidR="00202C92">
          <w:rPr>
            <w:noProof/>
          </w:rPr>
          <w:t>17-73</w:t>
        </w:r>
        <w:r>
          <w:rPr>
            <w:noProof/>
          </w:rPr>
          <w:fldChar w:fldCharType="end"/>
        </w:r>
      </w:p>
    </w:sdtContent>
  </w:sdt>
  <w:p w14:paraId="51A3A3CE" w14:textId="77777777" w:rsidR="00C6444C" w:rsidRDefault="00C6444C" w:rsidP="05839DC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4957346"/>
      <w:docPartObj>
        <w:docPartGallery w:val="Page Numbers (Bottom of Page)"/>
        <w:docPartUnique/>
      </w:docPartObj>
    </w:sdtPr>
    <w:sdtEndPr>
      <w:rPr>
        <w:noProof/>
      </w:rPr>
    </w:sdtEndPr>
    <w:sdtContent>
      <w:p w14:paraId="1074715A" w14:textId="03075FE6" w:rsidR="00C6444C" w:rsidRDefault="00C6444C">
        <w:pPr>
          <w:pStyle w:val="Footer"/>
        </w:pPr>
        <w:r>
          <w:rPr>
            <w:noProof/>
          </w:rPr>
          <w:drawing>
            <wp:anchor distT="0" distB="0" distL="114300" distR="114300" simplePos="0" relativeHeight="251658275" behindDoc="1" locked="0" layoutInCell="1" allowOverlap="1" wp14:anchorId="3209A4F9" wp14:editId="4E455B53">
              <wp:simplePos x="0" y="0"/>
              <wp:positionH relativeFrom="column">
                <wp:posOffset>-1009650</wp:posOffset>
              </wp:positionH>
              <wp:positionV relativeFrom="page">
                <wp:posOffset>9062092</wp:posOffset>
              </wp:positionV>
              <wp:extent cx="8008045" cy="969010"/>
              <wp:effectExtent l="0" t="0" r="0" b="2540"/>
              <wp:wrapNone/>
              <wp:docPr id="1690912898" name="Picture 1690912898"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804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723672E4" w14:textId="77777777" w:rsidR="00C6444C" w:rsidRDefault="00C6444C" w:rsidP="05839DC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2D1A1" w14:textId="3B755745" w:rsidR="00C6444C" w:rsidRDefault="00C6444C">
    <w:pPr>
      <w:pStyle w:val="Footer"/>
    </w:pPr>
    <w:r>
      <w:rPr>
        <w:noProof/>
      </w:rPr>
      <w:drawing>
        <wp:anchor distT="0" distB="0" distL="114300" distR="114300" simplePos="0" relativeHeight="251658247" behindDoc="1" locked="0" layoutInCell="1" allowOverlap="1" wp14:anchorId="1FA1B6EE" wp14:editId="2B850B48">
          <wp:simplePos x="0" y="0"/>
          <wp:positionH relativeFrom="column">
            <wp:posOffset>-943610</wp:posOffset>
          </wp:positionH>
          <wp:positionV relativeFrom="paragraph">
            <wp:posOffset>8890</wp:posOffset>
          </wp:positionV>
          <wp:extent cx="8010144" cy="969264"/>
          <wp:effectExtent l="0" t="0" r="0" b="2540"/>
          <wp:wrapNone/>
          <wp:docPr id="1690912971" name="Picture 1690912971"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9F557" w14:textId="5513C383" w:rsidR="00C6444C" w:rsidRDefault="00C6444C" w:rsidP="00020D20">
    <w:pPr>
      <w:pStyle w:val="Footer"/>
      <w:tabs>
        <w:tab w:val="clear" w:pos="180"/>
        <w:tab w:val="clear" w:pos="360"/>
        <w:tab w:val="clear" w:pos="540"/>
        <w:tab w:val="clear" w:pos="720"/>
        <w:tab w:val="clear" w:pos="4680"/>
        <w:tab w:val="clear" w:pos="9360"/>
        <w:tab w:val="left" w:pos="172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0564080"/>
      <w:docPartObj>
        <w:docPartGallery w:val="Page Numbers (Bottom of Page)"/>
        <w:docPartUnique/>
      </w:docPartObj>
    </w:sdtPr>
    <w:sdtEndPr>
      <w:rPr>
        <w:noProof/>
      </w:rPr>
    </w:sdtEndPr>
    <w:sdtContent>
      <w:p w14:paraId="3D7F329B" w14:textId="0F6118FA" w:rsidR="00C6444C" w:rsidRDefault="00C6444C">
        <w:pPr>
          <w:pStyle w:val="Footer"/>
        </w:pPr>
        <w:r>
          <w:rPr>
            <w:noProof/>
          </w:rPr>
          <w:drawing>
            <wp:anchor distT="0" distB="0" distL="114300" distR="114300" simplePos="0" relativeHeight="251658248" behindDoc="1" locked="0" layoutInCell="1" allowOverlap="1" wp14:anchorId="33A44C75" wp14:editId="52C67670">
              <wp:simplePos x="0" y="0"/>
              <wp:positionH relativeFrom="column">
                <wp:posOffset>-943610</wp:posOffset>
              </wp:positionH>
              <wp:positionV relativeFrom="paragraph">
                <wp:posOffset>11430</wp:posOffset>
              </wp:positionV>
              <wp:extent cx="8010144" cy="969264"/>
              <wp:effectExtent l="0" t="0" r="0" b="2540"/>
              <wp:wrapNone/>
              <wp:docPr id="1690912972" name="Picture 1690912972"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2-16</w:t>
        </w:r>
        <w:r>
          <w:rPr>
            <w:noProof/>
          </w:rPr>
          <w:fldChar w:fldCharType="end"/>
        </w:r>
      </w:p>
    </w:sdtContent>
  </w:sdt>
  <w:p w14:paraId="2C316AD0" w14:textId="4BD027FF" w:rsidR="00C6444C" w:rsidRDefault="00C6444C" w:rsidP="00020D20">
    <w:pPr>
      <w:pStyle w:val="Footer"/>
      <w:tabs>
        <w:tab w:val="clear" w:pos="180"/>
        <w:tab w:val="clear" w:pos="360"/>
        <w:tab w:val="clear" w:pos="540"/>
        <w:tab w:val="clear" w:pos="720"/>
        <w:tab w:val="clear" w:pos="4680"/>
        <w:tab w:val="clear" w:pos="9360"/>
        <w:tab w:val="left" w:pos="172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EA2E9" w14:textId="4901BB36" w:rsidR="00C6444C" w:rsidRDefault="00C6444C">
    <w:pPr>
      <w:pStyle w:val="Footer"/>
    </w:pPr>
    <w:r>
      <w:rPr>
        <w:noProof/>
      </w:rPr>
      <w:drawing>
        <wp:anchor distT="0" distB="0" distL="114300" distR="114300" simplePos="0" relativeHeight="251658249" behindDoc="1" locked="0" layoutInCell="1" allowOverlap="1" wp14:anchorId="44D4FDAE" wp14:editId="4A7DF1A2">
          <wp:simplePos x="0" y="0"/>
          <wp:positionH relativeFrom="column">
            <wp:posOffset>-941705</wp:posOffset>
          </wp:positionH>
          <wp:positionV relativeFrom="paragraph">
            <wp:posOffset>1905</wp:posOffset>
          </wp:positionV>
          <wp:extent cx="8010144" cy="969264"/>
          <wp:effectExtent l="0" t="0" r="0" b="2540"/>
          <wp:wrapNone/>
          <wp:docPr id="1690912973" name="Picture 1690912973"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1C8DEC" w14:textId="6ECCFC8E" w:rsidR="00C6444C" w:rsidRDefault="00C6444C" w:rsidP="05839DC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7769319"/>
      <w:docPartObj>
        <w:docPartGallery w:val="Page Numbers (Bottom of Page)"/>
        <w:docPartUnique/>
      </w:docPartObj>
    </w:sdtPr>
    <w:sdtEndPr>
      <w:rPr>
        <w:noProof/>
      </w:rPr>
    </w:sdtEndPr>
    <w:sdtContent>
      <w:p w14:paraId="37027386" w14:textId="1F16D3BC" w:rsidR="00C6444C" w:rsidRDefault="00C6444C">
        <w:pPr>
          <w:pStyle w:val="Footer"/>
        </w:pPr>
        <w:r>
          <w:rPr>
            <w:noProof/>
          </w:rPr>
          <w:drawing>
            <wp:anchor distT="0" distB="0" distL="114300" distR="114300" simplePos="0" relativeHeight="251658276" behindDoc="1" locked="0" layoutInCell="1" allowOverlap="1" wp14:anchorId="552AA328" wp14:editId="0316D62B">
              <wp:simplePos x="0" y="0"/>
              <wp:positionH relativeFrom="column">
                <wp:posOffset>-942975</wp:posOffset>
              </wp:positionH>
              <wp:positionV relativeFrom="paragraph">
                <wp:posOffset>-635</wp:posOffset>
              </wp:positionV>
              <wp:extent cx="8010144" cy="969264"/>
              <wp:effectExtent l="0" t="0" r="0" b="2540"/>
              <wp:wrapNone/>
              <wp:docPr id="1690912974" name="Picture 1690912974"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3-11</w:t>
        </w:r>
        <w:r>
          <w:rPr>
            <w:noProof/>
          </w:rPr>
          <w:fldChar w:fldCharType="end"/>
        </w:r>
      </w:p>
    </w:sdtContent>
  </w:sdt>
  <w:p w14:paraId="6A9D8FF5" w14:textId="77777777" w:rsidR="00C6444C" w:rsidRDefault="00C6444C" w:rsidP="05839DC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110699"/>
      <w:docPartObj>
        <w:docPartGallery w:val="Page Numbers (Bottom of Page)"/>
        <w:docPartUnique/>
      </w:docPartObj>
    </w:sdtPr>
    <w:sdtEndPr>
      <w:rPr>
        <w:noProof/>
      </w:rPr>
    </w:sdtEndPr>
    <w:sdtContent>
      <w:p w14:paraId="016E7C7B" w14:textId="27D6EB59" w:rsidR="00C6444C" w:rsidRDefault="00C6444C">
        <w:pPr>
          <w:pStyle w:val="Footer"/>
        </w:pPr>
        <w:r>
          <w:rPr>
            <w:noProof/>
          </w:rPr>
          <w:drawing>
            <wp:anchor distT="0" distB="0" distL="114300" distR="114300" simplePos="0" relativeHeight="251658277" behindDoc="1" locked="0" layoutInCell="1" allowOverlap="1" wp14:anchorId="489199E3" wp14:editId="14C980D4">
              <wp:simplePos x="0" y="0"/>
              <wp:positionH relativeFrom="column">
                <wp:posOffset>-942975</wp:posOffset>
              </wp:positionH>
              <wp:positionV relativeFrom="paragraph">
                <wp:posOffset>-635</wp:posOffset>
              </wp:positionV>
              <wp:extent cx="8010144" cy="969264"/>
              <wp:effectExtent l="0" t="0" r="0" b="2540"/>
              <wp:wrapNone/>
              <wp:docPr id="1690912975" name="Picture 1690912975"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144" cy="969264"/>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06AA2672" w14:textId="77777777" w:rsidR="00C6444C" w:rsidRDefault="00C6444C" w:rsidP="05839DC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174621"/>
      <w:docPartObj>
        <w:docPartGallery w:val="Page Numbers (Bottom of Page)"/>
        <w:docPartUnique/>
      </w:docPartObj>
    </w:sdtPr>
    <w:sdtEndPr>
      <w:rPr>
        <w:noProof/>
      </w:rPr>
    </w:sdtEndPr>
    <w:sdtContent>
      <w:p w14:paraId="4458DFD5" w14:textId="4E6EB020" w:rsidR="00C6444C" w:rsidRDefault="00C6444C">
        <w:pPr>
          <w:pStyle w:val="Footer"/>
        </w:pPr>
        <w:r>
          <w:rPr>
            <w:noProof/>
          </w:rPr>
          <w:drawing>
            <wp:anchor distT="0" distB="0" distL="114300" distR="114300" simplePos="0" relativeHeight="251658250" behindDoc="1" locked="0" layoutInCell="1" allowOverlap="1" wp14:anchorId="1DBE14C0" wp14:editId="349C60DC">
              <wp:simplePos x="0" y="0"/>
              <wp:positionH relativeFrom="column">
                <wp:posOffset>-990600</wp:posOffset>
              </wp:positionH>
              <wp:positionV relativeFrom="page">
                <wp:posOffset>9058275</wp:posOffset>
              </wp:positionV>
              <wp:extent cx="8008045" cy="969010"/>
              <wp:effectExtent l="0" t="0" r="0" b="2540"/>
              <wp:wrapNone/>
              <wp:docPr id="1690912976" name="Picture 1690912976" descr="C:\Users\siffermanst\AppData\Local\Microsoft\Windows\INetCacheContent.Word\MPO COG Foo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ffermanst\AppData\Local\Microsoft\Windows\INetCacheContent.Word\MPO COG Footer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10444" cy="96930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202C92">
          <w:rPr>
            <w:noProof/>
          </w:rPr>
          <w:t>4-8</w:t>
        </w:r>
        <w:r>
          <w:rPr>
            <w:noProof/>
          </w:rPr>
          <w:fldChar w:fldCharType="end"/>
        </w:r>
      </w:p>
    </w:sdtContent>
  </w:sdt>
  <w:p w14:paraId="208FCCA4" w14:textId="610CFC79" w:rsidR="00C6444C" w:rsidRDefault="00C6444C" w:rsidP="05839D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60C20F" w14:textId="77777777" w:rsidR="00C6444C" w:rsidRDefault="00C6444C" w:rsidP="00BA7FD1">
      <w:r>
        <w:separator/>
      </w:r>
    </w:p>
  </w:footnote>
  <w:footnote w:type="continuationSeparator" w:id="0">
    <w:p w14:paraId="7724E2DD" w14:textId="77777777" w:rsidR="00C6444C" w:rsidRDefault="00C6444C" w:rsidP="00BA7FD1">
      <w:r>
        <w:continuationSeparator/>
      </w:r>
    </w:p>
  </w:footnote>
  <w:footnote w:type="continuationNotice" w:id="1">
    <w:p w14:paraId="340D943C" w14:textId="77777777" w:rsidR="00C6444C" w:rsidRDefault="00C6444C" w:rsidP="00BA7FD1"/>
  </w:footnote>
  <w:footnote w:id="2">
    <w:p w14:paraId="67548408" w14:textId="17DB3DBC" w:rsidR="00C6444C" w:rsidRDefault="00C6444C" w:rsidP="00020D20">
      <w:pPr>
        <w:pStyle w:val="Source-Graphic"/>
      </w:pPr>
      <w:r>
        <w:rPr>
          <w:rStyle w:val="FootnoteReference"/>
        </w:rPr>
        <w:footnoteRef/>
      </w:r>
      <w:r w:rsidRPr="009258D9">
        <w:t>1 | Note: USDOT Order 5610.2(a) requires administrators to obtain information</w:t>
      </w:r>
      <w:r>
        <w:t xml:space="preserve"> </w:t>
      </w:r>
      <w:r w:rsidRPr="009258D9">
        <w:t>regarding “the present and proposed membership, by</w:t>
      </w:r>
      <w:r>
        <w:t xml:space="preserve"> race, color or national origin </w:t>
      </w:r>
      <w:r w:rsidRPr="009258D9">
        <w:t>in any planning or advisory body [associated with USDOT] policy s, programs, and</w:t>
      </w:r>
      <w:r>
        <w:t xml:space="preserve"> </w:t>
      </w:r>
      <w:r w:rsidRPr="009258D9">
        <w:t>activities,” which implies that membership composition is relevant with respect to Title</w:t>
      </w:r>
      <w:r>
        <w:t xml:space="preserve"> </w:t>
      </w:r>
      <w:r w:rsidRPr="009258D9">
        <w:t>VI and Environmental Justice matters. (See chapter 13, “Public Involvement”).</w:t>
      </w:r>
      <w:r w:rsidRPr="009258D9">
        <w:rPr>
          <w:rFonts w:cstheme="minorHAnsi"/>
          <w:sz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82D82" w14:textId="5CF87821" w:rsidR="00C6444C" w:rsidRDefault="00C6444C">
    <w:pPr>
      <w:pStyle w:val="Header"/>
    </w:pPr>
    <w:r>
      <w:rPr>
        <w:noProof/>
      </w:rPr>
      <w:drawing>
        <wp:anchor distT="0" distB="0" distL="114300" distR="114300" simplePos="0" relativeHeight="251658243" behindDoc="0" locked="0" layoutInCell="1" allowOverlap="1" wp14:anchorId="2DA3B7A6" wp14:editId="45BCCA11">
          <wp:simplePos x="0" y="0"/>
          <wp:positionH relativeFrom="page">
            <wp:posOffset>9525</wp:posOffset>
          </wp:positionH>
          <wp:positionV relativeFrom="paragraph">
            <wp:posOffset>-769620</wp:posOffset>
          </wp:positionV>
          <wp:extent cx="7758430" cy="1047115"/>
          <wp:effectExtent l="0" t="0" r="0" b="635"/>
          <wp:wrapNone/>
          <wp:docPr id="1690912940" name="Picture 1690912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siffermanst\AppData\Local\Microsoft\Windows\INetCacheContent.Word\MPO COG Header1.jpg"/>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58430" cy="104711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950E5" w14:textId="2C63153C" w:rsidR="00C6444C" w:rsidRDefault="00C6444C">
    <w:pPr>
      <w:pStyle w:val="Header"/>
      <w:rPr>
        <w:noProof/>
      </w:rPr>
    </w:pPr>
    <w:r>
      <w:rPr>
        <w:noProof/>
      </w:rPr>
      <w:drawing>
        <wp:anchor distT="0" distB="0" distL="114300" distR="114300" simplePos="0" relativeHeight="251658279" behindDoc="0" locked="0" layoutInCell="1" allowOverlap="1" wp14:anchorId="601ACD92" wp14:editId="5471D6FF">
          <wp:simplePos x="0" y="0"/>
          <wp:positionH relativeFrom="page">
            <wp:posOffset>0</wp:posOffset>
          </wp:positionH>
          <wp:positionV relativeFrom="paragraph">
            <wp:posOffset>-457200</wp:posOffset>
          </wp:positionV>
          <wp:extent cx="7758430" cy="1047115"/>
          <wp:effectExtent l="0" t="0" r="0" b="635"/>
          <wp:wrapNone/>
          <wp:docPr id="1690912969" name="Picture 1690912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siffermanst\AppData\Local\Microsoft\Windows\INetCacheContent.Word\MPO COG Header1.jpg"/>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58430" cy="1047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E42510" w14:textId="7329F9DA" w:rsidR="00C6444C" w:rsidRDefault="00C6444C">
    <w:pPr>
      <w:pStyle w:val="Header"/>
    </w:pPr>
  </w:p>
  <w:p w14:paraId="6BD4BA23" w14:textId="04878D8D" w:rsidR="00C6444C" w:rsidRDefault="00C644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7863"/>
    <w:multiLevelType w:val="multilevel"/>
    <w:tmpl w:val="0AB63A4A"/>
    <w:lvl w:ilvl="0">
      <w:start w:val="1"/>
      <w:numFmt w:val="decimal"/>
      <w:lvlText w:val="%1"/>
      <w:lvlJc w:val="left"/>
      <w:pPr>
        <w:tabs>
          <w:tab w:val="num" w:pos="360"/>
        </w:tabs>
        <w:ind w:left="0" w:firstLine="0"/>
      </w:pPr>
      <w:rPr>
        <w:rFonts w:ascii="Calibri" w:hAnsi="Calibri" w:hint="default"/>
        <w:b/>
        <w:i w:val="0"/>
        <w:color w:val="012768"/>
        <w:sz w:val="40"/>
      </w:rPr>
    </w:lvl>
    <w:lvl w:ilvl="1">
      <w:start w:val="1"/>
      <w:numFmt w:val="decimal"/>
      <w:lvlText w:val=""/>
      <w:lvlJc w:val="left"/>
      <w:pPr>
        <w:tabs>
          <w:tab w:val="num" w:pos="360"/>
        </w:tabs>
        <w:ind w:left="0" w:firstLine="0"/>
      </w:pPr>
      <w:rPr>
        <w:rFonts w:hint="default"/>
      </w:rPr>
    </w:lvl>
    <w:lvl w:ilvl="2">
      <w:start w:val="1"/>
      <w:numFmt w:val="decimal"/>
      <w:lvlText w:val=""/>
      <w:lvlJc w:val="left"/>
      <w:pPr>
        <w:tabs>
          <w:tab w:val="num" w:pos="360"/>
        </w:tabs>
        <w:ind w:left="0" w:firstLine="0"/>
      </w:pPr>
      <w:rPr>
        <w:rFonts w:hint="default"/>
      </w:rPr>
    </w:lvl>
    <w:lvl w:ilvl="3">
      <w:start w:val="1"/>
      <w:numFmt w:val="decimal"/>
      <w:lvlText w:val=""/>
      <w:lvlJc w:val="left"/>
      <w:pPr>
        <w:tabs>
          <w:tab w:val="num" w:pos="360"/>
        </w:tabs>
        <w:ind w:left="0" w:firstLine="0"/>
      </w:pPr>
      <w:rPr>
        <w:rFonts w:hint="default"/>
      </w:rPr>
    </w:lvl>
    <w:lvl w:ilvl="4">
      <w:start w:val="1"/>
      <w:numFmt w:val="decimal"/>
      <w:lvlText w:val=""/>
      <w:lvlJc w:val="left"/>
      <w:pPr>
        <w:tabs>
          <w:tab w:val="num" w:pos="360"/>
        </w:tabs>
        <w:ind w:left="0" w:firstLine="0"/>
      </w:pPr>
      <w:rPr>
        <w:rFonts w:hint="default"/>
      </w:rPr>
    </w:lvl>
    <w:lvl w:ilvl="5">
      <w:start w:val="1"/>
      <w:numFmt w:val="decimal"/>
      <w:lvlText w:val=""/>
      <w:lvlJc w:val="left"/>
      <w:pPr>
        <w:tabs>
          <w:tab w:val="num" w:pos="360"/>
        </w:tabs>
        <w:ind w:left="0" w:firstLine="0"/>
      </w:pPr>
      <w:rPr>
        <w:rFonts w:hint="default"/>
      </w:rPr>
    </w:lvl>
    <w:lvl w:ilvl="6">
      <w:start w:val="1"/>
      <w:numFmt w:val="decimal"/>
      <w:lvlText w:val=""/>
      <w:lvlJc w:val="left"/>
      <w:pPr>
        <w:tabs>
          <w:tab w:val="num" w:pos="360"/>
        </w:tabs>
        <w:ind w:left="0" w:firstLine="0"/>
      </w:pPr>
      <w:rPr>
        <w:rFonts w:hint="default"/>
      </w:rPr>
    </w:lvl>
    <w:lvl w:ilvl="7">
      <w:start w:val="1"/>
      <w:numFmt w:val="decimal"/>
      <w:lvlText w:val=""/>
      <w:lvlJc w:val="left"/>
      <w:pPr>
        <w:tabs>
          <w:tab w:val="num" w:pos="360"/>
        </w:tabs>
        <w:ind w:left="0" w:firstLine="0"/>
      </w:pPr>
      <w:rPr>
        <w:rFonts w:hint="default"/>
      </w:rPr>
    </w:lvl>
    <w:lvl w:ilvl="8">
      <w:start w:val="1"/>
      <w:numFmt w:val="decimal"/>
      <w:lvlText w:val=""/>
      <w:lvlJc w:val="left"/>
      <w:pPr>
        <w:tabs>
          <w:tab w:val="num" w:pos="360"/>
        </w:tabs>
        <w:ind w:left="0" w:firstLine="0"/>
      </w:pPr>
      <w:rPr>
        <w:rFonts w:hint="default"/>
      </w:rPr>
    </w:lvl>
  </w:abstractNum>
  <w:abstractNum w:abstractNumId="1" w15:restartNumberingAfterBreak="0">
    <w:nsid w:val="009C1EBA"/>
    <w:multiLevelType w:val="hybridMultilevel"/>
    <w:tmpl w:val="0D12C5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53CC2"/>
    <w:multiLevelType w:val="hybridMultilevel"/>
    <w:tmpl w:val="8D1CE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B55F18"/>
    <w:multiLevelType w:val="hybridMultilevel"/>
    <w:tmpl w:val="BC2431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B82FDB"/>
    <w:multiLevelType w:val="hybridMultilevel"/>
    <w:tmpl w:val="281873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0DD5C8B"/>
    <w:multiLevelType w:val="hybridMultilevel"/>
    <w:tmpl w:val="FFD0878C"/>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 w15:restartNumberingAfterBreak="0">
    <w:nsid w:val="01DF679C"/>
    <w:multiLevelType w:val="hybridMultilevel"/>
    <w:tmpl w:val="4DCC1A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674848"/>
    <w:multiLevelType w:val="hybridMultilevel"/>
    <w:tmpl w:val="815E60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F10F0B"/>
    <w:multiLevelType w:val="hybridMultilevel"/>
    <w:tmpl w:val="9CDE9FDC"/>
    <w:lvl w:ilvl="0" w:tplc="04090003">
      <w:start w:val="1"/>
      <w:numFmt w:val="bullet"/>
      <w:lvlText w:val="o"/>
      <w:lvlJc w:val="left"/>
      <w:pPr>
        <w:ind w:left="720" w:hanging="360"/>
      </w:pPr>
      <w:rPr>
        <w:rFonts w:ascii="Courier New" w:hAnsi="Courier New" w:cs="Courier New"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643135"/>
    <w:multiLevelType w:val="hybridMultilevel"/>
    <w:tmpl w:val="D272E4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AB630E"/>
    <w:multiLevelType w:val="hybridMultilevel"/>
    <w:tmpl w:val="C32E4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A55B13"/>
    <w:multiLevelType w:val="hybridMultilevel"/>
    <w:tmpl w:val="59465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D32591"/>
    <w:multiLevelType w:val="hybridMultilevel"/>
    <w:tmpl w:val="9C3AF356"/>
    <w:lvl w:ilvl="0" w:tplc="5FCC77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063E1C2E"/>
    <w:multiLevelType w:val="hybridMultilevel"/>
    <w:tmpl w:val="A75AB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E94ABC"/>
    <w:multiLevelType w:val="hybridMultilevel"/>
    <w:tmpl w:val="9CC4AC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F2317E"/>
    <w:multiLevelType w:val="hybridMultilevel"/>
    <w:tmpl w:val="D444CA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756203B"/>
    <w:multiLevelType w:val="hybridMultilevel"/>
    <w:tmpl w:val="6F5E0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7BE2A64"/>
    <w:multiLevelType w:val="hybridMultilevel"/>
    <w:tmpl w:val="EAF8B9A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7C1225A"/>
    <w:multiLevelType w:val="hybridMultilevel"/>
    <w:tmpl w:val="3C9EC9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86D6951"/>
    <w:multiLevelType w:val="hybridMultilevel"/>
    <w:tmpl w:val="3D1828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8C92D94"/>
    <w:multiLevelType w:val="hybridMultilevel"/>
    <w:tmpl w:val="8E7A4F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905451F"/>
    <w:multiLevelType w:val="hybridMultilevel"/>
    <w:tmpl w:val="EC7AB7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3C6120"/>
    <w:multiLevelType w:val="hybridMultilevel"/>
    <w:tmpl w:val="C51420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9AB20A0"/>
    <w:multiLevelType w:val="multilevel"/>
    <w:tmpl w:val="B936DA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09EB271B"/>
    <w:multiLevelType w:val="hybridMultilevel"/>
    <w:tmpl w:val="DDCA1F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A202A89"/>
    <w:multiLevelType w:val="hybridMultilevel"/>
    <w:tmpl w:val="5B265E88"/>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AC66EE5"/>
    <w:multiLevelType w:val="hybridMultilevel"/>
    <w:tmpl w:val="D14026AC"/>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AC967C3"/>
    <w:multiLevelType w:val="hybridMultilevel"/>
    <w:tmpl w:val="E3D60E7A"/>
    <w:lvl w:ilvl="0" w:tplc="04090003">
      <w:start w:val="1"/>
      <w:numFmt w:val="bullet"/>
      <w:lvlText w:val="o"/>
      <w:lvlJc w:val="left"/>
      <w:pPr>
        <w:ind w:left="720" w:hanging="360"/>
      </w:pPr>
      <w:rPr>
        <w:rFonts w:ascii="Courier New" w:hAnsi="Courier New" w:cs="Courier New"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FD3660"/>
    <w:multiLevelType w:val="hybridMultilevel"/>
    <w:tmpl w:val="7E389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B0731D8"/>
    <w:multiLevelType w:val="hybridMultilevel"/>
    <w:tmpl w:val="D7D83A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B83606E"/>
    <w:multiLevelType w:val="hybridMultilevel"/>
    <w:tmpl w:val="4B56B58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0BAB5DA4"/>
    <w:multiLevelType w:val="multilevel"/>
    <w:tmpl w:val="404E424E"/>
    <w:lvl w:ilvl="0">
      <w:start w:val="1"/>
      <w:numFmt w:val="decimal"/>
      <w:lvlText w:val="%1."/>
      <w:lvlJc w:val="left"/>
      <w:pPr>
        <w:ind w:left="2790" w:hanging="360"/>
      </w:pPr>
    </w:lvl>
    <w:lvl w:ilvl="1">
      <w:start w:val="8"/>
      <w:numFmt w:val="decimal"/>
      <w:isLgl/>
      <w:lvlText w:val="%1.%2"/>
      <w:lvlJc w:val="left"/>
      <w:pPr>
        <w:ind w:left="915" w:hanging="55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0C1A01A4"/>
    <w:multiLevelType w:val="hybridMultilevel"/>
    <w:tmpl w:val="4544AE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D1762CD"/>
    <w:multiLevelType w:val="hybridMultilevel"/>
    <w:tmpl w:val="4CD4AFEE"/>
    <w:lvl w:ilvl="0" w:tplc="C13C8FC0">
      <w:start w:val="1"/>
      <w:numFmt w:val="decimal"/>
      <w:pStyle w:val="zNumbered"/>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0DDB2B1B"/>
    <w:multiLevelType w:val="hybridMultilevel"/>
    <w:tmpl w:val="A880B8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E672EF7"/>
    <w:multiLevelType w:val="hybridMultilevel"/>
    <w:tmpl w:val="D396C0FC"/>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6" w15:restartNumberingAfterBreak="0">
    <w:nsid w:val="0E947A51"/>
    <w:multiLevelType w:val="hybridMultilevel"/>
    <w:tmpl w:val="A978D0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FFA1E83"/>
    <w:multiLevelType w:val="hybridMultilevel"/>
    <w:tmpl w:val="701AF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0611032"/>
    <w:multiLevelType w:val="hybridMultilevel"/>
    <w:tmpl w:val="01102CF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10C32D87"/>
    <w:multiLevelType w:val="hybridMultilevel"/>
    <w:tmpl w:val="7D5802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1C433A3"/>
    <w:multiLevelType w:val="hybridMultilevel"/>
    <w:tmpl w:val="8996D9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20D2D2F"/>
    <w:multiLevelType w:val="hybridMultilevel"/>
    <w:tmpl w:val="4FD61F12"/>
    <w:lvl w:ilvl="0" w:tplc="04090005">
      <w:start w:val="1"/>
      <w:numFmt w:val="bullet"/>
      <w:lvlText w:val=""/>
      <w:lvlJc w:val="left"/>
      <w:pPr>
        <w:ind w:left="720" w:hanging="360"/>
      </w:pPr>
      <w:rPr>
        <w:rFonts w:ascii="Wingdings" w:hAnsi="Wingdings" w:hint="default"/>
      </w:rPr>
    </w:lvl>
    <w:lvl w:ilvl="1" w:tplc="E0EEA89E">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2B30CE4"/>
    <w:multiLevelType w:val="hybridMultilevel"/>
    <w:tmpl w:val="641C1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2C43008"/>
    <w:multiLevelType w:val="hybridMultilevel"/>
    <w:tmpl w:val="99F24E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2ED2F69"/>
    <w:multiLevelType w:val="hybridMultilevel"/>
    <w:tmpl w:val="A9E07AAC"/>
    <w:lvl w:ilvl="0" w:tplc="31107BBE">
      <w:start w:val="1"/>
      <w:numFmt w:val="decimal"/>
      <w:lvlText w:val="%1"/>
      <w:lvlJc w:val="left"/>
      <w:pPr>
        <w:ind w:left="360" w:hanging="360"/>
      </w:pPr>
      <w:rPr>
        <w:rFonts w:ascii="Calibri" w:hAnsi="Calibri" w:hint="default"/>
        <w:b w:val="0"/>
        <w:i w:val="0"/>
        <w:color w:val="auto"/>
        <w:sz w:val="20"/>
      </w:rPr>
    </w:lvl>
    <w:lvl w:ilvl="1" w:tplc="A5A4F2B4">
      <w:start w:val="1"/>
      <w:numFmt w:val="none"/>
      <w:lvlText w:val=""/>
      <w:lvlJc w:val="left"/>
      <w:pPr>
        <w:ind w:left="720" w:hanging="360"/>
      </w:pPr>
      <w:rPr>
        <w:rFonts w:hint="default"/>
      </w:rPr>
    </w:lvl>
    <w:lvl w:ilvl="2" w:tplc="6D386C5C">
      <w:start w:val="1"/>
      <w:numFmt w:val="none"/>
      <w:lvlText w:val=""/>
      <w:lvlJc w:val="left"/>
      <w:pPr>
        <w:ind w:left="1080" w:hanging="360"/>
      </w:pPr>
      <w:rPr>
        <w:rFonts w:hint="default"/>
      </w:rPr>
    </w:lvl>
    <w:lvl w:ilvl="3" w:tplc="8F38BBCA">
      <w:start w:val="1"/>
      <w:numFmt w:val="none"/>
      <w:lvlText w:val=""/>
      <w:lvlJc w:val="left"/>
      <w:pPr>
        <w:ind w:left="1440" w:hanging="360"/>
      </w:pPr>
      <w:rPr>
        <w:rFonts w:hint="default"/>
      </w:rPr>
    </w:lvl>
    <w:lvl w:ilvl="4" w:tplc="D29E86F4">
      <w:start w:val="1"/>
      <w:numFmt w:val="none"/>
      <w:lvlText w:val=""/>
      <w:lvlJc w:val="left"/>
      <w:pPr>
        <w:ind w:left="1800" w:hanging="360"/>
      </w:pPr>
      <w:rPr>
        <w:rFonts w:hint="default"/>
      </w:rPr>
    </w:lvl>
    <w:lvl w:ilvl="5" w:tplc="BC62ACD0">
      <w:start w:val="1"/>
      <w:numFmt w:val="none"/>
      <w:lvlText w:val=""/>
      <w:lvlJc w:val="left"/>
      <w:pPr>
        <w:ind w:left="2160" w:hanging="360"/>
      </w:pPr>
      <w:rPr>
        <w:rFonts w:hint="default"/>
      </w:rPr>
    </w:lvl>
    <w:lvl w:ilvl="6" w:tplc="4490D006">
      <w:start w:val="1"/>
      <w:numFmt w:val="none"/>
      <w:lvlText w:val=""/>
      <w:lvlJc w:val="left"/>
      <w:pPr>
        <w:ind w:left="2520" w:hanging="360"/>
      </w:pPr>
      <w:rPr>
        <w:rFonts w:hint="default"/>
      </w:rPr>
    </w:lvl>
    <w:lvl w:ilvl="7" w:tplc="115E9378">
      <w:start w:val="1"/>
      <w:numFmt w:val="none"/>
      <w:lvlText w:val=""/>
      <w:lvlJc w:val="left"/>
      <w:pPr>
        <w:ind w:left="2880" w:hanging="360"/>
      </w:pPr>
      <w:rPr>
        <w:rFonts w:hint="default"/>
      </w:rPr>
    </w:lvl>
    <w:lvl w:ilvl="8" w:tplc="D1D0B91C">
      <w:start w:val="1"/>
      <w:numFmt w:val="none"/>
      <w:lvlText w:val=""/>
      <w:lvlJc w:val="left"/>
      <w:pPr>
        <w:ind w:left="3240" w:hanging="360"/>
      </w:pPr>
      <w:rPr>
        <w:rFonts w:hint="default"/>
      </w:rPr>
    </w:lvl>
  </w:abstractNum>
  <w:abstractNum w:abstractNumId="45" w15:restartNumberingAfterBreak="0">
    <w:nsid w:val="13316F03"/>
    <w:multiLevelType w:val="hybridMultilevel"/>
    <w:tmpl w:val="40A2E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4024541"/>
    <w:multiLevelType w:val="hybridMultilevel"/>
    <w:tmpl w:val="3F588B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4EA1878"/>
    <w:multiLevelType w:val="hybridMultilevel"/>
    <w:tmpl w:val="F8186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50805EA"/>
    <w:multiLevelType w:val="hybridMultilevel"/>
    <w:tmpl w:val="1CB4A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5384056"/>
    <w:multiLevelType w:val="hybridMultilevel"/>
    <w:tmpl w:val="E8221B28"/>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0" w15:restartNumberingAfterBreak="0">
    <w:nsid w:val="15576EB9"/>
    <w:multiLevelType w:val="hybridMultilevel"/>
    <w:tmpl w:val="00E4A6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59D579C"/>
    <w:multiLevelType w:val="hybridMultilevel"/>
    <w:tmpl w:val="7B4EEA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16392DA1"/>
    <w:multiLevelType w:val="hybridMultilevel"/>
    <w:tmpl w:val="872885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64E7642"/>
    <w:multiLevelType w:val="hybridMultilevel"/>
    <w:tmpl w:val="45CAAFD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16F85BDA"/>
    <w:multiLevelType w:val="hybridMultilevel"/>
    <w:tmpl w:val="077217D6"/>
    <w:lvl w:ilvl="0" w:tplc="B3122CF2">
      <w:start w:val="1"/>
      <w:numFmt w:val="decimal"/>
      <w:lvlText w:val="%1."/>
      <w:lvlJc w:val="left"/>
      <w:pPr>
        <w:tabs>
          <w:tab w:val="num" w:pos="720"/>
        </w:tabs>
        <w:ind w:left="720" w:hanging="720"/>
      </w:pPr>
    </w:lvl>
    <w:lvl w:ilvl="1" w:tplc="A4AAB16A">
      <w:start w:val="1"/>
      <w:numFmt w:val="decimal"/>
      <w:lvlText w:val="%2."/>
      <w:lvlJc w:val="left"/>
      <w:pPr>
        <w:tabs>
          <w:tab w:val="num" w:pos="1440"/>
        </w:tabs>
        <w:ind w:left="1440" w:hanging="720"/>
      </w:pPr>
    </w:lvl>
    <w:lvl w:ilvl="2" w:tplc="E0C0DF0E">
      <w:start w:val="1"/>
      <w:numFmt w:val="decimal"/>
      <w:lvlText w:val="%3."/>
      <w:lvlJc w:val="left"/>
      <w:pPr>
        <w:tabs>
          <w:tab w:val="num" w:pos="2160"/>
        </w:tabs>
        <w:ind w:left="2160" w:hanging="720"/>
      </w:pPr>
    </w:lvl>
    <w:lvl w:ilvl="3" w:tplc="D09EF25A">
      <w:start w:val="1"/>
      <w:numFmt w:val="decimal"/>
      <w:lvlText w:val="%4."/>
      <w:lvlJc w:val="left"/>
      <w:pPr>
        <w:tabs>
          <w:tab w:val="num" w:pos="2880"/>
        </w:tabs>
        <w:ind w:left="2880" w:hanging="720"/>
      </w:pPr>
    </w:lvl>
    <w:lvl w:ilvl="4" w:tplc="214E282E">
      <w:start w:val="1"/>
      <w:numFmt w:val="decimal"/>
      <w:lvlText w:val="%5."/>
      <w:lvlJc w:val="left"/>
      <w:pPr>
        <w:tabs>
          <w:tab w:val="num" w:pos="3600"/>
        </w:tabs>
        <w:ind w:left="3600" w:hanging="720"/>
      </w:pPr>
    </w:lvl>
    <w:lvl w:ilvl="5" w:tplc="BC80FD7A">
      <w:start w:val="1"/>
      <w:numFmt w:val="decimal"/>
      <w:lvlText w:val="%6."/>
      <w:lvlJc w:val="left"/>
      <w:pPr>
        <w:tabs>
          <w:tab w:val="num" w:pos="4320"/>
        </w:tabs>
        <w:ind w:left="4320" w:hanging="720"/>
      </w:pPr>
    </w:lvl>
    <w:lvl w:ilvl="6" w:tplc="D592CBD6">
      <w:start w:val="1"/>
      <w:numFmt w:val="decimal"/>
      <w:lvlText w:val="%7."/>
      <w:lvlJc w:val="left"/>
      <w:pPr>
        <w:tabs>
          <w:tab w:val="num" w:pos="5040"/>
        </w:tabs>
        <w:ind w:left="5040" w:hanging="720"/>
      </w:pPr>
    </w:lvl>
    <w:lvl w:ilvl="7" w:tplc="6A584ACC">
      <w:start w:val="1"/>
      <w:numFmt w:val="decimal"/>
      <w:lvlText w:val="%8."/>
      <w:lvlJc w:val="left"/>
      <w:pPr>
        <w:tabs>
          <w:tab w:val="num" w:pos="5760"/>
        </w:tabs>
        <w:ind w:left="5760" w:hanging="720"/>
      </w:pPr>
    </w:lvl>
    <w:lvl w:ilvl="8" w:tplc="FFC86448">
      <w:start w:val="1"/>
      <w:numFmt w:val="decimal"/>
      <w:lvlText w:val="%9."/>
      <w:lvlJc w:val="left"/>
      <w:pPr>
        <w:tabs>
          <w:tab w:val="num" w:pos="6480"/>
        </w:tabs>
        <w:ind w:left="6480" w:hanging="720"/>
      </w:pPr>
    </w:lvl>
  </w:abstractNum>
  <w:abstractNum w:abstractNumId="55" w15:restartNumberingAfterBreak="0">
    <w:nsid w:val="1750148A"/>
    <w:multiLevelType w:val="hybridMultilevel"/>
    <w:tmpl w:val="5ECC39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77F271D"/>
    <w:multiLevelType w:val="hybridMultilevel"/>
    <w:tmpl w:val="8436A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7A2632C"/>
    <w:multiLevelType w:val="hybridMultilevel"/>
    <w:tmpl w:val="A112A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7C34B37"/>
    <w:multiLevelType w:val="hybridMultilevel"/>
    <w:tmpl w:val="94A646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8203839"/>
    <w:multiLevelType w:val="hybridMultilevel"/>
    <w:tmpl w:val="3176E3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901026E"/>
    <w:multiLevelType w:val="hybridMultilevel"/>
    <w:tmpl w:val="D8D4E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96B62AD"/>
    <w:multiLevelType w:val="hybridMultilevel"/>
    <w:tmpl w:val="AA12F9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98E153C"/>
    <w:multiLevelType w:val="hybridMultilevel"/>
    <w:tmpl w:val="92B823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9FF728D"/>
    <w:multiLevelType w:val="hybridMultilevel"/>
    <w:tmpl w:val="91F61CCC"/>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A1C5E0E"/>
    <w:multiLevelType w:val="hybridMultilevel"/>
    <w:tmpl w:val="F872C7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A8E796D"/>
    <w:multiLevelType w:val="hybridMultilevel"/>
    <w:tmpl w:val="4BF68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ABB2C44"/>
    <w:multiLevelType w:val="hybridMultilevel"/>
    <w:tmpl w:val="D4043D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B8F7405"/>
    <w:multiLevelType w:val="hybridMultilevel"/>
    <w:tmpl w:val="67FA7A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B9278F0"/>
    <w:multiLevelType w:val="hybridMultilevel"/>
    <w:tmpl w:val="C46C09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C0110DD"/>
    <w:multiLevelType w:val="hybridMultilevel"/>
    <w:tmpl w:val="2E084C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C286879"/>
    <w:multiLevelType w:val="hybridMultilevel"/>
    <w:tmpl w:val="5F20E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C8F60E2"/>
    <w:multiLevelType w:val="hybridMultilevel"/>
    <w:tmpl w:val="04E2B2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CAA5F61"/>
    <w:multiLevelType w:val="hybridMultilevel"/>
    <w:tmpl w:val="995CE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D6E45D6"/>
    <w:multiLevelType w:val="hybridMultilevel"/>
    <w:tmpl w:val="177682FA"/>
    <w:lvl w:ilvl="0" w:tplc="BE7C1848">
      <w:start w:val="1"/>
      <w:numFmt w:val="decimal"/>
      <w:lvlText w:val="%1"/>
      <w:lvlJc w:val="left"/>
      <w:pPr>
        <w:tabs>
          <w:tab w:val="num" w:pos="360"/>
        </w:tabs>
        <w:ind w:left="0" w:firstLine="0"/>
      </w:pPr>
      <w:rPr>
        <w:rFonts w:ascii="Calibri" w:hAnsi="Calibri" w:hint="default"/>
        <w:b/>
        <w:i w:val="0"/>
        <w:color w:val="012768"/>
        <w:sz w:val="40"/>
      </w:rPr>
    </w:lvl>
    <w:lvl w:ilvl="1" w:tplc="DBB8B80C">
      <w:start w:val="1"/>
      <w:numFmt w:val="decimal"/>
      <w:lvlText w:val="17.%2"/>
      <w:lvlJc w:val="left"/>
      <w:pPr>
        <w:tabs>
          <w:tab w:val="num" w:pos="360"/>
        </w:tabs>
        <w:ind w:left="0" w:firstLine="0"/>
      </w:pPr>
      <w:rPr>
        <w:rFonts w:ascii="Calibri" w:hAnsi="Calibri" w:hint="default"/>
        <w:b/>
        <w:i w:val="0"/>
        <w:color w:val="012768"/>
        <w:sz w:val="34"/>
      </w:rPr>
    </w:lvl>
    <w:lvl w:ilvl="2" w:tplc="2022377E">
      <w:start w:val="1"/>
      <w:numFmt w:val="decimal"/>
      <w:lvlText w:val=""/>
      <w:lvlJc w:val="left"/>
      <w:pPr>
        <w:tabs>
          <w:tab w:val="num" w:pos="360"/>
        </w:tabs>
        <w:ind w:left="0" w:firstLine="0"/>
      </w:pPr>
      <w:rPr>
        <w:rFonts w:hint="default"/>
      </w:rPr>
    </w:lvl>
    <w:lvl w:ilvl="3" w:tplc="62EEA91A">
      <w:start w:val="1"/>
      <w:numFmt w:val="decimal"/>
      <w:lvlText w:val=""/>
      <w:lvlJc w:val="left"/>
      <w:pPr>
        <w:tabs>
          <w:tab w:val="num" w:pos="360"/>
        </w:tabs>
        <w:ind w:left="0" w:firstLine="0"/>
      </w:pPr>
      <w:rPr>
        <w:rFonts w:hint="default"/>
      </w:rPr>
    </w:lvl>
    <w:lvl w:ilvl="4" w:tplc="F6D4AB6C">
      <w:start w:val="1"/>
      <w:numFmt w:val="decimal"/>
      <w:lvlText w:val=""/>
      <w:lvlJc w:val="left"/>
      <w:pPr>
        <w:tabs>
          <w:tab w:val="num" w:pos="360"/>
        </w:tabs>
        <w:ind w:left="0" w:firstLine="0"/>
      </w:pPr>
      <w:rPr>
        <w:rFonts w:hint="default"/>
      </w:rPr>
    </w:lvl>
    <w:lvl w:ilvl="5" w:tplc="DFCA0A24">
      <w:start w:val="1"/>
      <w:numFmt w:val="decimal"/>
      <w:lvlText w:val=""/>
      <w:lvlJc w:val="left"/>
      <w:pPr>
        <w:tabs>
          <w:tab w:val="num" w:pos="360"/>
        </w:tabs>
        <w:ind w:left="0" w:firstLine="0"/>
      </w:pPr>
      <w:rPr>
        <w:rFonts w:hint="default"/>
      </w:rPr>
    </w:lvl>
    <w:lvl w:ilvl="6" w:tplc="613CC04C">
      <w:start w:val="1"/>
      <w:numFmt w:val="decimal"/>
      <w:lvlText w:val=""/>
      <w:lvlJc w:val="left"/>
      <w:pPr>
        <w:tabs>
          <w:tab w:val="num" w:pos="360"/>
        </w:tabs>
        <w:ind w:left="0" w:firstLine="0"/>
      </w:pPr>
      <w:rPr>
        <w:rFonts w:hint="default"/>
      </w:rPr>
    </w:lvl>
    <w:lvl w:ilvl="7" w:tplc="C1E89264">
      <w:start w:val="1"/>
      <w:numFmt w:val="decimal"/>
      <w:lvlText w:val=""/>
      <w:lvlJc w:val="left"/>
      <w:pPr>
        <w:tabs>
          <w:tab w:val="num" w:pos="360"/>
        </w:tabs>
        <w:ind w:left="0" w:firstLine="0"/>
      </w:pPr>
      <w:rPr>
        <w:rFonts w:hint="default"/>
      </w:rPr>
    </w:lvl>
    <w:lvl w:ilvl="8" w:tplc="88D86D8A">
      <w:start w:val="1"/>
      <w:numFmt w:val="decimal"/>
      <w:lvlText w:val=""/>
      <w:lvlJc w:val="left"/>
      <w:pPr>
        <w:tabs>
          <w:tab w:val="num" w:pos="360"/>
        </w:tabs>
        <w:ind w:left="0" w:firstLine="0"/>
      </w:pPr>
      <w:rPr>
        <w:rFonts w:hint="default"/>
      </w:rPr>
    </w:lvl>
  </w:abstractNum>
  <w:abstractNum w:abstractNumId="74" w15:restartNumberingAfterBreak="0">
    <w:nsid w:val="1E6A0DAF"/>
    <w:multiLevelType w:val="hybridMultilevel"/>
    <w:tmpl w:val="6C987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E8758C6"/>
    <w:multiLevelType w:val="hybridMultilevel"/>
    <w:tmpl w:val="DAEC3284"/>
    <w:lvl w:ilvl="0" w:tplc="81E242AA">
      <w:start w:val="1"/>
      <w:numFmt w:val="decimal"/>
      <w:lvlText w:val="%1"/>
      <w:lvlJc w:val="left"/>
      <w:pPr>
        <w:ind w:left="360" w:hanging="360"/>
      </w:pPr>
      <w:rPr>
        <w:rFonts w:ascii="Calibri" w:hAnsi="Calibri" w:hint="default"/>
        <w:b/>
        <w:i w:val="0"/>
        <w:color w:val="012768"/>
        <w:sz w:val="40"/>
      </w:rPr>
    </w:lvl>
    <w:lvl w:ilvl="1" w:tplc="D8944418">
      <w:start w:val="1"/>
      <w:numFmt w:val="none"/>
      <w:lvlText w:val=""/>
      <w:lvlJc w:val="left"/>
      <w:pPr>
        <w:ind w:left="720" w:hanging="360"/>
      </w:pPr>
      <w:rPr>
        <w:rFonts w:hint="default"/>
      </w:rPr>
    </w:lvl>
    <w:lvl w:ilvl="2" w:tplc="DE32D17A">
      <w:start w:val="1"/>
      <w:numFmt w:val="none"/>
      <w:lvlText w:val=""/>
      <w:lvlJc w:val="left"/>
      <w:pPr>
        <w:ind w:left="1080" w:hanging="360"/>
      </w:pPr>
      <w:rPr>
        <w:rFonts w:hint="default"/>
      </w:rPr>
    </w:lvl>
    <w:lvl w:ilvl="3" w:tplc="ED0ED07E">
      <w:start w:val="1"/>
      <w:numFmt w:val="none"/>
      <w:lvlText w:val=""/>
      <w:lvlJc w:val="left"/>
      <w:pPr>
        <w:ind w:left="1440" w:hanging="360"/>
      </w:pPr>
      <w:rPr>
        <w:rFonts w:hint="default"/>
      </w:rPr>
    </w:lvl>
    <w:lvl w:ilvl="4" w:tplc="0D9C846C">
      <w:start w:val="1"/>
      <w:numFmt w:val="none"/>
      <w:lvlText w:val=""/>
      <w:lvlJc w:val="left"/>
      <w:pPr>
        <w:ind w:left="1800" w:hanging="360"/>
      </w:pPr>
      <w:rPr>
        <w:rFonts w:hint="default"/>
      </w:rPr>
    </w:lvl>
    <w:lvl w:ilvl="5" w:tplc="CDBE7F54">
      <w:start w:val="1"/>
      <w:numFmt w:val="none"/>
      <w:lvlText w:val=""/>
      <w:lvlJc w:val="left"/>
      <w:pPr>
        <w:ind w:left="2160" w:hanging="360"/>
      </w:pPr>
      <w:rPr>
        <w:rFonts w:hint="default"/>
      </w:rPr>
    </w:lvl>
    <w:lvl w:ilvl="6" w:tplc="41C6AB84">
      <w:start w:val="1"/>
      <w:numFmt w:val="none"/>
      <w:lvlText w:val=""/>
      <w:lvlJc w:val="left"/>
      <w:pPr>
        <w:ind w:left="2520" w:hanging="360"/>
      </w:pPr>
      <w:rPr>
        <w:rFonts w:hint="default"/>
      </w:rPr>
    </w:lvl>
    <w:lvl w:ilvl="7" w:tplc="939A113A">
      <w:start w:val="1"/>
      <w:numFmt w:val="none"/>
      <w:lvlText w:val=""/>
      <w:lvlJc w:val="left"/>
      <w:pPr>
        <w:ind w:left="2880" w:hanging="360"/>
      </w:pPr>
      <w:rPr>
        <w:rFonts w:hint="default"/>
      </w:rPr>
    </w:lvl>
    <w:lvl w:ilvl="8" w:tplc="3668B5C6">
      <w:start w:val="1"/>
      <w:numFmt w:val="none"/>
      <w:lvlText w:val=""/>
      <w:lvlJc w:val="left"/>
      <w:pPr>
        <w:ind w:left="3240" w:hanging="360"/>
      </w:pPr>
      <w:rPr>
        <w:rFonts w:hint="default"/>
      </w:rPr>
    </w:lvl>
  </w:abstractNum>
  <w:abstractNum w:abstractNumId="76" w15:restartNumberingAfterBreak="0">
    <w:nsid w:val="1F6C278D"/>
    <w:multiLevelType w:val="hybridMultilevel"/>
    <w:tmpl w:val="1DBE8D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047739C"/>
    <w:multiLevelType w:val="hybridMultilevel"/>
    <w:tmpl w:val="D86C1E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0A22246"/>
    <w:multiLevelType w:val="hybridMultilevel"/>
    <w:tmpl w:val="39524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10B5EF6"/>
    <w:multiLevelType w:val="hybridMultilevel"/>
    <w:tmpl w:val="AD7A98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28866B0"/>
    <w:multiLevelType w:val="hybridMultilevel"/>
    <w:tmpl w:val="5E2C2E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2CE6F49"/>
    <w:multiLevelType w:val="hybridMultilevel"/>
    <w:tmpl w:val="01D483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4290326"/>
    <w:multiLevelType w:val="hybridMultilevel"/>
    <w:tmpl w:val="D3D40E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4812B5E"/>
    <w:multiLevelType w:val="hybridMultilevel"/>
    <w:tmpl w:val="BA76FB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4E76AE4"/>
    <w:multiLevelType w:val="hybridMultilevel"/>
    <w:tmpl w:val="0C0EC3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5A736BB"/>
    <w:multiLevelType w:val="hybridMultilevel"/>
    <w:tmpl w:val="AA1C972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26B4742B"/>
    <w:multiLevelType w:val="hybridMultilevel"/>
    <w:tmpl w:val="E8AA6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6B826E0"/>
    <w:multiLevelType w:val="hybridMultilevel"/>
    <w:tmpl w:val="2D6002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761616E"/>
    <w:multiLevelType w:val="hybridMultilevel"/>
    <w:tmpl w:val="1024B7C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784263B"/>
    <w:multiLevelType w:val="hybridMultilevel"/>
    <w:tmpl w:val="B700F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7B20AFD"/>
    <w:multiLevelType w:val="hybridMultilevel"/>
    <w:tmpl w:val="6804B9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7C20336"/>
    <w:multiLevelType w:val="hybridMultilevel"/>
    <w:tmpl w:val="D7EC2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7D7106E"/>
    <w:multiLevelType w:val="hybridMultilevel"/>
    <w:tmpl w:val="238AD3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90B3FA5"/>
    <w:multiLevelType w:val="hybridMultilevel"/>
    <w:tmpl w:val="DBA6F1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9D92512"/>
    <w:multiLevelType w:val="hybridMultilevel"/>
    <w:tmpl w:val="F2E249E2"/>
    <w:lvl w:ilvl="0" w:tplc="66461F3A">
      <w:start w:val="1"/>
      <w:numFmt w:val="decimal"/>
      <w:lvlText w:val="%1"/>
      <w:lvlJc w:val="left"/>
      <w:pPr>
        <w:tabs>
          <w:tab w:val="num" w:pos="360"/>
        </w:tabs>
        <w:ind w:left="0" w:firstLine="0"/>
      </w:pPr>
      <w:rPr>
        <w:rFonts w:ascii="Calibri" w:hAnsi="Calibri" w:hint="default"/>
        <w:b/>
        <w:i w:val="0"/>
        <w:color w:val="012768"/>
        <w:sz w:val="40"/>
      </w:rPr>
    </w:lvl>
    <w:lvl w:ilvl="1" w:tplc="6CACA274">
      <w:start w:val="1"/>
      <w:numFmt w:val="decimal"/>
      <w:lvlText w:val=""/>
      <w:lvlJc w:val="left"/>
      <w:pPr>
        <w:tabs>
          <w:tab w:val="num" w:pos="360"/>
        </w:tabs>
        <w:ind w:left="0" w:firstLine="0"/>
      </w:pPr>
      <w:rPr>
        <w:rFonts w:hint="default"/>
      </w:rPr>
    </w:lvl>
    <w:lvl w:ilvl="2" w:tplc="B05079C6">
      <w:start w:val="1"/>
      <w:numFmt w:val="decimal"/>
      <w:lvlText w:val=""/>
      <w:lvlJc w:val="left"/>
      <w:pPr>
        <w:tabs>
          <w:tab w:val="num" w:pos="360"/>
        </w:tabs>
        <w:ind w:left="0" w:firstLine="0"/>
      </w:pPr>
      <w:rPr>
        <w:rFonts w:hint="default"/>
      </w:rPr>
    </w:lvl>
    <w:lvl w:ilvl="3" w:tplc="077EDD72">
      <w:start w:val="1"/>
      <w:numFmt w:val="decimal"/>
      <w:lvlText w:val=""/>
      <w:lvlJc w:val="left"/>
      <w:pPr>
        <w:tabs>
          <w:tab w:val="num" w:pos="360"/>
        </w:tabs>
        <w:ind w:left="0" w:firstLine="0"/>
      </w:pPr>
      <w:rPr>
        <w:rFonts w:hint="default"/>
      </w:rPr>
    </w:lvl>
    <w:lvl w:ilvl="4" w:tplc="16A62964">
      <w:start w:val="1"/>
      <w:numFmt w:val="decimal"/>
      <w:lvlText w:val=""/>
      <w:lvlJc w:val="left"/>
      <w:pPr>
        <w:tabs>
          <w:tab w:val="num" w:pos="360"/>
        </w:tabs>
        <w:ind w:left="0" w:firstLine="0"/>
      </w:pPr>
      <w:rPr>
        <w:rFonts w:hint="default"/>
      </w:rPr>
    </w:lvl>
    <w:lvl w:ilvl="5" w:tplc="4FFA7844">
      <w:start w:val="1"/>
      <w:numFmt w:val="decimal"/>
      <w:lvlText w:val=""/>
      <w:lvlJc w:val="left"/>
      <w:pPr>
        <w:tabs>
          <w:tab w:val="num" w:pos="360"/>
        </w:tabs>
        <w:ind w:left="0" w:firstLine="0"/>
      </w:pPr>
      <w:rPr>
        <w:rFonts w:hint="default"/>
      </w:rPr>
    </w:lvl>
    <w:lvl w:ilvl="6" w:tplc="469E7B62">
      <w:start w:val="1"/>
      <w:numFmt w:val="decimal"/>
      <w:lvlText w:val=""/>
      <w:lvlJc w:val="left"/>
      <w:pPr>
        <w:tabs>
          <w:tab w:val="num" w:pos="360"/>
        </w:tabs>
        <w:ind w:left="0" w:firstLine="0"/>
      </w:pPr>
      <w:rPr>
        <w:rFonts w:hint="default"/>
      </w:rPr>
    </w:lvl>
    <w:lvl w:ilvl="7" w:tplc="CA268B16">
      <w:start w:val="1"/>
      <w:numFmt w:val="decimal"/>
      <w:lvlText w:val=""/>
      <w:lvlJc w:val="left"/>
      <w:pPr>
        <w:tabs>
          <w:tab w:val="num" w:pos="360"/>
        </w:tabs>
        <w:ind w:left="0" w:firstLine="0"/>
      </w:pPr>
      <w:rPr>
        <w:rFonts w:hint="default"/>
      </w:rPr>
    </w:lvl>
    <w:lvl w:ilvl="8" w:tplc="39AE2D2E">
      <w:start w:val="1"/>
      <w:numFmt w:val="decimal"/>
      <w:lvlText w:val=""/>
      <w:lvlJc w:val="left"/>
      <w:pPr>
        <w:tabs>
          <w:tab w:val="num" w:pos="360"/>
        </w:tabs>
        <w:ind w:left="0" w:firstLine="0"/>
      </w:pPr>
      <w:rPr>
        <w:rFonts w:hint="default"/>
      </w:rPr>
    </w:lvl>
  </w:abstractNum>
  <w:abstractNum w:abstractNumId="95" w15:restartNumberingAfterBreak="0">
    <w:nsid w:val="2A5663F8"/>
    <w:multiLevelType w:val="hybridMultilevel"/>
    <w:tmpl w:val="FFB09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A8E4E34"/>
    <w:multiLevelType w:val="hybridMultilevel"/>
    <w:tmpl w:val="AFB082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A9F4129"/>
    <w:multiLevelType w:val="multilevel"/>
    <w:tmpl w:val="22183A56"/>
    <w:lvl w:ilvl="0">
      <w:start w:val="8"/>
      <w:numFmt w:val="decimal"/>
      <w:lvlText w:val="%1"/>
      <w:lvlJc w:val="left"/>
      <w:pPr>
        <w:ind w:left="435" w:hanging="435"/>
      </w:pPr>
      <w:rPr>
        <w:rFonts w:hint="default"/>
      </w:rPr>
    </w:lvl>
    <w:lvl w:ilvl="1">
      <w:start w:val="7"/>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8" w15:restartNumberingAfterBreak="0">
    <w:nsid w:val="2AB775E7"/>
    <w:multiLevelType w:val="hybridMultilevel"/>
    <w:tmpl w:val="BEB819BA"/>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2AF36E70"/>
    <w:multiLevelType w:val="hybridMultilevel"/>
    <w:tmpl w:val="3146C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BF349CE"/>
    <w:multiLevelType w:val="hybridMultilevel"/>
    <w:tmpl w:val="324CD5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C697DFB"/>
    <w:multiLevelType w:val="hybridMultilevel"/>
    <w:tmpl w:val="B13264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C6B3EF5"/>
    <w:multiLevelType w:val="hybridMultilevel"/>
    <w:tmpl w:val="F90E5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0A0288B"/>
    <w:multiLevelType w:val="hybridMultilevel"/>
    <w:tmpl w:val="404C0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1194F19"/>
    <w:multiLevelType w:val="hybridMultilevel"/>
    <w:tmpl w:val="531480F4"/>
    <w:lvl w:ilvl="0" w:tplc="04090005">
      <w:start w:val="1"/>
      <w:numFmt w:val="bullet"/>
      <w:lvlText w:val=""/>
      <w:lvlJc w:val="left"/>
      <w:pPr>
        <w:ind w:left="720" w:hanging="360"/>
      </w:pPr>
      <w:rPr>
        <w:rFonts w:ascii="Wingdings" w:hAnsi="Wingdings" w:hint="default"/>
      </w:rPr>
    </w:lvl>
    <w:lvl w:ilvl="1" w:tplc="E0EEA89E">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144472F"/>
    <w:multiLevelType w:val="hybridMultilevel"/>
    <w:tmpl w:val="208AB6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2CF63B4"/>
    <w:multiLevelType w:val="hybridMultilevel"/>
    <w:tmpl w:val="81B22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2DA14E2"/>
    <w:multiLevelType w:val="hybridMultilevel"/>
    <w:tmpl w:val="BDAAC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3A62E98"/>
    <w:multiLevelType w:val="hybridMultilevel"/>
    <w:tmpl w:val="D206A8C2"/>
    <w:lvl w:ilvl="0" w:tplc="4162DD5E">
      <w:start w:val="1"/>
      <w:numFmt w:val="decimal"/>
      <w:lvlText w:val="%1"/>
      <w:lvlJc w:val="left"/>
      <w:pPr>
        <w:tabs>
          <w:tab w:val="num" w:pos="360"/>
        </w:tabs>
        <w:ind w:left="0" w:firstLine="0"/>
      </w:pPr>
      <w:rPr>
        <w:rFonts w:ascii="Calibri" w:hAnsi="Calibri" w:hint="default"/>
        <w:b/>
        <w:i w:val="0"/>
        <w:color w:val="012768"/>
        <w:sz w:val="40"/>
      </w:rPr>
    </w:lvl>
    <w:lvl w:ilvl="1" w:tplc="1B943F8E">
      <w:start w:val="1"/>
      <w:numFmt w:val="none"/>
      <w:lvlText w:val="17.1"/>
      <w:lvlJc w:val="left"/>
      <w:pPr>
        <w:tabs>
          <w:tab w:val="num" w:pos="360"/>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A8B6F576">
      <w:start w:val="1"/>
      <w:numFmt w:val="decimal"/>
      <w:lvlText w:val=""/>
      <w:lvlJc w:val="left"/>
      <w:pPr>
        <w:tabs>
          <w:tab w:val="num" w:pos="360"/>
        </w:tabs>
        <w:ind w:left="0" w:firstLine="0"/>
      </w:pPr>
      <w:rPr>
        <w:rFonts w:hint="default"/>
      </w:rPr>
    </w:lvl>
    <w:lvl w:ilvl="3" w:tplc="4510CD40">
      <w:start w:val="1"/>
      <w:numFmt w:val="decimal"/>
      <w:lvlText w:val=""/>
      <w:lvlJc w:val="left"/>
      <w:pPr>
        <w:tabs>
          <w:tab w:val="num" w:pos="360"/>
        </w:tabs>
        <w:ind w:left="0" w:firstLine="0"/>
      </w:pPr>
      <w:rPr>
        <w:rFonts w:hint="default"/>
      </w:rPr>
    </w:lvl>
    <w:lvl w:ilvl="4" w:tplc="8EE0B0D8">
      <w:start w:val="1"/>
      <w:numFmt w:val="decimal"/>
      <w:lvlText w:val=""/>
      <w:lvlJc w:val="left"/>
      <w:pPr>
        <w:tabs>
          <w:tab w:val="num" w:pos="360"/>
        </w:tabs>
        <w:ind w:left="0" w:firstLine="0"/>
      </w:pPr>
      <w:rPr>
        <w:rFonts w:hint="default"/>
      </w:rPr>
    </w:lvl>
    <w:lvl w:ilvl="5" w:tplc="CD48F662">
      <w:start w:val="1"/>
      <w:numFmt w:val="decimal"/>
      <w:lvlText w:val=""/>
      <w:lvlJc w:val="left"/>
      <w:pPr>
        <w:tabs>
          <w:tab w:val="num" w:pos="360"/>
        </w:tabs>
        <w:ind w:left="0" w:firstLine="0"/>
      </w:pPr>
      <w:rPr>
        <w:rFonts w:hint="default"/>
      </w:rPr>
    </w:lvl>
    <w:lvl w:ilvl="6" w:tplc="AA16A56A">
      <w:start w:val="1"/>
      <w:numFmt w:val="decimal"/>
      <w:lvlText w:val=""/>
      <w:lvlJc w:val="left"/>
      <w:pPr>
        <w:tabs>
          <w:tab w:val="num" w:pos="360"/>
        </w:tabs>
        <w:ind w:left="0" w:firstLine="0"/>
      </w:pPr>
      <w:rPr>
        <w:rFonts w:hint="default"/>
      </w:rPr>
    </w:lvl>
    <w:lvl w:ilvl="7" w:tplc="7384EBEC">
      <w:start w:val="1"/>
      <w:numFmt w:val="decimal"/>
      <w:lvlText w:val=""/>
      <w:lvlJc w:val="left"/>
      <w:pPr>
        <w:tabs>
          <w:tab w:val="num" w:pos="360"/>
        </w:tabs>
        <w:ind w:left="0" w:firstLine="0"/>
      </w:pPr>
      <w:rPr>
        <w:rFonts w:hint="default"/>
      </w:rPr>
    </w:lvl>
    <w:lvl w:ilvl="8" w:tplc="7AB25994">
      <w:start w:val="1"/>
      <w:numFmt w:val="decimal"/>
      <w:lvlText w:val=""/>
      <w:lvlJc w:val="left"/>
      <w:pPr>
        <w:tabs>
          <w:tab w:val="num" w:pos="360"/>
        </w:tabs>
        <w:ind w:left="0" w:firstLine="0"/>
      </w:pPr>
      <w:rPr>
        <w:rFonts w:hint="default"/>
      </w:rPr>
    </w:lvl>
  </w:abstractNum>
  <w:abstractNum w:abstractNumId="109" w15:restartNumberingAfterBreak="0">
    <w:nsid w:val="349B6CD2"/>
    <w:multiLevelType w:val="hybridMultilevel"/>
    <w:tmpl w:val="86ACE104"/>
    <w:lvl w:ilvl="0" w:tplc="A8E84900">
      <w:start w:val="1"/>
      <w:numFmt w:val="decimal"/>
      <w:pStyle w:val="Heading1"/>
      <w:lvlText w:val="%1"/>
      <w:lvlJc w:val="left"/>
      <w:pPr>
        <w:ind w:left="360" w:hanging="360"/>
      </w:pPr>
      <w:rPr>
        <w:rFonts w:ascii="Calibri" w:hAnsi="Calibri" w:hint="default"/>
        <w:b/>
        <w:bCs w:val="0"/>
        <w:i w:val="0"/>
        <w:iCs w:val="0"/>
        <w:caps w:val="0"/>
        <w:smallCaps w:val="0"/>
        <w:strike w:val="0"/>
        <w:dstrike w:val="0"/>
        <w:outline w:val="0"/>
        <w:shadow w:val="0"/>
        <w:emboss w:val="0"/>
        <w:imprint w:val="0"/>
        <w:noProof w:val="0"/>
        <w:vanish w:val="0"/>
        <w:color w:val="012768"/>
        <w:spacing w:val="0"/>
        <w:kern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0FC34A6">
      <w:start w:val="1"/>
      <w:numFmt w:val="decimal"/>
      <w:lvlText w:val="%2."/>
      <w:lvlJc w:val="left"/>
      <w:pPr>
        <w:tabs>
          <w:tab w:val="num" w:pos="1440"/>
        </w:tabs>
        <w:ind w:left="1440" w:hanging="720"/>
      </w:pPr>
    </w:lvl>
    <w:lvl w:ilvl="2" w:tplc="3E1AF7B8">
      <w:start w:val="1"/>
      <w:numFmt w:val="decimal"/>
      <w:lvlText w:val="%3."/>
      <w:lvlJc w:val="left"/>
      <w:pPr>
        <w:tabs>
          <w:tab w:val="num" w:pos="2160"/>
        </w:tabs>
        <w:ind w:left="2160" w:hanging="720"/>
      </w:pPr>
    </w:lvl>
    <w:lvl w:ilvl="3" w:tplc="EB1C30DA">
      <w:start w:val="1"/>
      <w:numFmt w:val="decimal"/>
      <w:lvlText w:val="%4."/>
      <w:lvlJc w:val="left"/>
      <w:pPr>
        <w:tabs>
          <w:tab w:val="num" w:pos="2880"/>
        </w:tabs>
        <w:ind w:left="2880" w:hanging="720"/>
      </w:pPr>
    </w:lvl>
    <w:lvl w:ilvl="4" w:tplc="83B8A34E">
      <w:start w:val="1"/>
      <w:numFmt w:val="decimal"/>
      <w:lvlText w:val="%5."/>
      <w:lvlJc w:val="left"/>
      <w:pPr>
        <w:tabs>
          <w:tab w:val="num" w:pos="3600"/>
        </w:tabs>
        <w:ind w:left="3600" w:hanging="720"/>
      </w:pPr>
    </w:lvl>
    <w:lvl w:ilvl="5" w:tplc="92542938">
      <w:start w:val="1"/>
      <w:numFmt w:val="decimal"/>
      <w:lvlText w:val="%6."/>
      <w:lvlJc w:val="left"/>
      <w:pPr>
        <w:tabs>
          <w:tab w:val="num" w:pos="4320"/>
        </w:tabs>
        <w:ind w:left="4320" w:hanging="720"/>
      </w:pPr>
    </w:lvl>
    <w:lvl w:ilvl="6" w:tplc="8BEE99C0">
      <w:start w:val="1"/>
      <w:numFmt w:val="decimal"/>
      <w:lvlText w:val="%7."/>
      <w:lvlJc w:val="left"/>
      <w:pPr>
        <w:tabs>
          <w:tab w:val="num" w:pos="5040"/>
        </w:tabs>
        <w:ind w:left="5040" w:hanging="720"/>
      </w:pPr>
    </w:lvl>
    <w:lvl w:ilvl="7" w:tplc="C3BCA344">
      <w:start w:val="1"/>
      <w:numFmt w:val="decimal"/>
      <w:lvlText w:val="%8."/>
      <w:lvlJc w:val="left"/>
      <w:pPr>
        <w:tabs>
          <w:tab w:val="num" w:pos="5760"/>
        </w:tabs>
        <w:ind w:left="5760" w:hanging="720"/>
      </w:pPr>
    </w:lvl>
    <w:lvl w:ilvl="8" w:tplc="F02C7E62">
      <w:start w:val="1"/>
      <w:numFmt w:val="decimal"/>
      <w:lvlText w:val="%9."/>
      <w:lvlJc w:val="left"/>
      <w:pPr>
        <w:tabs>
          <w:tab w:val="num" w:pos="6480"/>
        </w:tabs>
        <w:ind w:left="6480" w:hanging="720"/>
      </w:pPr>
    </w:lvl>
  </w:abstractNum>
  <w:abstractNum w:abstractNumId="110" w15:restartNumberingAfterBreak="0">
    <w:nsid w:val="35733458"/>
    <w:multiLevelType w:val="hybridMultilevel"/>
    <w:tmpl w:val="A6523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5762094"/>
    <w:multiLevelType w:val="hybridMultilevel"/>
    <w:tmpl w:val="162E69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5931169"/>
    <w:multiLevelType w:val="hybridMultilevel"/>
    <w:tmpl w:val="171CE5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5C21212"/>
    <w:multiLevelType w:val="hybridMultilevel"/>
    <w:tmpl w:val="E76228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62F5826"/>
    <w:multiLevelType w:val="hybridMultilevel"/>
    <w:tmpl w:val="CB7CE4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6796CEA"/>
    <w:multiLevelType w:val="hybridMultilevel"/>
    <w:tmpl w:val="1D1647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6B73D8E"/>
    <w:multiLevelType w:val="hybridMultilevel"/>
    <w:tmpl w:val="49C435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6F64900"/>
    <w:multiLevelType w:val="hybridMultilevel"/>
    <w:tmpl w:val="873699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7126BB5"/>
    <w:multiLevelType w:val="hybridMultilevel"/>
    <w:tmpl w:val="7924DB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7CF44B9"/>
    <w:multiLevelType w:val="hybridMultilevel"/>
    <w:tmpl w:val="54526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9872C7A"/>
    <w:multiLevelType w:val="hybridMultilevel"/>
    <w:tmpl w:val="E312BA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A285576"/>
    <w:multiLevelType w:val="hybridMultilevel"/>
    <w:tmpl w:val="B3DCA6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A7B5013"/>
    <w:multiLevelType w:val="hybridMultilevel"/>
    <w:tmpl w:val="76DAF9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B3065DF"/>
    <w:multiLevelType w:val="hybridMultilevel"/>
    <w:tmpl w:val="E49269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B881357"/>
    <w:multiLevelType w:val="hybridMultilevel"/>
    <w:tmpl w:val="65DC43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C041D63"/>
    <w:multiLevelType w:val="hybridMultilevel"/>
    <w:tmpl w:val="425AC7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15:restartNumberingAfterBreak="0">
    <w:nsid w:val="3C4E2A2D"/>
    <w:multiLevelType w:val="hybridMultilevel"/>
    <w:tmpl w:val="50FAEB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CF260C4"/>
    <w:multiLevelType w:val="hybridMultilevel"/>
    <w:tmpl w:val="2A847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D081A3F"/>
    <w:multiLevelType w:val="hybridMultilevel"/>
    <w:tmpl w:val="24ECE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D187680"/>
    <w:multiLevelType w:val="hybridMultilevel"/>
    <w:tmpl w:val="AF364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DA76BBA"/>
    <w:multiLevelType w:val="hybridMultilevel"/>
    <w:tmpl w:val="823A7392"/>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DE70557"/>
    <w:multiLevelType w:val="hybridMultilevel"/>
    <w:tmpl w:val="1EA87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E7E31D1"/>
    <w:multiLevelType w:val="hybridMultilevel"/>
    <w:tmpl w:val="1E5CF7C4"/>
    <w:lvl w:ilvl="0" w:tplc="145C7B20">
      <w:start w:val="1"/>
      <w:numFmt w:val="decimal"/>
      <w:lvlText w:val="17.%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3EDE0090"/>
    <w:multiLevelType w:val="hybridMultilevel"/>
    <w:tmpl w:val="719CD5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FE32D75"/>
    <w:multiLevelType w:val="hybridMultilevel"/>
    <w:tmpl w:val="34867E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FFB53A3"/>
    <w:multiLevelType w:val="hybridMultilevel"/>
    <w:tmpl w:val="964441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1841B0E"/>
    <w:multiLevelType w:val="hybridMultilevel"/>
    <w:tmpl w:val="2C5C2ECC"/>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19B228F"/>
    <w:multiLevelType w:val="hybridMultilevel"/>
    <w:tmpl w:val="180844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19D5EE1"/>
    <w:multiLevelType w:val="multilevel"/>
    <w:tmpl w:val="2D34A84A"/>
    <w:lvl w:ilvl="0">
      <w:start w:val="1"/>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810" w:hanging="810"/>
      </w:pPr>
      <w:rPr>
        <w:rFonts w:hint="default"/>
      </w:rPr>
    </w:lvl>
    <w:lvl w:ilvl="4">
      <w:start w:val="1"/>
      <w:numFmt w:val="decimal"/>
      <w:lvlText w:val="%1.%2.%3.%4.%5"/>
      <w:lvlJc w:val="left"/>
      <w:pPr>
        <w:ind w:left="810" w:hanging="81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9" w15:restartNumberingAfterBreak="0">
    <w:nsid w:val="41BC18E1"/>
    <w:multiLevelType w:val="hybridMultilevel"/>
    <w:tmpl w:val="26F024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1F93657"/>
    <w:multiLevelType w:val="hybridMultilevel"/>
    <w:tmpl w:val="B686CA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2075536"/>
    <w:multiLevelType w:val="hybridMultilevel"/>
    <w:tmpl w:val="009CC9EA"/>
    <w:lvl w:ilvl="0" w:tplc="5B94B946">
      <w:start w:val="1"/>
      <w:numFmt w:val="bullet"/>
      <w:lvlText w:val=""/>
      <w:lvlJc w:val="left"/>
      <w:pPr>
        <w:tabs>
          <w:tab w:val="num" w:pos="1633"/>
        </w:tabs>
        <w:ind w:left="1642" w:hanging="292"/>
      </w:pPr>
      <w:rPr>
        <w:rFonts w:ascii="Symbol" w:hAnsi="Symbol" w:hint="default"/>
        <w:sz w:val="24"/>
        <w:szCs w:val="24"/>
      </w:rPr>
    </w:lvl>
    <w:lvl w:ilvl="1" w:tplc="63C05D2E">
      <w:start w:val="1"/>
      <w:numFmt w:val="bullet"/>
      <w:lvlText w:val=""/>
      <w:lvlJc w:val="left"/>
      <w:pPr>
        <w:ind w:left="1008" w:hanging="288"/>
      </w:pPr>
      <w:rPr>
        <w:rFonts w:ascii="Symbol" w:hAnsi="Symbol" w:hint="default"/>
      </w:rPr>
    </w:lvl>
    <w:lvl w:ilvl="2" w:tplc="1958AA0A">
      <w:start w:val="1"/>
      <w:numFmt w:val="bullet"/>
      <w:lvlText w:val="o"/>
      <w:lvlJc w:val="left"/>
      <w:pPr>
        <w:ind w:left="1440" w:hanging="288"/>
      </w:pPr>
      <w:rPr>
        <w:rFonts w:ascii="Courier New" w:hAnsi="Courier New" w:hint="default"/>
      </w:rPr>
    </w:lvl>
    <w:lvl w:ilvl="3" w:tplc="F72C141C">
      <w:start w:val="1"/>
      <w:numFmt w:val="bullet"/>
      <w:lvlText w:val=""/>
      <w:lvlJc w:val="left"/>
      <w:pPr>
        <w:ind w:left="1872" w:hanging="288"/>
      </w:pPr>
      <w:rPr>
        <w:rFonts w:ascii="Wingdings" w:hAnsi="Wingdings" w:hint="default"/>
      </w:rPr>
    </w:lvl>
    <w:lvl w:ilvl="4" w:tplc="CCDCAD3E">
      <w:start w:val="1"/>
      <w:numFmt w:val="bullet"/>
      <w:lvlText w:val="o"/>
      <w:lvlJc w:val="left"/>
      <w:pPr>
        <w:ind w:left="3884" w:hanging="360"/>
      </w:pPr>
      <w:rPr>
        <w:rFonts w:ascii="Courier New" w:hAnsi="Courier New" w:hint="default"/>
      </w:rPr>
    </w:lvl>
    <w:lvl w:ilvl="5" w:tplc="B9DA5DD8">
      <w:start w:val="1"/>
      <w:numFmt w:val="bullet"/>
      <w:lvlText w:val=""/>
      <w:lvlJc w:val="left"/>
      <w:pPr>
        <w:ind w:left="4604" w:hanging="360"/>
      </w:pPr>
      <w:rPr>
        <w:rFonts w:ascii="Wingdings" w:hAnsi="Wingdings" w:hint="default"/>
      </w:rPr>
    </w:lvl>
    <w:lvl w:ilvl="6" w:tplc="90E40A8C">
      <w:start w:val="1"/>
      <w:numFmt w:val="bullet"/>
      <w:lvlText w:val=""/>
      <w:lvlJc w:val="left"/>
      <w:pPr>
        <w:ind w:left="5324" w:hanging="360"/>
      </w:pPr>
      <w:rPr>
        <w:rFonts w:ascii="Symbol" w:hAnsi="Symbol" w:hint="default"/>
      </w:rPr>
    </w:lvl>
    <w:lvl w:ilvl="7" w:tplc="224078D0">
      <w:start w:val="1"/>
      <w:numFmt w:val="bullet"/>
      <w:lvlText w:val="o"/>
      <w:lvlJc w:val="left"/>
      <w:pPr>
        <w:ind w:left="6044" w:hanging="360"/>
      </w:pPr>
      <w:rPr>
        <w:rFonts w:ascii="Courier New" w:hAnsi="Courier New" w:hint="default"/>
      </w:rPr>
    </w:lvl>
    <w:lvl w:ilvl="8" w:tplc="3F0063E4">
      <w:start w:val="1"/>
      <w:numFmt w:val="bullet"/>
      <w:lvlText w:val=""/>
      <w:lvlJc w:val="left"/>
      <w:pPr>
        <w:ind w:left="6764" w:hanging="360"/>
      </w:pPr>
      <w:rPr>
        <w:rFonts w:ascii="Wingdings" w:hAnsi="Wingdings" w:hint="default"/>
      </w:rPr>
    </w:lvl>
  </w:abstractNum>
  <w:abstractNum w:abstractNumId="142" w15:restartNumberingAfterBreak="0">
    <w:nsid w:val="423B241C"/>
    <w:multiLevelType w:val="hybridMultilevel"/>
    <w:tmpl w:val="ED80E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2922BA5"/>
    <w:multiLevelType w:val="hybridMultilevel"/>
    <w:tmpl w:val="13A29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2A1503F"/>
    <w:multiLevelType w:val="hybridMultilevel"/>
    <w:tmpl w:val="90FA5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2B84999"/>
    <w:multiLevelType w:val="hybridMultilevel"/>
    <w:tmpl w:val="C512B8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3317511"/>
    <w:multiLevelType w:val="hybridMultilevel"/>
    <w:tmpl w:val="CC404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3FB3A1B"/>
    <w:multiLevelType w:val="hybridMultilevel"/>
    <w:tmpl w:val="D63AE926"/>
    <w:lvl w:ilvl="0" w:tplc="AD6A4264">
      <w:start w:val="1"/>
      <w:numFmt w:val="decimal"/>
      <w:lvlText w:val="17.%1"/>
      <w:lvlJc w:val="left"/>
      <w:pPr>
        <w:ind w:left="54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8" w15:restartNumberingAfterBreak="0">
    <w:nsid w:val="43FD0A8C"/>
    <w:multiLevelType w:val="hybridMultilevel"/>
    <w:tmpl w:val="B5DA07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4DE3DCD"/>
    <w:multiLevelType w:val="hybridMultilevel"/>
    <w:tmpl w:val="6A1E56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4E83417"/>
    <w:multiLevelType w:val="hybridMultilevel"/>
    <w:tmpl w:val="3E081E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525538B"/>
    <w:multiLevelType w:val="hybridMultilevel"/>
    <w:tmpl w:val="66962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5B607B4"/>
    <w:multiLevelType w:val="hybridMultilevel"/>
    <w:tmpl w:val="85522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6F03217"/>
    <w:multiLevelType w:val="hybridMultilevel"/>
    <w:tmpl w:val="856AA9FA"/>
    <w:lvl w:ilvl="0" w:tplc="C822510C">
      <w:start w:val="1"/>
      <w:numFmt w:val="bullet"/>
      <w:lvlText w:val=""/>
      <w:lvlJc w:val="left"/>
      <w:pPr>
        <w:ind w:left="900" w:hanging="360"/>
      </w:pPr>
      <w:rPr>
        <w:rFonts w:ascii="Wingdings" w:hAnsi="Wingdings" w:hint="default"/>
        <w:spacing w:val="-4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54" w15:restartNumberingAfterBreak="0">
    <w:nsid w:val="479F68A3"/>
    <w:multiLevelType w:val="hybridMultilevel"/>
    <w:tmpl w:val="E3168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7D87C63"/>
    <w:multiLevelType w:val="hybridMultilevel"/>
    <w:tmpl w:val="8C8C3D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48203592"/>
    <w:multiLevelType w:val="hybridMultilevel"/>
    <w:tmpl w:val="E55C7A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87F7C3A"/>
    <w:multiLevelType w:val="hybridMultilevel"/>
    <w:tmpl w:val="1E1ECA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8B20A6D"/>
    <w:multiLevelType w:val="hybridMultilevel"/>
    <w:tmpl w:val="83E8E2C0"/>
    <w:lvl w:ilvl="0" w:tplc="A4003756">
      <w:start w:val="1"/>
      <w:numFmt w:val="decimal"/>
      <w:lvlText w:val="%1"/>
      <w:lvlJc w:val="left"/>
      <w:pPr>
        <w:ind w:left="360" w:hanging="360"/>
      </w:pPr>
      <w:rPr>
        <w:rFonts w:ascii="Calibri" w:hAnsi="Calibri" w:hint="default"/>
        <w:b w:val="0"/>
        <w:i w:val="0"/>
        <w:color w:val="auto"/>
        <w:sz w:val="20"/>
      </w:rPr>
    </w:lvl>
    <w:lvl w:ilvl="1" w:tplc="50E035B4">
      <w:start w:val="1"/>
      <w:numFmt w:val="lowerLetter"/>
      <w:lvlText w:val="%2)"/>
      <w:lvlJc w:val="left"/>
      <w:pPr>
        <w:ind w:left="720" w:hanging="360"/>
      </w:pPr>
      <w:rPr>
        <w:rFonts w:hint="default"/>
      </w:rPr>
    </w:lvl>
    <w:lvl w:ilvl="2" w:tplc="B2307D5A">
      <w:start w:val="1"/>
      <w:numFmt w:val="lowerRoman"/>
      <w:lvlText w:val="%3)"/>
      <w:lvlJc w:val="left"/>
      <w:pPr>
        <w:ind w:left="1080" w:hanging="360"/>
      </w:pPr>
      <w:rPr>
        <w:rFonts w:hint="default"/>
      </w:rPr>
    </w:lvl>
    <w:lvl w:ilvl="3" w:tplc="8892B358">
      <w:start w:val="1"/>
      <w:numFmt w:val="decimal"/>
      <w:lvlText w:val="(%4)"/>
      <w:lvlJc w:val="left"/>
      <w:pPr>
        <w:ind w:left="1440" w:hanging="360"/>
      </w:pPr>
      <w:rPr>
        <w:rFonts w:hint="default"/>
      </w:rPr>
    </w:lvl>
    <w:lvl w:ilvl="4" w:tplc="CF50CA0C">
      <w:start w:val="1"/>
      <w:numFmt w:val="lowerLetter"/>
      <w:lvlText w:val="(%5)"/>
      <w:lvlJc w:val="left"/>
      <w:pPr>
        <w:ind w:left="1800" w:hanging="360"/>
      </w:pPr>
      <w:rPr>
        <w:rFonts w:hint="default"/>
      </w:rPr>
    </w:lvl>
    <w:lvl w:ilvl="5" w:tplc="DF2EA438">
      <w:start w:val="1"/>
      <w:numFmt w:val="lowerRoman"/>
      <w:lvlText w:val="(%6)"/>
      <w:lvlJc w:val="left"/>
      <w:pPr>
        <w:ind w:left="2160" w:hanging="360"/>
      </w:pPr>
      <w:rPr>
        <w:rFonts w:hint="default"/>
      </w:rPr>
    </w:lvl>
    <w:lvl w:ilvl="6" w:tplc="7D721934">
      <w:start w:val="1"/>
      <w:numFmt w:val="decimal"/>
      <w:lvlText w:val="%7."/>
      <w:lvlJc w:val="left"/>
      <w:pPr>
        <w:ind w:left="2520" w:hanging="360"/>
      </w:pPr>
      <w:rPr>
        <w:rFonts w:hint="default"/>
      </w:rPr>
    </w:lvl>
    <w:lvl w:ilvl="7" w:tplc="6916DFEE">
      <w:start w:val="1"/>
      <w:numFmt w:val="lowerLetter"/>
      <w:lvlText w:val="%8."/>
      <w:lvlJc w:val="left"/>
      <w:pPr>
        <w:ind w:left="2880" w:hanging="360"/>
      </w:pPr>
      <w:rPr>
        <w:rFonts w:hint="default"/>
      </w:rPr>
    </w:lvl>
    <w:lvl w:ilvl="8" w:tplc="4ED00140">
      <w:start w:val="1"/>
      <w:numFmt w:val="lowerRoman"/>
      <w:lvlText w:val="%9."/>
      <w:lvlJc w:val="left"/>
      <w:pPr>
        <w:ind w:left="3240" w:hanging="360"/>
      </w:pPr>
      <w:rPr>
        <w:rFonts w:hint="default"/>
      </w:rPr>
    </w:lvl>
  </w:abstractNum>
  <w:abstractNum w:abstractNumId="159" w15:restartNumberingAfterBreak="0">
    <w:nsid w:val="49062DD7"/>
    <w:multiLevelType w:val="hybridMultilevel"/>
    <w:tmpl w:val="7C6CA3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491166E6"/>
    <w:multiLevelType w:val="hybridMultilevel"/>
    <w:tmpl w:val="963640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4A7A6F20"/>
    <w:multiLevelType w:val="hybridMultilevel"/>
    <w:tmpl w:val="DC52B5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B32761C"/>
    <w:multiLevelType w:val="hybridMultilevel"/>
    <w:tmpl w:val="99DC27DC"/>
    <w:lvl w:ilvl="0" w:tplc="C43A7C44">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3" w15:restartNumberingAfterBreak="0">
    <w:nsid w:val="4BC2217C"/>
    <w:multiLevelType w:val="hybridMultilevel"/>
    <w:tmpl w:val="A80A17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BCD4D0B"/>
    <w:multiLevelType w:val="hybridMultilevel"/>
    <w:tmpl w:val="CB02C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BEE2A95"/>
    <w:multiLevelType w:val="hybridMultilevel"/>
    <w:tmpl w:val="BC1AD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C564C8D"/>
    <w:multiLevelType w:val="hybridMultilevel"/>
    <w:tmpl w:val="EEA4C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C6203EB"/>
    <w:multiLevelType w:val="hybridMultilevel"/>
    <w:tmpl w:val="E6CCA3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D643726"/>
    <w:multiLevelType w:val="hybridMultilevel"/>
    <w:tmpl w:val="F97A64F6"/>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D9D553F"/>
    <w:multiLevelType w:val="hybridMultilevel"/>
    <w:tmpl w:val="2182F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E0B5272"/>
    <w:multiLevelType w:val="hybridMultilevel"/>
    <w:tmpl w:val="F64C6828"/>
    <w:lvl w:ilvl="0" w:tplc="4CB0880A">
      <w:start w:val="1"/>
      <w:numFmt w:val="bullet"/>
      <w:pStyle w:val="Body-Bullets"/>
      <w:lvlText w:val=""/>
      <w:lvlJc w:val="left"/>
      <w:pPr>
        <w:ind w:left="720" w:hanging="360"/>
      </w:pPr>
      <w:rPr>
        <w:rFonts w:ascii="Wingdings" w:hAnsi="Wingdings" w:hint="default"/>
      </w:rPr>
    </w:lvl>
    <w:lvl w:ilvl="1" w:tplc="977050C8">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E391FE0"/>
    <w:multiLevelType w:val="hybridMultilevel"/>
    <w:tmpl w:val="183AD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4EA304A9"/>
    <w:multiLevelType w:val="hybridMultilevel"/>
    <w:tmpl w:val="CF08DB6C"/>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EB83F75"/>
    <w:multiLevelType w:val="hybridMultilevel"/>
    <w:tmpl w:val="353A4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EC10E01"/>
    <w:multiLevelType w:val="hybridMultilevel"/>
    <w:tmpl w:val="C5F602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EC76D8D"/>
    <w:multiLevelType w:val="hybridMultilevel"/>
    <w:tmpl w:val="04B4E3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EDC1DDD"/>
    <w:multiLevelType w:val="hybridMultilevel"/>
    <w:tmpl w:val="C8EEF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F153170"/>
    <w:multiLevelType w:val="hybridMultilevel"/>
    <w:tmpl w:val="E9AE5050"/>
    <w:lvl w:ilvl="0" w:tplc="E0B8B83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4FE36B05"/>
    <w:multiLevelType w:val="hybridMultilevel"/>
    <w:tmpl w:val="CA50EB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FFB03E6"/>
    <w:multiLevelType w:val="hybridMultilevel"/>
    <w:tmpl w:val="748229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02A3387"/>
    <w:multiLevelType w:val="hybridMultilevel"/>
    <w:tmpl w:val="E6665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16F53A3"/>
    <w:multiLevelType w:val="hybridMultilevel"/>
    <w:tmpl w:val="C128B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1957B37"/>
    <w:multiLevelType w:val="hybridMultilevel"/>
    <w:tmpl w:val="92983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27476A4"/>
    <w:multiLevelType w:val="hybridMultilevel"/>
    <w:tmpl w:val="69EE6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2BE0335"/>
    <w:multiLevelType w:val="hybridMultilevel"/>
    <w:tmpl w:val="84448D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2C523E8"/>
    <w:multiLevelType w:val="hybridMultilevel"/>
    <w:tmpl w:val="711A9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3413B98"/>
    <w:multiLevelType w:val="hybridMultilevel"/>
    <w:tmpl w:val="092A06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34D652C"/>
    <w:multiLevelType w:val="hybridMultilevel"/>
    <w:tmpl w:val="334A03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4D95173"/>
    <w:multiLevelType w:val="hybridMultilevel"/>
    <w:tmpl w:val="D64E03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5EB5E2C"/>
    <w:multiLevelType w:val="hybridMultilevel"/>
    <w:tmpl w:val="2A566D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55F604A9"/>
    <w:multiLevelType w:val="hybridMultilevel"/>
    <w:tmpl w:val="FE68A5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6664B6A"/>
    <w:multiLevelType w:val="hybridMultilevel"/>
    <w:tmpl w:val="D9C2A6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6A07F27"/>
    <w:multiLevelType w:val="hybridMultilevel"/>
    <w:tmpl w:val="BA6C5A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7645564"/>
    <w:multiLevelType w:val="hybridMultilevel"/>
    <w:tmpl w:val="708C2E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8976B8E"/>
    <w:multiLevelType w:val="hybridMultilevel"/>
    <w:tmpl w:val="F19812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8BE38AF"/>
    <w:multiLevelType w:val="hybridMultilevel"/>
    <w:tmpl w:val="A7A84F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9A8523A"/>
    <w:multiLevelType w:val="hybridMultilevel"/>
    <w:tmpl w:val="84727F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9EB551B"/>
    <w:multiLevelType w:val="hybridMultilevel"/>
    <w:tmpl w:val="4BCC53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B60469B"/>
    <w:multiLevelType w:val="hybridMultilevel"/>
    <w:tmpl w:val="B0C40050"/>
    <w:lvl w:ilvl="0" w:tplc="7F9023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9" w15:restartNumberingAfterBreak="0">
    <w:nsid w:val="5B9B1A25"/>
    <w:multiLevelType w:val="hybridMultilevel"/>
    <w:tmpl w:val="21F621F6"/>
    <w:lvl w:ilvl="0" w:tplc="BAFE2A5A">
      <w:start w:val="1"/>
      <w:numFmt w:val="decimal"/>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5C766E46"/>
    <w:multiLevelType w:val="hybridMultilevel"/>
    <w:tmpl w:val="A000A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CE038EF"/>
    <w:multiLevelType w:val="hybridMultilevel"/>
    <w:tmpl w:val="E5382D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D0A0F39"/>
    <w:multiLevelType w:val="hybridMultilevel"/>
    <w:tmpl w:val="67CA4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D30526E"/>
    <w:multiLevelType w:val="hybridMultilevel"/>
    <w:tmpl w:val="0FF6A1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D4B3FE7"/>
    <w:multiLevelType w:val="hybridMultilevel"/>
    <w:tmpl w:val="AAAE7D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D63648C"/>
    <w:multiLevelType w:val="hybridMultilevel"/>
    <w:tmpl w:val="57D27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D671023"/>
    <w:multiLevelType w:val="hybridMultilevel"/>
    <w:tmpl w:val="8E54CA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D78017C"/>
    <w:multiLevelType w:val="hybridMultilevel"/>
    <w:tmpl w:val="4C7ED5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D990E0F"/>
    <w:multiLevelType w:val="hybridMultilevel"/>
    <w:tmpl w:val="07324F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DA5529A"/>
    <w:multiLevelType w:val="hybridMultilevel"/>
    <w:tmpl w:val="6674D9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5E523B51"/>
    <w:multiLevelType w:val="hybridMultilevel"/>
    <w:tmpl w:val="BDA62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FA44ED0"/>
    <w:multiLevelType w:val="multilevel"/>
    <w:tmpl w:val="84F410EA"/>
    <w:lvl w:ilvl="0">
      <w:start w:val="1"/>
      <w:numFmt w:val="decimal"/>
      <w:lvlText w:val="%1"/>
      <w:lvlJc w:val="left"/>
      <w:pPr>
        <w:ind w:left="360" w:hanging="360"/>
      </w:pPr>
      <w:rPr>
        <w:rFonts w:hint="default"/>
        <w:sz w:val="20"/>
      </w:rPr>
    </w:lvl>
    <w:lvl w:ilvl="1">
      <w:start w:val="1"/>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720" w:hanging="72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080" w:hanging="108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440" w:hanging="1440"/>
      </w:pPr>
      <w:rPr>
        <w:rFonts w:hint="default"/>
        <w:sz w:val="20"/>
      </w:rPr>
    </w:lvl>
    <w:lvl w:ilvl="8">
      <w:start w:val="1"/>
      <w:numFmt w:val="decimal"/>
      <w:lvlText w:val="%1.%2.%3.%4.%5.%6.%7.%8.%9"/>
      <w:lvlJc w:val="left"/>
      <w:pPr>
        <w:ind w:left="1440" w:hanging="1440"/>
      </w:pPr>
      <w:rPr>
        <w:rFonts w:hint="default"/>
        <w:sz w:val="20"/>
      </w:rPr>
    </w:lvl>
  </w:abstractNum>
  <w:abstractNum w:abstractNumId="212" w15:restartNumberingAfterBreak="0">
    <w:nsid w:val="5FB26BED"/>
    <w:multiLevelType w:val="hybridMultilevel"/>
    <w:tmpl w:val="640ED2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5FFF0181"/>
    <w:multiLevelType w:val="hybridMultilevel"/>
    <w:tmpl w:val="E65E64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0822975"/>
    <w:multiLevelType w:val="hybridMultilevel"/>
    <w:tmpl w:val="4F200548"/>
    <w:lvl w:ilvl="0" w:tplc="AE94D0E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5" w15:restartNumberingAfterBreak="0">
    <w:nsid w:val="609E63D8"/>
    <w:multiLevelType w:val="hybridMultilevel"/>
    <w:tmpl w:val="23B8A4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1124D2B"/>
    <w:multiLevelType w:val="hybridMultilevel"/>
    <w:tmpl w:val="7CC640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14C621A"/>
    <w:multiLevelType w:val="hybridMultilevel"/>
    <w:tmpl w:val="82DC9E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16E12F8"/>
    <w:multiLevelType w:val="hybridMultilevel"/>
    <w:tmpl w:val="733EA224"/>
    <w:lvl w:ilvl="0" w:tplc="0AAE36EA">
      <w:start w:val="1"/>
      <w:numFmt w:val="decimal"/>
      <w:lvlText w:val="%1"/>
      <w:lvlJc w:val="left"/>
      <w:pPr>
        <w:tabs>
          <w:tab w:val="num" w:pos="360"/>
        </w:tabs>
        <w:ind w:left="0" w:firstLine="0"/>
      </w:pPr>
      <w:rPr>
        <w:rFonts w:ascii="Calibri" w:hAnsi="Calibri" w:hint="default"/>
        <w:b/>
        <w:i w:val="0"/>
        <w:color w:val="012768"/>
        <w:sz w:val="40"/>
      </w:rPr>
    </w:lvl>
    <w:lvl w:ilvl="1" w:tplc="20CC9D06">
      <w:start w:val="1"/>
      <w:numFmt w:val="decimal"/>
      <w:lvlText w:val=""/>
      <w:lvlJc w:val="left"/>
      <w:pPr>
        <w:tabs>
          <w:tab w:val="num" w:pos="360"/>
        </w:tabs>
        <w:ind w:left="0" w:firstLine="0"/>
      </w:pPr>
      <w:rPr>
        <w:rFonts w:hint="default"/>
      </w:rPr>
    </w:lvl>
    <w:lvl w:ilvl="2" w:tplc="643A8F0E">
      <w:start w:val="1"/>
      <w:numFmt w:val="decimal"/>
      <w:lvlText w:val=""/>
      <w:lvlJc w:val="left"/>
      <w:pPr>
        <w:tabs>
          <w:tab w:val="num" w:pos="360"/>
        </w:tabs>
        <w:ind w:left="0" w:firstLine="0"/>
      </w:pPr>
      <w:rPr>
        <w:rFonts w:hint="default"/>
      </w:rPr>
    </w:lvl>
    <w:lvl w:ilvl="3" w:tplc="98FECCE2">
      <w:start w:val="1"/>
      <w:numFmt w:val="decimal"/>
      <w:lvlText w:val=""/>
      <w:lvlJc w:val="left"/>
      <w:pPr>
        <w:tabs>
          <w:tab w:val="num" w:pos="360"/>
        </w:tabs>
        <w:ind w:left="0" w:firstLine="0"/>
      </w:pPr>
      <w:rPr>
        <w:rFonts w:hint="default"/>
      </w:rPr>
    </w:lvl>
    <w:lvl w:ilvl="4" w:tplc="6E8EB1B0">
      <w:start w:val="1"/>
      <w:numFmt w:val="decimal"/>
      <w:lvlText w:val=""/>
      <w:lvlJc w:val="left"/>
      <w:pPr>
        <w:tabs>
          <w:tab w:val="num" w:pos="360"/>
        </w:tabs>
        <w:ind w:left="0" w:firstLine="0"/>
      </w:pPr>
      <w:rPr>
        <w:rFonts w:hint="default"/>
      </w:rPr>
    </w:lvl>
    <w:lvl w:ilvl="5" w:tplc="46BABCEE">
      <w:start w:val="1"/>
      <w:numFmt w:val="decimal"/>
      <w:lvlText w:val=""/>
      <w:lvlJc w:val="left"/>
      <w:pPr>
        <w:tabs>
          <w:tab w:val="num" w:pos="360"/>
        </w:tabs>
        <w:ind w:left="0" w:firstLine="0"/>
      </w:pPr>
      <w:rPr>
        <w:rFonts w:hint="default"/>
      </w:rPr>
    </w:lvl>
    <w:lvl w:ilvl="6" w:tplc="A92EFBB0">
      <w:start w:val="1"/>
      <w:numFmt w:val="decimal"/>
      <w:lvlText w:val=""/>
      <w:lvlJc w:val="left"/>
      <w:pPr>
        <w:tabs>
          <w:tab w:val="num" w:pos="360"/>
        </w:tabs>
        <w:ind w:left="0" w:firstLine="0"/>
      </w:pPr>
      <w:rPr>
        <w:rFonts w:hint="default"/>
      </w:rPr>
    </w:lvl>
    <w:lvl w:ilvl="7" w:tplc="23025F96">
      <w:start w:val="1"/>
      <w:numFmt w:val="decimal"/>
      <w:lvlText w:val=""/>
      <w:lvlJc w:val="left"/>
      <w:pPr>
        <w:tabs>
          <w:tab w:val="num" w:pos="360"/>
        </w:tabs>
        <w:ind w:left="0" w:firstLine="0"/>
      </w:pPr>
      <w:rPr>
        <w:rFonts w:hint="default"/>
      </w:rPr>
    </w:lvl>
    <w:lvl w:ilvl="8" w:tplc="7FB25F2C">
      <w:start w:val="1"/>
      <w:numFmt w:val="decimal"/>
      <w:lvlText w:val=""/>
      <w:lvlJc w:val="left"/>
      <w:pPr>
        <w:tabs>
          <w:tab w:val="num" w:pos="360"/>
        </w:tabs>
        <w:ind w:left="0" w:firstLine="0"/>
      </w:pPr>
      <w:rPr>
        <w:rFonts w:hint="default"/>
      </w:rPr>
    </w:lvl>
  </w:abstractNum>
  <w:abstractNum w:abstractNumId="219" w15:restartNumberingAfterBreak="0">
    <w:nsid w:val="6290771D"/>
    <w:multiLevelType w:val="hybridMultilevel"/>
    <w:tmpl w:val="CD70DF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62BC0C67"/>
    <w:multiLevelType w:val="hybridMultilevel"/>
    <w:tmpl w:val="EC006E3A"/>
    <w:lvl w:ilvl="0" w:tplc="B9ACA0C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1" w15:restartNumberingAfterBreak="0">
    <w:nsid w:val="635D309D"/>
    <w:multiLevelType w:val="hybridMultilevel"/>
    <w:tmpl w:val="3AD08AAE"/>
    <w:lvl w:ilvl="0" w:tplc="E60E5D2E">
      <w:start w:val="1"/>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64350B31"/>
    <w:multiLevelType w:val="hybridMultilevel"/>
    <w:tmpl w:val="ECE466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64667A12"/>
    <w:multiLevelType w:val="multilevel"/>
    <w:tmpl w:val="85EE786A"/>
    <w:lvl w:ilvl="0">
      <w:start w:val="1"/>
      <w:numFmt w:val="decimal"/>
      <w:pStyle w:val="Task-Level1Heading"/>
      <w:lvlText w:val="Task %1:"/>
      <w:lvlJc w:val="left"/>
      <w:pPr>
        <w:ind w:left="1062" w:hanging="432"/>
      </w:pPr>
      <w:rPr>
        <w:rFonts w:ascii="Myriad Pro" w:hAnsi="Myriad Pro" w:cs="Times New Roman" w:hint="default"/>
        <w:b/>
        <w:bCs w:val="0"/>
        <w:i w:val="0"/>
        <w:iCs w:val="0"/>
        <w:caps w:val="0"/>
        <w:smallCaps w:val="0"/>
        <w:strike w:val="0"/>
        <w:dstrike w:val="0"/>
        <w:vanish w:val="0"/>
        <w:color w:val="5F80A7"/>
        <w:spacing w:val="0"/>
        <w:kern w:val="0"/>
        <w:position w:val="0"/>
        <w:u w:val="none"/>
        <w:vertAlign w:val="baseline"/>
      </w:rPr>
    </w:lvl>
    <w:lvl w:ilvl="1">
      <w:start w:val="1"/>
      <w:numFmt w:val="decimal"/>
      <w:lvlText w:val="Task %1.%2:"/>
      <w:lvlJc w:val="left"/>
      <w:pPr>
        <w:ind w:left="1026" w:hanging="576"/>
      </w:pPr>
      <w:rPr>
        <w:rFonts w:cs="Times New Roman" w:hint="default"/>
        <w:b/>
        <w:i w:val="0"/>
        <w:sz w:val="26"/>
        <w:szCs w:val="26"/>
      </w:rPr>
    </w:lvl>
    <w:lvl w:ilvl="2">
      <w:start w:val="1"/>
      <w:numFmt w:val="decimal"/>
      <w:pStyle w:val="Task-Level2Heading"/>
      <w:lvlText w:val="Task %1.%2.%3:"/>
      <w:lvlJc w:val="left"/>
      <w:pPr>
        <w:ind w:left="1080" w:hanging="720"/>
      </w:pPr>
      <w:rPr>
        <w:rFonts w:cs="Times New Roman" w:hint="default"/>
        <w:b/>
        <w:i w:val="0"/>
        <w:sz w:val="24"/>
      </w:rPr>
    </w:lvl>
    <w:lvl w:ilvl="3">
      <w:start w:val="1"/>
      <w:numFmt w:val="decimal"/>
      <w:lvlText w:val="%1.%2.%3.%4"/>
      <w:lvlJc w:val="left"/>
      <w:pPr>
        <w:ind w:left="1314" w:hanging="864"/>
      </w:pPr>
      <w:rPr>
        <w:rFonts w:cs="Times New Roman" w:hint="default"/>
        <w:b/>
        <w:i w:val="0"/>
        <w:caps w:val="0"/>
        <w:strike w:val="0"/>
        <w:dstrike w:val="0"/>
        <w:vanish w:val="0"/>
        <w:color w:val="auto"/>
        <w:sz w:val="24"/>
        <w:vertAlign w:val="baseline"/>
      </w:rPr>
    </w:lvl>
    <w:lvl w:ilvl="4">
      <w:start w:val="1"/>
      <w:numFmt w:val="decimal"/>
      <w:lvlText w:val="%1.%2.%3.%4.%5"/>
      <w:lvlJc w:val="left"/>
      <w:pPr>
        <w:ind w:left="1458" w:hanging="1008"/>
      </w:pPr>
      <w:rPr>
        <w:rFonts w:cs="Times New Roman" w:hint="default"/>
        <w:b/>
        <w:i w:val="0"/>
        <w:sz w:val="24"/>
      </w:rPr>
    </w:lvl>
    <w:lvl w:ilvl="5">
      <w:start w:val="1"/>
      <w:numFmt w:val="decimal"/>
      <w:lvlText w:val="%1.%2.%3.%4.%5.%6"/>
      <w:lvlJc w:val="left"/>
      <w:pPr>
        <w:ind w:left="1602" w:hanging="1152"/>
      </w:pPr>
      <w:rPr>
        <w:rFonts w:cs="Times New Roman" w:hint="default"/>
      </w:rPr>
    </w:lvl>
    <w:lvl w:ilvl="6">
      <w:start w:val="1"/>
      <w:numFmt w:val="decimal"/>
      <w:lvlText w:val="%1.%2.%3.%4.%5.%6.%7"/>
      <w:lvlJc w:val="left"/>
      <w:pPr>
        <w:ind w:left="1746" w:hanging="1296"/>
      </w:pPr>
      <w:rPr>
        <w:rFonts w:cs="Times New Roman" w:hint="default"/>
      </w:rPr>
    </w:lvl>
    <w:lvl w:ilvl="7">
      <w:start w:val="1"/>
      <w:numFmt w:val="decimal"/>
      <w:lvlText w:val="%1.%2.%3.%4.%5.%6.%7.%8"/>
      <w:lvlJc w:val="left"/>
      <w:pPr>
        <w:ind w:left="1890" w:hanging="1440"/>
      </w:pPr>
      <w:rPr>
        <w:rFonts w:cs="Times New Roman" w:hint="default"/>
      </w:rPr>
    </w:lvl>
    <w:lvl w:ilvl="8">
      <w:start w:val="1"/>
      <w:numFmt w:val="decimal"/>
      <w:lvlText w:val="%1.%2.%3.%4.%5.%6.%7.%8.%9"/>
      <w:lvlJc w:val="left"/>
      <w:pPr>
        <w:ind w:left="2034" w:hanging="1584"/>
      </w:pPr>
      <w:rPr>
        <w:rFonts w:cs="Times New Roman" w:hint="default"/>
      </w:rPr>
    </w:lvl>
  </w:abstractNum>
  <w:abstractNum w:abstractNumId="224" w15:restartNumberingAfterBreak="0">
    <w:nsid w:val="650C49A2"/>
    <w:multiLevelType w:val="hybridMultilevel"/>
    <w:tmpl w:val="DA48AA50"/>
    <w:lvl w:ilvl="0" w:tplc="40764F1A">
      <w:start w:val="1"/>
      <w:numFmt w:val="bullet"/>
      <w:pStyle w:val="SecondLevelBulletList"/>
      <w:lvlText w:val="o"/>
      <w:lvlJc w:val="left"/>
      <w:pPr>
        <w:ind w:left="1710" w:hanging="360"/>
      </w:pPr>
      <w:rPr>
        <w:rFonts w:ascii="Courier New" w:hAnsi="Courier New" w:cs="Courier New"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25" w15:restartNumberingAfterBreak="0">
    <w:nsid w:val="65467E92"/>
    <w:multiLevelType w:val="hybridMultilevel"/>
    <w:tmpl w:val="08027F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5F833B1"/>
    <w:multiLevelType w:val="hybridMultilevel"/>
    <w:tmpl w:val="96E8E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6993A6F"/>
    <w:multiLevelType w:val="hybridMultilevel"/>
    <w:tmpl w:val="F59C2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6F337AC"/>
    <w:multiLevelType w:val="hybridMultilevel"/>
    <w:tmpl w:val="E3586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71C7CA0"/>
    <w:multiLevelType w:val="hybridMultilevel"/>
    <w:tmpl w:val="C2527C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7B0248D"/>
    <w:multiLevelType w:val="hybridMultilevel"/>
    <w:tmpl w:val="B8C855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81F4508"/>
    <w:multiLevelType w:val="hybridMultilevel"/>
    <w:tmpl w:val="304E6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8A42106"/>
    <w:multiLevelType w:val="hybridMultilevel"/>
    <w:tmpl w:val="36B64FF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8F2640E"/>
    <w:multiLevelType w:val="hybridMultilevel"/>
    <w:tmpl w:val="72327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9CA2B79"/>
    <w:multiLevelType w:val="hybridMultilevel"/>
    <w:tmpl w:val="086C52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A25524F"/>
    <w:multiLevelType w:val="hybridMultilevel"/>
    <w:tmpl w:val="DC80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6B6B391B"/>
    <w:multiLevelType w:val="hybridMultilevel"/>
    <w:tmpl w:val="ECE490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B852B81"/>
    <w:multiLevelType w:val="hybridMultilevel"/>
    <w:tmpl w:val="829E76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C123A88"/>
    <w:multiLevelType w:val="hybridMultilevel"/>
    <w:tmpl w:val="85D846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C8D281A"/>
    <w:multiLevelType w:val="hybridMultilevel"/>
    <w:tmpl w:val="6E6808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6D650024"/>
    <w:multiLevelType w:val="hybridMultilevel"/>
    <w:tmpl w:val="1B0631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DB04886"/>
    <w:multiLevelType w:val="hybridMultilevel"/>
    <w:tmpl w:val="0EC26C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DB5092C"/>
    <w:multiLevelType w:val="hybridMultilevel"/>
    <w:tmpl w:val="2A568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DD83E79"/>
    <w:multiLevelType w:val="hybridMultilevel"/>
    <w:tmpl w:val="E844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E046649"/>
    <w:multiLevelType w:val="hybridMultilevel"/>
    <w:tmpl w:val="95B25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E3E1E86"/>
    <w:multiLevelType w:val="hybridMultilevel"/>
    <w:tmpl w:val="A20886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6EA03A2B"/>
    <w:multiLevelType w:val="hybridMultilevel"/>
    <w:tmpl w:val="EB6C227E"/>
    <w:lvl w:ilvl="0" w:tplc="1126415A">
      <w:start w:val="1"/>
      <w:numFmt w:val="decimal"/>
      <w:pStyle w:val="NumberedList"/>
      <w:lvlText w:val="%1."/>
      <w:lvlJc w:val="left"/>
      <w:pPr>
        <w:ind w:left="810" w:hanging="360"/>
      </w:pPr>
      <w:rPr>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7" w15:restartNumberingAfterBreak="0">
    <w:nsid w:val="6EB14A21"/>
    <w:multiLevelType w:val="hybridMultilevel"/>
    <w:tmpl w:val="B67ADC62"/>
    <w:lvl w:ilvl="0" w:tplc="092E80A2">
      <w:start w:val="1"/>
      <w:numFmt w:val="decimal"/>
      <w:lvlText w:val="%1"/>
      <w:lvlJc w:val="left"/>
      <w:pPr>
        <w:ind w:left="360" w:hanging="360"/>
      </w:pPr>
      <w:rPr>
        <w:rFonts w:ascii="Calibri" w:hAnsi="Calibri" w:hint="default"/>
        <w:b/>
        <w:i w:val="0"/>
        <w:color w:val="012768"/>
        <w:sz w:val="40"/>
      </w:rPr>
    </w:lvl>
    <w:lvl w:ilvl="1" w:tplc="2BB2AA6C">
      <w:start w:val="1"/>
      <w:numFmt w:val="none"/>
      <w:lvlText w:val=""/>
      <w:lvlJc w:val="left"/>
      <w:pPr>
        <w:ind w:left="720" w:hanging="360"/>
      </w:pPr>
      <w:rPr>
        <w:rFonts w:hint="default"/>
      </w:rPr>
    </w:lvl>
    <w:lvl w:ilvl="2" w:tplc="79485A1E">
      <w:start w:val="1"/>
      <w:numFmt w:val="none"/>
      <w:lvlText w:val=""/>
      <w:lvlJc w:val="left"/>
      <w:pPr>
        <w:ind w:left="1080" w:hanging="360"/>
      </w:pPr>
      <w:rPr>
        <w:rFonts w:hint="default"/>
      </w:rPr>
    </w:lvl>
    <w:lvl w:ilvl="3" w:tplc="BD9CAE3C">
      <w:start w:val="1"/>
      <w:numFmt w:val="none"/>
      <w:lvlText w:val=""/>
      <w:lvlJc w:val="left"/>
      <w:pPr>
        <w:ind w:left="1440" w:hanging="360"/>
      </w:pPr>
      <w:rPr>
        <w:rFonts w:hint="default"/>
      </w:rPr>
    </w:lvl>
    <w:lvl w:ilvl="4" w:tplc="C950BDEC">
      <w:start w:val="1"/>
      <w:numFmt w:val="none"/>
      <w:lvlText w:val=""/>
      <w:lvlJc w:val="left"/>
      <w:pPr>
        <w:ind w:left="1800" w:hanging="360"/>
      </w:pPr>
      <w:rPr>
        <w:rFonts w:hint="default"/>
      </w:rPr>
    </w:lvl>
    <w:lvl w:ilvl="5" w:tplc="9E7EF2E0">
      <w:start w:val="1"/>
      <w:numFmt w:val="none"/>
      <w:lvlText w:val=""/>
      <w:lvlJc w:val="left"/>
      <w:pPr>
        <w:ind w:left="2160" w:hanging="360"/>
      </w:pPr>
      <w:rPr>
        <w:rFonts w:hint="default"/>
      </w:rPr>
    </w:lvl>
    <w:lvl w:ilvl="6" w:tplc="0136F2B2">
      <w:start w:val="1"/>
      <w:numFmt w:val="none"/>
      <w:lvlText w:val=""/>
      <w:lvlJc w:val="left"/>
      <w:pPr>
        <w:ind w:left="2520" w:hanging="360"/>
      </w:pPr>
      <w:rPr>
        <w:rFonts w:hint="default"/>
      </w:rPr>
    </w:lvl>
    <w:lvl w:ilvl="7" w:tplc="2B90C084">
      <w:start w:val="1"/>
      <w:numFmt w:val="none"/>
      <w:lvlText w:val=""/>
      <w:lvlJc w:val="left"/>
      <w:pPr>
        <w:ind w:left="2880" w:hanging="360"/>
      </w:pPr>
      <w:rPr>
        <w:rFonts w:hint="default"/>
      </w:rPr>
    </w:lvl>
    <w:lvl w:ilvl="8" w:tplc="2556D0BC">
      <w:start w:val="1"/>
      <w:numFmt w:val="none"/>
      <w:lvlText w:val=""/>
      <w:lvlJc w:val="left"/>
      <w:pPr>
        <w:ind w:left="3240" w:hanging="360"/>
      </w:pPr>
      <w:rPr>
        <w:rFonts w:hint="default"/>
      </w:rPr>
    </w:lvl>
  </w:abstractNum>
  <w:abstractNum w:abstractNumId="248" w15:restartNumberingAfterBreak="0">
    <w:nsid w:val="6F7E0530"/>
    <w:multiLevelType w:val="hybridMultilevel"/>
    <w:tmpl w:val="560A28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FA43207"/>
    <w:multiLevelType w:val="hybridMultilevel"/>
    <w:tmpl w:val="CD3AB3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FA862CD"/>
    <w:multiLevelType w:val="hybridMultilevel"/>
    <w:tmpl w:val="1C4A8B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6FB13996"/>
    <w:multiLevelType w:val="hybridMultilevel"/>
    <w:tmpl w:val="F24CEB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704D07BC"/>
    <w:multiLevelType w:val="hybridMultilevel"/>
    <w:tmpl w:val="F40053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7060751E"/>
    <w:multiLevelType w:val="hybridMultilevel"/>
    <w:tmpl w:val="97CA9B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71064953"/>
    <w:multiLevelType w:val="hybridMultilevel"/>
    <w:tmpl w:val="532AF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71115926"/>
    <w:multiLevelType w:val="hybridMultilevel"/>
    <w:tmpl w:val="01102CF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6" w15:restartNumberingAfterBreak="0">
    <w:nsid w:val="714824EC"/>
    <w:multiLevelType w:val="hybridMultilevel"/>
    <w:tmpl w:val="3AD68C6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57" w15:restartNumberingAfterBreak="0">
    <w:nsid w:val="714A0560"/>
    <w:multiLevelType w:val="hybridMultilevel"/>
    <w:tmpl w:val="DB862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18E29E1"/>
    <w:multiLevelType w:val="hybridMultilevel"/>
    <w:tmpl w:val="C43E14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29B75E6"/>
    <w:multiLevelType w:val="hybridMultilevel"/>
    <w:tmpl w:val="E0A6DE24"/>
    <w:lvl w:ilvl="0" w:tplc="9564A624">
      <w:start w:val="1"/>
      <w:numFmt w:val="lowerLetter"/>
      <w:lvlText w:val="(%1)"/>
      <w:lvlJc w:val="left"/>
      <w:pPr>
        <w:ind w:left="900" w:hanging="360"/>
      </w:pPr>
      <w:rPr>
        <w:rFonts w:asciiTheme="minorHAnsi" w:eastAsiaTheme="minorHAnsi" w:hAnsiTheme="minorHAnsi" w:cstheme="minorBidi"/>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0" w15:restartNumberingAfterBreak="0">
    <w:nsid w:val="72CD03FE"/>
    <w:multiLevelType w:val="hybridMultilevel"/>
    <w:tmpl w:val="9EFEF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15:restartNumberingAfterBreak="0">
    <w:nsid w:val="730600F2"/>
    <w:multiLevelType w:val="hybridMultilevel"/>
    <w:tmpl w:val="D966C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37231AE"/>
    <w:multiLevelType w:val="hybridMultilevel"/>
    <w:tmpl w:val="2FB0D4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41B1334"/>
    <w:multiLevelType w:val="hybridMultilevel"/>
    <w:tmpl w:val="DA2C6856"/>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7483143A"/>
    <w:multiLevelType w:val="hybridMultilevel"/>
    <w:tmpl w:val="486CCD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4ED745A"/>
    <w:multiLevelType w:val="hybridMultilevel"/>
    <w:tmpl w:val="DCE4B2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52E37C0"/>
    <w:multiLevelType w:val="hybridMultilevel"/>
    <w:tmpl w:val="1A1CE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5AB6FDD"/>
    <w:multiLevelType w:val="hybridMultilevel"/>
    <w:tmpl w:val="A70046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5F346D3"/>
    <w:multiLevelType w:val="hybridMultilevel"/>
    <w:tmpl w:val="889A15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69046DB"/>
    <w:multiLevelType w:val="hybridMultilevel"/>
    <w:tmpl w:val="E3B65C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6D23919"/>
    <w:multiLevelType w:val="hybridMultilevel"/>
    <w:tmpl w:val="65303DA6"/>
    <w:lvl w:ilvl="0" w:tplc="4CB0880A">
      <w:start w:val="1"/>
      <w:numFmt w:val="bullet"/>
      <w:lvlText w:val=""/>
      <w:lvlJc w:val="left"/>
      <w:pPr>
        <w:ind w:left="720" w:hanging="360"/>
      </w:pPr>
      <w:rPr>
        <w:rFonts w:ascii="Wingdings" w:hAnsi="Wingdings" w:hint="default"/>
      </w:rPr>
    </w:lvl>
    <w:lvl w:ilvl="1" w:tplc="E0EEA89E">
      <w:start w:val="1"/>
      <w:numFmt w:val="bullet"/>
      <w:lvlText w:val="-"/>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7784462B"/>
    <w:multiLevelType w:val="hybridMultilevel"/>
    <w:tmpl w:val="461C3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77B47FB8"/>
    <w:multiLevelType w:val="hybridMultilevel"/>
    <w:tmpl w:val="22FA4A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81A43D5"/>
    <w:multiLevelType w:val="hybridMultilevel"/>
    <w:tmpl w:val="EB68B7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78244D79"/>
    <w:multiLevelType w:val="hybridMultilevel"/>
    <w:tmpl w:val="D30045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84829E0"/>
    <w:multiLevelType w:val="hybridMultilevel"/>
    <w:tmpl w:val="5B52B2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15:restartNumberingAfterBreak="0">
    <w:nsid w:val="78937838"/>
    <w:multiLevelType w:val="hybridMultilevel"/>
    <w:tmpl w:val="9B0C93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78C8635F"/>
    <w:multiLevelType w:val="hybridMultilevel"/>
    <w:tmpl w:val="210663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798A69DD"/>
    <w:multiLevelType w:val="hybridMultilevel"/>
    <w:tmpl w:val="133A17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799D5EE6"/>
    <w:multiLevelType w:val="hybridMultilevel"/>
    <w:tmpl w:val="B70A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9BD2AD9"/>
    <w:multiLevelType w:val="hybridMultilevel"/>
    <w:tmpl w:val="EE7EF3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A0F6B98"/>
    <w:multiLevelType w:val="hybridMultilevel"/>
    <w:tmpl w:val="FD7A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7A770C78"/>
    <w:multiLevelType w:val="hybridMultilevel"/>
    <w:tmpl w:val="0E0A0C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AAA226C"/>
    <w:multiLevelType w:val="hybridMultilevel"/>
    <w:tmpl w:val="67D249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7B78087B"/>
    <w:multiLevelType w:val="hybridMultilevel"/>
    <w:tmpl w:val="21DC53F2"/>
    <w:lvl w:ilvl="0" w:tplc="0308B7DA">
      <w:start w:val="1"/>
      <w:numFmt w:val="decimal"/>
      <w:lvlText w:val="%1"/>
      <w:lvlJc w:val="left"/>
      <w:pPr>
        <w:tabs>
          <w:tab w:val="num" w:pos="360"/>
        </w:tabs>
        <w:ind w:left="0" w:firstLine="0"/>
      </w:pPr>
      <w:rPr>
        <w:rFonts w:ascii="Calibri" w:hAnsi="Calibri" w:hint="default"/>
        <w:b/>
        <w:i w:val="0"/>
        <w:color w:val="012768"/>
        <w:sz w:val="40"/>
      </w:rPr>
    </w:lvl>
    <w:lvl w:ilvl="1" w:tplc="B16884F2">
      <w:start w:val="1"/>
      <w:numFmt w:val="decimal"/>
      <w:lvlText w:val=""/>
      <w:lvlJc w:val="left"/>
      <w:pPr>
        <w:tabs>
          <w:tab w:val="num" w:pos="360"/>
        </w:tabs>
        <w:ind w:left="0" w:firstLine="0"/>
      </w:pPr>
      <w:rPr>
        <w:rFonts w:hint="default"/>
      </w:rPr>
    </w:lvl>
    <w:lvl w:ilvl="2" w:tplc="DFD48AE8">
      <w:start w:val="1"/>
      <w:numFmt w:val="decimal"/>
      <w:lvlText w:val=""/>
      <w:lvlJc w:val="left"/>
      <w:pPr>
        <w:tabs>
          <w:tab w:val="num" w:pos="360"/>
        </w:tabs>
        <w:ind w:left="0" w:firstLine="0"/>
      </w:pPr>
      <w:rPr>
        <w:rFonts w:hint="default"/>
      </w:rPr>
    </w:lvl>
    <w:lvl w:ilvl="3" w:tplc="910E61FA">
      <w:start w:val="1"/>
      <w:numFmt w:val="decimal"/>
      <w:lvlText w:val=""/>
      <w:lvlJc w:val="left"/>
      <w:pPr>
        <w:tabs>
          <w:tab w:val="num" w:pos="360"/>
        </w:tabs>
        <w:ind w:left="0" w:firstLine="0"/>
      </w:pPr>
      <w:rPr>
        <w:rFonts w:hint="default"/>
      </w:rPr>
    </w:lvl>
    <w:lvl w:ilvl="4" w:tplc="4E56BAFA">
      <w:start w:val="1"/>
      <w:numFmt w:val="decimal"/>
      <w:lvlText w:val=""/>
      <w:lvlJc w:val="left"/>
      <w:pPr>
        <w:tabs>
          <w:tab w:val="num" w:pos="360"/>
        </w:tabs>
        <w:ind w:left="0" w:firstLine="0"/>
      </w:pPr>
      <w:rPr>
        <w:rFonts w:hint="default"/>
      </w:rPr>
    </w:lvl>
    <w:lvl w:ilvl="5" w:tplc="ADAAE000">
      <w:start w:val="1"/>
      <w:numFmt w:val="decimal"/>
      <w:lvlText w:val=""/>
      <w:lvlJc w:val="left"/>
      <w:pPr>
        <w:tabs>
          <w:tab w:val="num" w:pos="360"/>
        </w:tabs>
        <w:ind w:left="0" w:firstLine="0"/>
      </w:pPr>
      <w:rPr>
        <w:rFonts w:hint="default"/>
      </w:rPr>
    </w:lvl>
    <w:lvl w:ilvl="6" w:tplc="EFC6FF5A">
      <w:start w:val="1"/>
      <w:numFmt w:val="decimal"/>
      <w:lvlText w:val=""/>
      <w:lvlJc w:val="left"/>
      <w:pPr>
        <w:tabs>
          <w:tab w:val="num" w:pos="360"/>
        </w:tabs>
        <w:ind w:left="0" w:firstLine="0"/>
      </w:pPr>
      <w:rPr>
        <w:rFonts w:hint="default"/>
      </w:rPr>
    </w:lvl>
    <w:lvl w:ilvl="7" w:tplc="B3287E56">
      <w:start w:val="1"/>
      <w:numFmt w:val="decimal"/>
      <w:lvlText w:val=""/>
      <w:lvlJc w:val="left"/>
      <w:pPr>
        <w:tabs>
          <w:tab w:val="num" w:pos="360"/>
        </w:tabs>
        <w:ind w:left="0" w:firstLine="0"/>
      </w:pPr>
      <w:rPr>
        <w:rFonts w:hint="default"/>
      </w:rPr>
    </w:lvl>
    <w:lvl w:ilvl="8" w:tplc="16785BCA">
      <w:start w:val="1"/>
      <w:numFmt w:val="decimal"/>
      <w:lvlText w:val=""/>
      <w:lvlJc w:val="left"/>
      <w:pPr>
        <w:tabs>
          <w:tab w:val="num" w:pos="360"/>
        </w:tabs>
        <w:ind w:left="0" w:firstLine="0"/>
      </w:pPr>
      <w:rPr>
        <w:rFonts w:hint="default"/>
      </w:rPr>
    </w:lvl>
  </w:abstractNum>
  <w:abstractNum w:abstractNumId="285" w15:restartNumberingAfterBreak="0">
    <w:nsid w:val="7C0229EA"/>
    <w:multiLevelType w:val="hybridMultilevel"/>
    <w:tmpl w:val="97AA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C9360DC"/>
    <w:multiLevelType w:val="hybridMultilevel"/>
    <w:tmpl w:val="AF364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7CF931F4"/>
    <w:multiLevelType w:val="hybridMultilevel"/>
    <w:tmpl w:val="3F783290"/>
    <w:lvl w:ilvl="0" w:tplc="C822510C">
      <w:start w:val="1"/>
      <w:numFmt w:val="bullet"/>
      <w:lvlText w:val=""/>
      <w:lvlJc w:val="left"/>
      <w:pPr>
        <w:ind w:left="720" w:hanging="360"/>
      </w:pPr>
      <w:rPr>
        <w:rFonts w:ascii="Wingdings" w:hAnsi="Wingdings" w:hint="default"/>
        <w:spacing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D1D0529"/>
    <w:multiLevelType w:val="hybridMultilevel"/>
    <w:tmpl w:val="3760B7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7D5A2FFF"/>
    <w:multiLevelType w:val="hybridMultilevel"/>
    <w:tmpl w:val="C3FC3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EF96A0F"/>
    <w:multiLevelType w:val="hybridMultilevel"/>
    <w:tmpl w:val="123AA0D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F855DCA"/>
    <w:multiLevelType w:val="hybridMultilevel"/>
    <w:tmpl w:val="CEFA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3"/>
  </w:num>
  <w:num w:numId="2">
    <w:abstractNumId w:val="131"/>
  </w:num>
  <w:num w:numId="3">
    <w:abstractNumId w:val="119"/>
  </w:num>
  <w:num w:numId="4">
    <w:abstractNumId w:val="65"/>
  </w:num>
  <w:num w:numId="5">
    <w:abstractNumId w:val="275"/>
  </w:num>
  <w:num w:numId="6">
    <w:abstractNumId w:val="235"/>
  </w:num>
  <w:num w:numId="7">
    <w:abstractNumId w:val="66"/>
  </w:num>
  <w:num w:numId="8">
    <w:abstractNumId w:val="260"/>
  </w:num>
  <w:num w:numId="9">
    <w:abstractNumId w:val="102"/>
  </w:num>
  <w:num w:numId="10">
    <w:abstractNumId w:val="86"/>
  </w:num>
  <w:num w:numId="11">
    <w:abstractNumId w:val="31"/>
  </w:num>
  <w:num w:numId="12">
    <w:abstractNumId w:val="271"/>
  </w:num>
  <w:num w:numId="13">
    <w:abstractNumId w:val="165"/>
  </w:num>
  <w:num w:numId="14">
    <w:abstractNumId w:val="16"/>
  </w:num>
  <w:num w:numId="15">
    <w:abstractNumId w:val="47"/>
  </w:num>
  <w:num w:numId="16">
    <w:abstractNumId w:val="7"/>
  </w:num>
  <w:num w:numId="17">
    <w:abstractNumId w:val="45"/>
  </w:num>
  <w:num w:numId="18">
    <w:abstractNumId w:val="152"/>
  </w:num>
  <w:num w:numId="19">
    <w:abstractNumId w:val="101"/>
  </w:num>
  <w:num w:numId="20">
    <w:abstractNumId w:val="11"/>
  </w:num>
  <w:num w:numId="21">
    <w:abstractNumId w:val="78"/>
  </w:num>
  <w:num w:numId="22">
    <w:abstractNumId w:val="164"/>
  </w:num>
  <w:num w:numId="23">
    <w:abstractNumId w:val="37"/>
  </w:num>
  <w:num w:numId="24">
    <w:abstractNumId w:val="210"/>
  </w:num>
  <w:num w:numId="25">
    <w:abstractNumId w:val="233"/>
  </w:num>
  <w:num w:numId="26">
    <w:abstractNumId w:val="106"/>
  </w:num>
  <w:num w:numId="27">
    <w:abstractNumId w:val="226"/>
  </w:num>
  <w:num w:numId="28">
    <w:abstractNumId w:val="64"/>
  </w:num>
  <w:num w:numId="29">
    <w:abstractNumId w:val="173"/>
  </w:num>
  <w:num w:numId="30">
    <w:abstractNumId w:val="281"/>
  </w:num>
  <w:num w:numId="31">
    <w:abstractNumId w:val="107"/>
  </w:num>
  <w:num w:numId="32">
    <w:abstractNumId w:val="279"/>
  </w:num>
  <w:num w:numId="33">
    <w:abstractNumId w:val="146"/>
  </w:num>
  <w:num w:numId="34">
    <w:abstractNumId w:val="129"/>
  </w:num>
  <w:num w:numId="35">
    <w:abstractNumId w:val="151"/>
  </w:num>
  <w:num w:numId="36">
    <w:abstractNumId w:val="181"/>
  </w:num>
  <w:num w:numId="37">
    <w:abstractNumId w:val="70"/>
  </w:num>
  <w:num w:numId="38">
    <w:abstractNumId w:val="58"/>
  </w:num>
  <w:num w:numId="39">
    <w:abstractNumId w:val="142"/>
  </w:num>
  <w:num w:numId="40">
    <w:abstractNumId w:val="48"/>
  </w:num>
  <w:num w:numId="41">
    <w:abstractNumId w:val="89"/>
  </w:num>
  <w:num w:numId="42">
    <w:abstractNumId w:val="127"/>
  </w:num>
  <w:num w:numId="43">
    <w:abstractNumId w:val="232"/>
  </w:num>
  <w:num w:numId="44">
    <w:abstractNumId w:val="20"/>
  </w:num>
  <w:num w:numId="45">
    <w:abstractNumId w:val="6"/>
  </w:num>
  <w:num w:numId="46">
    <w:abstractNumId w:val="111"/>
  </w:num>
  <w:num w:numId="47">
    <w:abstractNumId w:val="154"/>
  </w:num>
  <w:num w:numId="48">
    <w:abstractNumId w:val="103"/>
  </w:num>
  <w:num w:numId="49">
    <w:abstractNumId w:val="228"/>
  </w:num>
  <w:num w:numId="50">
    <w:abstractNumId w:val="243"/>
  </w:num>
  <w:num w:numId="51">
    <w:abstractNumId w:val="42"/>
  </w:num>
  <w:num w:numId="52">
    <w:abstractNumId w:val="290"/>
  </w:num>
  <w:num w:numId="53">
    <w:abstractNumId w:val="231"/>
  </w:num>
  <w:num w:numId="54">
    <w:abstractNumId w:val="110"/>
  </w:num>
  <w:num w:numId="55">
    <w:abstractNumId w:val="74"/>
  </w:num>
  <w:num w:numId="56">
    <w:abstractNumId w:val="128"/>
  </w:num>
  <w:num w:numId="57">
    <w:abstractNumId w:val="100"/>
  </w:num>
  <w:num w:numId="58">
    <w:abstractNumId w:val="57"/>
  </w:num>
  <w:num w:numId="59">
    <w:abstractNumId w:val="166"/>
  </w:num>
  <w:num w:numId="60">
    <w:abstractNumId w:val="244"/>
  </w:num>
  <w:num w:numId="61">
    <w:abstractNumId w:val="176"/>
  </w:num>
  <w:num w:numId="62">
    <w:abstractNumId w:val="182"/>
  </w:num>
  <w:num w:numId="63">
    <w:abstractNumId w:val="39"/>
  </w:num>
  <w:num w:numId="64">
    <w:abstractNumId w:val="291"/>
  </w:num>
  <w:num w:numId="65">
    <w:abstractNumId w:val="227"/>
  </w:num>
  <w:num w:numId="66">
    <w:abstractNumId w:val="13"/>
  </w:num>
  <w:num w:numId="67">
    <w:abstractNumId w:val="185"/>
  </w:num>
  <w:num w:numId="68">
    <w:abstractNumId w:val="205"/>
  </w:num>
  <w:num w:numId="69">
    <w:abstractNumId w:val="144"/>
  </w:num>
  <w:num w:numId="70">
    <w:abstractNumId w:val="170"/>
  </w:num>
  <w:num w:numId="71">
    <w:abstractNumId w:val="9"/>
  </w:num>
  <w:num w:numId="72">
    <w:abstractNumId w:val="93"/>
  </w:num>
  <w:num w:numId="73">
    <w:abstractNumId w:val="252"/>
  </w:num>
  <w:num w:numId="74">
    <w:abstractNumId w:val="28"/>
  </w:num>
  <w:num w:numId="75">
    <w:abstractNumId w:val="61"/>
  </w:num>
  <w:num w:numId="76">
    <w:abstractNumId w:val="229"/>
  </w:num>
  <w:num w:numId="77">
    <w:abstractNumId w:val="96"/>
  </w:num>
  <w:num w:numId="78">
    <w:abstractNumId w:val="236"/>
  </w:num>
  <w:num w:numId="79">
    <w:abstractNumId w:val="76"/>
  </w:num>
  <w:num w:numId="80">
    <w:abstractNumId w:val="225"/>
  </w:num>
  <w:num w:numId="81">
    <w:abstractNumId w:val="282"/>
  </w:num>
  <w:num w:numId="82">
    <w:abstractNumId w:val="263"/>
  </w:num>
  <w:num w:numId="83">
    <w:abstractNumId w:val="126"/>
  </w:num>
  <w:num w:numId="84">
    <w:abstractNumId w:val="83"/>
  </w:num>
  <w:num w:numId="85">
    <w:abstractNumId w:val="82"/>
  </w:num>
  <w:num w:numId="86">
    <w:abstractNumId w:val="71"/>
  </w:num>
  <w:num w:numId="87">
    <w:abstractNumId w:val="32"/>
  </w:num>
  <w:num w:numId="88">
    <w:abstractNumId w:val="134"/>
  </w:num>
  <w:num w:numId="89">
    <w:abstractNumId w:val="269"/>
  </w:num>
  <w:num w:numId="90">
    <w:abstractNumId w:val="208"/>
  </w:num>
  <w:num w:numId="91">
    <w:abstractNumId w:val="277"/>
  </w:num>
  <w:num w:numId="92">
    <w:abstractNumId w:val="204"/>
  </w:num>
  <w:num w:numId="93">
    <w:abstractNumId w:val="114"/>
  </w:num>
  <w:num w:numId="94">
    <w:abstractNumId w:val="124"/>
  </w:num>
  <w:num w:numId="95">
    <w:abstractNumId w:val="249"/>
  </w:num>
  <w:num w:numId="96">
    <w:abstractNumId w:val="197"/>
  </w:num>
  <w:num w:numId="97">
    <w:abstractNumId w:val="201"/>
  </w:num>
  <w:num w:numId="98">
    <w:abstractNumId w:val="188"/>
  </w:num>
  <w:num w:numId="99">
    <w:abstractNumId w:val="46"/>
  </w:num>
  <w:num w:numId="100">
    <w:abstractNumId w:val="22"/>
  </w:num>
  <w:num w:numId="101">
    <w:abstractNumId w:val="80"/>
  </w:num>
  <w:num w:numId="102">
    <w:abstractNumId w:val="14"/>
  </w:num>
  <w:num w:numId="103">
    <w:abstractNumId w:val="88"/>
  </w:num>
  <w:num w:numId="104">
    <w:abstractNumId w:val="41"/>
  </w:num>
  <w:num w:numId="105">
    <w:abstractNumId w:val="104"/>
  </w:num>
  <w:num w:numId="106">
    <w:abstractNumId w:val="259"/>
  </w:num>
  <w:num w:numId="107">
    <w:abstractNumId w:val="199"/>
  </w:num>
  <w:num w:numId="108">
    <w:abstractNumId w:val="175"/>
  </w:num>
  <w:num w:numId="109">
    <w:abstractNumId w:val="116"/>
  </w:num>
  <w:num w:numId="110">
    <w:abstractNumId w:val="123"/>
  </w:num>
  <w:num w:numId="111">
    <w:abstractNumId w:val="2"/>
  </w:num>
  <w:num w:numId="112">
    <w:abstractNumId w:val="266"/>
  </w:num>
  <w:num w:numId="113">
    <w:abstractNumId w:val="289"/>
  </w:num>
  <w:num w:numId="114">
    <w:abstractNumId w:val="261"/>
  </w:num>
  <w:num w:numId="115">
    <w:abstractNumId w:val="168"/>
  </w:num>
  <w:num w:numId="116">
    <w:abstractNumId w:val="72"/>
  </w:num>
  <w:num w:numId="117">
    <w:abstractNumId w:val="157"/>
  </w:num>
  <w:num w:numId="118">
    <w:abstractNumId w:val="254"/>
  </w:num>
  <w:num w:numId="119">
    <w:abstractNumId w:val="219"/>
  </w:num>
  <w:num w:numId="120">
    <w:abstractNumId w:val="169"/>
  </w:num>
  <w:num w:numId="121">
    <w:abstractNumId w:val="256"/>
  </w:num>
  <w:num w:numId="122">
    <w:abstractNumId w:val="153"/>
  </w:num>
  <w:num w:numId="123">
    <w:abstractNumId w:val="56"/>
  </w:num>
  <w:num w:numId="124">
    <w:abstractNumId w:val="285"/>
  </w:num>
  <w:num w:numId="125">
    <w:abstractNumId w:val="286"/>
  </w:num>
  <w:num w:numId="126">
    <w:abstractNumId w:val="77"/>
  </w:num>
  <w:num w:numId="127">
    <w:abstractNumId w:val="262"/>
  </w:num>
  <w:num w:numId="128">
    <w:abstractNumId w:val="81"/>
  </w:num>
  <w:num w:numId="129">
    <w:abstractNumId w:val="15"/>
  </w:num>
  <w:num w:numId="130">
    <w:abstractNumId w:val="91"/>
  </w:num>
  <w:num w:numId="131">
    <w:abstractNumId w:val="43"/>
  </w:num>
  <w:num w:numId="132">
    <w:abstractNumId w:val="85"/>
  </w:num>
  <w:num w:numId="133">
    <w:abstractNumId w:val="194"/>
  </w:num>
  <w:num w:numId="134">
    <w:abstractNumId w:val="49"/>
  </w:num>
  <w:num w:numId="135">
    <w:abstractNumId w:val="62"/>
  </w:num>
  <w:num w:numId="136">
    <w:abstractNumId w:val="148"/>
  </w:num>
  <w:num w:numId="137">
    <w:abstractNumId w:val="209"/>
  </w:num>
  <w:num w:numId="138">
    <w:abstractNumId w:val="280"/>
  </w:num>
  <w:num w:numId="139">
    <w:abstractNumId w:val="10"/>
  </w:num>
  <w:num w:numId="140">
    <w:abstractNumId w:val="98"/>
  </w:num>
  <w:num w:numId="141">
    <w:abstractNumId w:val="140"/>
  </w:num>
  <w:num w:numId="142">
    <w:abstractNumId w:val="59"/>
  </w:num>
  <w:num w:numId="143">
    <w:abstractNumId w:val="50"/>
  </w:num>
  <w:num w:numId="144">
    <w:abstractNumId w:val="186"/>
  </w:num>
  <w:num w:numId="145">
    <w:abstractNumId w:val="150"/>
  </w:num>
  <w:num w:numId="146">
    <w:abstractNumId w:val="0"/>
  </w:num>
  <w:num w:numId="147">
    <w:abstractNumId w:val="79"/>
  </w:num>
  <w:num w:numId="148">
    <w:abstractNumId w:val="250"/>
  </w:num>
  <w:num w:numId="149">
    <w:abstractNumId w:val="174"/>
  </w:num>
  <w:num w:numId="150">
    <w:abstractNumId w:val="68"/>
  </w:num>
  <w:num w:numId="151">
    <w:abstractNumId w:val="184"/>
  </w:num>
  <w:num w:numId="152">
    <w:abstractNumId w:val="4"/>
  </w:num>
  <w:num w:numId="153">
    <w:abstractNumId w:val="239"/>
  </w:num>
  <w:num w:numId="154">
    <w:abstractNumId w:val="187"/>
  </w:num>
  <w:num w:numId="155">
    <w:abstractNumId w:val="1"/>
  </w:num>
  <w:num w:numId="156">
    <w:abstractNumId w:val="195"/>
  </w:num>
  <w:num w:numId="157">
    <w:abstractNumId w:val="84"/>
  </w:num>
  <w:num w:numId="158">
    <w:abstractNumId w:val="163"/>
  </w:num>
  <w:num w:numId="159">
    <w:abstractNumId w:val="117"/>
  </w:num>
  <w:num w:numId="160">
    <w:abstractNumId w:val="156"/>
  </w:num>
  <w:num w:numId="161">
    <w:abstractNumId w:val="135"/>
  </w:num>
  <w:num w:numId="162">
    <w:abstractNumId w:val="179"/>
  </w:num>
  <w:num w:numId="163">
    <w:abstractNumId w:val="92"/>
  </w:num>
  <w:num w:numId="164">
    <w:abstractNumId w:val="155"/>
  </w:num>
  <w:num w:numId="165">
    <w:abstractNumId w:val="34"/>
  </w:num>
  <w:num w:numId="166">
    <w:abstractNumId w:val="238"/>
  </w:num>
  <w:num w:numId="167">
    <w:abstractNumId w:val="222"/>
  </w:num>
  <w:num w:numId="168">
    <w:abstractNumId w:val="203"/>
  </w:num>
  <w:num w:numId="169">
    <w:abstractNumId w:val="120"/>
  </w:num>
  <w:num w:numId="170">
    <w:abstractNumId w:val="121"/>
  </w:num>
  <w:num w:numId="171">
    <w:abstractNumId w:val="253"/>
  </w:num>
  <w:num w:numId="172">
    <w:abstractNumId w:val="19"/>
  </w:num>
  <w:num w:numId="173">
    <w:abstractNumId w:val="192"/>
  </w:num>
  <w:num w:numId="174">
    <w:abstractNumId w:val="17"/>
  </w:num>
  <w:num w:numId="175">
    <w:abstractNumId w:val="274"/>
  </w:num>
  <w:num w:numId="176">
    <w:abstractNumId w:val="67"/>
  </w:num>
  <w:num w:numId="177">
    <w:abstractNumId w:val="145"/>
  </w:num>
  <w:num w:numId="178">
    <w:abstractNumId w:val="241"/>
  </w:num>
  <w:num w:numId="179">
    <w:abstractNumId w:val="36"/>
  </w:num>
  <w:num w:numId="180">
    <w:abstractNumId w:val="5"/>
  </w:num>
  <w:num w:numId="181">
    <w:abstractNumId w:val="265"/>
  </w:num>
  <w:num w:numId="182">
    <w:abstractNumId w:val="213"/>
  </w:num>
  <w:num w:numId="183">
    <w:abstractNumId w:val="268"/>
  </w:num>
  <w:num w:numId="184">
    <w:abstractNumId w:val="202"/>
  </w:num>
  <w:num w:numId="185">
    <w:abstractNumId w:val="18"/>
  </w:num>
  <w:num w:numId="186">
    <w:abstractNumId w:val="95"/>
  </w:num>
  <w:num w:numId="187">
    <w:abstractNumId w:val="139"/>
  </w:num>
  <w:num w:numId="188">
    <w:abstractNumId w:val="264"/>
  </w:num>
  <w:num w:numId="189">
    <w:abstractNumId w:val="137"/>
  </w:num>
  <w:num w:numId="190">
    <w:abstractNumId w:val="190"/>
  </w:num>
  <w:num w:numId="191">
    <w:abstractNumId w:val="206"/>
  </w:num>
  <w:num w:numId="192">
    <w:abstractNumId w:val="207"/>
  </w:num>
  <w:num w:numId="193">
    <w:abstractNumId w:val="69"/>
  </w:num>
  <w:num w:numId="194">
    <w:abstractNumId w:val="251"/>
  </w:num>
  <w:num w:numId="195">
    <w:abstractNumId w:val="237"/>
  </w:num>
  <w:num w:numId="196">
    <w:abstractNumId w:val="161"/>
  </w:num>
  <w:num w:numId="197">
    <w:abstractNumId w:val="216"/>
  </w:num>
  <w:num w:numId="198">
    <w:abstractNumId w:val="258"/>
  </w:num>
  <w:num w:numId="199">
    <w:abstractNumId w:val="273"/>
  </w:num>
  <w:num w:numId="200">
    <w:abstractNumId w:val="87"/>
  </w:num>
  <w:num w:numId="201">
    <w:abstractNumId w:val="217"/>
  </w:num>
  <w:num w:numId="202">
    <w:abstractNumId w:val="234"/>
  </w:num>
  <w:num w:numId="203">
    <w:abstractNumId w:val="278"/>
  </w:num>
  <w:num w:numId="204">
    <w:abstractNumId w:val="40"/>
  </w:num>
  <w:num w:numId="205">
    <w:abstractNumId w:val="55"/>
  </w:num>
  <w:num w:numId="206">
    <w:abstractNumId w:val="200"/>
  </w:num>
  <w:num w:numId="207">
    <w:abstractNumId w:val="272"/>
  </w:num>
  <w:num w:numId="208">
    <w:abstractNumId w:val="196"/>
  </w:num>
  <w:num w:numId="209">
    <w:abstractNumId w:val="112"/>
  </w:num>
  <w:num w:numId="210">
    <w:abstractNumId w:val="105"/>
  </w:num>
  <w:num w:numId="211">
    <w:abstractNumId w:val="248"/>
  </w:num>
  <w:num w:numId="212">
    <w:abstractNumId w:val="29"/>
  </w:num>
  <w:num w:numId="213">
    <w:abstractNumId w:val="113"/>
  </w:num>
  <w:num w:numId="214">
    <w:abstractNumId w:val="3"/>
  </w:num>
  <w:num w:numId="215">
    <w:abstractNumId w:val="288"/>
  </w:num>
  <w:num w:numId="216">
    <w:abstractNumId w:val="21"/>
  </w:num>
  <w:num w:numId="217">
    <w:abstractNumId w:val="180"/>
  </w:num>
  <w:num w:numId="218">
    <w:abstractNumId w:val="52"/>
  </w:num>
  <w:num w:numId="219">
    <w:abstractNumId w:val="90"/>
  </w:num>
  <w:num w:numId="220">
    <w:abstractNumId w:val="115"/>
  </w:num>
  <w:num w:numId="221">
    <w:abstractNumId w:val="276"/>
  </w:num>
  <w:num w:numId="222">
    <w:abstractNumId w:val="178"/>
  </w:num>
  <w:num w:numId="223">
    <w:abstractNumId w:val="53"/>
  </w:num>
  <w:num w:numId="224">
    <w:abstractNumId w:val="125"/>
  </w:num>
  <w:num w:numId="225">
    <w:abstractNumId w:val="30"/>
  </w:num>
  <w:num w:numId="226">
    <w:abstractNumId w:val="189"/>
  </w:num>
  <w:num w:numId="227">
    <w:abstractNumId w:val="51"/>
  </w:num>
  <w:num w:numId="228">
    <w:abstractNumId w:val="35"/>
  </w:num>
  <w:num w:numId="229">
    <w:abstractNumId w:val="183"/>
  </w:num>
  <w:num w:numId="230">
    <w:abstractNumId w:val="118"/>
  </w:num>
  <w:num w:numId="231">
    <w:abstractNumId w:val="257"/>
  </w:num>
  <w:num w:numId="232">
    <w:abstractNumId w:val="99"/>
  </w:num>
  <w:num w:numId="233">
    <w:abstractNumId w:val="283"/>
  </w:num>
  <w:num w:numId="234">
    <w:abstractNumId w:val="246"/>
  </w:num>
  <w:num w:numId="235">
    <w:abstractNumId w:val="240"/>
  </w:num>
  <w:num w:numId="236">
    <w:abstractNumId w:val="122"/>
  </w:num>
  <w:num w:numId="237">
    <w:abstractNumId w:val="191"/>
  </w:num>
  <w:num w:numId="238">
    <w:abstractNumId w:val="267"/>
  </w:num>
  <w:num w:numId="239">
    <w:abstractNumId w:val="133"/>
  </w:num>
  <w:num w:numId="240">
    <w:abstractNumId w:val="212"/>
  </w:num>
  <w:num w:numId="241">
    <w:abstractNumId w:val="230"/>
  </w:num>
  <w:num w:numId="242">
    <w:abstractNumId w:val="171"/>
  </w:num>
  <w:num w:numId="243">
    <w:abstractNumId w:val="149"/>
  </w:num>
  <w:num w:numId="244">
    <w:abstractNumId w:val="167"/>
  </w:num>
  <w:num w:numId="245">
    <w:abstractNumId w:val="24"/>
  </w:num>
  <w:num w:numId="246">
    <w:abstractNumId w:val="136"/>
  </w:num>
  <w:num w:numId="247">
    <w:abstractNumId w:val="12"/>
  </w:num>
  <w:num w:numId="248">
    <w:abstractNumId w:val="60"/>
  </w:num>
  <w:num w:numId="249">
    <w:abstractNumId w:val="242"/>
  </w:num>
  <w:num w:numId="250">
    <w:abstractNumId w:val="193"/>
  </w:num>
  <w:num w:numId="251">
    <w:abstractNumId w:val="223"/>
  </w:num>
  <w:num w:numId="252">
    <w:abstractNumId w:val="141"/>
  </w:num>
  <w:num w:numId="253">
    <w:abstractNumId w:val="130"/>
  </w:num>
  <w:num w:numId="254">
    <w:abstractNumId w:val="26"/>
  </w:num>
  <w:num w:numId="255">
    <w:abstractNumId w:val="172"/>
  </w:num>
  <w:num w:numId="256">
    <w:abstractNumId w:val="220"/>
  </w:num>
  <w:num w:numId="257">
    <w:abstractNumId w:val="162"/>
  </w:num>
  <w:num w:numId="258">
    <w:abstractNumId w:val="214"/>
  </w:num>
  <w:num w:numId="259">
    <w:abstractNumId w:val="63"/>
  </w:num>
  <w:num w:numId="260">
    <w:abstractNumId w:val="287"/>
  </w:num>
  <w:num w:numId="261">
    <w:abstractNumId w:val="25"/>
  </w:num>
  <w:num w:numId="262">
    <w:abstractNumId w:val="177"/>
  </w:num>
  <w:num w:numId="263">
    <w:abstractNumId w:val="159"/>
  </w:num>
  <w:num w:numId="264">
    <w:abstractNumId w:val="245"/>
  </w:num>
  <w:num w:numId="265">
    <w:abstractNumId w:val="246"/>
    <w:lvlOverride w:ilvl="0">
      <w:startOverride w:val="1"/>
    </w:lvlOverride>
  </w:num>
  <w:num w:numId="266">
    <w:abstractNumId w:val="246"/>
    <w:lvlOverride w:ilvl="0">
      <w:startOverride w:val="1"/>
    </w:lvlOverride>
  </w:num>
  <w:num w:numId="267">
    <w:abstractNumId w:val="97"/>
  </w:num>
  <w:num w:numId="268">
    <w:abstractNumId w:val="198"/>
  </w:num>
  <w:num w:numId="269">
    <w:abstractNumId w:val="246"/>
    <w:lvlOverride w:ilvl="0">
      <w:startOverride w:val="2"/>
    </w:lvlOverride>
  </w:num>
  <w:num w:numId="270">
    <w:abstractNumId w:val="246"/>
    <w:lvlOverride w:ilvl="0">
      <w:startOverride w:val="1"/>
    </w:lvlOverride>
  </w:num>
  <w:num w:numId="271">
    <w:abstractNumId w:val="246"/>
    <w:lvlOverride w:ilvl="0">
      <w:startOverride w:val="1"/>
    </w:lvlOverride>
  </w:num>
  <w:num w:numId="272">
    <w:abstractNumId w:val="246"/>
    <w:lvlOverride w:ilvl="0">
      <w:startOverride w:val="1"/>
    </w:lvlOverride>
  </w:num>
  <w:num w:numId="273">
    <w:abstractNumId w:val="246"/>
    <w:lvlOverride w:ilvl="0">
      <w:startOverride w:val="1"/>
    </w:lvlOverride>
  </w:num>
  <w:num w:numId="274">
    <w:abstractNumId w:val="246"/>
    <w:lvlOverride w:ilvl="0">
      <w:startOverride w:val="1"/>
    </w:lvlOverride>
  </w:num>
  <w:num w:numId="275">
    <w:abstractNumId w:val="246"/>
    <w:lvlOverride w:ilvl="0">
      <w:startOverride w:val="1"/>
    </w:lvlOverride>
  </w:num>
  <w:num w:numId="276">
    <w:abstractNumId w:val="246"/>
    <w:lvlOverride w:ilvl="0">
      <w:startOverride w:val="1"/>
    </w:lvlOverride>
  </w:num>
  <w:num w:numId="277">
    <w:abstractNumId w:val="246"/>
    <w:lvlOverride w:ilvl="0">
      <w:startOverride w:val="1"/>
    </w:lvlOverride>
  </w:num>
  <w:num w:numId="278">
    <w:abstractNumId w:val="246"/>
    <w:lvlOverride w:ilvl="0">
      <w:startOverride w:val="1"/>
    </w:lvlOverride>
  </w:num>
  <w:num w:numId="279">
    <w:abstractNumId w:val="246"/>
    <w:lvlOverride w:ilvl="0">
      <w:startOverride w:val="1"/>
    </w:lvlOverride>
  </w:num>
  <w:num w:numId="280">
    <w:abstractNumId w:val="246"/>
    <w:lvlOverride w:ilvl="0">
      <w:startOverride w:val="1"/>
    </w:lvlOverride>
  </w:num>
  <w:num w:numId="281">
    <w:abstractNumId w:val="246"/>
    <w:lvlOverride w:ilvl="0">
      <w:startOverride w:val="1"/>
    </w:lvlOverride>
  </w:num>
  <w:num w:numId="282">
    <w:abstractNumId w:val="246"/>
    <w:lvlOverride w:ilvl="0">
      <w:startOverride w:val="1"/>
    </w:lvlOverride>
  </w:num>
  <w:num w:numId="283">
    <w:abstractNumId w:val="246"/>
    <w:lvlOverride w:ilvl="0">
      <w:startOverride w:val="1"/>
    </w:lvlOverride>
  </w:num>
  <w:num w:numId="284">
    <w:abstractNumId w:val="246"/>
    <w:lvlOverride w:ilvl="0">
      <w:startOverride w:val="1"/>
    </w:lvlOverride>
  </w:num>
  <w:num w:numId="285">
    <w:abstractNumId w:val="246"/>
    <w:lvlOverride w:ilvl="0">
      <w:startOverride w:val="1"/>
    </w:lvlOverride>
  </w:num>
  <w:num w:numId="286">
    <w:abstractNumId w:val="246"/>
    <w:lvlOverride w:ilvl="0">
      <w:startOverride w:val="1"/>
    </w:lvlOverride>
  </w:num>
  <w:num w:numId="287">
    <w:abstractNumId w:val="246"/>
    <w:lvlOverride w:ilvl="0">
      <w:startOverride w:val="1"/>
    </w:lvlOverride>
  </w:num>
  <w:num w:numId="288">
    <w:abstractNumId w:val="246"/>
    <w:lvlOverride w:ilvl="0">
      <w:startOverride w:val="1"/>
    </w:lvlOverride>
  </w:num>
  <w:num w:numId="289">
    <w:abstractNumId w:val="246"/>
    <w:lvlOverride w:ilvl="0">
      <w:startOverride w:val="1"/>
    </w:lvlOverride>
  </w:num>
  <w:num w:numId="290">
    <w:abstractNumId w:val="246"/>
    <w:lvlOverride w:ilvl="0">
      <w:startOverride w:val="1"/>
    </w:lvlOverride>
  </w:num>
  <w:num w:numId="291">
    <w:abstractNumId w:val="158"/>
  </w:num>
  <w:num w:numId="292">
    <w:abstractNumId w:val="44"/>
  </w:num>
  <w:num w:numId="29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247"/>
  </w:num>
  <w:num w:numId="295">
    <w:abstractNumId w:val="247"/>
    <w:lvlOverride w:ilvl="0">
      <w:startOverride w:val="5"/>
    </w:lvlOverride>
  </w:num>
  <w:num w:numId="296">
    <w:abstractNumId w:val="75"/>
  </w:num>
  <w:num w:numId="297">
    <w:abstractNumId w:val="0"/>
  </w:num>
  <w:num w:numId="298">
    <w:abstractNumId w:val="218"/>
  </w:num>
  <w:num w:numId="29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94"/>
  </w:num>
  <w:num w:numId="301">
    <w:abstractNumId w:val="284"/>
  </w:num>
  <w:num w:numId="302">
    <w:abstractNumId w:val="0"/>
  </w:num>
  <w:num w:numId="30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54"/>
  </w:num>
  <w:num w:numId="305">
    <w:abstractNumId w:val="109"/>
  </w:num>
  <w:num w:numId="306">
    <w:abstractNumId w:val="108"/>
  </w:num>
  <w:num w:numId="307">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47"/>
  </w:num>
  <w:num w:numId="309">
    <w:abstractNumId w:val="73"/>
  </w:num>
  <w:num w:numId="310">
    <w:abstractNumId w:val="132"/>
  </w:num>
  <w:num w:numId="311">
    <w:abstractNumId w:val="23"/>
  </w:num>
  <w:num w:numId="312">
    <w:abstractNumId w:val="211"/>
  </w:num>
  <w:num w:numId="313">
    <w:abstractNumId w:val="138"/>
  </w:num>
  <w:num w:numId="314">
    <w:abstractNumId w:val="160"/>
  </w:num>
  <w:num w:numId="315">
    <w:abstractNumId w:val="38"/>
  </w:num>
  <w:num w:numId="316">
    <w:abstractNumId w:val="255"/>
  </w:num>
  <w:num w:numId="317">
    <w:abstractNumId w:val="246"/>
    <w:lvlOverride w:ilvl="0">
      <w:startOverride w:val="1"/>
    </w:lvlOverride>
  </w:num>
  <w:num w:numId="318">
    <w:abstractNumId w:val="246"/>
    <w:lvlOverride w:ilvl="0">
      <w:startOverride w:val="1"/>
    </w:lvlOverride>
  </w:num>
  <w:num w:numId="319">
    <w:abstractNumId w:val="246"/>
    <w:lvlOverride w:ilvl="0">
      <w:startOverride w:val="1"/>
    </w:lvlOverride>
  </w:num>
  <w:num w:numId="320">
    <w:abstractNumId w:val="246"/>
    <w:lvlOverride w:ilvl="0">
      <w:startOverride w:val="1"/>
    </w:lvlOverride>
  </w:num>
  <w:num w:numId="321">
    <w:abstractNumId w:val="221"/>
  </w:num>
  <w:num w:numId="322">
    <w:abstractNumId w:val="33"/>
  </w:num>
  <w:num w:numId="323">
    <w:abstractNumId w:val="246"/>
    <w:lvlOverride w:ilvl="0">
      <w:startOverride w:val="1"/>
    </w:lvlOverride>
  </w:num>
  <w:num w:numId="324">
    <w:abstractNumId w:val="246"/>
    <w:lvlOverride w:ilvl="0">
      <w:startOverride w:val="1"/>
    </w:lvlOverride>
  </w:num>
  <w:num w:numId="325">
    <w:abstractNumId w:val="224"/>
  </w:num>
  <w:num w:numId="326">
    <w:abstractNumId w:val="33"/>
    <w:lvlOverride w:ilvl="0">
      <w:startOverride w:val="1"/>
    </w:lvlOverride>
  </w:num>
  <w:num w:numId="327">
    <w:abstractNumId w:val="246"/>
    <w:lvlOverride w:ilvl="0">
      <w:startOverride w:val="1"/>
    </w:lvlOverride>
  </w:num>
  <w:num w:numId="328">
    <w:abstractNumId w:val="270"/>
  </w:num>
  <w:num w:numId="329">
    <w:abstractNumId w:val="33"/>
    <w:lvlOverride w:ilvl="0">
      <w:startOverride w:val="1"/>
    </w:lvlOverride>
  </w:num>
  <w:num w:numId="330">
    <w:abstractNumId w:val="246"/>
    <w:lvlOverride w:ilvl="0">
      <w:startOverride w:val="1"/>
    </w:lvlOverride>
  </w:num>
  <w:num w:numId="331">
    <w:abstractNumId w:val="27"/>
  </w:num>
  <w:num w:numId="332">
    <w:abstractNumId w:val="8"/>
  </w:num>
  <w:num w:numId="333">
    <w:abstractNumId w:val="215"/>
  </w:num>
  <w:numIdMacAtCleanup w:val="3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617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25E"/>
    <w:rsid w:val="0000020F"/>
    <w:rsid w:val="0000103E"/>
    <w:rsid w:val="0000171A"/>
    <w:rsid w:val="00001DE3"/>
    <w:rsid w:val="00001E13"/>
    <w:rsid w:val="000021FA"/>
    <w:rsid w:val="00002CDC"/>
    <w:rsid w:val="00003106"/>
    <w:rsid w:val="00003E69"/>
    <w:rsid w:val="00004B98"/>
    <w:rsid w:val="0000560A"/>
    <w:rsid w:val="0000596B"/>
    <w:rsid w:val="000065F2"/>
    <w:rsid w:val="00007114"/>
    <w:rsid w:val="00007420"/>
    <w:rsid w:val="00010014"/>
    <w:rsid w:val="0001065F"/>
    <w:rsid w:val="00010CFC"/>
    <w:rsid w:val="00011602"/>
    <w:rsid w:val="00011757"/>
    <w:rsid w:val="00011E69"/>
    <w:rsid w:val="00012DD5"/>
    <w:rsid w:val="00013245"/>
    <w:rsid w:val="00013B64"/>
    <w:rsid w:val="00013BC3"/>
    <w:rsid w:val="000141E8"/>
    <w:rsid w:val="00014C1C"/>
    <w:rsid w:val="0001503D"/>
    <w:rsid w:val="0001576B"/>
    <w:rsid w:val="000167D5"/>
    <w:rsid w:val="0001756E"/>
    <w:rsid w:val="00017BF1"/>
    <w:rsid w:val="00017E2F"/>
    <w:rsid w:val="00020472"/>
    <w:rsid w:val="00020A3D"/>
    <w:rsid w:val="00020D20"/>
    <w:rsid w:val="00021392"/>
    <w:rsid w:val="00021CA8"/>
    <w:rsid w:val="0002211A"/>
    <w:rsid w:val="00022650"/>
    <w:rsid w:val="00022AB2"/>
    <w:rsid w:val="0002304F"/>
    <w:rsid w:val="0002352C"/>
    <w:rsid w:val="00023CF1"/>
    <w:rsid w:val="00023FEC"/>
    <w:rsid w:val="0002406E"/>
    <w:rsid w:val="00024B86"/>
    <w:rsid w:val="00024BCD"/>
    <w:rsid w:val="00025334"/>
    <w:rsid w:val="0002675F"/>
    <w:rsid w:val="00027017"/>
    <w:rsid w:val="0002735F"/>
    <w:rsid w:val="00027A5E"/>
    <w:rsid w:val="00027FD7"/>
    <w:rsid w:val="00030131"/>
    <w:rsid w:val="00030C5A"/>
    <w:rsid w:val="00031BB8"/>
    <w:rsid w:val="00031C19"/>
    <w:rsid w:val="00031C34"/>
    <w:rsid w:val="00032599"/>
    <w:rsid w:val="000329CD"/>
    <w:rsid w:val="00034079"/>
    <w:rsid w:val="00035746"/>
    <w:rsid w:val="0003696B"/>
    <w:rsid w:val="000369A4"/>
    <w:rsid w:val="000370A7"/>
    <w:rsid w:val="0003716E"/>
    <w:rsid w:val="00037239"/>
    <w:rsid w:val="00037A0A"/>
    <w:rsid w:val="00037C5C"/>
    <w:rsid w:val="00040221"/>
    <w:rsid w:val="0004038A"/>
    <w:rsid w:val="000407E9"/>
    <w:rsid w:val="00040C95"/>
    <w:rsid w:val="00041F38"/>
    <w:rsid w:val="00042251"/>
    <w:rsid w:val="00042EF6"/>
    <w:rsid w:val="00043269"/>
    <w:rsid w:val="000435EB"/>
    <w:rsid w:val="00043CC6"/>
    <w:rsid w:val="00043FBA"/>
    <w:rsid w:val="000441B5"/>
    <w:rsid w:val="000445E7"/>
    <w:rsid w:val="000452CE"/>
    <w:rsid w:val="0004546E"/>
    <w:rsid w:val="0004670D"/>
    <w:rsid w:val="00047501"/>
    <w:rsid w:val="00047F0F"/>
    <w:rsid w:val="00047F90"/>
    <w:rsid w:val="00050433"/>
    <w:rsid w:val="000508E1"/>
    <w:rsid w:val="00050B3A"/>
    <w:rsid w:val="000511D1"/>
    <w:rsid w:val="00052311"/>
    <w:rsid w:val="00052F45"/>
    <w:rsid w:val="000559B6"/>
    <w:rsid w:val="00055ADD"/>
    <w:rsid w:val="00055CEC"/>
    <w:rsid w:val="00056CC8"/>
    <w:rsid w:val="00057DAB"/>
    <w:rsid w:val="00057E65"/>
    <w:rsid w:val="00057F2E"/>
    <w:rsid w:val="00060678"/>
    <w:rsid w:val="00061298"/>
    <w:rsid w:val="0006157E"/>
    <w:rsid w:val="000619A1"/>
    <w:rsid w:val="00061C2C"/>
    <w:rsid w:val="00061E54"/>
    <w:rsid w:val="00062AC1"/>
    <w:rsid w:val="00063479"/>
    <w:rsid w:val="00063C30"/>
    <w:rsid w:val="0006446C"/>
    <w:rsid w:val="00064833"/>
    <w:rsid w:val="0006483C"/>
    <w:rsid w:val="00064AF1"/>
    <w:rsid w:val="0006598B"/>
    <w:rsid w:val="000659B5"/>
    <w:rsid w:val="000659F3"/>
    <w:rsid w:val="00065C8D"/>
    <w:rsid w:val="000661C8"/>
    <w:rsid w:val="00066358"/>
    <w:rsid w:val="0006652E"/>
    <w:rsid w:val="00066BA2"/>
    <w:rsid w:val="00066C27"/>
    <w:rsid w:val="00067924"/>
    <w:rsid w:val="00067B9B"/>
    <w:rsid w:val="00070911"/>
    <w:rsid w:val="00070E54"/>
    <w:rsid w:val="00071AF6"/>
    <w:rsid w:val="00071B3A"/>
    <w:rsid w:val="000729CF"/>
    <w:rsid w:val="00072A83"/>
    <w:rsid w:val="0007306E"/>
    <w:rsid w:val="000738DF"/>
    <w:rsid w:val="000739C0"/>
    <w:rsid w:val="00073B31"/>
    <w:rsid w:val="00073CA6"/>
    <w:rsid w:val="000744CF"/>
    <w:rsid w:val="00074558"/>
    <w:rsid w:val="00075193"/>
    <w:rsid w:val="00075306"/>
    <w:rsid w:val="000758E6"/>
    <w:rsid w:val="00075CE4"/>
    <w:rsid w:val="00075FB4"/>
    <w:rsid w:val="00076532"/>
    <w:rsid w:val="0007679F"/>
    <w:rsid w:val="0007734A"/>
    <w:rsid w:val="00080B2C"/>
    <w:rsid w:val="00081E4C"/>
    <w:rsid w:val="00081F6F"/>
    <w:rsid w:val="00082ABC"/>
    <w:rsid w:val="000840ED"/>
    <w:rsid w:val="00084730"/>
    <w:rsid w:val="0008482C"/>
    <w:rsid w:val="00085571"/>
    <w:rsid w:val="000866C0"/>
    <w:rsid w:val="000868EF"/>
    <w:rsid w:val="00086908"/>
    <w:rsid w:val="00086B7B"/>
    <w:rsid w:val="00086CF1"/>
    <w:rsid w:val="00086DD1"/>
    <w:rsid w:val="00086EBC"/>
    <w:rsid w:val="00087F39"/>
    <w:rsid w:val="000900E0"/>
    <w:rsid w:val="000902F4"/>
    <w:rsid w:val="000905B4"/>
    <w:rsid w:val="000907C4"/>
    <w:rsid w:val="000915A8"/>
    <w:rsid w:val="0009173F"/>
    <w:rsid w:val="00091C71"/>
    <w:rsid w:val="00092592"/>
    <w:rsid w:val="0009289A"/>
    <w:rsid w:val="00092BF1"/>
    <w:rsid w:val="00092C0F"/>
    <w:rsid w:val="00092C59"/>
    <w:rsid w:val="0009539B"/>
    <w:rsid w:val="00096406"/>
    <w:rsid w:val="0009688F"/>
    <w:rsid w:val="0009703B"/>
    <w:rsid w:val="000A04F8"/>
    <w:rsid w:val="000A06F8"/>
    <w:rsid w:val="000A0CD5"/>
    <w:rsid w:val="000A17CF"/>
    <w:rsid w:val="000A263F"/>
    <w:rsid w:val="000A3307"/>
    <w:rsid w:val="000A3B4C"/>
    <w:rsid w:val="000A3E51"/>
    <w:rsid w:val="000A3E7B"/>
    <w:rsid w:val="000A4139"/>
    <w:rsid w:val="000A4560"/>
    <w:rsid w:val="000A4575"/>
    <w:rsid w:val="000A4A4C"/>
    <w:rsid w:val="000A5177"/>
    <w:rsid w:val="000A528F"/>
    <w:rsid w:val="000A5F56"/>
    <w:rsid w:val="000A7C59"/>
    <w:rsid w:val="000B1779"/>
    <w:rsid w:val="000B17B6"/>
    <w:rsid w:val="000B18E9"/>
    <w:rsid w:val="000B1D42"/>
    <w:rsid w:val="000B1D8E"/>
    <w:rsid w:val="000B2130"/>
    <w:rsid w:val="000B21F8"/>
    <w:rsid w:val="000B23E4"/>
    <w:rsid w:val="000B257E"/>
    <w:rsid w:val="000B2B72"/>
    <w:rsid w:val="000B3712"/>
    <w:rsid w:val="000B3EB0"/>
    <w:rsid w:val="000B490D"/>
    <w:rsid w:val="000B4977"/>
    <w:rsid w:val="000B5373"/>
    <w:rsid w:val="000B5922"/>
    <w:rsid w:val="000B596B"/>
    <w:rsid w:val="000B668D"/>
    <w:rsid w:val="000B6707"/>
    <w:rsid w:val="000B6844"/>
    <w:rsid w:val="000B6B34"/>
    <w:rsid w:val="000B6BE9"/>
    <w:rsid w:val="000B701F"/>
    <w:rsid w:val="000B756A"/>
    <w:rsid w:val="000B7684"/>
    <w:rsid w:val="000B7824"/>
    <w:rsid w:val="000B7CD3"/>
    <w:rsid w:val="000C1862"/>
    <w:rsid w:val="000C1DB4"/>
    <w:rsid w:val="000C201A"/>
    <w:rsid w:val="000C2200"/>
    <w:rsid w:val="000C22BE"/>
    <w:rsid w:val="000C2637"/>
    <w:rsid w:val="000C2975"/>
    <w:rsid w:val="000C3461"/>
    <w:rsid w:val="000C4116"/>
    <w:rsid w:val="000C46FA"/>
    <w:rsid w:val="000C4A1C"/>
    <w:rsid w:val="000C4F82"/>
    <w:rsid w:val="000C563F"/>
    <w:rsid w:val="000C5731"/>
    <w:rsid w:val="000C5A89"/>
    <w:rsid w:val="000C5AFE"/>
    <w:rsid w:val="000C5B66"/>
    <w:rsid w:val="000C6102"/>
    <w:rsid w:val="000C6472"/>
    <w:rsid w:val="000C7248"/>
    <w:rsid w:val="000C7766"/>
    <w:rsid w:val="000D0BB3"/>
    <w:rsid w:val="000D153A"/>
    <w:rsid w:val="000D156C"/>
    <w:rsid w:val="000D15A3"/>
    <w:rsid w:val="000D1AF4"/>
    <w:rsid w:val="000D366D"/>
    <w:rsid w:val="000D4F9E"/>
    <w:rsid w:val="000D52F7"/>
    <w:rsid w:val="000D56A5"/>
    <w:rsid w:val="000D5769"/>
    <w:rsid w:val="000D5CB2"/>
    <w:rsid w:val="000D6099"/>
    <w:rsid w:val="000D62A8"/>
    <w:rsid w:val="000D6C57"/>
    <w:rsid w:val="000D6EC0"/>
    <w:rsid w:val="000D7016"/>
    <w:rsid w:val="000D70F2"/>
    <w:rsid w:val="000D710E"/>
    <w:rsid w:val="000D734F"/>
    <w:rsid w:val="000D73A3"/>
    <w:rsid w:val="000D7482"/>
    <w:rsid w:val="000D7E2C"/>
    <w:rsid w:val="000E14A1"/>
    <w:rsid w:val="000E14CD"/>
    <w:rsid w:val="000E17DF"/>
    <w:rsid w:val="000E1F35"/>
    <w:rsid w:val="000E244E"/>
    <w:rsid w:val="000E2B2F"/>
    <w:rsid w:val="000E2D33"/>
    <w:rsid w:val="000E38B9"/>
    <w:rsid w:val="000E3C62"/>
    <w:rsid w:val="000E3FB5"/>
    <w:rsid w:val="000E4AA4"/>
    <w:rsid w:val="000E4C1F"/>
    <w:rsid w:val="000E518A"/>
    <w:rsid w:val="000E5D53"/>
    <w:rsid w:val="000E77EF"/>
    <w:rsid w:val="000E7E7A"/>
    <w:rsid w:val="000F01F2"/>
    <w:rsid w:val="000F06CA"/>
    <w:rsid w:val="000F0C1A"/>
    <w:rsid w:val="000F1559"/>
    <w:rsid w:val="000F19C9"/>
    <w:rsid w:val="000F1E8A"/>
    <w:rsid w:val="000F21C5"/>
    <w:rsid w:val="000F230E"/>
    <w:rsid w:val="000F2B76"/>
    <w:rsid w:val="000F35DD"/>
    <w:rsid w:val="000F3766"/>
    <w:rsid w:val="000F408F"/>
    <w:rsid w:val="000F43F7"/>
    <w:rsid w:val="000F4BCA"/>
    <w:rsid w:val="000F4EA6"/>
    <w:rsid w:val="000F4ED8"/>
    <w:rsid w:val="000F521F"/>
    <w:rsid w:val="000F5649"/>
    <w:rsid w:val="000F5AE6"/>
    <w:rsid w:val="000F615A"/>
    <w:rsid w:val="000F6437"/>
    <w:rsid w:val="000F65F7"/>
    <w:rsid w:val="000F668D"/>
    <w:rsid w:val="000F68E4"/>
    <w:rsid w:val="000F7ACC"/>
    <w:rsid w:val="000F7BDB"/>
    <w:rsid w:val="001002BF"/>
    <w:rsid w:val="00100754"/>
    <w:rsid w:val="00100CD5"/>
    <w:rsid w:val="00100EA4"/>
    <w:rsid w:val="00101957"/>
    <w:rsid w:val="00101A7C"/>
    <w:rsid w:val="001025ED"/>
    <w:rsid w:val="00102BBF"/>
    <w:rsid w:val="00103039"/>
    <w:rsid w:val="00104304"/>
    <w:rsid w:val="0010481D"/>
    <w:rsid w:val="001050B3"/>
    <w:rsid w:val="00105798"/>
    <w:rsid w:val="0010587E"/>
    <w:rsid w:val="0010603F"/>
    <w:rsid w:val="001062E0"/>
    <w:rsid w:val="001063DB"/>
    <w:rsid w:val="00106987"/>
    <w:rsid w:val="00107103"/>
    <w:rsid w:val="0011010E"/>
    <w:rsid w:val="001105B7"/>
    <w:rsid w:val="00110DCD"/>
    <w:rsid w:val="00110F63"/>
    <w:rsid w:val="00111681"/>
    <w:rsid w:val="00111E57"/>
    <w:rsid w:val="00112CE4"/>
    <w:rsid w:val="0011301B"/>
    <w:rsid w:val="0011373B"/>
    <w:rsid w:val="00113A9C"/>
    <w:rsid w:val="00114BA9"/>
    <w:rsid w:val="00116F47"/>
    <w:rsid w:val="00117203"/>
    <w:rsid w:val="0011723D"/>
    <w:rsid w:val="00117558"/>
    <w:rsid w:val="00117FCD"/>
    <w:rsid w:val="00117FD2"/>
    <w:rsid w:val="00120344"/>
    <w:rsid w:val="00120845"/>
    <w:rsid w:val="0012127C"/>
    <w:rsid w:val="00121C12"/>
    <w:rsid w:val="0012234C"/>
    <w:rsid w:val="00122818"/>
    <w:rsid w:val="00122830"/>
    <w:rsid w:val="00122937"/>
    <w:rsid w:val="0012303A"/>
    <w:rsid w:val="00123556"/>
    <w:rsid w:val="00123D61"/>
    <w:rsid w:val="001241F0"/>
    <w:rsid w:val="0012489E"/>
    <w:rsid w:val="00125125"/>
    <w:rsid w:val="001251BD"/>
    <w:rsid w:val="00125399"/>
    <w:rsid w:val="00125B6A"/>
    <w:rsid w:val="00125F14"/>
    <w:rsid w:val="00126954"/>
    <w:rsid w:val="00126FAA"/>
    <w:rsid w:val="00126FDC"/>
    <w:rsid w:val="0012736D"/>
    <w:rsid w:val="00127B9F"/>
    <w:rsid w:val="001305AD"/>
    <w:rsid w:val="00130B10"/>
    <w:rsid w:val="00130B4D"/>
    <w:rsid w:val="0013184C"/>
    <w:rsid w:val="00132769"/>
    <w:rsid w:val="00133352"/>
    <w:rsid w:val="0013423F"/>
    <w:rsid w:val="00134605"/>
    <w:rsid w:val="00135223"/>
    <w:rsid w:val="00135240"/>
    <w:rsid w:val="00135478"/>
    <w:rsid w:val="0013570E"/>
    <w:rsid w:val="00135FA0"/>
    <w:rsid w:val="00136113"/>
    <w:rsid w:val="0013648E"/>
    <w:rsid w:val="00136A2A"/>
    <w:rsid w:val="00137087"/>
    <w:rsid w:val="00137426"/>
    <w:rsid w:val="0013747A"/>
    <w:rsid w:val="00137C36"/>
    <w:rsid w:val="00140257"/>
    <w:rsid w:val="00140E34"/>
    <w:rsid w:val="00141808"/>
    <w:rsid w:val="001419F6"/>
    <w:rsid w:val="00141D10"/>
    <w:rsid w:val="00141D4A"/>
    <w:rsid w:val="001426A4"/>
    <w:rsid w:val="00142B8E"/>
    <w:rsid w:val="00142C73"/>
    <w:rsid w:val="00142DD9"/>
    <w:rsid w:val="001433A8"/>
    <w:rsid w:val="00144045"/>
    <w:rsid w:val="0014412A"/>
    <w:rsid w:val="001443C6"/>
    <w:rsid w:val="00144552"/>
    <w:rsid w:val="00144854"/>
    <w:rsid w:val="00144B2F"/>
    <w:rsid w:val="001453D9"/>
    <w:rsid w:val="00145FF5"/>
    <w:rsid w:val="0014692B"/>
    <w:rsid w:val="00146B2D"/>
    <w:rsid w:val="001470A6"/>
    <w:rsid w:val="001477AF"/>
    <w:rsid w:val="00147943"/>
    <w:rsid w:val="00147F12"/>
    <w:rsid w:val="00147F25"/>
    <w:rsid w:val="0015017A"/>
    <w:rsid w:val="001509B2"/>
    <w:rsid w:val="0015131D"/>
    <w:rsid w:val="001516FB"/>
    <w:rsid w:val="001522DE"/>
    <w:rsid w:val="00152343"/>
    <w:rsid w:val="001527FF"/>
    <w:rsid w:val="00153179"/>
    <w:rsid w:val="0015377A"/>
    <w:rsid w:val="0015399B"/>
    <w:rsid w:val="00153E64"/>
    <w:rsid w:val="00154D87"/>
    <w:rsid w:val="00155174"/>
    <w:rsid w:val="00155227"/>
    <w:rsid w:val="00155311"/>
    <w:rsid w:val="001554C0"/>
    <w:rsid w:val="00155686"/>
    <w:rsid w:val="00155B41"/>
    <w:rsid w:val="001565FC"/>
    <w:rsid w:val="00156926"/>
    <w:rsid w:val="00156DF3"/>
    <w:rsid w:val="00160189"/>
    <w:rsid w:val="00163149"/>
    <w:rsid w:val="00163157"/>
    <w:rsid w:val="00163543"/>
    <w:rsid w:val="001636F2"/>
    <w:rsid w:val="00163763"/>
    <w:rsid w:val="00163ED0"/>
    <w:rsid w:val="00164538"/>
    <w:rsid w:val="00164843"/>
    <w:rsid w:val="0016496F"/>
    <w:rsid w:val="00164B6E"/>
    <w:rsid w:val="00164ED7"/>
    <w:rsid w:val="00164FD8"/>
    <w:rsid w:val="00165229"/>
    <w:rsid w:val="00165AD1"/>
    <w:rsid w:val="001668FF"/>
    <w:rsid w:val="00166907"/>
    <w:rsid w:val="0017052C"/>
    <w:rsid w:val="00171267"/>
    <w:rsid w:val="0017206B"/>
    <w:rsid w:val="0017263B"/>
    <w:rsid w:val="00172D25"/>
    <w:rsid w:val="00174B5A"/>
    <w:rsid w:val="00174E9B"/>
    <w:rsid w:val="00175131"/>
    <w:rsid w:val="001755FF"/>
    <w:rsid w:val="00177E2C"/>
    <w:rsid w:val="00177E33"/>
    <w:rsid w:val="00180AC5"/>
    <w:rsid w:val="00180FD1"/>
    <w:rsid w:val="0018117F"/>
    <w:rsid w:val="00181798"/>
    <w:rsid w:val="001817DD"/>
    <w:rsid w:val="00181CB5"/>
    <w:rsid w:val="00182583"/>
    <w:rsid w:val="001826D5"/>
    <w:rsid w:val="001826EF"/>
    <w:rsid w:val="00183179"/>
    <w:rsid w:val="00184307"/>
    <w:rsid w:val="001847F0"/>
    <w:rsid w:val="00184937"/>
    <w:rsid w:val="00186636"/>
    <w:rsid w:val="00186C4E"/>
    <w:rsid w:val="00186CD7"/>
    <w:rsid w:val="00186FFF"/>
    <w:rsid w:val="00187CC5"/>
    <w:rsid w:val="00187D04"/>
    <w:rsid w:val="00187D2D"/>
    <w:rsid w:val="00187F16"/>
    <w:rsid w:val="001906E4"/>
    <w:rsid w:val="001907C4"/>
    <w:rsid w:val="0019231C"/>
    <w:rsid w:val="0019286D"/>
    <w:rsid w:val="00193A11"/>
    <w:rsid w:val="00193C14"/>
    <w:rsid w:val="00193DD1"/>
    <w:rsid w:val="00194FFE"/>
    <w:rsid w:val="00195105"/>
    <w:rsid w:val="00195155"/>
    <w:rsid w:val="001952FF"/>
    <w:rsid w:val="00195A65"/>
    <w:rsid w:val="00195B08"/>
    <w:rsid w:val="00195FEC"/>
    <w:rsid w:val="00196CED"/>
    <w:rsid w:val="00197078"/>
    <w:rsid w:val="001971E6"/>
    <w:rsid w:val="00197426"/>
    <w:rsid w:val="001A00C9"/>
    <w:rsid w:val="001A0224"/>
    <w:rsid w:val="001A024A"/>
    <w:rsid w:val="001A19B3"/>
    <w:rsid w:val="001A1EA7"/>
    <w:rsid w:val="001A2414"/>
    <w:rsid w:val="001A267D"/>
    <w:rsid w:val="001A288C"/>
    <w:rsid w:val="001A2DAF"/>
    <w:rsid w:val="001A2F94"/>
    <w:rsid w:val="001A2FC9"/>
    <w:rsid w:val="001A3879"/>
    <w:rsid w:val="001A39BD"/>
    <w:rsid w:val="001A3CCA"/>
    <w:rsid w:val="001A5710"/>
    <w:rsid w:val="001A5743"/>
    <w:rsid w:val="001A58FD"/>
    <w:rsid w:val="001A598E"/>
    <w:rsid w:val="001A74A4"/>
    <w:rsid w:val="001A7998"/>
    <w:rsid w:val="001B0E2C"/>
    <w:rsid w:val="001B15E6"/>
    <w:rsid w:val="001B1A62"/>
    <w:rsid w:val="001B1DC6"/>
    <w:rsid w:val="001B1F4B"/>
    <w:rsid w:val="001B2A70"/>
    <w:rsid w:val="001B2C25"/>
    <w:rsid w:val="001B2E4F"/>
    <w:rsid w:val="001B3BBE"/>
    <w:rsid w:val="001B3FD2"/>
    <w:rsid w:val="001B43C9"/>
    <w:rsid w:val="001B4C02"/>
    <w:rsid w:val="001B4F45"/>
    <w:rsid w:val="001B52D5"/>
    <w:rsid w:val="001B5B07"/>
    <w:rsid w:val="001B6146"/>
    <w:rsid w:val="001B635F"/>
    <w:rsid w:val="001B6C7B"/>
    <w:rsid w:val="001B77EC"/>
    <w:rsid w:val="001C0117"/>
    <w:rsid w:val="001C1340"/>
    <w:rsid w:val="001C1D9B"/>
    <w:rsid w:val="001C1E2E"/>
    <w:rsid w:val="001C21CF"/>
    <w:rsid w:val="001C2D1B"/>
    <w:rsid w:val="001C338A"/>
    <w:rsid w:val="001C48B5"/>
    <w:rsid w:val="001C4C92"/>
    <w:rsid w:val="001C5435"/>
    <w:rsid w:val="001C5C17"/>
    <w:rsid w:val="001C6698"/>
    <w:rsid w:val="001C6826"/>
    <w:rsid w:val="001C69D5"/>
    <w:rsid w:val="001C7249"/>
    <w:rsid w:val="001C7566"/>
    <w:rsid w:val="001C7E42"/>
    <w:rsid w:val="001D01DC"/>
    <w:rsid w:val="001D0278"/>
    <w:rsid w:val="001D0DCC"/>
    <w:rsid w:val="001D1F69"/>
    <w:rsid w:val="001D3009"/>
    <w:rsid w:val="001D311B"/>
    <w:rsid w:val="001D3340"/>
    <w:rsid w:val="001D354F"/>
    <w:rsid w:val="001D35C4"/>
    <w:rsid w:val="001D3A9A"/>
    <w:rsid w:val="001D3D0D"/>
    <w:rsid w:val="001D3EE3"/>
    <w:rsid w:val="001D416C"/>
    <w:rsid w:val="001D4730"/>
    <w:rsid w:val="001D4DFC"/>
    <w:rsid w:val="001D57F7"/>
    <w:rsid w:val="001D625F"/>
    <w:rsid w:val="001D642A"/>
    <w:rsid w:val="001D6A06"/>
    <w:rsid w:val="001D6C5E"/>
    <w:rsid w:val="001D765E"/>
    <w:rsid w:val="001D7F10"/>
    <w:rsid w:val="001E0920"/>
    <w:rsid w:val="001E0C1E"/>
    <w:rsid w:val="001E167E"/>
    <w:rsid w:val="001E1C91"/>
    <w:rsid w:val="001E25B6"/>
    <w:rsid w:val="001E2867"/>
    <w:rsid w:val="001E33E9"/>
    <w:rsid w:val="001E3483"/>
    <w:rsid w:val="001E3732"/>
    <w:rsid w:val="001E388B"/>
    <w:rsid w:val="001E3A51"/>
    <w:rsid w:val="001E4049"/>
    <w:rsid w:val="001E4058"/>
    <w:rsid w:val="001E46E7"/>
    <w:rsid w:val="001E49B3"/>
    <w:rsid w:val="001E524E"/>
    <w:rsid w:val="001E5E8E"/>
    <w:rsid w:val="001E64E1"/>
    <w:rsid w:val="001E79DE"/>
    <w:rsid w:val="001F0628"/>
    <w:rsid w:val="001F0646"/>
    <w:rsid w:val="001F0E20"/>
    <w:rsid w:val="001F11F3"/>
    <w:rsid w:val="001F125B"/>
    <w:rsid w:val="001F190D"/>
    <w:rsid w:val="001F2040"/>
    <w:rsid w:val="001F26C1"/>
    <w:rsid w:val="001F26D3"/>
    <w:rsid w:val="001F300E"/>
    <w:rsid w:val="001F3189"/>
    <w:rsid w:val="001F31F0"/>
    <w:rsid w:val="001F332E"/>
    <w:rsid w:val="001F3922"/>
    <w:rsid w:val="001F3B27"/>
    <w:rsid w:val="001F3D4C"/>
    <w:rsid w:val="001F43AC"/>
    <w:rsid w:val="001F43FD"/>
    <w:rsid w:val="001F47DE"/>
    <w:rsid w:val="001F4FB0"/>
    <w:rsid w:val="001F5653"/>
    <w:rsid w:val="001F5B0B"/>
    <w:rsid w:val="001F5D04"/>
    <w:rsid w:val="001F640F"/>
    <w:rsid w:val="001F6670"/>
    <w:rsid w:val="001F66DE"/>
    <w:rsid w:val="001F69C4"/>
    <w:rsid w:val="001F72CC"/>
    <w:rsid w:val="001F7B42"/>
    <w:rsid w:val="00200213"/>
    <w:rsid w:val="00200665"/>
    <w:rsid w:val="002008CD"/>
    <w:rsid w:val="00200A9D"/>
    <w:rsid w:val="0020129B"/>
    <w:rsid w:val="002014D0"/>
    <w:rsid w:val="00201849"/>
    <w:rsid w:val="002022BB"/>
    <w:rsid w:val="00202C44"/>
    <w:rsid w:val="00202C92"/>
    <w:rsid w:val="002032E8"/>
    <w:rsid w:val="00203997"/>
    <w:rsid w:val="00203E49"/>
    <w:rsid w:val="002057B6"/>
    <w:rsid w:val="00206B96"/>
    <w:rsid w:val="00206D9C"/>
    <w:rsid w:val="00206E75"/>
    <w:rsid w:val="00207758"/>
    <w:rsid w:val="002079C6"/>
    <w:rsid w:val="00207CBB"/>
    <w:rsid w:val="00207E76"/>
    <w:rsid w:val="00210157"/>
    <w:rsid w:val="002113F2"/>
    <w:rsid w:val="002127B7"/>
    <w:rsid w:val="002142E8"/>
    <w:rsid w:val="0021466E"/>
    <w:rsid w:val="00215093"/>
    <w:rsid w:val="0021598D"/>
    <w:rsid w:val="00216859"/>
    <w:rsid w:val="00216FF9"/>
    <w:rsid w:val="00220074"/>
    <w:rsid w:val="0022137F"/>
    <w:rsid w:val="00221D35"/>
    <w:rsid w:val="00221EC1"/>
    <w:rsid w:val="002220C0"/>
    <w:rsid w:val="00222B75"/>
    <w:rsid w:val="00223878"/>
    <w:rsid w:val="0022454E"/>
    <w:rsid w:val="00224E18"/>
    <w:rsid w:val="00225A7D"/>
    <w:rsid w:val="00226737"/>
    <w:rsid w:val="00226CEC"/>
    <w:rsid w:val="00226E78"/>
    <w:rsid w:val="0022741A"/>
    <w:rsid w:val="00227FC7"/>
    <w:rsid w:val="00230195"/>
    <w:rsid w:val="002303F1"/>
    <w:rsid w:val="0023069B"/>
    <w:rsid w:val="0023122C"/>
    <w:rsid w:val="00231A9D"/>
    <w:rsid w:val="00232297"/>
    <w:rsid w:val="002322F9"/>
    <w:rsid w:val="00232BE1"/>
    <w:rsid w:val="0023339D"/>
    <w:rsid w:val="002333DD"/>
    <w:rsid w:val="002334E4"/>
    <w:rsid w:val="0023351C"/>
    <w:rsid w:val="00233817"/>
    <w:rsid w:val="002338BA"/>
    <w:rsid w:val="002343CA"/>
    <w:rsid w:val="0023473F"/>
    <w:rsid w:val="00234AC6"/>
    <w:rsid w:val="002352B7"/>
    <w:rsid w:val="002356C2"/>
    <w:rsid w:val="00235B43"/>
    <w:rsid w:val="002366B5"/>
    <w:rsid w:val="00236FB8"/>
    <w:rsid w:val="00237AE9"/>
    <w:rsid w:val="002406DB"/>
    <w:rsid w:val="00240863"/>
    <w:rsid w:val="002418A4"/>
    <w:rsid w:val="00242F78"/>
    <w:rsid w:val="00243452"/>
    <w:rsid w:val="0024345F"/>
    <w:rsid w:val="00243848"/>
    <w:rsid w:val="00243EAC"/>
    <w:rsid w:val="002440A4"/>
    <w:rsid w:val="00244606"/>
    <w:rsid w:val="00244917"/>
    <w:rsid w:val="00244E34"/>
    <w:rsid w:val="002451D0"/>
    <w:rsid w:val="00245A56"/>
    <w:rsid w:val="00247D05"/>
    <w:rsid w:val="0025001B"/>
    <w:rsid w:val="002506EE"/>
    <w:rsid w:val="00250ADF"/>
    <w:rsid w:val="00250DF8"/>
    <w:rsid w:val="00251254"/>
    <w:rsid w:val="002514ED"/>
    <w:rsid w:val="0025153E"/>
    <w:rsid w:val="002522E0"/>
    <w:rsid w:val="00252C5A"/>
    <w:rsid w:val="00253DEF"/>
    <w:rsid w:val="002540F5"/>
    <w:rsid w:val="00254BE6"/>
    <w:rsid w:val="00255027"/>
    <w:rsid w:val="002556B4"/>
    <w:rsid w:val="00255748"/>
    <w:rsid w:val="002561DE"/>
    <w:rsid w:val="00256764"/>
    <w:rsid w:val="00257546"/>
    <w:rsid w:val="00261BCC"/>
    <w:rsid w:val="002621EA"/>
    <w:rsid w:val="002622C6"/>
    <w:rsid w:val="00262A96"/>
    <w:rsid w:val="00262BDB"/>
    <w:rsid w:val="00263125"/>
    <w:rsid w:val="00264CF5"/>
    <w:rsid w:val="00265722"/>
    <w:rsid w:val="00265B15"/>
    <w:rsid w:val="00265FDE"/>
    <w:rsid w:val="002666E7"/>
    <w:rsid w:val="002671B1"/>
    <w:rsid w:val="00267216"/>
    <w:rsid w:val="00267D04"/>
    <w:rsid w:val="00270E56"/>
    <w:rsid w:val="00270FC6"/>
    <w:rsid w:val="00271627"/>
    <w:rsid w:val="00271634"/>
    <w:rsid w:val="002719D4"/>
    <w:rsid w:val="00271A72"/>
    <w:rsid w:val="00271CE7"/>
    <w:rsid w:val="002720DC"/>
    <w:rsid w:val="002734CE"/>
    <w:rsid w:val="00273587"/>
    <w:rsid w:val="002735B4"/>
    <w:rsid w:val="002745D0"/>
    <w:rsid w:val="00274CCD"/>
    <w:rsid w:val="0027557E"/>
    <w:rsid w:val="00275741"/>
    <w:rsid w:val="0027589B"/>
    <w:rsid w:val="002762B7"/>
    <w:rsid w:val="002763EC"/>
    <w:rsid w:val="002767F3"/>
    <w:rsid w:val="00276D9F"/>
    <w:rsid w:val="002771E9"/>
    <w:rsid w:val="0027769D"/>
    <w:rsid w:val="002776AA"/>
    <w:rsid w:val="00277768"/>
    <w:rsid w:val="0028037A"/>
    <w:rsid w:val="00280569"/>
    <w:rsid w:val="002805D2"/>
    <w:rsid w:val="00280752"/>
    <w:rsid w:val="00280B04"/>
    <w:rsid w:val="00280FC8"/>
    <w:rsid w:val="00281860"/>
    <w:rsid w:val="00281E39"/>
    <w:rsid w:val="00281FE6"/>
    <w:rsid w:val="002827DA"/>
    <w:rsid w:val="00282FF6"/>
    <w:rsid w:val="00284BAC"/>
    <w:rsid w:val="00284C55"/>
    <w:rsid w:val="00284EE5"/>
    <w:rsid w:val="00285137"/>
    <w:rsid w:val="00286E38"/>
    <w:rsid w:val="00286F1B"/>
    <w:rsid w:val="00287BC4"/>
    <w:rsid w:val="00287E5E"/>
    <w:rsid w:val="002915FB"/>
    <w:rsid w:val="00291BBB"/>
    <w:rsid w:val="002925D0"/>
    <w:rsid w:val="00292A39"/>
    <w:rsid w:val="002931CF"/>
    <w:rsid w:val="002940D0"/>
    <w:rsid w:val="00294310"/>
    <w:rsid w:val="00294542"/>
    <w:rsid w:val="00294C4F"/>
    <w:rsid w:val="00294DB3"/>
    <w:rsid w:val="002951FA"/>
    <w:rsid w:val="00295595"/>
    <w:rsid w:val="002955C3"/>
    <w:rsid w:val="00295FF4"/>
    <w:rsid w:val="00296AD7"/>
    <w:rsid w:val="00297F88"/>
    <w:rsid w:val="002A04E2"/>
    <w:rsid w:val="002A078C"/>
    <w:rsid w:val="002A151E"/>
    <w:rsid w:val="002A18C5"/>
    <w:rsid w:val="002A1A5E"/>
    <w:rsid w:val="002A2195"/>
    <w:rsid w:val="002A2A44"/>
    <w:rsid w:val="002A35EB"/>
    <w:rsid w:val="002A3601"/>
    <w:rsid w:val="002A3F95"/>
    <w:rsid w:val="002A44D9"/>
    <w:rsid w:val="002A46A7"/>
    <w:rsid w:val="002A4ADD"/>
    <w:rsid w:val="002A5D62"/>
    <w:rsid w:val="002A67D1"/>
    <w:rsid w:val="002A7A1D"/>
    <w:rsid w:val="002A7E5D"/>
    <w:rsid w:val="002A7EDE"/>
    <w:rsid w:val="002B02AC"/>
    <w:rsid w:val="002B04F5"/>
    <w:rsid w:val="002B0736"/>
    <w:rsid w:val="002B09A3"/>
    <w:rsid w:val="002B0C05"/>
    <w:rsid w:val="002B0DA1"/>
    <w:rsid w:val="002B10CE"/>
    <w:rsid w:val="002B122C"/>
    <w:rsid w:val="002B1718"/>
    <w:rsid w:val="002B1794"/>
    <w:rsid w:val="002B17ED"/>
    <w:rsid w:val="002B1813"/>
    <w:rsid w:val="002B1DA4"/>
    <w:rsid w:val="002B228D"/>
    <w:rsid w:val="002B2F2E"/>
    <w:rsid w:val="002B2F5C"/>
    <w:rsid w:val="002B34D9"/>
    <w:rsid w:val="002B3917"/>
    <w:rsid w:val="002B3C61"/>
    <w:rsid w:val="002B4807"/>
    <w:rsid w:val="002B4D89"/>
    <w:rsid w:val="002B57C7"/>
    <w:rsid w:val="002B5D11"/>
    <w:rsid w:val="002B6585"/>
    <w:rsid w:val="002B6914"/>
    <w:rsid w:val="002B6A0A"/>
    <w:rsid w:val="002B6DC0"/>
    <w:rsid w:val="002B6ED4"/>
    <w:rsid w:val="002B718B"/>
    <w:rsid w:val="002B742B"/>
    <w:rsid w:val="002B7808"/>
    <w:rsid w:val="002B7E4E"/>
    <w:rsid w:val="002B7E8F"/>
    <w:rsid w:val="002C17D0"/>
    <w:rsid w:val="002C181B"/>
    <w:rsid w:val="002C1B60"/>
    <w:rsid w:val="002C22C2"/>
    <w:rsid w:val="002C4BEC"/>
    <w:rsid w:val="002C52F0"/>
    <w:rsid w:val="002C6B67"/>
    <w:rsid w:val="002C6F87"/>
    <w:rsid w:val="002C6FEF"/>
    <w:rsid w:val="002C729D"/>
    <w:rsid w:val="002C7495"/>
    <w:rsid w:val="002C7A19"/>
    <w:rsid w:val="002D0592"/>
    <w:rsid w:val="002D09B5"/>
    <w:rsid w:val="002D0B39"/>
    <w:rsid w:val="002D0D34"/>
    <w:rsid w:val="002D0F7D"/>
    <w:rsid w:val="002D18EF"/>
    <w:rsid w:val="002D2D69"/>
    <w:rsid w:val="002D3245"/>
    <w:rsid w:val="002D335C"/>
    <w:rsid w:val="002D3443"/>
    <w:rsid w:val="002D387A"/>
    <w:rsid w:val="002D38FC"/>
    <w:rsid w:val="002D4668"/>
    <w:rsid w:val="002D4F30"/>
    <w:rsid w:val="002D4F55"/>
    <w:rsid w:val="002D4F69"/>
    <w:rsid w:val="002D512C"/>
    <w:rsid w:val="002D5196"/>
    <w:rsid w:val="002D5A74"/>
    <w:rsid w:val="002D6150"/>
    <w:rsid w:val="002D6BCB"/>
    <w:rsid w:val="002D7E03"/>
    <w:rsid w:val="002E0016"/>
    <w:rsid w:val="002E0112"/>
    <w:rsid w:val="002E0654"/>
    <w:rsid w:val="002E068F"/>
    <w:rsid w:val="002E1C82"/>
    <w:rsid w:val="002E2882"/>
    <w:rsid w:val="002E2E55"/>
    <w:rsid w:val="002E45B5"/>
    <w:rsid w:val="002E5882"/>
    <w:rsid w:val="002E5E99"/>
    <w:rsid w:val="002E6778"/>
    <w:rsid w:val="002E6B98"/>
    <w:rsid w:val="002E6FDF"/>
    <w:rsid w:val="002E7456"/>
    <w:rsid w:val="002E7665"/>
    <w:rsid w:val="002F007D"/>
    <w:rsid w:val="002F0956"/>
    <w:rsid w:val="002F17FB"/>
    <w:rsid w:val="002F22AC"/>
    <w:rsid w:val="002F277B"/>
    <w:rsid w:val="002F2E23"/>
    <w:rsid w:val="002F34BA"/>
    <w:rsid w:val="002F351E"/>
    <w:rsid w:val="002F3D9D"/>
    <w:rsid w:val="002F3E32"/>
    <w:rsid w:val="002F45C8"/>
    <w:rsid w:val="002F4A24"/>
    <w:rsid w:val="002F4C78"/>
    <w:rsid w:val="002F544B"/>
    <w:rsid w:val="002F5CA7"/>
    <w:rsid w:val="002F652C"/>
    <w:rsid w:val="002F697F"/>
    <w:rsid w:val="002F6B87"/>
    <w:rsid w:val="002F7313"/>
    <w:rsid w:val="002F7389"/>
    <w:rsid w:val="002F76D7"/>
    <w:rsid w:val="002F7769"/>
    <w:rsid w:val="002F7BD9"/>
    <w:rsid w:val="002F7FA2"/>
    <w:rsid w:val="003005D5"/>
    <w:rsid w:val="00300976"/>
    <w:rsid w:val="0030137A"/>
    <w:rsid w:val="00301AF6"/>
    <w:rsid w:val="00302545"/>
    <w:rsid w:val="00302833"/>
    <w:rsid w:val="00302BE1"/>
    <w:rsid w:val="00302F22"/>
    <w:rsid w:val="00303126"/>
    <w:rsid w:val="003031C9"/>
    <w:rsid w:val="003032FA"/>
    <w:rsid w:val="003038E9"/>
    <w:rsid w:val="00303B5E"/>
    <w:rsid w:val="00303BFB"/>
    <w:rsid w:val="00304E4B"/>
    <w:rsid w:val="00305187"/>
    <w:rsid w:val="00305566"/>
    <w:rsid w:val="00305AEF"/>
    <w:rsid w:val="00305DA7"/>
    <w:rsid w:val="00306061"/>
    <w:rsid w:val="0030624C"/>
    <w:rsid w:val="003066BC"/>
    <w:rsid w:val="00306F02"/>
    <w:rsid w:val="00307E5A"/>
    <w:rsid w:val="00307F93"/>
    <w:rsid w:val="0031078B"/>
    <w:rsid w:val="00310A9C"/>
    <w:rsid w:val="00310D33"/>
    <w:rsid w:val="00311D08"/>
    <w:rsid w:val="00313294"/>
    <w:rsid w:val="003134EF"/>
    <w:rsid w:val="0031380D"/>
    <w:rsid w:val="00314250"/>
    <w:rsid w:val="00314591"/>
    <w:rsid w:val="0031459B"/>
    <w:rsid w:val="0031575B"/>
    <w:rsid w:val="0031645F"/>
    <w:rsid w:val="003169BC"/>
    <w:rsid w:val="00317205"/>
    <w:rsid w:val="00317252"/>
    <w:rsid w:val="00317518"/>
    <w:rsid w:val="00317CB5"/>
    <w:rsid w:val="00317DF2"/>
    <w:rsid w:val="0032024A"/>
    <w:rsid w:val="0032028F"/>
    <w:rsid w:val="00320624"/>
    <w:rsid w:val="00321156"/>
    <w:rsid w:val="00321B40"/>
    <w:rsid w:val="00321CEE"/>
    <w:rsid w:val="003221C0"/>
    <w:rsid w:val="00322514"/>
    <w:rsid w:val="003239AA"/>
    <w:rsid w:val="00323D14"/>
    <w:rsid w:val="00324BCA"/>
    <w:rsid w:val="00325D44"/>
    <w:rsid w:val="00325D98"/>
    <w:rsid w:val="00326054"/>
    <w:rsid w:val="00327263"/>
    <w:rsid w:val="003273B6"/>
    <w:rsid w:val="00327A3F"/>
    <w:rsid w:val="00327B62"/>
    <w:rsid w:val="00330058"/>
    <w:rsid w:val="00330100"/>
    <w:rsid w:val="003307D8"/>
    <w:rsid w:val="00330E8A"/>
    <w:rsid w:val="00331C63"/>
    <w:rsid w:val="003325FD"/>
    <w:rsid w:val="00332C96"/>
    <w:rsid w:val="00332FAF"/>
    <w:rsid w:val="003334EA"/>
    <w:rsid w:val="0033371B"/>
    <w:rsid w:val="00334DD7"/>
    <w:rsid w:val="003356B0"/>
    <w:rsid w:val="0033578B"/>
    <w:rsid w:val="00335B9A"/>
    <w:rsid w:val="00335F1F"/>
    <w:rsid w:val="00336634"/>
    <w:rsid w:val="00336D66"/>
    <w:rsid w:val="00336F3E"/>
    <w:rsid w:val="0033773E"/>
    <w:rsid w:val="003379EC"/>
    <w:rsid w:val="00337FFC"/>
    <w:rsid w:val="00340547"/>
    <w:rsid w:val="00340593"/>
    <w:rsid w:val="0034071D"/>
    <w:rsid w:val="003407FD"/>
    <w:rsid w:val="00341633"/>
    <w:rsid w:val="003416CC"/>
    <w:rsid w:val="00341840"/>
    <w:rsid w:val="00341969"/>
    <w:rsid w:val="003425F7"/>
    <w:rsid w:val="00342660"/>
    <w:rsid w:val="00342A7D"/>
    <w:rsid w:val="00342F06"/>
    <w:rsid w:val="00343BAF"/>
    <w:rsid w:val="00343CEC"/>
    <w:rsid w:val="00345A66"/>
    <w:rsid w:val="00345E6C"/>
    <w:rsid w:val="00345FDA"/>
    <w:rsid w:val="00346106"/>
    <w:rsid w:val="003462B5"/>
    <w:rsid w:val="00346888"/>
    <w:rsid w:val="00346F0B"/>
    <w:rsid w:val="0034725D"/>
    <w:rsid w:val="00347C08"/>
    <w:rsid w:val="00347D06"/>
    <w:rsid w:val="00347D18"/>
    <w:rsid w:val="00347D6E"/>
    <w:rsid w:val="00350014"/>
    <w:rsid w:val="00350CEC"/>
    <w:rsid w:val="003513AF"/>
    <w:rsid w:val="003515E9"/>
    <w:rsid w:val="00351632"/>
    <w:rsid w:val="003516EE"/>
    <w:rsid w:val="003520CA"/>
    <w:rsid w:val="003531B2"/>
    <w:rsid w:val="00353CEE"/>
    <w:rsid w:val="003542F1"/>
    <w:rsid w:val="00354355"/>
    <w:rsid w:val="0035476E"/>
    <w:rsid w:val="00354EAC"/>
    <w:rsid w:val="003551C9"/>
    <w:rsid w:val="0035575E"/>
    <w:rsid w:val="00355893"/>
    <w:rsid w:val="003559F2"/>
    <w:rsid w:val="003565E9"/>
    <w:rsid w:val="00356C09"/>
    <w:rsid w:val="00356EA2"/>
    <w:rsid w:val="00357C03"/>
    <w:rsid w:val="00357C15"/>
    <w:rsid w:val="00360124"/>
    <w:rsid w:val="00360217"/>
    <w:rsid w:val="00360A65"/>
    <w:rsid w:val="00360C90"/>
    <w:rsid w:val="00360D1A"/>
    <w:rsid w:val="00361459"/>
    <w:rsid w:val="00361521"/>
    <w:rsid w:val="00361BB0"/>
    <w:rsid w:val="00361DAE"/>
    <w:rsid w:val="003622D7"/>
    <w:rsid w:val="003625E6"/>
    <w:rsid w:val="003629C7"/>
    <w:rsid w:val="00362AA3"/>
    <w:rsid w:val="00363549"/>
    <w:rsid w:val="00363784"/>
    <w:rsid w:val="003637EA"/>
    <w:rsid w:val="003638DD"/>
    <w:rsid w:val="00363B5F"/>
    <w:rsid w:val="00363E85"/>
    <w:rsid w:val="0036432A"/>
    <w:rsid w:val="003645F3"/>
    <w:rsid w:val="00364F84"/>
    <w:rsid w:val="00365333"/>
    <w:rsid w:val="003659CA"/>
    <w:rsid w:val="00365A90"/>
    <w:rsid w:val="00366643"/>
    <w:rsid w:val="00366F0F"/>
    <w:rsid w:val="00367EFF"/>
    <w:rsid w:val="00367F7E"/>
    <w:rsid w:val="003700C8"/>
    <w:rsid w:val="003707B0"/>
    <w:rsid w:val="00370DB1"/>
    <w:rsid w:val="0037128D"/>
    <w:rsid w:val="0037154B"/>
    <w:rsid w:val="003728AC"/>
    <w:rsid w:val="00372AC5"/>
    <w:rsid w:val="0037342C"/>
    <w:rsid w:val="0037388C"/>
    <w:rsid w:val="00374358"/>
    <w:rsid w:val="0037498C"/>
    <w:rsid w:val="00374A7E"/>
    <w:rsid w:val="00375610"/>
    <w:rsid w:val="003756A6"/>
    <w:rsid w:val="003758CD"/>
    <w:rsid w:val="003759BE"/>
    <w:rsid w:val="00375F1A"/>
    <w:rsid w:val="00376AFC"/>
    <w:rsid w:val="00376B82"/>
    <w:rsid w:val="00380040"/>
    <w:rsid w:val="003808D0"/>
    <w:rsid w:val="00380A6B"/>
    <w:rsid w:val="00380FC4"/>
    <w:rsid w:val="00381174"/>
    <w:rsid w:val="00381C35"/>
    <w:rsid w:val="00382034"/>
    <w:rsid w:val="00382486"/>
    <w:rsid w:val="00382868"/>
    <w:rsid w:val="00382DA0"/>
    <w:rsid w:val="00383603"/>
    <w:rsid w:val="00383710"/>
    <w:rsid w:val="00383A68"/>
    <w:rsid w:val="00383FF4"/>
    <w:rsid w:val="00384CC2"/>
    <w:rsid w:val="00384D1C"/>
    <w:rsid w:val="00385BF9"/>
    <w:rsid w:val="00385D64"/>
    <w:rsid w:val="00385F35"/>
    <w:rsid w:val="00386C8F"/>
    <w:rsid w:val="00386F3B"/>
    <w:rsid w:val="00386F76"/>
    <w:rsid w:val="00386FF1"/>
    <w:rsid w:val="00387C86"/>
    <w:rsid w:val="00390073"/>
    <w:rsid w:val="0039012B"/>
    <w:rsid w:val="0039064E"/>
    <w:rsid w:val="00391541"/>
    <w:rsid w:val="00391754"/>
    <w:rsid w:val="00391A1B"/>
    <w:rsid w:val="00392019"/>
    <w:rsid w:val="0039204E"/>
    <w:rsid w:val="0039215D"/>
    <w:rsid w:val="00392227"/>
    <w:rsid w:val="00393470"/>
    <w:rsid w:val="00393704"/>
    <w:rsid w:val="00393875"/>
    <w:rsid w:val="00394A74"/>
    <w:rsid w:val="00394AD1"/>
    <w:rsid w:val="003950C6"/>
    <w:rsid w:val="0039518E"/>
    <w:rsid w:val="003969FF"/>
    <w:rsid w:val="00396D25"/>
    <w:rsid w:val="00397D0F"/>
    <w:rsid w:val="003A0C87"/>
    <w:rsid w:val="003A132A"/>
    <w:rsid w:val="003A15BA"/>
    <w:rsid w:val="003A1DF1"/>
    <w:rsid w:val="003A2A86"/>
    <w:rsid w:val="003A39C4"/>
    <w:rsid w:val="003A3BB3"/>
    <w:rsid w:val="003A4C7B"/>
    <w:rsid w:val="003A4DB7"/>
    <w:rsid w:val="003A5103"/>
    <w:rsid w:val="003A5256"/>
    <w:rsid w:val="003A5622"/>
    <w:rsid w:val="003A5B01"/>
    <w:rsid w:val="003A6502"/>
    <w:rsid w:val="003A707A"/>
    <w:rsid w:val="003A7B8B"/>
    <w:rsid w:val="003B0815"/>
    <w:rsid w:val="003B0865"/>
    <w:rsid w:val="003B1484"/>
    <w:rsid w:val="003B26E8"/>
    <w:rsid w:val="003B2FA3"/>
    <w:rsid w:val="003B3560"/>
    <w:rsid w:val="003B392C"/>
    <w:rsid w:val="003B3BF5"/>
    <w:rsid w:val="003B47ED"/>
    <w:rsid w:val="003B4E48"/>
    <w:rsid w:val="003B5889"/>
    <w:rsid w:val="003B5BDE"/>
    <w:rsid w:val="003B5EE7"/>
    <w:rsid w:val="003B6475"/>
    <w:rsid w:val="003B683E"/>
    <w:rsid w:val="003B6A1E"/>
    <w:rsid w:val="003B77BC"/>
    <w:rsid w:val="003B7F82"/>
    <w:rsid w:val="003C14CD"/>
    <w:rsid w:val="003C152D"/>
    <w:rsid w:val="003C1C43"/>
    <w:rsid w:val="003C2609"/>
    <w:rsid w:val="003C279A"/>
    <w:rsid w:val="003C2D9F"/>
    <w:rsid w:val="003C2DDF"/>
    <w:rsid w:val="003C3028"/>
    <w:rsid w:val="003C31D8"/>
    <w:rsid w:val="003C33C2"/>
    <w:rsid w:val="003C3769"/>
    <w:rsid w:val="003C390A"/>
    <w:rsid w:val="003C3A25"/>
    <w:rsid w:val="003C3FDA"/>
    <w:rsid w:val="003C4373"/>
    <w:rsid w:val="003C48EF"/>
    <w:rsid w:val="003C4E4F"/>
    <w:rsid w:val="003C54C0"/>
    <w:rsid w:val="003C59FC"/>
    <w:rsid w:val="003C5CDC"/>
    <w:rsid w:val="003C5DFC"/>
    <w:rsid w:val="003C5F81"/>
    <w:rsid w:val="003C67AA"/>
    <w:rsid w:val="003C68B0"/>
    <w:rsid w:val="003C69A4"/>
    <w:rsid w:val="003C69BB"/>
    <w:rsid w:val="003C6A96"/>
    <w:rsid w:val="003C6E36"/>
    <w:rsid w:val="003C6EE0"/>
    <w:rsid w:val="003C7748"/>
    <w:rsid w:val="003C77BA"/>
    <w:rsid w:val="003C7DBC"/>
    <w:rsid w:val="003D0317"/>
    <w:rsid w:val="003D11E7"/>
    <w:rsid w:val="003D16B5"/>
    <w:rsid w:val="003D18E9"/>
    <w:rsid w:val="003D220B"/>
    <w:rsid w:val="003D2FF4"/>
    <w:rsid w:val="003D32F1"/>
    <w:rsid w:val="003D332B"/>
    <w:rsid w:val="003D34BB"/>
    <w:rsid w:val="003D40F8"/>
    <w:rsid w:val="003D421F"/>
    <w:rsid w:val="003D425E"/>
    <w:rsid w:val="003D4783"/>
    <w:rsid w:val="003D5AF0"/>
    <w:rsid w:val="003D600C"/>
    <w:rsid w:val="003D6499"/>
    <w:rsid w:val="003D7B8D"/>
    <w:rsid w:val="003E035B"/>
    <w:rsid w:val="003E1098"/>
    <w:rsid w:val="003E1881"/>
    <w:rsid w:val="003E2599"/>
    <w:rsid w:val="003E3153"/>
    <w:rsid w:val="003E49EA"/>
    <w:rsid w:val="003E4AF7"/>
    <w:rsid w:val="003E59FA"/>
    <w:rsid w:val="003E6291"/>
    <w:rsid w:val="003E65B5"/>
    <w:rsid w:val="003E6F9D"/>
    <w:rsid w:val="003E7BC3"/>
    <w:rsid w:val="003E7ED3"/>
    <w:rsid w:val="003F0B2F"/>
    <w:rsid w:val="003F0B78"/>
    <w:rsid w:val="003F0BAD"/>
    <w:rsid w:val="003F0C8D"/>
    <w:rsid w:val="003F2921"/>
    <w:rsid w:val="003F4406"/>
    <w:rsid w:val="003F4C8B"/>
    <w:rsid w:val="003F53CA"/>
    <w:rsid w:val="003F5F0F"/>
    <w:rsid w:val="003F63E7"/>
    <w:rsid w:val="003F71A7"/>
    <w:rsid w:val="003F77E5"/>
    <w:rsid w:val="003F7F1B"/>
    <w:rsid w:val="00400553"/>
    <w:rsid w:val="004009D2"/>
    <w:rsid w:val="00400D69"/>
    <w:rsid w:val="00401964"/>
    <w:rsid w:val="00402F8B"/>
    <w:rsid w:val="00403A10"/>
    <w:rsid w:val="004049A3"/>
    <w:rsid w:val="00405832"/>
    <w:rsid w:val="00406600"/>
    <w:rsid w:val="00407829"/>
    <w:rsid w:val="004109FF"/>
    <w:rsid w:val="0041100B"/>
    <w:rsid w:val="004119B2"/>
    <w:rsid w:val="00412637"/>
    <w:rsid w:val="00413A95"/>
    <w:rsid w:val="004143A4"/>
    <w:rsid w:val="00414AE0"/>
    <w:rsid w:val="0041632D"/>
    <w:rsid w:val="0041661A"/>
    <w:rsid w:val="004176CC"/>
    <w:rsid w:val="00417CFA"/>
    <w:rsid w:val="00420795"/>
    <w:rsid w:val="0042099E"/>
    <w:rsid w:val="004214D8"/>
    <w:rsid w:val="00421E93"/>
    <w:rsid w:val="00423130"/>
    <w:rsid w:val="00423DEF"/>
    <w:rsid w:val="00423E79"/>
    <w:rsid w:val="00423F4A"/>
    <w:rsid w:val="00425AE7"/>
    <w:rsid w:val="00425BEE"/>
    <w:rsid w:val="00425ECB"/>
    <w:rsid w:val="00425FC2"/>
    <w:rsid w:val="0042637D"/>
    <w:rsid w:val="00426BFA"/>
    <w:rsid w:val="00426C1B"/>
    <w:rsid w:val="00427117"/>
    <w:rsid w:val="0042717D"/>
    <w:rsid w:val="00427ECB"/>
    <w:rsid w:val="00427F87"/>
    <w:rsid w:val="00427FBF"/>
    <w:rsid w:val="00430070"/>
    <w:rsid w:val="004300C2"/>
    <w:rsid w:val="004307FD"/>
    <w:rsid w:val="004311D3"/>
    <w:rsid w:val="00431B96"/>
    <w:rsid w:val="00432C93"/>
    <w:rsid w:val="00433249"/>
    <w:rsid w:val="00433A52"/>
    <w:rsid w:val="00433C41"/>
    <w:rsid w:val="00433F5F"/>
    <w:rsid w:val="004347CE"/>
    <w:rsid w:val="00434AB4"/>
    <w:rsid w:val="00434DBA"/>
    <w:rsid w:val="00435706"/>
    <w:rsid w:val="00435CA4"/>
    <w:rsid w:val="004361DD"/>
    <w:rsid w:val="00436D25"/>
    <w:rsid w:val="00436D58"/>
    <w:rsid w:val="00436EC4"/>
    <w:rsid w:val="004372DE"/>
    <w:rsid w:val="0043738C"/>
    <w:rsid w:val="00440DFE"/>
    <w:rsid w:val="0044187E"/>
    <w:rsid w:val="004418C8"/>
    <w:rsid w:val="00441996"/>
    <w:rsid w:val="00441BEA"/>
    <w:rsid w:val="0044204E"/>
    <w:rsid w:val="00442130"/>
    <w:rsid w:val="00442569"/>
    <w:rsid w:val="0044277E"/>
    <w:rsid w:val="00442A4E"/>
    <w:rsid w:val="00442B7D"/>
    <w:rsid w:val="00442EBB"/>
    <w:rsid w:val="0044336F"/>
    <w:rsid w:val="00443388"/>
    <w:rsid w:val="00443486"/>
    <w:rsid w:val="00443B7F"/>
    <w:rsid w:val="004446AD"/>
    <w:rsid w:val="00444942"/>
    <w:rsid w:val="00444BAF"/>
    <w:rsid w:val="00444CE2"/>
    <w:rsid w:val="00444FE0"/>
    <w:rsid w:val="004455A5"/>
    <w:rsid w:val="004455EF"/>
    <w:rsid w:val="004461A4"/>
    <w:rsid w:val="004467E8"/>
    <w:rsid w:val="004469D5"/>
    <w:rsid w:val="004469E2"/>
    <w:rsid w:val="00446CFA"/>
    <w:rsid w:val="004478FE"/>
    <w:rsid w:val="00447A1D"/>
    <w:rsid w:val="00447BE4"/>
    <w:rsid w:val="004506B8"/>
    <w:rsid w:val="00450882"/>
    <w:rsid w:val="004518AB"/>
    <w:rsid w:val="00452B88"/>
    <w:rsid w:val="00452D2D"/>
    <w:rsid w:val="004547E7"/>
    <w:rsid w:val="0045495C"/>
    <w:rsid w:val="00454AF3"/>
    <w:rsid w:val="00454D43"/>
    <w:rsid w:val="00454FBD"/>
    <w:rsid w:val="00456DDF"/>
    <w:rsid w:val="00457534"/>
    <w:rsid w:val="004576F5"/>
    <w:rsid w:val="00457B59"/>
    <w:rsid w:val="004609D5"/>
    <w:rsid w:val="00460CF0"/>
    <w:rsid w:val="0046108A"/>
    <w:rsid w:val="00461B83"/>
    <w:rsid w:val="00461E66"/>
    <w:rsid w:val="00462B80"/>
    <w:rsid w:val="004636A6"/>
    <w:rsid w:val="004637FD"/>
    <w:rsid w:val="004640D3"/>
    <w:rsid w:val="004642A6"/>
    <w:rsid w:val="00464575"/>
    <w:rsid w:val="0046526F"/>
    <w:rsid w:val="00465363"/>
    <w:rsid w:val="0046559B"/>
    <w:rsid w:val="0046577A"/>
    <w:rsid w:val="004659D8"/>
    <w:rsid w:val="00465C31"/>
    <w:rsid w:val="00465E88"/>
    <w:rsid w:val="00465FC7"/>
    <w:rsid w:val="00466286"/>
    <w:rsid w:val="00466631"/>
    <w:rsid w:val="00466DFC"/>
    <w:rsid w:val="00467C3C"/>
    <w:rsid w:val="00470640"/>
    <w:rsid w:val="00470729"/>
    <w:rsid w:val="0047136F"/>
    <w:rsid w:val="004716BB"/>
    <w:rsid w:val="00472679"/>
    <w:rsid w:val="0047291A"/>
    <w:rsid w:val="004730FF"/>
    <w:rsid w:val="004735FF"/>
    <w:rsid w:val="00473920"/>
    <w:rsid w:val="00473B8F"/>
    <w:rsid w:val="00474C13"/>
    <w:rsid w:val="00475069"/>
    <w:rsid w:val="00475434"/>
    <w:rsid w:val="0047580D"/>
    <w:rsid w:val="004758FF"/>
    <w:rsid w:val="00475BB4"/>
    <w:rsid w:val="00475D47"/>
    <w:rsid w:val="004763A7"/>
    <w:rsid w:val="00476F84"/>
    <w:rsid w:val="0047739C"/>
    <w:rsid w:val="004800AA"/>
    <w:rsid w:val="00480452"/>
    <w:rsid w:val="0048154C"/>
    <w:rsid w:val="00481944"/>
    <w:rsid w:val="00482384"/>
    <w:rsid w:val="0048262C"/>
    <w:rsid w:val="00483EE0"/>
    <w:rsid w:val="00485017"/>
    <w:rsid w:val="00485605"/>
    <w:rsid w:val="004856D5"/>
    <w:rsid w:val="00485D11"/>
    <w:rsid w:val="0048601E"/>
    <w:rsid w:val="0048618F"/>
    <w:rsid w:val="00486327"/>
    <w:rsid w:val="00486824"/>
    <w:rsid w:val="00487135"/>
    <w:rsid w:val="00487237"/>
    <w:rsid w:val="00487802"/>
    <w:rsid w:val="004879DD"/>
    <w:rsid w:val="004908E8"/>
    <w:rsid w:val="00491546"/>
    <w:rsid w:val="00491D2D"/>
    <w:rsid w:val="00492D0B"/>
    <w:rsid w:val="00493827"/>
    <w:rsid w:val="004947D3"/>
    <w:rsid w:val="00494A40"/>
    <w:rsid w:val="00494C38"/>
    <w:rsid w:val="00495085"/>
    <w:rsid w:val="0049529B"/>
    <w:rsid w:val="00495A39"/>
    <w:rsid w:val="00495A75"/>
    <w:rsid w:val="00496594"/>
    <w:rsid w:val="00496815"/>
    <w:rsid w:val="004A0546"/>
    <w:rsid w:val="004A08C2"/>
    <w:rsid w:val="004A0E09"/>
    <w:rsid w:val="004A11F7"/>
    <w:rsid w:val="004A31B3"/>
    <w:rsid w:val="004A4250"/>
    <w:rsid w:val="004A45B2"/>
    <w:rsid w:val="004A4FA9"/>
    <w:rsid w:val="004A5087"/>
    <w:rsid w:val="004A589C"/>
    <w:rsid w:val="004A61A5"/>
    <w:rsid w:val="004A63A9"/>
    <w:rsid w:val="004A66A0"/>
    <w:rsid w:val="004A71B0"/>
    <w:rsid w:val="004A784A"/>
    <w:rsid w:val="004A7A71"/>
    <w:rsid w:val="004A7AA5"/>
    <w:rsid w:val="004A7B49"/>
    <w:rsid w:val="004A7D6D"/>
    <w:rsid w:val="004B005F"/>
    <w:rsid w:val="004B04F2"/>
    <w:rsid w:val="004B0791"/>
    <w:rsid w:val="004B0996"/>
    <w:rsid w:val="004B10A0"/>
    <w:rsid w:val="004B1E10"/>
    <w:rsid w:val="004B2F11"/>
    <w:rsid w:val="004B2F9B"/>
    <w:rsid w:val="004B34C3"/>
    <w:rsid w:val="004B3873"/>
    <w:rsid w:val="004B468F"/>
    <w:rsid w:val="004B4AB4"/>
    <w:rsid w:val="004B513F"/>
    <w:rsid w:val="004B5330"/>
    <w:rsid w:val="004B64AE"/>
    <w:rsid w:val="004B732B"/>
    <w:rsid w:val="004B7681"/>
    <w:rsid w:val="004B7825"/>
    <w:rsid w:val="004B7B17"/>
    <w:rsid w:val="004B7CF5"/>
    <w:rsid w:val="004C025D"/>
    <w:rsid w:val="004C0421"/>
    <w:rsid w:val="004C08D9"/>
    <w:rsid w:val="004C19EF"/>
    <w:rsid w:val="004C2AE8"/>
    <w:rsid w:val="004C2B25"/>
    <w:rsid w:val="004C3D2D"/>
    <w:rsid w:val="004C4BFB"/>
    <w:rsid w:val="004C4C6D"/>
    <w:rsid w:val="004C514B"/>
    <w:rsid w:val="004C53BC"/>
    <w:rsid w:val="004C5B89"/>
    <w:rsid w:val="004C6816"/>
    <w:rsid w:val="004C6C24"/>
    <w:rsid w:val="004C6FDF"/>
    <w:rsid w:val="004C7078"/>
    <w:rsid w:val="004C7EA6"/>
    <w:rsid w:val="004D0681"/>
    <w:rsid w:val="004D0795"/>
    <w:rsid w:val="004D0FB0"/>
    <w:rsid w:val="004D1961"/>
    <w:rsid w:val="004D19E3"/>
    <w:rsid w:val="004D1D76"/>
    <w:rsid w:val="004D1DF7"/>
    <w:rsid w:val="004D21B7"/>
    <w:rsid w:val="004D2600"/>
    <w:rsid w:val="004D26AE"/>
    <w:rsid w:val="004D2ADA"/>
    <w:rsid w:val="004D2D68"/>
    <w:rsid w:val="004D3518"/>
    <w:rsid w:val="004D3A98"/>
    <w:rsid w:val="004D3C67"/>
    <w:rsid w:val="004D3D85"/>
    <w:rsid w:val="004D3FB0"/>
    <w:rsid w:val="004D43C3"/>
    <w:rsid w:val="004D4969"/>
    <w:rsid w:val="004D4B55"/>
    <w:rsid w:val="004D5079"/>
    <w:rsid w:val="004D52A7"/>
    <w:rsid w:val="004D5380"/>
    <w:rsid w:val="004D572A"/>
    <w:rsid w:val="004D5AD7"/>
    <w:rsid w:val="004D6D8A"/>
    <w:rsid w:val="004D6FAF"/>
    <w:rsid w:val="004D796A"/>
    <w:rsid w:val="004D7A39"/>
    <w:rsid w:val="004D7C30"/>
    <w:rsid w:val="004E1073"/>
    <w:rsid w:val="004E182F"/>
    <w:rsid w:val="004E1906"/>
    <w:rsid w:val="004E2E12"/>
    <w:rsid w:val="004E3252"/>
    <w:rsid w:val="004E33BB"/>
    <w:rsid w:val="004E438A"/>
    <w:rsid w:val="004E449B"/>
    <w:rsid w:val="004E4D39"/>
    <w:rsid w:val="004E5961"/>
    <w:rsid w:val="004E623B"/>
    <w:rsid w:val="004E6C87"/>
    <w:rsid w:val="004E7873"/>
    <w:rsid w:val="004E7DCB"/>
    <w:rsid w:val="004F104C"/>
    <w:rsid w:val="004F116B"/>
    <w:rsid w:val="004F116D"/>
    <w:rsid w:val="004F143B"/>
    <w:rsid w:val="004F16A5"/>
    <w:rsid w:val="004F20AE"/>
    <w:rsid w:val="004F2E2A"/>
    <w:rsid w:val="004F2FA4"/>
    <w:rsid w:val="004F3071"/>
    <w:rsid w:val="004F317A"/>
    <w:rsid w:val="004F41F4"/>
    <w:rsid w:val="004F4454"/>
    <w:rsid w:val="004F5860"/>
    <w:rsid w:val="004F618A"/>
    <w:rsid w:val="004F637D"/>
    <w:rsid w:val="004F6838"/>
    <w:rsid w:val="004F69C1"/>
    <w:rsid w:val="004F6B4B"/>
    <w:rsid w:val="004F772F"/>
    <w:rsid w:val="004F7A3B"/>
    <w:rsid w:val="005005C4"/>
    <w:rsid w:val="00500EA9"/>
    <w:rsid w:val="00501658"/>
    <w:rsid w:val="00501F4B"/>
    <w:rsid w:val="005022CE"/>
    <w:rsid w:val="00502818"/>
    <w:rsid w:val="00502FAA"/>
    <w:rsid w:val="0050338D"/>
    <w:rsid w:val="00503973"/>
    <w:rsid w:val="00505396"/>
    <w:rsid w:val="00505428"/>
    <w:rsid w:val="00505CFD"/>
    <w:rsid w:val="00505D0D"/>
    <w:rsid w:val="00505FB2"/>
    <w:rsid w:val="005070BF"/>
    <w:rsid w:val="0050717D"/>
    <w:rsid w:val="00507752"/>
    <w:rsid w:val="00507C55"/>
    <w:rsid w:val="00507CAE"/>
    <w:rsid w:val="00507DC3"/>
    <w:rsid w:val="00510056"/>
    <w:rsid w:val="00510513"/>
    <w:rsid w:val="00510684"/>
    <w:rsid w:val="00511840"/>
    <w:rsid w:val="005118F0"/>
    <w:rsid w:val="00512112"/>
    <w:rsid w:val="005124A5"/>
    <w:rsid w:val="00512CA3"/>
    <w:rsid w:val="0051315E"/>
    <w:rsid w:val="005138F4"/>
    <w:rsid w:val="00513D1D"/>
    <w:rsid w:val="00513D6A"/>
    <w:rsid w:val="00513D82"/>
    <w:rsid w:val="00513DFE"/>
    <w:rsid w:val="00513EDF"/>
    <w:rsid w:val="0051438A"/>
    <w:rsid w:val="00514948"/>
    <w:rsid w:val="005149A6"/>
    <w:rsid w:val="00514AF4"/>
    <w:rsid w:val="00516935"/>
    <w:rsid w:val="00516C0D"/>
    <w:rsid w:val="00516E57"/>
    <w:rsid w:val="00520120"/>
    <w:rsid w:val="00521110"/>
    <w:rsid w:val="005212B4"/>
    <w:rsid w:val="00521D3C"/>
    <w:rsid w:val="005222B1"/>
    <w:rsid w:val="005236B0"/>
    <w:rsid w:val="00523FC4"/>
    <w:rsid w:val="005254D7"/>
    <w:rsid w:val="00525D11"/>
    <w:rsid w:val="00526708"/>
    <w:rsid w:val="00527077"/>
    <w:rsid w:val="0052715B"/>
    <w:rsid w:val="00527590"/>
    <w:rsid w:val="00527691"/>
    <w:rsid w:val="00527ED1"/>
    <w:rsid w:val="00530293"/>
    <w:rsid w:val="005304F8"/>
    <w:rsid w:val="005310DB"/>
    <w:rsid w:val="00531790"/>
    <w:rsid w:val="00531878"/>
    <w:rsid w:val="00531B65"/>
    <w:rsid w:val="0053229E"/>
    <w:rsid w:val="00532C6C"/>
    <w:rsid w:val="00532D59"/>
    <w:rsid w:val="00532FC6"/>
    <w:rsid w:val="0053414B"/>
    <w:rsid w:val="005343E8"/>
    <w:rsid w:val="00536B96"/>
    <w:rsid w:val="00536C41"/>
    <w:rsid w:val="0053793A"/>
    <w:rsid w:val="00537AA4"/>
    <w:rsid w:val="00537F35"/>
    <w:rsid w:val="00541862"/>
    <w:rsid w:val="005425DC"/>
    <w:rsid w:val="00542C57"/>
    <w:rsid w:val="00542C68"/>
    <w:rsid w:val="00542CFD"/>
    <w:rsid w:val="00543068"/>
    <w:rsid w:val="0054318A"/>
    <w:rsid w:val="00543B09"/>
    <w:rsid w:val="00543CD2"/>
    <w:rsid w:val="00544688"/>
    <w:rsid w:val="00544E0C"/>
    <w:rsid w:val="00545075"/>
    <w:rsid w:val="005459EA"/>
    <w:rsid w:val="005463A7"/>
    <w:rsid w:val="00546A94"/>
    <w:rsid w:val="00546AF0"/>
    <w:rsid w:val="0054704D"/>
    <w:rsid w:val="0054739B"/>
    <w:rsid w:val="005477D5"/>
    <w:rsid w:val="00547FD7"/>
    <w:rsid w:val="005505EF"/>
    <w:rsid w:val="00550820"/>
    <w:rsid w:val="0055088B"/>
    <w:rsid w:val="00551F2B"/>
    <w:rsid w:val="005528D9"/>
    <w:rsid w:val="00553057"/>
    <w:rsid w:val="005538D3"/>
    <w:rsid w:val="00553DF1"/>
    <w:rsid w:val="00553DF9"/>
    <w:rsid w:val="00554A3D"/>
    <w:rsid w:val="00555822"/>
    <w:rsid w:val="00555983"/>
    <w:rsid w:val="00555D66"/>
    <w:rsid w:val="005562B8"/>
    <w:rsid w:val="00556EF8"/>
    <w:rsid w:val="0055732B"/>
    <w:rsid w:val="00557C5D"/>
    <w:rsid w:val="00557E34"/>
    <w:rsid w:val="005601F5"/>
    <w:rsid w:val="00560CFD"/>
    <w:rsid w:val="0056132A"/>
    <w:rsid w:val="00561D1A"/>
    <w:rsid w:val="00563A57"/>
    <w:rsid w:val="00563E50"/>
    <w:rsid w:val="00563FDC"/>
    <w:rsid w:val="005644A1"/>
    <w:rsid w:val="00564A4B"/>
    <w:rsid w:val="005651A3"/>
    <w:rsid w:val="005653F1"/>
    <w:rsid w:val="00565760"/>
    <w:rsid w:val="00565795"/>
    <w:rsid w:val="005659FE"/>
    <w:rsid w:val="00565BEB"/>
    <w:rsid w:val="00565E61"/>
    <w:rsid w:val="00566344"/>
    <w:rsid w:val="00566456"/>
    <w:rsid w:val="00567C71"/>
    <w:rsid w:val="00570158"/>
    <w:rsid w:val="005704D7"/>
    <w:rsid w:val="005707FD"/>
    <w:rsid w:val="005709C0"/>
    <w:rsid w:val="00570C95"/>
    <w:rsid w:val="005728A4"/>
    <w:rsid w:val="00573958"/>
    <w:rsid w:val="005746CB"/>
    <w:rsid w:val="00575CF6"/>
    <w:rsid w:val="00575F01"/>
    <w:rsid w:val="00576062"/>
    <w:rsid w:val="005767BB"/>
    <w:rsid w:val="00576D31"/>
    <w:rsid w:val="00577684"/>
    <w:rsid w:val="0057770C"/>
    <w:rsid w:val="005778C5"/>
    <w:rsid w:val="00577E8F"/>
    <w:rsid w:val="005807A1"/>
    <w:rsid w:val="0058081E"/>
    <w:rsid w:val="00580E9B"/>
    <w:rsid w:val="00581218"/>
    <w:rsid w:val="00581571"/>
    <w:rsid w:val="00581742"/>
    <w:rsid w:val="005818E1"/>
    <w:rsid w:val="00582026"/>
    <w:rsid w:val="00582D21"/>
    <w:rsid w:val="00583095"/>
    <w:rsid w:val="005837EE"/>
    <w:rsid w:val="0058473C"/>
    <w:rsid w:val="00584AAC"/>
    <w:rsid w:val="00584DEB"/>
    <w:rsid w:val="00585077"/>
    <w:rsid w:val="0058561B"/>
    <w:rsid w:val="0058609A"/>
    <w:rsid w:val="005860AC"/>
    <w:rsid w:val="005869BD"/>
    <w:rsid w:val="005877E3"/>
    <w:rsid w:val="005900ED"/>
    <w:rsid w:val="0059052C"/>
    <w:rsid w:val="00590960"/>
    <w:rsid w:val="00591F14"/>
    <w:rsid w:val="00592092"/>
    <w:rsid w:val="00592845"/>
    <w:rsid w:val="00592B72"/>
    <w:rsid w:val="00592EAB"/>
    <w:rsid w:val="00593B4E"/>
    <w:rsid w:val="00593D6A"/>
    <w:rsid w:val="00593DC6"/>
    <w:rsid w:val="00594995"/>
    <w:rsid w:val="00595300"/>
    <w:rsid w:val="0059566F"/>
    <w:rsid w:val="0059577A"/>
    <w:rsid w:val="00595A1D"/>
    <w:rsid w:val="00595A77"/>
    <w:rsid w:val="00595FAD"/>
    <w:rsid w:val="00596046"/>
    <w:rsid w:val="00596480"/>
    <w:rsid w:val="0059653A"/>
    <w:rsid w:val="00596AAA"/>
    <w:rsid w:val="005970BA"/>
    <w:rsid w:val="0059735B"/>
    <w:rsid w:val="005975B2"/>
    <w:rsid w:val="00597705"/>
    <w:rsid w:val="005A06B6"/>
    <w:rsid w:val="005A0869"/>
    <w:rsid w:val="005A0BC8"/>
    <w:rsid w:val="005A0F2C"/>
    <w:rsid w:val="005A291A"/>
    <w:rsid w:val="005A2FFF"/>
    <w:rsid w:val="005A313D"/>
    <w:rsid w:val="005A3744"/>
    <w:rsid w:val="005A37FF"/>
    <w:rsid w:val="005A3D8C"/>
    <w:rsid w:val="005A4346"/>
    <w:rsid w:val="005A48F9"/>
    <w:rsid w:val="005A4B1A"/>
    <w:rsid w:val="005A4C1A"/>
    <w:rsid w:val="005A4F87"/>
    <w:rsid w:val="005A5332"/>
    <w:rsid w:val="005A59EB"/>
    <w:rsid w:val="005A5A46"/>
    <w:rsid w:val="005A6060"/>
    <w:rsid w:val="005A6734"/>
    <w:rsid w:val="005A6F1D"/>
    <w:rsid w:val="005A6F8A"/>
    <w:rsid w:val="005A7219"/>
    <w:rsid w:val="005A75C5"/>
    <w:rsid w:val="005A7A7E"/>
    <w:rsid w:val="005B09D6"/>
    <w:rsid w:val="005B0D06"/>
    <w:rsid w:val="005B1132"/>
    <w:rsid w:val="005B125D"/>
    <w:rsid w:val="005B156E"/>
    <w:rsid w:val="005B20AC"/>
    <w:rsid w:val="005B2E53"/>
    <w:rsid w:val="005B3284"/>
    <w:rsid w:val="005B3832"/>
    <w:rsid w:val="005B3F71"/>
    <w:rsid w:val="005B4117"/>
    <w:rsid w:val="005B4BEA"/>
    <w:rsid w:val="005B56FB"/>
    <w:rsid w:val="005B5882"/>
    <w:rsid w:val="005B639E"/>
    <w:rsid w:val="005B66A9"/>
    <w:rsid w:val="005B722B"/>
    <w:rsid w:val="005B7866"/>
    <w:rsid w:val="005B7D61"/>
    <w:rsid w:val="005C019C"/>
    <w:rsid w:val="005C09C1"/>
    <w:rsid w:val="005C1066"/>
    <w:rsid w:val="005C125D"/>
    <w:rsid w:val="005C20C8"/>
    <w:rsid w:val="005C21B4"/>
    <w:rsid w:val="005C233F"/>
    <w:rsid w:val="005C2356"/>
    <w:rsid w:val="005C2582"/>
    <w:rsid w:val="005C277B"/>
    <w:rsid w:val="005C2EF0"/>
    <w:rsid w:val="005C3DA7"/>
    <w:rsid w:val="005C437E"/>
    <w:rsid w:val="005C4FEA"/>
    <w:rsid w:val="005C5200"/>
    <w:rsid w:val="005C623F"/>
    <w:rsid w:val="005C643C"/>
    <w:rsid w:val="005C65EC"/>
    <w:rsid w:val="005C6E55"/>
    <w:rsid w:val="005C6EED"/>
    <w:rsid w:val="005C7BA8"/>
    <w:rsid w:val="005C7FBC"/>
    <w:rsid w:val="005D1005"/>
    <w:rsid w:val="005D11CD"/>
    <w:rsid w:val="005D198D"/>
    <w:rsid w:val="005D1A69"/>
    <w:rsid w:val="005D22AE"/>
    <w:rsid w:val="005D2AEC"/>
    <w:rsid w:val="005D32DB"/>
    <w:rsid w:val="005D3546"/>
    <w:rsid w:val="005D36CF"/>
    <w:rsid w:val="005D4C78"/>
    <w:rsid w:val="005D4DAF"/>
    <w:rsid w:val="005D5C9C"/>
    <w:rsid w:val="005D5E27"/>
    <w:rsid w:val="005D69F3"/>
    <w:rsid w:val="005D6A2A"/>
    <w:rsid w:val="005D6AC9"/>
    <w:rsid w:val="005D6D37"/>
    <w:rsid w:val="005D7516"/>
    <w:rsid w:val="005E0703"/>
    <w:rsid w:val="005E0DFA"/>
    <w:rsid w:val="005E0E40"/>
    <w:rsid w:val="005E165D"/>
    <w:rsid w:val="005E169A"/>
    <w:rsid w:val="005E1FA8"/>
    <w:rsid w:val="005E2644"/>
    <w:rsid w:val="005E2BAA"/>
    <w:rsid w:val="005E357D"/>
    <w:rsid w:val="005E3FFE"/>
    <w:rsid w:val="005E494D"/>
    <w:rsid w:val="005E4EB2"/>
    <w:rsid w:val="005E4EE3"/>
    <w:rsid w:val="005E4F84"/>
    <w:rsid w:val="005E4FAE"/>
    <w:rsid w:val="005E594B"/>
    <w:rsid w:val="005E5E0D"/>
    <w:rsid w:val="005E60F5"/>
    <w:rsid w:val="005E643F"/>
    <w:rsid w:val="005E6996"/>
    <w:rsid w:val="005E6AAA"/>
    <w:rsid w:val="005F0B78"/>
    <w:rsid w:val="005F1199"/>
    <w:rsid w:val="005F13A4"/>
    <w:rsid w:val="005F179A"/>
    <w:rsid w:val="005F1824"/>
    <w:rsid w:val="005F23EF"/>
    <w:rsid w:val="005F28F8"/>
    <w:rsid w:val="005F377D"/>
    <w:rsid w:val="005F3D28"/>
    <w:rsid w:val="005F3FAF"/>
    <w:rsid w:val="005F4E49"/>
    <w:rsid w:val="005F651D"/>
    <w:rsid w:val="005F67AA"/>
    <w:rsid w:val="005F69B9"/>
    <w:rsid w:val="00600057"/>
    <w:rsid w:val="0060199F"/>
    <w:rsid w:val="006022AD"/>
    <w:rsid w:val="00602BEE"/>
    <w:rsid w:val="0060324D"/>
    <w:rsid w:val="00603928"/>
    <w:rsid w:val="006039FB"/>
    <w:rsid w:val="00603C86"/>
    <w:rsid w:val="0060579F"/>
    <w:rsid w:val="006057C6"/>
    <w:rsid w:val="00605CCD"/>
    <w:rsid w:val="006061C1"/>
    <w:rsid w:val="00607193"/>
    <w:rsid w:val="006079D6"/>
    <w:rsid w:val="00607B34"/>
    <w:rsid w:val="00610563"/>
    <w:rsid w:val="006110AD"/>
    <w:rsid w:val="00611B78"/>
    <w:rsid w:val="00611DD7"/>
    <w:rsid w:val="00612005"/>
    <w:rsid w:val="006122B5"/>
    <w:rsid w:val="0061249D"/>
    <w:rsid w:val="0061314C"/>
    <w:rsid w:val="0061335D"/>
    <w:rsid w:val="00613C21"/>
    <w:rsid w:val="00613EAA"/>
    <w:rsid w:val="00613EBC"/>
    <w:rsid w:val="00614821"/>
    <w:rsid w:val="00614A28"/>
    <w:rsid w:val="00614F50"/>
    <w:rsid w:val="00614F8C"/>
    <w:rsid w:val="00614FC7"/>
    <w:rsid w:val="00615BD3"/>
    <w:rsid w:val="006164F6"/>
    <w:rsid w:val="006166B3"/>
    <w:rsid w:val="00616AB5"/>
    <w:rsid w:val="00616B84"/>
    <w:rsid w:val="0061700B"/>
    <w:rsid w:val="00620128"/>
    <w:rsid w:val="006207F1"/>
    <w:rsid w:val="006209EC"/>
    <w:rsid w:val="00620D49"/>
    <w:rsid w:val="00621021"/>
    <w:rsid w:val="0062142E"/>
    <w:rsid w:val="00621812"/>
    <w:rsid w:val="006219D6"/>
    <w:rsid w:val="00622059"/>
    <w:rsid w:val="00622601"/>
    <w:rsid w:val="006227F4"/>
    <w:rsid w:val="0062292C"/>
    <w:rsid w:val="006235C6"/>
    <w:rsid w:val="006240FE"/>
    <w:rsid w:val="00625A84"/>
    <w:rsid w:val="00625D23"/>
    <w:rsid w:val="00626040"/>
    <w:rsid w:val="006306EE"/>
    <w:rsid w:val="006325FF"/>
    <w:rsid w:val="00633128"/>
    <w:rsid w:val="006332F1"/>
    <w:rsid w:val="00633560"/>
    <w:rsid w:val="00633DD7"/>
    <w:rsid w:val="006343E6"/>
    <w:rsid w:val="00634DD0"/>
    <w:rsid w:val="006355EA"/>
    <w:rsid w:val="006358E7"/>
    <w:rsid w:val="00635B56"/>
    <w:rsid w:val="006365BE"/>
    <w:rsid w:val="006365CF"/>
    <w:rsid w:val="00636A00"/>
    <w:rsid w:val="00636B70"/>
    <w:rsid w:val="00636F46"/>
    <w:rsid w:val="00636F89"/>
    <w:rsid w:val="006377C2"/>
    <w:rsid w:val="006379D6"/>
    <w:rsid w:val="00637DB9"/>
    <w:rsid w:val="0064003E"/>
    <w:rsid w:val="00640BAA"/>
    <w:rsid w:val="00641AE5"/>
    <w:rsid w:val="00642480"/>
    <w:rsid w:val="00642CBF"/>
    <w:rsid w:val="00643B0B"/>
    <w:rsid w:val="0064497D"/>
    <w:rsid w:val="00644C0D"/>
    <w:rsid w:val="00644E48"/>
    <w:rsid w:val="00645126"/>
    <w:rsid w:val="0064596E"/>
    <w:rsid w:val="00645C0A"/>
    <w:rsid w:val="006464C5"/>
    <w:rsid w:val="006470E9"/>
    <w:rsid w:val="00650C20"/>
    <w:rsid w:val="006514B5"/>
    <w:rsid w:val="006517F7"/>
    <w:rsid w:val="00651B20"/>
    <w:rsid w:val="00651C2F"/>
    <w:rsid w:val="0065255C"/>
    <w:rsid w:val="00652A62"/>
    <w:rsid w:val="006530F4"/>
    <w:rsid w:val="00653165"/>
    <w:rsid w:val="00653193"/>
    <w:rsid w:val="006534C3"/>
    <w:rsid w:val="00653C7E"/>
    <w:rsid w:val="0065447A"/>
    <w:rsid w:val="00654875"/>
    <w:rsid w:val="00654A88"/>
    <w:rsid w:val="00654C60"/>
    <w:rsid w:val="006551D2"/>
    <w:rsid w:val="006559B0"/>
    <w:rsid w:val="00655DD8"/>
    <w:rsid w:val="00655F1E"/>
    <w:rsid w:val="0065608A"/>
    <w:rsid w:val="006569B9"/>
    <w:rsid w:val="00656C88"/>
    <w:rsid w:val="006575AC"/>
    <w:rsid w:val="00657AD0"/>
    <w:rsid w:val="0066117A"/>
    <w:rsid w:val="00662469"/>
    <w:rsid w:val="0066266A"/>
    <w:rsid w:val="0066280E"/>
    <w:rsid w:val="00662ADB"/>
    <w:rsid w:val="00662C63"/>
    <w:rsid w:val="00662DFC"/>
    <w:rsid w:val="00662EFD"/>
    <w:rsid w:val="006639A0"/>
    <w:rsid w:val="00665121"/>
    <w:rsid w:val="0066543E"/>
    <w:rsid w:val="00665512"/>
    <w:rsid w:val="0066575C"/>
    <w:rsid w:val="00665820"/>
    <w:rsid w:val="00665A4E"/>
    <w:rsid w:val="006665D1"/>
    <w:rsid w:val="006666FA"/>
    <w:rsid w:val="0066687A"/>
    <w:rsid w:val="00666DA5"/>
    <w:rsid w:val="00671BCA"/>
    <w:rsid w:val="00672787"/>
    <w:rsid w:val="0067279A"/>
    <w:rsid w:val="006728E9"/>
    <w:rsid w:val="00673816"/>
    <w:rsid w:val="006738ED"/>
    <w:rsid w:val="00673B3F"/>
    <w:rsid w:val="00673F8A"/>
    <w:rsid w:val="00674150"/>
    <w:rsid w:val="00674516"/>
    <w:rsid w:val="00674962"/>
    <w:rsid w:val="00674EAF"/>
    <w:rsid w:val="00675012"/>
    <w:rsid w:val="00675174"/>
    <w:rsid w:val="00675B3C"/>
    <w:rsid w:val="00675CD4"/>
    <w:rsid w:val="00675EE3"/>
    <w:rsid w:val="00676D09"/>
    <w:rsid w:val="00676FF8"/>
    <w:rsid w:val="0067715E"/>
    <w:rsid w:val="0067738F"/>
    <w:rsid w:val="00677507"/>
    <w:rsid w:val="0067787D"/>
    <w:rsid w:val="00677D81"/>
    <w:rsid w:val="00680774"/>
    <w:rsid w:val="00680C51"/>
    <w:rsid w:val="00680D73"/>
    <w:rsid w:val="0068190D"/>
    <w:rsid w:val="00681F84"/>
    <w:rsid w:val="0068321E"/>
    <w:rsid w:val="0068338B"/>
    <w:rsid w:val="00683CE5"/>
    <w:rsid w:val="006844DD"/>
    <w:rsid w:val="00684930"/>
    <w:rsid w:val="00685BB2"/>
    <w:rsid w:val="0068681A"/>
    <w:rsid w:val="00687176"/>
    <w:rsid w:val="00692504"/>
    <w:rsid w:val="0069256D"/>
    <w:rsid w:val="006929A5"/>
    <w:rsid w:val="00692E72"/>
    <w:rsid w:val="006930C0"/>
    <w:rsid w:val="00693472"/>
    <w:rsid w:val="00693508"/>
    <w:rsid w:val="006937A3"/>
    <w:rsid w:val="00693CD6"/>
    <w:rsid w:val="0069523C"/>
    <w:rsid w:val="00695379"/>
    <w:rsid w:val="00696692"/>
    <w:rsid w:val="00696DE0"/>
    <w:rsid w:val="00697C8A"/>
    <w:rsid w:val="00697E97"/>
    <w:rsid w:val="006A01A4"/>
    <w:rsid w:val="006A0341"/>
    <w:rsid w:val="006A1859"/>
    <w:rsid w:val="006A18AD"/>
    <w:rsid w:val="006A28C9"/>
    <w:rsid w:val="006A2D14"/>
    <w:rsid w:val="006A3212"/>
    <w:rsid w:val="006A4230"/>
    <w:rsid w:val="006A4C41"/>
    <w:rsid w:val="006A528D"/>
    <w:rsid w:val="006A5A9B"/>
    <w:rsid w:val="006A7536"/>
    <w:rsid w:val="006A7C99"/>
    <w:rsid w:val="006B01A7"/>
    <w:rsid w:val="006B0D51"/>
    <w:rsid w:val="006B18E7"/>
    <w:rsid w:val="006B2139"/>
    <w:rsid w:val="006B34EC"/>
    <w:rsid w:val="006B380E"/>
    <w:rsid w:val="006B39FE"/>
    <w:rsid w:val="006B3EFC"/>
    <w:rsid w:val="006B41F2"/>
    <w:rsid w:val="006B48A6"/>
    <w:rsid w:val="006B4A2B"/>
    <w:rsid w:val="006B58CE"/>
    <w:rsid w:val="006B5DAA"/>
    <w:rsid w:val="006B6349"/>
    <w:rsid w:val="006B6AF6"/>
    <w:rsid w:val="006B75BA"/>
    <w:rsid w:val="006C0391"/>
    <w:rsid w:val="006C0A7E"/>
    <w:rsid w:val="006C0B4C"/>
    <w:rsid w:val="006C0DE3"/>
    <w:rsid w:val="006C1E58"/>
    <w:rsid w:val="006C2691"/>
    <w:rsid w:val="006C2EE3"/>
    <w:rsid w:val="006C3365"/>
    <w:rsid w:val="006C354F"/>
    <w:rsid w:val="006C43E6"/>
    <w:rsid w:val="006C4FF0"/>
    <w:rsid w:val="006C571A"/>
    <w:rsid w:val="006C5DC6"/>
    <w:rsid w:val="006C7631"/>
    <w:rsid w:val="006C771F"/>
    <w:rsid w:val="006C7B25"/>
    <w:rsid w:val="006C7EF7"/>
    <w:rsid w:val="006D0C37"/>
    <w:rsid w:val="006D11B9"/>
    <w:rsid w:val="006D2D38"/>
    <w:rsid w:val="006D2F7B"/>
    <w:rsid w:val="006D38AB"/>
    <w:rsid w:val="006D38C1"/>
    <w:rsid w:val="006D3DB7"/>
    <w:rsid w:val="006D40EC"/>
    <w:rsid w:val="006D4B18"/>
    <w:rsid w:val="006D55A2"/>
    <w:rsid w:val="006D5BE5"/>
    <w:rsid w:val="006D608C"/>
    <w:rsid w:val="006D6BDF"/>
    <w:rsid w:val="006D6F80"/>
    <w:rsid w:val="006E09AB"/>
    <w:rsid w:val="006E19A6"/>
    <w:rsid w:val="006E2475"/>
    <w:rsid w:val="006E2504"/>
    <w:rsid w:val="006E25AB"/>
    <w:rsid w:val="006E28D7"/>
    <w:rsid w:val="006E3145"/>
    <w:rsid w:val="006E3779"/>
    <w:rsid w:val="006E47A5"/>
    <w:rsid w:val="006E4A48"/>
    <w:rsid w:val="006E6217"/>
    <w:rsid w:val="006E622C"/>
    <w:rsid w:val="006E65C7"/>
    <w:rsid w:val="006E6F06"/>
    <w:rsid w:val="006E728A"/>
    <w:rsid w:val="006E7679"/>
    <w:rsid w:val="006E76AE"/>
    <w:rsid w:val="006F0839"/>
    <w:rsid w:val="006F0C0A"/>
    <w:rsid w:val="006F0CD9"/>
    <w:rsid w:val="006F115C"/>
    <w:rsid w:val="006F119A"/>
    <w:rsid w:val="006F18AB"/>
    <w:rsid w:val="006F1A94"/>
    <w:rsid w:val="006F1CDA"/>
    <w:rsid w:val="006F2575"/>
    <w:rsid w:val="006F2666"/>
    <w:rsid w:val="006F2718"/>
    <w:rsid w:val="006F3487"/>
    <w:rsid w:val="006F3E4D"/>
    <w:rsid w:val="006F5244"/>
    <w:rsid w:val="006F5D7F"/>
    <w:rsid w:val="006F68FE"/>
    <w:rsid w:val="006F6DD3"/>
    <w:rsid w:val="006F7F79"/>
    <w:rsid w:val="00700D8F"/>
    <w:rsid w:val="00700E98"/>
    <w:rsid w:val="00701A0D"/>
    <w:rsid w:val="00702BFA"/>
    <w:rsid w:val="00703650"/>
    <w:rsid w:val="00704142"/>
    <w:rsid w:val="00704BAB"/>
    <w:rsid w:val="00704CD3"/>
    <w:rsid w:val="00705021"/>
    <w:rsid w:val="0070552E"/>
    <w:rsid w:val="007058FC"/>
    <w:rsid w:val="0070606B"/>
    <w:rsid w:val="007062BC"/>
    <w:rsid w:val="007073D3"/>
    <w:rsid w:val="00707918"/>
    <w:rsid w:val="00707BC8"/>
    <w:rsid w:val="00710457"/>
    <w:rsid w:val="0071046E"/>
    <w:rsid w:val="00711384"/>
    <w:rsid w:val="00712807"/>
    <w:rsid w:val="00713E95"/>
    <w:rsid w:val="0071444A"/>
    <w:rsid w:val="007149F8"/>
    <w:rsid w:val="00716CED"/>
    <w:rsid w:val="007171A9"/>
    <w:rsid w:val="007173BF"/>
    <w:rsid w:val="00717794"/>
    <w:rsid w:val="0071797C"/>
    <w:rsid w:val="00717B01"/>
    <w:rsid w:val="00720AE2"/>
    <w:rsid w:val="00721C9B"/>
    <w:rsid w:val="00722750"/>
    <w:rsid w:val="00722CC6"/>
    <w:rsid w:val="00723EBE"/>
    <w:rsid w:val="0072437B"/>
    <w:rsid w:val="00725FAD"/>
    <w:rsid w:val="007262E4"/>
    <w:rsid w:val="00726522"/>
    <w:rsid w:val="00726724"/>
    <w:rsid w:val="007269BF"/>
    <w:rsid w:val="00726C0E"/>
    <w:rsid w:val="00726D6E"/>
    <w:rsid w:val="007274BB"/>
    <w:rsid w:val="007277FE"/>
    <w:rsid w:val="0073186A"/>
    <w:rsid w:val="00731B28"/>
    <w:rsid w:val="00731E71"/>
    <w:rsid w:val="007322AA"/>
    <w:rsid w:val="007323F7"/>
    <w:rsid w:val="00732902"/>
    <w:rsid w:val="00732928"/>
    <w:rsid w:val="00732F7B"/>
    <w:rsid w:val="00734FA6"/>
    <w:rsid w:val="0073560E"/>
    <w:rsid w:val="007356A6"/>
    <w:rsid w:val="0073596F"/>
    <w:rsid w:val="00735F50"/>
    <w:rsid w:val="00737037"/>
    <w:rsid w:val="00737F7B"/>
    <w:rsid w:val="007410CD"/>
    <w:rsid w:val="00741813"/>
    <w:rsid w:val="00741FC5"/>
    <w:rsid w:val="007422A1"/>
    <w:rsid w:val="00742994"/>
    <w:rsid w:val="0074373D"/>
    <w:rsid w:val="00744281"/>
    <w:rsid w:val="007446A5"/>
    <w:rsid w:val="00745008"/>
    <w:rsid w:val="0074531B"/>
    <w:rsid w:val="00745642"/>
    <w:rsid w:val="00745D13"/>
    <w:rsid w:val="00745EC9"/>
    <w:rsid w:val="007466C3"/>
    <w:rsid w:val="00746EE0"/>
    <w:rsid w:val="00746F47"/>
    <w:rsid w:val="007470A6"/>
    <w:rsid w:val="007475EB"/>
    <w:rsid w:val="00747AED"/>
    <w:rsid w:val="00747CA9"/>
    <w:rsid w:val="0075025B"/>
    <w:rsid w:val="0075036F"/>
    <w:rsid w:val="00750E86"/>
    <w:rsid w:val="0075125F"/>
    <w:rsid w:val="00751329"/>
    <w:rsid w:val="007526BE"/>
    <w:rsid w:val="0075399C"/>
    <w:rsid w:val="00753CBE"/>
    <w:rsid w:val="007542AE"/>
    <w:rsid w:val="00754BAA"/>
    <w:rsid w:val="00755328"/>
    <w:rsid w:val="00755D02"/>
    <w:rsid w:val="00755EBD"/>
    <w:rsid w:val="00755F15"/>
    <w:rsid w:val="007561C0"/>
    <w:rsid w:val="007562D6"/>
    <w:rsid w:val="007564A0"/>
    <w:rsid w:val="00756F21"/>
    <w:rsid w:val="0075793F"/>
    <w:rsid w:val="00757A76"/>
    <w:rsid w:val="00757B29"/>
    <w:rsid w:val="00760559"/>
    <w:rsid w:val="007607E1"/>
    <w:rsid w:val="00760DB4"/>
    <w:rsid w:val="00761F48"/>
    <w:rsid w:val="00762153"/>
    <w:rsid w:val="007623DC"/>
    <w:rsid w:val="00762C34"/>
    <w:rsid w:val="00762FAF"/>
    <w:rsid w:val="00763636"/>
    <w:rsid w:val="00763DC3"/>
    <w:rsid w:val="00764604"/>
    <w:rsid w:val="00764C6A"/>
    <w:rsid w:val="0076598E"/>
    <w:rsid w:val="00766218"/>
    <w:rsid w:val="00766452"/>
    <w:rsid w:val="007668B2"/>
    <w:rsid w:val="007670D1"/>
    <w:rsid w:val="00770314"/>
    <w:rsid w:val="00770A35"/>
    <w:rsid w:val="00770AC6"/>
    <w:rsid w:val="0077190C"/>
    <w:rsid w:val="00771A9B"/>
    <w:rsid w:val="00772F01"/>
    <w:rsid w:val="00773930"/>
    <w:rsid w:val="00773DD3"/>
    <w:rsid w:val="0077429D"/>
    <w:rsid w:val="0077431A"/>
    <w:rsid w:val="00774BA8"/>
    <w:rsid w:val="00774E16"/>
    <w:rsid w:val="007751AE"/>
    <w:rsid w:val="00775BB7"/>
    <w:rsid w:val="007762A0"/>
    <w:rsid w:val="00777E1E"/>
    <w:rsid w:val="007801A3"/>
    <w:rsid w:val="00780B97"/>
    <w:rsid w:val="007811AC"/>
    <w:rsid w:val="00781220"/>
    <w:rsid w:val="00781262"/>
    <w:rsid w:val="0078196D"/>
    <w:rsid w:val="00781B66"/>
    <w:rsid w:val="007825B7"/>
    <w:rsid w:val="00782BC5"/>
    <w:rsid w:val="00782F1A"/>
    <w:rsid w:val="00783A2B"/>
    <w:rsid w:val="00783EB5"/>
    <w:rsid w:val="00784202"/>
    <w:rsid w:val="0078459F"/>
    <w:rsid w:val="00784734"/>
    <w:rsid w:val="00784795"/>
    <w:rsid w:val="00784A16"/>
    <w:rsid w:val="007853DD"/>
    <w:rsid w:val="00787605"/>
    <w:rsid w:val="00787D01"/>
    <w:rsid w:val="00790390"/>
    <w:rsid w:val="00790A83"/>
    <w:rsid w:val="00790EAF"/>
    <w:rsid w:val="007911EC"/>
    <w:rsid w:val="00791260"/>
    <w:rsid w:val="00791B94"/>
    <w:rsid w:val="00791CEA"/>
    <w:rsid w:val="00791DF5"/>
    <w:rsid w:val="0079223E"/>
    <w:rsid w:val="007924B7"/>
    <w:rsid w:val="007927B7"/>
    <w:rsid w:val="00792D12"/>
    <w:rsid w:val="00793E66"/>
    <w:rsid w:val="007941FF"/>
    <w:rsid w:val="007945F5"/>
    <w:rsid w:val="00794754"/>
    <w:rsid w:val="0079484F"/>
    <w:rsid w:val="00794BC9"/>
    <w:rsid w:val="00794C4F"/>
    <w:rsid w:val="00795380"/>
    <w:rsid w:val="00795E38"/>
    <w:rsid w:val="00796039"/>
    <w:rsid w:val="00796792"/>
    <w:rsid w:val="00796917"/>
    <w:rsid w:val="00796AC5"/>
    <w:rsid w:val="0079709A"/>
    <w:rsid w:val="00797D12"/>
    <w:rsid w:val="00797D38"/>
    <w:rsid w:val="007A0181"/>
    <w:rsid w:val="007A0818"/>
    <w:rsid w:val="007A0964"/>
    <w:rsid w:val="007A10AB"/>
    <w:rsid w:val="007A128E"/>
    <w:rsid w:val="007A15BB"/>
    <w:rsid w:val="007A1665"/>
    <w:rsid w:val="007A16C5"/>
    <w:rsid w:val="007A1D12"/>
    <w:rsid w:val="007A2455"/>
    <w:rsid w:val="007A255D"/>
    <w:rsid w:val="007A2C5C"/>
    <w:rsid w:val="007A426B"/>
    <w:rsid w:val="007A478E"/>
    <w:rsid w:val="007A479D"/>
    <w:rsid w:val="007A4926"/>
    <w:rsid w:val="007A4D92"/>
    <w:rsid w:val="007A54BA"/>
    <w:rsid w:val="007A5D0D"/>
    <w:rsid w:val="007A601F"/>
    <w:rsid w:val="007A65DE"/>
    <w:rsid w:val="007A7057"/>
    <w:rsid w:val="007A7310"/>
    <w:rsid w:val="007A7555"/>
    <w:rsid w:val="007A786F"/>
    <w:rsid w:val="007B003C"/>
    <w:rsid w:val="007B0102"/>
    <w:rsid w:val="007B162F"/>
    <w:rsid w:val="007B1806"/>
    <w:rsid w:val="007B1A78"/>
    <w:rsid w:val="007B2753"/>
    <w:rsid w:val="007B293D"/>
    <w:rsid w:val="007B3885"/>
    <w:rsid w:val="007B398A"/>
    <w:rsid w:val="007B44A0"/>
    <w:rsid w:val="007B4EC9"/>
    <w:rsid w:val="007B5064"/>
    <w:rsid w:val="007B66C5"/>
    <w:rsid w:val="007B696F"/>
    <w:rsid w:val="007B6C87"/>
    <w:rsid w:val="007B6E15"/>
    <w:rsid w:val="007B6EEE"/>
    <w:rsid w:val="007B6F97"/>
    <w:rsid w:val="007C0371"/>
    <w:rsid w:val="007C06DB"/>
    <w:rsid w:val="007C0894"/>
    <w:rsid w:val="007C10A1"/>
    <w:rsid w:val="007C10BA"/>
    <w:rsid w:val="007C1235"/>
    <w:rsid w:val="007C165B"/>
    <w:rsid w:val="007C203E"/>
    <w:rsid w:val="007C23DB"/>
    <w:rsid w:val="007C249F"/>
    <w:rsid w:val="007C27BD"/>
    <w:rsid w:val="007C3B12"/>
    <w:rsid w:val="007C3C8E"/>
    <w:rsid w:val="007C44E1"/>
    <w:rsid w:val="007C481C"/>
    <w:rsid w:val="007C551F"/>
    <w:rsid w:val="007C592E"/>
    <w:rsid w:val="007C5BE1"/>
    <w:rsid w:val="007C5C3C"/>
    <w:rsid w:val="007C5E22"/>
    <w:rsid w:val="007C609C"/>
    <w:rsid w:val="007C6A53"/>
    <w:rsid w:val="007C6B14"/>
    <w:rsid w:val="007C7121"/>
    <w:rsid w:val="007C7582"/>
    <w:rsid w:val="007C7983"/>
    <w:rsid w:val="007D1AC2"/>
    <w:rsid w:val="007D213E"/>
    <w:rsid w:val="007D2594"/>
    <w:rsid w:val="007D2C2A"/>
    <w:rsid w:val="007D2C4E"/>
    <w:rsid w:val="007D34CB"/>
    <w:rsid w:val="007D3AB9"/>
    <w:rsid w:val="007D4210"/>
    <w:rsid w:val="007D4A74"/>
    <w:rsid w:val="007D516F"/>
    <w:rsid w:val="007D5489"/>
    <w:rsid w:val="007D5A76"/>
    <w:rsid w:val="007D60D0"/>
    <w:rsid w:val="007D6138"/>
    <w:rsid w:val="007D661F"/>
    <w:rsid w:val="007D6F4D"/>
    <w:rsid w:val="007D773E"/>
    <w:rsid w:val="007E0794"/>
    <w:rsid w:val="007E1EE6"/>
    <w:rsid w:val="007E2B6E"/>
    <w:rsid w:val="007E2EEC"/>
    <w:rsid w:val="007E2F2B"/>
    <w:rsid w:val="007E368C"/>
    <w:rsid w:val="007E3F18"/>
    <w:rsid w:val="007E46B2"/>
    <w:rsid w:val="007E477A"/>
    <w:rsid w:val="007E50CF"/>
    <w:rsid w:val="007E50FD"/>
    <w:rsid w:val="007E5920"/>
    <w:rsid w:val="007E5F39"/>
    <w:rsid w:val="007E6F78"/>
    <w:rsid w:val="007F1765"/>
    <w:rsid w:val="007F2807"/>
    <w:rsid w:val="007F2A86"/>
    <w:rsid w:val="007F2C4B"/>
    <w:rsid w:val="007F2D8C"/>
    <w:rsid w:val="007F352A"/>
    <w:rsid w:val="007F3598"/>
    <w:rsid w:val="007F3888"/>
    <w:rsid w:val="007F54E7"/>
    <w:rsid w:val="007F56D6"/>
    <w:rsid w:val="007F5771"/>
    <w:rsid w:val="007F5830"/>
    <w:rsid w:val="007F5C6C"/>
    <w:rsid w:val="007F6BE8"/>
    <w:rsid w:val="007F6DBC"/>
    <w:rsid w:val="007F6E5E"/>
    <w:rsid w:val="007F6E62"/>
    <w:rsid w:val="007F7373"/>
    <w:rsid w:val="007F7B84"/>
    <w:rsid w:val="007F7C3F"/>
    <w:rsid w:val="00800221"/>
    <w:rsid w:val="00800D2E"/>
    <w:rsid w:val="00801E01"/>
    <w:rsid w:val="00802AD3"/>
    <w:rsid w:val="00803AA7"/>
    <w:rsid w:val="00805E17"/>
    <w:rsid w:val="00810770"/>
    <w:rsid w:val="0081213A"/>
    <w:rsid w:val="008136B1"/>
    <w:rsid w:val="00813F62"/>
    <w:rsid w:val="00814B19"/>
    <w:rsid w:val="00814C5F"/>
    <w:rsid w:val="00814E19"/>
    <w:rsid w:val="00814EFF"/>
    <w:rsid w:val="008154AD"/>
    <w:rsid w:val="00816627"/>
    <w:rsid w:val="00816937"/>
    <w:rsid w:val="00817EB3"/>
    <w:rsid w:val="008209AB"/>
    <w:rsid w:val="00820E4A"/>
    <w:rsid w:val="008216A0"/>
    <w:rsid w:val="00821787"/>
    <w:rsid w:val="00821B98"/>
    <w:rsid w:val="00821BF6"/>
    <w:rsid w:val="00821DF7"/>
    <w:rsid w:val="008223C8"/>
    <w:rsid w:val="0082247C"/>
    <w:rsid w:val="0082251B"/>
    <w:rsid w:val="0082256A"/>
    <w:rsid w:val="0082263E"/>
    <w:rsid w:val="008236AB"/>
    <w:rsid w:val="00823D5D"/>
    <w:rsid w:val="00824048"/>
    <w:rsid w:val="0082411B"/>
    <w:rsid w:val="0082474C"/>
    <w:rsid w:val="0082531A"/>
    <w:rsid w:val="00825FA5"/>
    <w:rsid w:val="0082633F"/>
    <w:rsid w:val="00827182"/>
    <w:rsid w:val="008276D0"/>
    <w:rsid w:val="00827C3F"/>
    <w:rsid w:val="00827E59"/>
    <w:rsid w:val="0083064A"/>
    <w:rsid w:val="008307F4"/>
    <w:rsid w:val="0083102E"/>
    <w:rsid w:val="00831809"/>
    <w:rsid w:val="008322BB"/>
    <w:rsid w:val="00832BA5"/>
    <w:rsid w:val="00832ED5"/>
    <w:rsid w:val="00832F7B"/>
    <w:rsid w:val="008335A9"/>
    <w:rsid w:val="00833DAA"/>
    <w:rsid w:val="00833E0D"/>
    <w:rsid w:val="00834529"/>
    <w:rsid w:val="0083459B"/>
    <w:rsid w:val="008365D2"/>
    <w:rsid w:val="00836A98"/>
    <w:rsid w:val="00836E56"/>
    <w:rsid w:val="00836FD9"/>
    <w:rsid w:val="00837108"/>
    <w:rsid w:val="00837AF4"/>
    <w:rsid w:val="008400A6"/>
    <w:rsid w:val="008407CD"/>
    <w:rsid w:val="00841FBC"/>
    <w:rsid w:val="00842599"/>
    <w:rsid w:val="00842DE5"/>
    <w:rsid w:val="00842F3E"/>
    <w:rsid w:val="00843CF3"/>
    <w:rsid w:val="0084423F"/>
    <w:rsid w:val="00844928"/>
    <w:rsid w:val="00844A09"/>
    <w:rsid w:val="008453BC"/>
    <w:rsid w:val="00846084"/>
    <w:rsid w:val="008461D4"/>
    <w:rsid w:val="00847B09"/>
    <w:rsid w:val="00847C1F"/>
    <w:rsid w:val="00850257"/>
    <w:rsid w:val="00850300"/>
    <w:rsid w:val="00851EA4"/>
    <w:rsid w:val="00852284"/>
    <w:rsid w:val="0085275A"/>
    <w:rsid w:val="008528DE"/>
    <w:rsid w:val="008530B3"/>
    <w:rsid w:val="00853721"/>
    <w:rsid w:val="00853B0C"/>
    <w:rsid w:val="00854773"/>
    <w:rsid w:val="00855264"/>
    <w:rsid w:val="008553AB"/>
    <w:rsid w:val="00855432"/>
    <w:rsid w:val="00855A02"/>
    <w:rsid w:val="00855FA4"/>
    <w:rsid w:val="00856E67"/>
    <w:rsid w:val="00857F0C"/>
    <w:rsid w:val="00860042"/>
    <w:rsid w:val="00860129"/>
    <w:rsid w:val="0086051C"/>
    <w:rsid w:val="00860602"/>
    <w:rsid w:val="0086095B"/>
    <w:rsid w:val="00860D1A"/>
    <w:rsid w:val="008619AD"/>
    <w:rsid w:val="00861E16"/>
    <w:rsid w:val="00862452"/>
    <w:rsid w:val="008625F8"/>
    <w:rsid w:val="00862640"/>
    <w:rsid w:val="00862E96"/>
    <w:rsid w:val="00863312"/>
    <w:rsid w:val="00863E8E"/>
    <w:rsid w:val="008645AC"/>
    <w:rsid w:val="00864930"/>
    <w:rsid w:val="00865E94"/>
    <w:rsid w:val="00865FCC"/>
    <w:rsid w:val="00866AC2"/>
    <w:rsid w:val="00866DFF"/>
    <w:rsid w:val="00866F71"/>
    <w:rsid w:val="00867A04"/>
    <w:rsid w:val="008703F1"/>
    <w:rsid w:val="0087056D"/>
    <w:rsid w:val="008710F0"/>
    <w:rsid w:val="0087264D"/>
    <w:rsid w:val="00873093"/>
    <w:rsid w:val="00873B9C"/>
    <w:rsid w:val="00873BDC"/>
    <w:rsid w:val="008740E2"/>
    <w:rsid w:val="00874472"/>
    <w:rsid w:val="00874B4F"/>
    <w:rsid w:val="00875165"/>
    <w:rsid w:val="0087535F"/>
    <w:rsid w:val="0087560D"/>
    <w:rsid w:val="008758AD"/>
    <w:rsid w:val="00875BC1"/>
    <w:rsid w:val="00875ED9"/>
    <w:rsid w:val="008764AD"/>
    <w:rsid w:val="00876961"/>
    <w:rsid w:val="00876B88"/>
    <w:rsid w:val="0087793A"/>
    <w:rsid w:val="00877CAC"/>
    <w:rsid w:val="00877DD0"/>
    <w:rsid w:val="008804F9"/>
    <w:rsid w:val="00880AF3"/>
    <w:rsid w:val="00881031"/>
    <w:rsid w:val="008818AC"/>
    <w:rsid w:val="00881A4E"/>
    <w:rsid w:val="00881B3C"/>
    <w:rsid w:val="00881DC8"/>
    <w:rsid w:val="00882E90"/>
    <w:rsid w:val="00883AF5"/>
    <w:rsid w:val="00884944"/>
    <w:rsid w:val="00884AFD"/>
    <w:rsid w:val="00884B13"/>
    <w:rsid w:val="00885144"/>
    <w:rsid w:val="00885508"/>
    <w:rsid w:val="00885B45"/>
    <w:rsid w:val="008865E7"/>
    <w:rsid w:val="00886B2C"/>
    <w:rsid w:val="00887CCA"/>
    <w:rsid w:val="00887F24"/>
    <w:rsid w:val="00890FF9"/>
    <w:rsid w:val="00891C71"/>
    <w:rsid w:val="00891CEC"/>
    <w:rsid w:val="00892F3C"/>
    <w:rsid w:val="008934BA"/>
    <w:rsid w:val="008937BC"/>
    <w:rsid w:val="0089412A"/>
    <w:rsid w:val="00894462"/>
    <w:rsid w:val="008945AF"/>
    <w:rsid w:val="00894830"/>
    <w:rsid w:val="00894A5D"/>
    <w:rsid w:val="00894FC3"/>
    <w:rsid w:val="00895F38"/>
    <w:rsid w:val="00896CD7"/>
    <w:rsid w:val="00896D8F"/>
    <w:rsid w:val="008972AC"/>
    <w:rsid w:val="00897360"/>
    <w:rsid w:val="008A05BA"/>
    <w:rsid w:val="008A3181"/>
    <w:rsid w:val="008A32AF"/>
    <w:rsid w:val="008A4137"/>
    <w:rsid w:val="008A4329"/>
    <w:rsid w:val="008A48CD"/>
    <w:rsid w:val="008A5F59"/>
    <w:rsid w:val="008A69BA"/>
    <w:rsid w:val="008B0B0E"/>
    <w:rsid w:val="008B0C6B"/>
    <w:rsid w:val="008B13D8"/>
    <w:rsid w:val="008B1E2E"/>
    <w:rsid w:val="008B25F3"/>
    <w:rsid w:val="008B537C"/>
    <w:rsid w:val="008B569D"/>
    <w:rsid w:val="008B58FE"/>
    <w:rsid w:val="008B598A"/>
    <w:rsid w:val="008B605C"/>
    <w:rsid w:val="008B629B"/>
    <w:rsid w:val="008B6649"/>
    <w:rsid w:val="008B7224"/>
    <w:rsid w:val="008B7690"/>
    <w:rsid w:val="008B7D26"/>
    <w:rsid w:val="008C0805"/>
    <w:rsid w:val="008C2042"/>
    <w:rsid w:val="008C2E9C"/>
    <w:rsid w:val="008C3574"/>
    <w:rsid w:val="008C3665"/>
    <w:rsid w:val="008C5046"/>
    <w:rsid w:val="008C5470"/>
    <w:rsid w:val="008C55E1"/>
    <w:rsid w:val="008C57D2"/>
    <w:rsid w:val="008C57FF"/>
    <w:rsid w:val="008C60AC"/>
    <w:rsid w:val="008D0F99"/>
    <w:rsid w:val="008D1376"/>
    <w:rsid w:val="008D1548"/>
    <w:rsid w:val="008D17C9"/>
    <w:rsid w:val="008D21C5"/>
    <w:rsid w:val="008D2B96"/>
    <w:rsid w:val="008D2D6F"/>
    <w:rsid w:val="008D38D8"/>
    <w:rsid w:val="008D39F1"/>
    <w:rsid w:val="008D3EB5"/>
    <w:rsid w:val="008D3F13"/>
    <w:rsid w:val="008D4A4C"/>
    <w:rsid w:val="008D4F19"/>
    <w:rsid w:val="008D5172"/>
    <w:rsid w:val="008D5599"/>
    <w:rsid w:val="008D5B25"/>
    <w:rsid w:val="008D5F80"/>
    <w:rsid w:val="008D6521"/>
    <w:rsid w:val="008D7208"/>
    <w:rsid w:val="008D7750"/>
    <w:rsid w:val="008D7A35"/>
    <w:rsid w:val="008D7B45"/>
    <w:rsid w:val="008D7F15"/>
    <w:rsid w:val="008E0744"/>
    <w:rsid w:val="008E086F"/>
    <w:rsid w:val="008E19FD"/>
    <w:rsid w:val="008E255F"/>
    <w:rsid w:val="008E27D7"/>
    <w:rsid w:val="008E2B93"/>
    <w:rsid w:val="008E2E0A"/>
    <w:rsid w:val="008E2E83"/>
    <w:rsid w:val="008E3BDF"/>
    <w:rsid w:val="008E3EFB"/>
    <w:rsid w:val="008E3FE1"/>
    <w:rsid w:val="008E5137"/>
    <w:rsid w:val="008E57B1"/>
    <w:rsid w:val="008E6004"/>
    <w:rsid w:val="008E65C5"/>
    <w:rsid w:val="008E6892"/>
    <w:rsid w:val="008E695B"/>
    <w:rsid w:val="008E6D96"/>
    <w:rsid w:val="008E72C6"/>
    <w:rsid w:val="008F0605"/>
    <w:rsid w:val="008F0887"/>
    <w:rsid w:val="008F0AA5"/>
    <w:rsid w:val="008F0B90"/>
    <w:rsid w:val="008F1114"/>
    <w:rsid w:val="008F11E1"/>
    <w:rsid w:val="008F126F"/>
    <w:rsid w:val="008F181B"/>
    <w:rsid w:val="008F1B10"/>
    <w:rsid w:val="008F2D19"/>
    <w:rsid w:val="008F2D49"/>
    <w:rsid w:val="008F3494"/>
    <w:rsid w:val="008F48F7"/>
    <w:rsid w:val="008F4C17"/>
    <w:rsid w:val="008F4E9C"/>
    <w:rsid w:val="008F5067"/>
    <w:rsid w:val="008F51BC"/>
    <w:rsid w:val="008F5936"/>
    <w:rsid w:val="008F6D16"/>
    <w:rsid w:val="008F6FD9"/>
    <w:rsid w:val="008F743D"/>
    <w:rsid w:val="008F789C"/>
    <w:rsid w:val="008F7D4B"/>
    <w:rsid w:val="00900BCC"/>
    <w:rsid w:val="0090323F"/>
    <w:rsid w:val="00903FA8"/>
    <w:rsid w:val="00903FB3"/>
    <w:rsid w:val="00903FB4"/>
    <w:rsid w:val="00904690"/>
    <w:rsid w:val="00904DAA"/>
    <w:rsid w:val="00904F0E"/>
    <w:rsid w:val="00905382"/>
    <w:rsid w:val="00905E22"/>
    <w:rsid w:val="0090691B"/>
    <w:rsid w:val="009076B8"/>
    <w:rsid w:val="00907F88"/>
    <w:rsid w:val="00910071"/>
    <w:rsid w:val="00910450"/>
    <w:rsid w:val="0091073A"/>
    <w:rsid w:val="00911543"/>
    <w:rsid w:val="009117F1"/>
    <w:rsid w:val="00911D61"/>
    <w:rsid w:val="009122F9"/>
    <w:rsid w:val="009127D6"/>
    <w:rsid w:val="009129B8"/>
    <w:rsid w:val="00912D46"/>
    <w:rsid w:val="00913DF0"/>
    <w:rsid w:val="00914975"/>
    <w:rsid w:val="00914D60"/>
    <w:rsid w:val="00916061"/>
    <w:rsid w:val="009162C1"/>
    <w:rsid w:val="00916646"/>
    <w:rsid w:val="00916C2A"/>
    <w:rsid w:val="009203D6"/>
    <w:rsid w:val="009203E3"/>
    <w:rsid w:val="0092040E"/>
    <w:rsid w:val="0092045E"/>
    <w:rsid w:val="00920463"/>
    <w:rsid w:val="0092064C"/>
    <w:rsid w:val="00920913"/>
    <w:rsid w:val="00920CE2"/>
    <w:rsid w:val="00920DD7"/>
    <w:rsid w:val="009212A6"/>
    <w:rsid w:val="00921C6B"/>
    <w:rsid w:val="00921D0C"/>
    <w:rsid w:val="0092235C"/>
    <w:rsid w:val="00922820"/>
    <w:rsid w:val="00922AD5"/>
    <w:rsid w:val="00923350"/>
    <w:rsid w:val="00923EDE"/>
    <w:rsid w:val="00924135"/>
    <w:rsid w:val="00924253"/>
    <w:rsid w:val="00924E06"/>
    <w:rsid w:val="0092542E"/>
    <w:rsid w:val="009255F7"/>
    <w:rsid w:val="009258D9"/>
    <w:rsid w:val="00926E3D"/>
    <w:rsid w:val="009300ED"/>
    <w:rsid w:val="009302EB"/>
    <w:rsid w:val="00930EB8"/>
    <w:rsid w:val="00931612"/>
    <w:rsid w:val="009327D3"/>
    <w:rsid w:val="00932BDA"/>
    <w:rsid w:val="00933084"/>
    <w:rsid w:val="00933185"/>
    <w:rsid w:val="009331BF"/>
    <w:rsid w:val="00933350"/>
    <w:rsid w:val="00933789"/>
    <w:rsid w:val="009339A2"/>
    <w:rsid w:val="00933D4C"/>
    <w:rsid w:val="00933ECE"/>
    <w:rsid w:val="009342AB"/>
    <w:rsid w:val="00934F70"/>
    <w:rsid w:val="00934F7D"/>
    <w:rsid w:val="009358F6"/>
    <w:rsid w:val="0093647C"/>
    <w:rsid w:val="00936DEC"/>
    <w:rsid w:val="009372E3"/>
    <w:rsid w:val="00940AB2"/>
    <w:rsid w:val="0094140C"/>
    <w:rsid w:val="009417D8"/>
    <w:rsid w:val="00941C52"/>
    <w:rsid w:val="00941D56"/>
    <w:rsid w:val="00942069"/>
    <w:rsid w:val="00942B77"/>
    <w:rsid w:val="00942D9B"/>
    <w:rsid w:val="00942F96"/>
    <w:rsid w:val="009430F7"/>
    <w:rsid w:val="00943753"/>
    <w:rsid w:val="00944000"/>
    <w:rsid w:val="00944830"/>
    <w:rsid w:val="00944A0B"/>
    <w:rsid w:val="00945C2E"/>
    <w:rsid w:val="00945D38"/>
    <w:rsid w:val="009468DB"/>
    <w:rsid w:val="00946AAB"/>
    <w:rsid w:val="00946BB3"/>
    <w:rsid w:val="00946D38"/>
    <w:rsid w:val="00946D44"/>
    <w:rsid w:val="00947771"/>
    <w:rsid w:val="0094797F"/>
    <w:rsid w:val="0095097F"/>
    <w:rsid w:val="00951A35"/>
    <w:rsid w:val="00951D5C"/>
    <w:rsid w:val="00952207"/>
    <w:rsid w:val="00953858"/>
    <w:rsid w:val="00953D46"/>
    <w:rsid w:val="00954116"/>
    <w:rsid w:val="00954416"/>
    <w:rsid w:val="00954540"/>
    <w:rsid w:val="00954E4F"/>
    <w:rsid w:val="009550AA"/>
    <w:rsid w:val="009552F8"/>
    <w:rsid w:val="00955745"/>
    <w:rsid w:val="009563A9"/>
    <w:rsid w:val="00956A8E"/>
    <w:rsid w:val="0095768E"/>
    <w:rsid w:val="00957CC4"/>
    <w:rsid w:val="00957F47"/>
    <w:rsid w:val="00960672"/>
    <w:rsid w:val="00960690"/>
    <w:rsid w:val="00960844"/>
    <w:rsid w:val="00960927"/>
    <w:rsid w:val="00961215"/>
    <w:rsid w:val="00961292"/>
    <w:rsid w:val="00961614"/>
    <w:rsid w:val="00961970"/>
    <w:rsid w:val="00961B26"/>
    <w:rsid w:val="009624BC"/>
    <w:rsid w:val="009628C0"/>
    <w:rsid w:val="00962DDD"/>
    <w:rsid w:val="0096307E"/>
    <w:rsid w:val="0096361D"/>
    <w:rsid w:val="009636E4"/>
    <w:rsid w:val="009641F4"/>
    <w:rsid w:val="009646BD"/>
    <w:rsid w:val="00964AA2"/>
    <w:rsid w:val="0096513B"/>
    <w:rsid w:val="00965AA5"/>
    <w:rsid w:val="00965EBB"/>
    <w:rsid w:val="0096623C"/>
    <w:rsid w:val="00966FEF"/>
    <w:rsid w:val="00967D2E"/>
    <w:rsid w:val="00970113"/>
    <w:rsid w:val="009705D1"/>
    <w:rsid w:val="00971C40"/>
    <w:rsid w:val="00972587"/>
    <w:rsid w:val="0097357F"/>
    <w:rsid w:val="00973F62"/>
    <w:rsid w:val="009740CB"/>
    <w:rsid w:val="00974E2D"/>
    <w:rsid w:val="009755F5"/>
    <w:rsid w:val="00975ECA"/>
    <w:rsid w:val="00976038"/>
    <w:rsid w:val="00976FF4"/>
    <w:rsid w:val="00977509"/>
    <w:rsid w:val="009775D3"/>
    <w:rsid w:val="00977A9B"/>
    <w:rsid w:val="00977FF5"/>
    <w:rsid w:val="00980371"/>
    <w:rsid w:val="00980C21"/>
    <w:rsid w:val="00981370"/>
    <w:rsid w:val="00981460"/>
    <w:rsid w:val="009819D7"/>
    <w:rsid w:val="00981B22"/>
    <w:rsid w:val="00981EF6"/>
    <w:rsid w:val="00983147"/>
    <w:rsid w:val="00983198"/>
    <w:rsid w:val="00983D3B"/>
    <w:rsid w:val="00984120"/>
    <w:rsid w:val="00984635"/>
    <w:rsid w:val="00985C28"/>
    <w:rsid w:val="00986DC5"/>
    <w:rsid w:val="009918BB"/>
    <w:rsid w:val="009920BA"/>
    <w:rsid w:val="009923C3"/>
    <w:rsid w:val="00993028"/>
    <w:rsid w:val="0099382F"/>
    <w:rsid w:val="009938BD"/>
    <w:rsid w:val="00994C0E"/>
    <w:rsid w:val="00995207"/>
    <w:rsid w:val="00995671"/>
    <w:rsid w:val="00995963"/>
    <w:rsid w:val="0099623F"/>
    <w:rsid w:val="009969BF"/>
    <w:rsid w:val="00996AE0"/>
    <w:rsid w:val="00996E38"/>
    <w:rsid w:val="009975AD"/>
    <w:rsid w:val="009A0008"/>
    <w:rsid w:val="009A0296"/>
    <w:rsid w:val="009A0429"/>
    <w:rsid w:val="009A0E59"/>
    <w:rsid w:val="009A0FA4"/>
    <w:rsid w:val="009A15D1"/>
    <w:rsid w:val="009A22CD"/>
    <w:rsid w:val="009A3506"/>
    <w:rsid w:val="009A39C7"/>
    <w:rsid w:val="009A3A89"/>
    <w:rsid w:val="009A3D44"/>
    <w:rsid w:val="009A50D6"/>
    <w:rsid w:val="009A5CF6"/>
    <w:rsid w:val="009A6000"/>
    <w:rsid w:val="009A60B1"/>
    <w:rsid w:val="009A6420"/>
    <w:rsid w:val="009A6C3A"/>
    <w:rsid w:val="009A795E"/>
    <w:rsid w:val="009B0ADC"/>
    <w:rsid w:val="009B0C2C"/>
    <w:rsid w:val="009B0C7C"/>
    <w:rsid w:val="009B14C9"/>
    <w:rsid w:val="009B18C1"/>
    <w:rsid w:val="009B1B82"/>
    <w:rsid w:val="009B1F78"/>
    <w:rsid w:val="009B2583"/>
    <w:rsid w:val="009B2A5D"/>
    <w:rsid w:val="009B2CC5"/>
    <w:rsid w:val="009B31C6"/>
    <w:rsid w:val="009B3A1D"/>
    <w:rsid w:val="009B42AE"/>
    <w:rsid w:val="009B54DF"/>
    <w:rsid w:val="009B56FF"/>
    <w:rsid w:val="009B5911"/>
    <w:rsid w:val="009B5B6B"/>
    <w:rsid w:val="009B61EE"/>
    <w:rsid w:val="009B63BA"/>
    <w:rsid w:val="009B662D"/>
    <w:rsid w:val="009B679E"/>
    <w:rsid w:val="009B6A08"/>
    <w:rsid w:val="009B6DC2"/>
    <w:rsid w:val="009B76EB"/>
    <w:rsid w:val="009B784F"/>
    <w:rsid w:val="009B7F43"/>
    <w:rsid w:val="009C08D0"/>
    <w:rsid w:val="009C15B3"/>
    <w:rsid w:val="009C1E9D"/>
    <w:rsid w:val="009C30D5"/>
    <w:rsid w:val="009C32D8"/>
    <w:rsid w:val="009C3320"/>
    <w:rsid w:val="009C3812"/>
    <w:rsid w:val="009C3B8F"/>
    <w:rsid w:val="009C41B6"/>
    <w:rsid w:val="009C450C"/>
    <w:rsid w:val="009C45E9"/>
    <w:rsid w:val="009C4990"/>
    <w:rsid w:val="009C4D30"/>
    <w:rsid w:val="009C4FED"/>
    <w:rsid w:val="009C52AE"/>
    <w:rsid w:val="009C5519"/>
    <w:rsid w:val="009C5634"/>
    <w:rsid w:val="009C6126"/>
    <w:rsid w:val="009C6134"/>
    <w:rsid w:val="009D0F9E"/>
    <w:rsid w:val="009D1719"/>
    <w:rsid w:val="009D1D5C"/>
    <w:rsid w:val="009D2306"/>
    <w:rsid w:val="009D25DA"/>
    <w:rsid w:val="009D2675"/>
    <w:rsid w:val="009D26FF"/>
    <w:rsid w:val="009D38A5"/>
    <w:rsid w:val="009D482E"/>
    <w:rsid w:val="009D4A4A"/>
    <w:rsid w:val="009D4C80"/>
    <w:rsid w:val="009D4DE0"/>
    <w:rsid w:val="009D5D96"/>
    <w:rsid w:val="009D5E2F"/>
    <w:rsid w:val="009D626A"/>
    <w:rsid w:val="009D68FB"/>
    <w:rsid w:val="009D6D42"/>
    <w:rsid w:val="009D6FD2"/>
    <w:rsid w:val="009D7214"/>
    <w:rsid w:val="009D7DE0"/>
    <w:rsid w:val="009E0017"/>
    <w:rsid w:val="009E020D"/>
    <w:rsid w:val="009E06F9"/>
    <w:rsid w:val="009E0744"/>
    <w:rsid w:val="009E0745"/>
    <w:rsid w:val="009E0BEC"/>
    <w:rsid w:val="009E1056"/>
    <w:rsid w:val="009E1091"/>
    <w:rsid w:val="009E15C0"/>
    <w:rsid w:val="009E1703"/>
    <w:rsid w:val="009E2AAE"/>
    <w:rsid w:val="009E31E4"/>
    <w:rsid w:val="009E3CDE"/>
    <w:rsid w:val="009E4E4B"/>
    <w:rsid w:val="009E54CB"/>
    <w:rsid w:val="009E5DDA"/>
    <w:rsid w:val="009E65F1"/>
    <w:rsid w:val="009E6CA9"/>
    <w:rsid w:val="009E75A0"/>
    <w:rsid w:val="009E7FE4"/>
    <w:rsid w:val="009F02BA"/>
    <w:rsid w:val="009F030C"/>
    <w:rsid w:val="009F0727"/>
    <w:rsid w:val="009F106B"/>
    <w:rsid w:val="009F13FA"/>
    <w:rsid w:val="009F13FF"/>
    <w:rsid w:val="009F1596"/>
    <w:rsid w:val="009F1BE9"/>
    <w:rsid w:val="009F2A89"/>
    <w:rsid w:val="009F32E0"/>
    <w:rsid w:val="009F3D00"/>
    <w:rsid w:val="009F4932"/>
    <w:rsid w:val="009F58A8"/>
    <w:rsid w:val="009F65B7"/>
    <w:rsid w:val="009F6B41"/>
    <w:rsid w:val="009F6C67"/>
    <w:rsid w:val="009F7043"/>
    <w:rsid w:val="009F7B3F"/>
    <w:rsid w:val="009F7D1D"/>
    <w:rsid w:val="00A012CA"/>
    <w:rsid w:val="00A0142A"/>
    <w:rsid w:val="00A014A1"/>
    <w:rsid w:val="00A016E2"/>
    <w:rsid w:val="00A01E10"/>
    <w:rsid w:val="00A01F85"/>
    <w:rsid w:val="00A0215C"/>
    <w:rsid w:val="00A02279"/>
    <w:rsid w:val="00A02A55"/>
    <w:rsid w:val="00A030BF"/>
    <w:rsid w:val="00A03553"/>
    <w:rsid w:val="00A039BA"/>
    <w:rsid w:val="00A04007"/>
    <w:rsid w:val="00A041CC"/>
    <w:rsid w:val="00A048CC"/>
    <w:rsid w:val="00A0498E"/>
    <w:rsid w:val="00A05081"/>
    <w:rsid w:val="00A05124"/>
    <w:rsid w:val="00A05451"/>
    <w:rsid w:val="00A0569C"/>
    <w:rsid w:val="00A060A4"/>
    <w:rsid w:val="00A061D8"/>
    <w:rsid w:val="00A06454"/>
    <w:rsid w:val="00A066B7"/>
    <w:rsid w:val="00A067E4"/>
    <w:rsid w:val="00A06D45"/>
    <w:rsid w:val="00A10892"/>
    <w:rsid w:val="00A10D32"/>
    <w:rsid w:val="00A11228"/>
    <w:rsid w:val="00A11FFD"/>
    <w:rsid w:val="00A131E4"/>
    <w:rsid w:val="00A13A5D"/>
    <w:rsid w:val="00A13BF6"/>
    <w:rsid w:val="00A14A52"/>
    <w:rsid w:val="00A14F08"/>
    <w:rsid w:val="00A15677"/>
    <w:rsid w:val="00A15E13"/>
    <w:rsid w:val="00A16625"/>
    <w:rsid w:val="00A1714B"/>
    <w:rsid w:val="00A172AE"/>
    <w:rsid w:val="00A17519"/>
    <w:rsid w:val="00A178DF"/>
    <w:rsid w:val="00A20000"/>
    <w:rsid w:val="00A20AC3"/>
    <w:rsid w:val="00A20D3C"/>
    <w:rsid w:val="00A20E87"/>
    <w:rsid w:val="00A21096"/>
    <w:rsid w:val="00A2144E"/>
    <w:rsid w:val="00A22530"/>
    <w:rsid w:val="00A22681"/>
    <w:rsid w:val="00A22692"/>
    <w:rsid w:val="00A226FD"/>
    <w:rsid w:val="00A23BB0"/>
    <w:rsid w:val="00A23D2D"/>
    <w:rsid w:val="00A23FFA"/>
    <w:rsid w:val="00A2565D"/>
    <w:rsid w:val="00A25771"/>
    <w:rsid w:val="00A25E8E"/>
    <w:rsid w:val="00A27EC5"/>
    <w:rsid w:val="00A303B0"/>
    <w:rsid w:val="00A303D1"/>
    <w:rsid w:val="00A304F3"/>
    <w:rsid w:val="00A3065D"/>
    <w:rsid w:val="00A30C36"/>
    <w:rsid w:val="00A3225F"/>
    <w:rsid w:val="00A32D58"/>
    <w:rsid w:val="00A34E8C"/>
    <w:rsid w:val="00A34EE3"/>
    <w:rsid w:val="00A3515D"/>
    <w:rsid w:val="00A35215"/>
    <w:rsid w:val="00A3547D"/>
    <w:rsid w:val="00A35DB8"/>
    <w:rsid w:val="00A36163"/>
    <w:rsid w:val="00A36E7E"/>
    <w:rsid w:val="00A37028"/>
    <w:rsid w:val="00A37494"/>
    <w:rsid w:val="00A3761B"/>
    <w:rsid w:val="00A37C7F"/>
    <w:rsid w:val="00A407B0"/>
    <w:rsid w:val="00A40EC7"/>
    <w:rsid w:val="00A42477"/>
    <w:rsid w:val="00A4281D"/>
    <w:rsid w:val="00A42842"/>
    <w:rsid w:val="00A42874"/>
    <w:rsid w:val="00A429CC"/>
    <w:rsid w:val="00A42A91"/>
    <w:rsid w:val="00A4319C"/>
    <w:rsid w:val="00A432F3"/>
    <w:rsid w:val="00A446AB"/>
    <w:rsid w:val="00A44B2E"/>
    <w:rsid w:val="00A46F51"/>
    <w:rsid w:val="00A47103"/>
    <w:rsid w:val="00A50095"/>
    <w:rsid w:val="00A50B57"/>
    <w:rsid w:val="00A50D80"/>
    <w:rsid w:val="00A51274"/>
    <w:rsid w:val="00A517AB"/>
    <w:rsid w:val="00A51C09"/>
    <w:rsid w:val="00A51C7D"/>
    <w:rsid w:val="00A5513D"/>
    <w:rsid w:val="00A55177"/>
    <w:rsid w:val="00A559CE"/>
    <w:rsid w:val="00A55E61"/>
    <w:rsid w:val="00A5625E"/>
    <w:rsid w:val="00A56CD9"/>
    <w:rsid w:val="00A56CEA"/>
    <w:rsid w:val="00A56F73"/>
    <w:rsid w:val="00A57918"/>
    <w:rsid w:val="00A60C02"/>
    <w:rsid w:val="00A60CF7"/>
    <w:rsid w:val="00A619F2"/>
    <w:rsid w:val="00A61F39"/>
    <w:rsid w:val="00A62226"/>
    <w:rsid w:val="00A63DEE"/>
    <w:rsid w:val="00A64C64"/>
    <w:rsid w:val="00A650A6"/>
    <w:rsid w:val="00A65966"/>
    <w:rsid w:val="00A65C71"/>
    <w:rsid w:val="00A6611B"/>
    <w:rsid w:val="00A66145"/>
    <w:rsid w:val="00A6650B"/>
    <w:rsid w:val="00A67914"/>
    <w:rsid w:val="00A67C03"/>
    <w:rsid w:val="00A67C15"/>
    <w:rsid w:val="00A7031E"/>
    <w:rsid w:val="00A7142D"/>
    <w:rsid w:val="00A7166E"/>
    <w:rsid w:val="00A7167B"/>
    <w:rsid w:val="00A71BF5"/>
    <w:rsid w:val="00A723A5"/>
    <w:rsid w:val="00A73840"/>
    <w:rsid w:val="00A7413C"/>
    <w:rsid w:val="00A747E9"/>
    <w:rsid w:val="00A75840"/>
    <w:rsid w:val="00A75C53"/>
    <w:rsid w:val="00A761FC"/>
    <w:rsid w:val="00A77F0E"/>
    <w:rsid w:val="00A8097E"/>
    <w:rsid w:val="00A80CF2"/>
    <w:rsid w:val="00A80F77"/>
    <w:rsid w:val="00A8109D"/>
    <w:rsid w:val="00A81139"/>
    <w:rsid w:val="00A8227A"/>
    <w:rsid w:val="00A8278D"/>
    <w:rsid w:val="00A8286A"/>
    <w:rsid w:val="00A82B76"/>
    <w:rsid w:val="00A835C4"/>
    <w:rsid w:val="00A83C87"/>
    <w:rsid w:val="00A8404E"/>
    <w:rsid w:val="00A849B3"/>
    <w:rsid w:val="00A866E2"/>
    <w:rsid w:val="00A86976"/>
    <w:rsid w:val="00A86C2E"/>
    <w:rsid w:val="00A86DBB"/>
    <w:rsid w:val="00A876E1"/>
    <w:rsid w:val="00A879D9"/>
    <w:rsid w:val="00A87BE7"/>
    <w:rsid w:val="00A90AB0"/>
    <w:rsid w:val="00A91053"/>
    <w:rsid w:val="00A911BF"/>
    <w:rsid w:val="00A91511"/>
    <w:rsid w:val="00A933B5"/>
    <w:rsid w:val="00A93565"/>
    <w:rsid w:val="00A93737"/>
    <w:rsid w:val="00A93F3E"/>
    <w:rsid w:val="00A93F6C"/>
    <w:rsid w:val="00A940D6"/>
    <w:rsid w:val="00A9430F"/>
    <w:rsid w:val="00A95057"/>
    <w:rsid w:val="00A95270"/>
    <w:rsid w:val="00A955DB"/>
    <w:rsid w:val="00A964C7"/>
    <w:rsid w:val="00A966CB"/>
    <w:rsid w:val="00A96840"/>
    <w:rsid w:val="00A9704E"/>
    <w:rsid w:val="00A97146"/>
    <w:rsid w:val="00A975B0"/>
    <w:rsid w:val="00A97AE3"/>
    <w:rsid w:val="00AA0625"/>
    <w:rsid w:val="00AA0CDB"/>
    <w:rsid w:val="00AA0F9B"/>
    <w:rsid w:val="00AA1279"/>
    <w:rsid w:val="00AA2553"/>
    <w:rsid w:val="00AA2B95"/>
    <w:rsid w:val="00AA3A5E"/>
    <w:rsid w:val="00AA3CDF"/>
    <w:rsid w:val="00AA3FC3"/>
    <w:rsid w:val="00AA47A0"/>
    <w:rsid w:val="00AA5596"/>
    <w:rsid w:val="00AA574A"/>
    <w:rsid w:val="00AA5809"/>
    <w:rsid w:val="00AA5DC5"/>
    <w:rsid w:val="00AA607C"/>
    <w:rsid w:val="00AA73E0"/>
    <w:rsid w:val="00AA7677"/>
    <w:rsid w:val="00AA7A3D"/>
    <w:rsid w:val="00AB060C"/>
    <w:rsid w:val="00AB0639"/>
    <w:rsid w:val="00AB0724"/>
    <w:rsid w:val="00AB07E4"/>
    <w:rsid w:val="00AB18D8"/>
    <w:rsid w:val="00AB1942"/>
    <w:rsid w:val="00AB1D58"/>
    <w:rsid w:val="00AB29F9"/>
    <w:rsid w:val="00AB34C5"/>
    <w:rsid w:val="00AB374A"/>
    <w:rsid w:val="00AB4B6E"/>
    <w:rsid w:val="00AB5377"/>
    <w:rsid w:val="00AB58E1"/>
    <w:rsid w:val="00AB5FC0"/>
    <w:rsid w:val="00AB619B"/>
    <w:rsid w:val="00AB73E9"/>
    <w:rsid w:val="00AB7A88"/>
    <w:rsid w:val="00AB7AD1"/>
    <w:rsid w:val="00AC01CD"/>
    <w:rsid w:val="00AC0547"/>
    <w:rsid w:val="00AC1185"/>
    <w:rsid w:val="00AC17A5"/>
    <w:rsid w:val="00AC1E60"/>
    <w:rsid w:val="00AC2C92"/>
    <w:rsid w:val="00AC2EF3"/>
    <w:rsid w:val="00AC3226"/>
    <w:rsid w:val="00AC3291"/>
    <w:rsid w:val="00AC3490"/>
    <w:rsid w:val="00AC3F9B"/>
    <w:rsid w:val="00AC4144"/>
    <w:rsid w:val="00AC42C9"/>
    <w:rsid w:val="00AC4968"/>
    <w:rsid w:val="00AC55B9"/>
    <w:rsid w:val="00AC5C45"/>
    <w:rsid w:val="00AC5D9B"/>
    <w:rsid w:val="00AC6709"/>
    <w:rsid w:val="00AC6D81"/>
    <w:rsid w:val="00AC7133"/>
    <w:rsid w:val="00AC76B5"/>
    <w:rsid w:val="00AC7A8B"/>
    <w:rsid w:val="00AD0417"/>
    <w:rsid w:val="00AD083D"/>
    <w:rsid w:val="00AD0B7F"/>
    <w:rsid w:val="00AD0DC7"/>
    <w:rsid w:val="00AD0E91"/>
    <w:rsid w:val="00AD152A"/>
    <w:rsid w:val="00AD17FB"/>
    <w:rsid w:val="00AD204D"/>
    <w:rsid w:val="00AD2186"/>
    <w:rsid w:val="00AD229A"/>
    <w:rsid w:val="00AD2708"/>
    <w:rsid w:val="00AD27D9"/>
    <w:rsid w:val="00AD3D2E"/>
    <w:rsid w:val="00AD4E86"/>
    <w:rsid w:val="00AD5EDE"/>
    <w:rsid w:val="00AD7979"/>
    <w:rsid w:val="00AD7AC5"/>
    <w:rsid w:val="00AE03B9"/>
    <w:rsid w:val="00AE05A3"/>
    <w:rsid w:val="00AE3172"/>
    <w:rsid w:val="00AE359B"/>
    <w:rsid w:val="00AE370A"/>
    <w:rsid w:val="00AE3B01"/>
    <w:rsid w:val="00AE3B7D"/>
    <w:rsid w:val="00AE4252"/>
    <w:rsid w:val="00AE4418"/>
    <w:rsid w:val="00AE4829"/>
    <w:rsid w:val="00AE49EE"/>
    <w:rsid w:val="00AE544B"/>
    <w:rsid w:val="00AE6294"/>
    <w:rsid w:val="00AE7C55"/>
    <w:rsid w:val="00AF0405"/>
    <w:rsid w:val="00AF10C2"/>
    <w:rsid w:val="00AF204F"/>
    <w:rsid w:val="00AF2148"/>
    <w:rsid w:val="00AF30D8"/>
    <w:rsid w:val="00AF3EEB"/>
    <w:rsid w:val="00AF3EFA"/>
    <w:rsid w:val="00AF4760"/>
    <w:rsid w:val="00AF49C5"/>
    <w:rsid w:val="00AF4B03"/>
    <w:rsid w:val="00AF57D9"/>
    <w:rsid w:val="00AF58B4"/>
    <w:rsid w:val="00AF5AC2"/>
    <w:rsid w:val="00AF5D12"/>
    <w:rsid w:val="00AF620F"/>
    <w:rsid w:val="00AF697B"/>
    <w:rsid w:val="00AF6C09"/>
    <w:rsid w:val="00AF7518"/>
    <w:rsid w:val="00AF7D2A"/>
    <w:rsid w:val="00B0143F"/>
    <w:rsid w:val="00B01E98"/>
    <w:rsid w:val="00B02570"/>
    <w:rsid w:val="00B02D76"/>
    <w:rsid w:val="00B0315D"/>
    <w:rsid w:val="00B033BF"/>
    <w:rsid w:val="00B034A0"/>
    <w:rsid w:val="00B035B0"/>
    <w:rsid w:val="00B044F8"/>
    <w:rsid w:val="00B05355"/>
    <w:rsid w:val="00B057E6"/>
    <w:rsid w:val="00B0589B"/>
    <w:rsid w:val="00B06040"/>
    <w:rsid w:val="00B06526"/>
    <w:rsid w:val="00B07175"/>
    <w:rsid w:val="00B07E24"/>
    <w:rsid w:val="00B07F5B"/>
    <w:rsid w:val="00B07FC3"/>
    <w:rsid w:val="00B1020C"/>
    <w:rsid w:val="00B10564"/>
    <w:rsid w:val="00B10728"/>
    <w:rsid w:val="00B1072F"/>
    <w:rsid w:val="00B10FD0"/>
    <w:rsid w:val="00B11592"/>
    <w:rsid w:val="00B119F9"/>
    <w:rsid w:val="00B11A0D"/>
    <w:rsid w:val="00B12C96"/>
    <w:rsid w:val="00B13429"/>
    <w:rsid w:val="00B13895"/>
    <w:rsid w:val="00B1407E"/>
    <w:rsid w:val="00B1417F"/>
    <w:rsid w:val="00B15257"/>
    <w:rsid w:val="00B152A0"/>
    <w:rsid w:val="00B15DC0"/>
    <w:rsid w:val="00B15E70"/>
    <w:rsid w:val="00B164A8"/>
    <w:rsid w:val="00B16F36"/>
    <w:rsid w:val="00B179ED"/>
    <w:rsid w:val="00B17F4B"/>
    <w:rsid w:val="00B20159"/>
    <w:rsid w:val="00B20305"/>
    <w:rsid w:val="00B20E0D"/>
    <w:rsid w:val="00B20F1E"/>
    <w:rsid w:val="00B21044"/>
    <w:rsid w:val="00B21478"/>
    <w:rsid w:val="00B2166F"/>
    <w:rsid w:val="00B2229C"/>
    <w:rsid w:val="00B231BA"/>
    <w:rsid w:val="00B231F1"/>
    <w:rsid w:val="00B23370"/>
    <w:rsid w:val="00B23989"/>
    <w:rsid w:val="00B240BC"/>
    <w:rsid w:val="00B24159"/>
    <w:rsid w:val="00B24A38"/>
    <w:rsid w:val="00B25121"/>
    <w:rsid w:val="00B27FD1"/>
    <w:rsid w:val="00B30DA6"/>
    <w:rsid w:val="00B3110B"/>
    <w:rsid w:val="00B311A2"/>
    <w:rsid w:val="00B31713"/>
    <w:rsid w:val="00B31FB3"/>
    <w:rsid w:val="00B3200E"/>
    <w:rsid w:val="00B323D5"/>
    <w:rsid w:val="00B32BC1"/>
    <w:rsid w:val="00B334D4"/>
    <w:rsid w:val="00B335E4"/>
    <w:rsid w:val="00B33A4D"/>
    <w:rsid w:val="00B343FD"/>
    <w:rsid w:val="00B34E53"/>
    <w:rsid w:val="00B35185"/>
    <w:rsid w:val="00B35223"/>
    <w:rsid w:val="00B37618"/>
    <w:rsid w:val="00B37A9E"/>
    <w:rsid w:val="00B41149"/>
    <w:rsid w:val="00B4143D"/>
    <w:rsid w:val="00B41AB2"/>
    <w:rsid w:val="00B4286E"/>
    <w:rsid w:val="00B42C6E"/>
    <w:rsid w:val="00B42EB2"/>
    <w:rsid w:val="00B431AA"/>
    <w:rsid w:val="00B43A57"/>
    <w:rsid w:val="00B43AAE"/>
    <w:rsid w:val="00B43F67"/>
    <w:rsid w:val="00B441B5"/>
    <w:rsid w:val="00B44432"/>
    <w:rsid w:val="00B444DA"/>
    <w:rsid w:val="00B448A1"/>
    <w:rsid w:val="00B44B84"/>
    <w:rsid w:val="00B45180"/>
    <w:rsid w:val="00B45327"/>
    <w:rsid w:val="00B4570F"/>
    <w:rsid w:val="00B457DD"/>
    <w:rsid w:val="00B4581B"/>
    <w:rsid w:val="00B45F58"/>
    <w:rsid w:val="00B46364"/>
    <w:rsid w:val="00B4662B"/>
    <w:rsid w:val="00B46657"/>
    <w:rsid w:val="00B46F11"/>
    <w:rsid w:val="00B4730C"/>
    <w:rsid w:val="00B50145"/>
    <w:rsid w:val="00B503B7"/>
    <w:rsid w:val="00B52F33"/>
    <w:rsid w:val="00B53893"/>
    <w:rsid w:val="00B53C0E"/>
    <w:rsid w:val="00B53F39"/>
    <w:rsid w:val="00B54103"/>
    <w:rsid w:val="00B54554"/>
    <w:rsid w:val="00B54564"/>
    <w:rsid w:val="00B55F70"/>
    <w:rsid w:val="00B5626E"/>
    <w:rsid w:val="00B56963"/>
    <w:rsid w:val="00B56BCD"/>
    <w:rsid w:val="00B57580"/>
    <w:rsid w:val="00B57E25"/>
    <w:rsid w:val="00B601FE"/>
    <w:rsid w:val="00B6050B"/>
    <w:rsid w:val="00B609B6"/>
    <w:rsid w:val="00B609E9"/>
    <w:rsid w:val="00B61494"/>
    <w:rsid w:val="00B614C4"/>
    <w:rsid w:val="00B614FD"/>
    <w:rsid w:val="00B61856"/>
    <w:rsid w:val="00B61D47"/>
    <w:rsid w:val="00B62F13"/>
    <w:rsid w:val="00B6339F"/>
    <w:rsid w:val="00B63820"/>
    <w:rsid w:val="00B63C9E"/>
    <w:rsid w:val="00B63CE5"/>
    <w:rsid w:val="00B63F92"/>
    <w:rsid w:val="00B643E7"/>
    <w:rsid w:val="00B6482C"/>
    <w:rsid w:val="00B6498E"/>
    <w:rsid w:val="00B64E4A"/>
    <w:rsid w:val="00B64FF7"/>
    <w:rsid w:val="00B6542C"/>
    <w:rsid w:val="00B65A41"/>
    <w:rsid w:val="00B65C1E"/>
    <w:rsid w:val="00B660A1"/>
    <w:rsid w:val="00B6675A"/>
    <w:rsid w:val="00B66854"/>
    <w:rsid w:val="00B66CFF"/>
    <w:rsid w:val="00B67043"/>
    <w:rsid w:val="00B6745F"/>
    <w:rsid w:val="00B67663"/>
    <w:rsid w:val="00B676D9"/>
    <w:rsid w:val="00B67BB7"/>
    <w:rsid w:val="00B67CB1"/>
    <w:rsid w:val="00B67F5C"/>
    <w:rsid w:val="00B7016A"/>
    <w:rsid w:val="00B70EED"/>
    <w:rsid w:val="00B712D5"/>
    <w:rsid w:val="00B71E7B"/>
    <w:rsid w:val="00B7243A"/>
    <w:rsid w:val="00B72813"/>
    <w:rsid w:val="00B72870"/>
    <w:rsid w:val="00B73440"/>
    <w:rsid w:val="00B735C1"/>
    <w:rsid w:val="00B74CD8"/>
    <w:rsid w:val="00B755EF"/>
    <w:rsid w:val="00B767C4"/>
    <w:rsid w:val="00B76FA4"/>
    <w:rsid w:val="00B7730C"/>
    <w:rsid w:val="00B77660"/>
    <w:rsid w:val="00B77F9C"/>
    <w:rsid w:val="00B80306"/>
    <w:rsid w:val="00B81618"/>
    <w:rsid w:val="00B81914"/>
    <w:rsid w:val="00B828BC"/>
    <w:rsid w:val="00B82940"/>
    <w:rsid w:val="00B82A96"/>
    <w:rsid w:val="00B82D8F"/>
    <w:rsid w:val="00B8326E"/>
    <w:rsid w:val="00B8331F"/>
    <w:rsid w:val="00B83DD3"/>
    <w:rsid w:val="00B84C73"/>
    <w:rsid w:val="00B859F4"/>
    <w:rsid w:val="00B85AA9"/>
    <w:rsid w:val="00B8617A"/>
    <w:rsid w:val="00B8641E"/>
    <w:rsid w:val="00B87042"/>
    <w:rsid w:val="00B872D6"/>
    <w:rsid w:val="00B875C7"/>
    <w:rsid w:val="00B903C6"/>
    <w:rsid w:val="00B90C0D"/>
    <w:rsid w:val="00B90ECF"/>
    <w:rsid w:val="00B9191B"/>
    <w:rsid w:val="00B92440"/>
    <w:rsid w:val="00B93075"/>
    <w:rsid w:val="00B932E8"/>
    <w:rsid w:val="00B93449"/>
    <w:rsid w:val="00B94DDA"/>
    <w:rsid w:val="00B950A9"/>
    <w:rsid w:val="00B9537B"/>
    <w:rsid w:val="00B954A3"/>
    <w:rsid w:val="00B969EF"/>
    <w:rsid w:val="00B96A51"/>
    <w:rsid w:val="00B975F5"/>
    <w:rsid w:val="00B97674"/>
    <w:rsid w:val="00BA0065"/>
    <w:rsid w:val="00BA17D9"/>
    <w:rsid w:val="00BA183D"/>
    <w:rsid w:val="00BA1902"/>
    <w:rsid w:val="00BA1E5F"/>
    <w:rsid w:val="00BA2258"/>
    <w:rsid w:val="00BA24E0"/>
    <w:rsid w:val="00BA289A"/>
    <w:rsid w:val="00BA3214"/>
    <w:rsid w:val="00BA3518"/>
    <w:rsid w:val="00BA352D"/>
    <w:rsid w:val="00BA3745"/>
    <w:rsid w:val="00BA39CA"/>
    <w:rsid w:val="00BA3DCF"/>
    <w:rsid w:val="00BA52C2"/>
    <w:rsid w:val="00BA52CC"/>
    <w:rsid w:val="00BA586B"/>
    <w:rsid w:val="00BA58D3"/>
    <w:rsid w:val="00BA61E0"/>
    <w:rsid w:val="00BA67C2"/>
    <w:rsid w:val="00BA7FD1"/>
    <w:rsid w:val="00BB0157"/>
    <w:rsid w:val="00BB027E"/>
    <w:rsid w:val="00BB055A"/>
    <w:rsid w:val="00BB05B1"/>
    <w:rsid w:val="00BB09EC"/>
    <w:rsid w:val="00BB0E03"/>
    <w:rsid w:val="00BB0FA9"/>
    <w:rsid w:val="00BB337E"/>
    <w:rsid w:val="00BB473E"/>
    <w:rsid w:val="00BB4F96"/>
    <w:rsid w:val="00BB5002"/>
    <w:rsid w:val="00BB5468"/>
    <w:rsid w:val="00BB598F"/>
    <w:rsid w:val="00BB6645"/>
    <w:rsid w:val="00BB6771"/>
    <w:rsid w:val="00BB7056"/>
    <w:rsid w:val="00BB70BE"/>
    <w:rsid w:val="00BB79DB"/>
    <w:rsid w:val="00BB7BA7"/>
    <w:rsid w:val="00BC0166"/>
    <w:rsid w:val="00BC042F"/>
    <w:rsid w:val="00BC052B"/>
    <w:rsid w:val="00BC056D"/>
    <w:rsid w:val="00BC0B91"/>
    <w:rsid w:val="00BC1219"/>
    <w:rsid w:val="00BC19F4"/>
    <w:rsid w:val="00BC19FF"/>
    <w:rsid w:val="00BC1BBF"/>
    <w:rsid w:val="00BC26B2"/>
    <w:rsid w:val="00BC3190"/>
    <w:rsid w:val="00BC3328"/>
    <w:rsid w:val="00BC366F"/>
    <w:rsid w:val="00BC3A2B"/>
    <w:rsid w:val="00BC3A73"/>
    <w:rsid w:val="00BC419A"/>
    <w:rsid w:val="00BC4C68"/>
    <w:rsid w:val="00BC4DEB"/>
    <w:rsid w:val="00BC5774"/>
    <w:rsid w:val="00BC5CD1"/>
    <w:rsid w:val="00BC6070"/>
    <w:rsid w:val="00BC60D3"/>
    <w:rsid w:val="00BC6209"/>
    <w:rsid w:val="00BC65A8"/>
    <w:rsid w:val="00BC6C2B"/>
    <w:rsid w:val="00BC6DDC"/>
    <w:rsid w:val="00BC73D5"/>
    <w:rsid w:val="00BC74F5"/>
    <w:rsid w:val="00BC78B2"/>
    <w:rsid w:val="00BD033B"/>
    <w:rsid w:val="00BD0989"/>
    <w:rsid w:val="00BD0E31"/>
    <w:rsid w:val="00BD1187"/>
    <w:rsid w:val="00BD11F4"/>
    <w:rsid w:val="00BD1B3D"/>
    <w:rsid w:val="00BD1E4A"/>
    <w:rsid w:val="00BD216C"/>
    <w:rsid w:val="00BD2502"/>
    <w:rsid w:val="00BD27A2"/>
    <w:rsid w:val="00BD2BEA"/>
    <w:rsid w:val="00BD2DB7"/>
    <w:rsid w:val="00BD3F3A"/>
    <w:rsid w:val="00BD433A"/>
    <w:rsid w:val="00BD4577"/>
    <w:rsid w:val="00BD48AE"/>
    <w:rsid w:val="00BD4BB5"/>
    <w:rsid w:val="00BD534D"/>
    <w:rsid w:val="00BD53B9"/>
    <w:rsid w:val="00BD565E"/>
    <w:rsid w:val="00BD5E37"/>
    <w:rsid w:val="00BD64A8"/>
    <w:rsid w:val="00BD73C3"/>
    <w:rsid w:val="00BE0DD5"/>
    <w:rsid w:val="00BE0E73"/>
    <w:rsid w:val="00BE1362"/>
    <w:rsid w:val="00BE1EA2"/>
    <w:rsid w:val="00BE2173"/>
    <w:rsid w:val="00BE2770"/>
    <w:rsid w:val="00BE2BD2"/>
    <w:rsid w:val="00BE3447"/>
    <w:rsid w:val="00BE3480"/>
    <w:rsid w:val="00BE4038"/>
    <w:rsid w:val="00BE434E"/>
    <w:rsid w:val="00BE49FB"/>
    <w:rsid w:val="00BE4A0D"/>
    <w:rsid w:val="00BE4D20"/>
    <w:rsid w:val="00BE5CB9"/>
    <w:rsid w:val="00BE5F2C"/>
    <w:rsid w:val="00BF02BD"/>
    <w:rsid w:val="00BF1EBC"/>
    <w:rsid w:val="00BF1FF8"/>
    <w:rsid w:val="00BF2676"/>
    <w:rsid w:val="00BF2BBE"/>
    <w:rsid w:val="00BF3C39"/>
    <w:rsid w:val="00BF4087"/>
    <w:rsid w:val="00BF4344"/>
    <w:rsid w:val="00BF4366"/>
    <w:rsid w:val="00BF4449"/>
    <w:rsid w:val="00BF4C39"/>
    <w:rsid w:val="00BF52D2"/>
    <w:rsid w:val="00BF5637"/>
    <w:rsid w:val="00BF5FDA"/>
    <w:rsid w:val="00BF6BEA"/>
    <w:rsid w:val="00C00260"/>
    <w:rsid w:val="00C002DA"/>
    <w:rsid w:val="00C00489"/>
    <w:rsid w:val="00C0057E"/>
    <w:rsid w:val="00C00A07"/>
    <w:rsid w:val="00C016EE"/>
    <w:rsid w:val="00C01EB4"/>
    <w:rsid w:val="00C022AA"/>
    <w:rsid w:val="00C02972"/>
    <w:rsid w:val="00C03D69"/>
    <w:rsid w:val="00C03E0F"/>
    <w:rsid w:val="00C047FA"/>
    <w:rsid w:val="00C051A6"/>
    <w:rsid w:val="00C05214"/>
    <w:rsid w:val="00C07167"/>
    <w:rsid w:val="00C07309"/>
    <w:rsid w:val="00C07EF6"/>
    <w:rsid w:val="00C07F45"/>
    <w:rsid w:val="00C108D3"/>
    <w:rsid w:val="00C10A19"/>
    <w:rsid w:val="00C10FAA"/>
    <w:rsid w:val="00C11298"/>
    <w:rsid w:val="00C112F3"/>
    <w:rsid w:val="00C113DE"/>
    <w:rsid w:val="00C11E83"/>
    <w:rsid w:val="00C135F4"/>
    <w:rsid w:val="00C1374C"/>
    <w:rsid w:val="00C139C4"/>
    <w:rsid w:val="00C13B35"/>
    <w:rsid w:val="00C1419F"/>
    <w:rsid w:val="00C14A22"/>
    <w:rsid w:val="00C1591A"/>
    <w:rsid w:val="00C15F22"/>
    <w:rsid w:val="00C161FD"/>
    <w:rsid w:val="00C16365"/>
    <w:rsid w:val="00C16399"/>
    <w:rsid w:val="00C164DC"/>
    <w:rsid w:val="00C16766"/>
    <w:rsid w:val="00C16AD8"/>
    <w:rsid w:val="00C175D0"/>
    <w:rsid w:val="00C17838"/>
    <w:rsid w:val="00C17A70"/>
    <w:rsid w:val="00C200B6"/>
    <w:rsid w:val="00C207DD"/>
    <w:rsid w:val="00C2180F"/>
    <w:rsid w:val="00C22B37"/>
    <w:rsid w:val="00C22EFF"/>
    <w:rsid w:val="00C230B0"/>
    <w:rsid w:val="00C2358C"/>
    <w:rsid w:val="00C242DF"/>
    <w:rsid w:val="00C25B16"/>
    <w:rsid w:val="00C263FE"/>
    <w:rsid w:val="00C26813"/>
    <w:rsid w:val="00C2701C"/>
    <w:rsid w:val="00C276A9"/>
    <w:rsid w:val="00C2787C"/>
    <w:rsid w:val="00C27CAD"/>
    <w:rsid w:val="00C30B52"/>
    <w:rsid w:val="00C3100D"/>
    <w:rsid w:val="00C31C86"/>
    <w:rsid w:val="00C32048"/>
    <w:rsid w:val="00C32240"/>
    <w:rsid w:val="00C324F7"/>
    <w:rsid w:val="00C3308E"/>
    <w:rsid w:val="00C33243"/>
    <w:rsid w:val="00C3352C"/>
    <w:rsid w:val="00C33758"/>
    <w:rsid w:val="00C33EFE"/>
    <w:rsid w:val="00C33FBF"/>
    <w:rsid w:val="00C34253"/>
    <w:rsid w:val="00C3473F"/>
    <w:rsid w:val="00C34A82"/>
    <w:rsid w:val="00C35E09"/>
    <w:rsid w:val="00C36008"/>
    <w:rsid w:val="00C36319"/>
    <w:rsid w:val="00C3669A"/>
    <w:rsid w:val="00C36931"/>
    <w:rsid w:val="00C370D3"/>
    <w:rsid w:val="00C372D7"/>
    <w:rsid w:val="00C37556"/>
    <w:rsid w:val="00C37E66"/>
    <w:rsid w:val="00C411B2"/>
    <w:rsid w:val="00C4178F"/>
    <w:rsid w:val="00C4225B"/>
    <w:rsid w:val="00C42A83"/>
    <w:rsid w:val="00C42C55"/>
    <w:rsid w:val="00C42D2B"/>
    <w:rsid w:val="00C42DD9"/>
    <w:rsid w:val="00C436F9"/>
    <w:rsid w:val="00C4373D"/>
    <w:rsid w:val="00C4373F"/>
    <w:rsid w:val="00C43761"/>
    <w:rsid w:val="00C439AF"/>
    <w:rsid w:val="00C43C4E"/>
    <w:rsid w:val="00C43F55"/>
    <w:rsid w:val="00C4478E"/>
    <w:rsid w:val="00C44C20"/>
    <w:rsid w:val="00C4557D"/>
    <w:rsid w:val="00C4588A"/>
    <w:rsid w:val="00C46ABF"/>
    <w:rsid w:val="00C46B83"/>
    <w:rsid w:val="00C46EAF"/>
    <w:rsid w:val="00C47ACA"/>
    <w:rsid w:val="00C501D9"/>
    <w:rsid w:val="00C50EAE"/>
    <w:rsid w:val="00C51551"/>
    <w:rsid w:val="00C51836"/>
    <w:rsid w:val="00C51DCF"/>
    <w:rsid w:val="00C5296A"/>
    <w:rsid w:val="00C52FE2"/>
    <w:rsid w:val="00C536F3"/>
    <w:rsid w:val="00C54231"/>
    <w:rsid w:val="00C54757"/>
    <w:rsid w:val="00C55405"/>
    <w:rsid w:val="00C55C65"/>
    <w:rsid w:val="00C56493"/>
    <w:rsid w:val="00C569D3"/>
    <w:rsid w:val="00C56ADB"/>
    <w:rsid w:val="00C573E6"/>
    <w:rsid w:val="00C57863"/>
    <w:rsid w:val="00C57D06"/>
    <w:rsid w:val="00C60123"/>
    <w:rsid w:val="00C609FB"/>
    <w:rsid w:val="00C60EEA"/>
    <w:rsid w:val="00C6133D"/>
    <w:rsid w:val="00C62552"/>
    <w:rsid w:val="00C627C9"/>
    <w:rsid w:val="00C63A59"/>
    <w:rsid w:val="00C6412C"/>
    <w:rsid w:val="00C6435B"/>
    <w:rsid w:val="00C6444C"/>
    <w:rsid w:val="00C6500D"/>
    <w:rsid w:val="00C66750"/>
    <w:rsid w:val="00C66D59"/>
    <w:rsid w:val="00C67CF4"/>
    <w:rsid w:val="00C67D2B"/>
    <w:rsid w:val="00C70D08"/>
    <w:rsid w:val="00C70FC3"/>
    <w:rsid w:val="00C7104C"/>
    <w:rsid w:val="00C71CB5"/>
    <w:rsid w:val="00C71E9E"/>
    <w:rsid w:val="00C71EE1"/>
    <w:rsid w:val="00C72196"/>
    <w:rsid w:val="00C7227C"/>
    <w:rsid w:val="00C727FD"/>
    <w:rsid w:val="00C731F5"/>
    <w:rsid w:val="00C74188"/>
    <w:rsid w:val="00C741B7"/>
    <w:rsid w:val="00C74C1A"/>
    <w:rsid w:val="00C74F04"/>
    <w:rsid w:val="00C75B72"/>
    <w:rsid w:val="00C75C94"/>
    <w:rsid w:val="00C75F48"/>
    <w:rsid w:val="00C764C2"/>
    <w:rsid w:val="00C76D45"/>
    <w:rsid w:val="00C773E9"/>
    <w:rsid w:val="00C77DE9"/>
    <w:rsid w:val="00C77E3A"/>
    <w:rsid w:val="00C80396"/>
    <w:rsid w:val="00C807FD"/>
    <w:rsid w:val="00C8116B"/>
    <w:rsid w:val="00C81A4B"/>
    <w:rsid w:val="00C81F9A"/>
    <w:rsid w:val="00C82185"/>
    <w:rsid w:val="00C82AB8"/>
    <w:rsid w:val="00C82DC4"/>
    <w:rsid w:val="00C83199"/>
    <w:rsid w:val="00C839F5"/>
    <w:rsid w:val="00C83D9A"/>
    <w:rsid w:val="00C83F01"/>
    <w:rsid w:val="00C841A3"/>
    <w:rsid w:val="00C84C14"/>
    <w:rsid w:val="00C8503A"/>
    <w:rsid w:val="00C8558F"/>
    <w:rsid w:val="00C85824"/>
    <w:rsid w:val="00C858A5"/>
    <w:rsid w:val="00C85B72"/>
    <w:rsid w:val="00C86FDF"/>
    <w:rsid w:val="00C874AE"/>
    <w:rsid w:val="00C87534"/>
    <w:rsid w:val="00C90BE3"/>
    <w:rsid w:val="00C9159F"/>
    <w:rsid w:val="00C9166D"/>
    <w:rsid w:val="00C92FB8"/>
    <w:rsid w:val="00C93396"/>
    <w:rsid w:val="00C93EC9"/>
    <w:rsid w:val="00C941A7"/>
    <w:rsid w:val="00C941D3"/>
    <w:rsid w:val="00C95B0B"/>
    <w:rsid w:val="00C95F3D"/>
    <w:rsid w:val="00C97FC2"/>
    <w:rsid w:val="00CA026B"/>
    <w:rsid w:val="00CA0916"/>
    <w:rsid w:val="00CA127A"/>
    <w:rsid w:val="00CA17D2"/>
    <w:rsid w:val="00CA17FF"/>
    <w:rsid w:val="00CA212A"/>
    <w:rsid w:val="00CA37F9"/>
    <w:rsid w:val="00CA383F"/>
    <w:rsid w:val="00CA3903"/>
    <w:rsid w:val="00CA3BEB"/>
    <w:rsid w:val="00CA3EF0"/>
    <w:rsid w:val="00CA586E"/>
    <w:rsid w:val="00CA5D40"/>
    <w:rsid w:val="00CA5F34"/>
    <w:rsid w:val="00CA643A"/>
    <w:rsid w:val="00CA6F5F"/>
    <w:rsid w:val="00CA74F1"/>
    <w:rsid w:val="00CA7ADB"/>
    <w:rsid w:val="00CB0D3C"/>
    <w:rsid w:val="00CB0EA1"/>
    <w:rsid w:val="00CB0EFE"/>
    <w:rsid w:val="00CB132F"/>
    <w:rsid w:val="00CB133A"/>
    <w:rsid w:val="00CB244A"/>
    <w:rsid w:val="00CB281D"/>
    <w:rsid w:val="00CB2DFA"/>
    <w:rsid w:val="00CB3010"/>
    <w:rsid w:val="00CB38AC"/>
    <w:rsid w:val="00CB4314"/>
    <w:rsid w:val="00CB47D6"/>
    <w:rsid w:val="00CB5121"/>
    <w:rsid w:val="00CB51E4"/>
    <w:rsid w:val="00CB5A53"/>
    <w:rsid w:val="00CB5EBD"/>
    <w:rsid w:val="00CB6153"/>
    <w:rsid w:val="00CB7BF7"/>
    <w:rsid w:val="00CC00F9"/>
    <w:rsid w:val="00CC0A2A"/>
    <w:rsid w:val="00CC0E74"/>
    <w:rsid w:val="00CC0E98"/>
    <w:rsid w:val="00CC18A7"/>
    <w:rsid w:val="00CC1B2E"/>
    <w:rsid w:val="00CC1DE6"/>
    <w:rsid w:val="00CC1F30"/>
    <w:rsid w:val="00CC2398"/>
    <w:rsid w:val="00CC26E3"/>
    <w:rsid w:val="00CC270D"/>
    <w:rsid w:val="00CC2712"/>
    <w:rsid w:val="00CC2EE2"/>
    <w:rsid w:val="00CC3633"/>
    <w:rsid w:val="00CC3FEF"/>
    <w:rsid w:val="00CC4389"/>
    <w:rsid w:val="00CC4D0E"/>
    <w:rsid w:val="00CC4FAC"/>
    <w:rsid w:val="00CC6792"/>
    <w:rsid w:val="00CC67E7"/>
    <w:rsid w:val="00CC6D9B"/>
    <w:rsid w:val="00CC6EB5"/>
    <w:rsid w:val="00CC704E"/>
    <w:rsid w:val="00CC72A0"/>
    <w:rsid w:val="00CC7FF4"/>
    <w:rsid w:val="00CD09C3"/>
    <w:rsid w:val="00CD09F5"/>
    <w:rsid w:val="00CD1A07"/>
    <w:rsid w:val="00CD1ACF"/>
    <w:rsid w:val="00CD2866"/>
    <w:rsid w:val="00CD2A3F"/>
    <w:rsid w:val="00CD2ADB"/>
    <w:rsid w:val="00CD2D83"/>
    <w:rsid w:val="00CD2DCD"/>
    <w:rsid w:val="00CD4BBC"/>
    <w:rsid w:val="00CD5371"/>
    <w:rsid w:val="00CD5738"/>
    <w:rsid w:val="00CD5E16"/>
    <w:rsid w:val="00CD6446"/>
    <w:rsid w:val="00CD64B0"/>
    <w:rsid w:val="00CD704B"/>
    <w:rsid w:val="00CE0ED0"/>
    <w:rsid w:val="00CE0F97"/>
    <w:rsid w:val="00CE1B04"/>
    <w:rsid w:val="00CE2B6C"/>
    <w:rsid w:val="00CE332A"/>
    <w:rsid w:val="00CE4237"/>
    <w:rsid w:val="00CE46F2"/>
    <w:rsid w:val="00CE4AE0"/>
    <w:rsid w:val="00CE4BB7"/>
    <w:rsid w:val="00CE6673"/>
    <w:rsid w:val="00CE6970"/>
    <w:rsid w:val="00CE6CB8"/>
    <w:rsid w:val="00CE7218"/>
    <w:rsid w:val="00CE7668"/>
    <w:rsid w:val="00CF026F"/>
    <w:rsid w:val="00CF064F"/>
    <w:rsid w:val="00CF0C13"/>
    <w:rsid w:val="00CF0CCE"/>
    <w:rsid w:val="00CF308B"/>
    <w:rsid w:val="00CF31BE"/>
    <w:rsid w:val="00CF411F"/>
    <w:rsid w:val="00CF4678"/>
    <w:rsid w:val="00CF4750"/>
    <w:rsid w:val="00CF4EE9"/>
    <w:rsid w:val="00CF54C6"/>
    <w:rsid w:val="00CF59D7"/>
    <w:rsid w:val="00CF5CFE"/>
    <w:rsid w:val="00CF674D"/>
    <w:rsid w:val="00CF7211"/>
    <w:rsid w:val="00CF7CAE"/>
    <w:rsid w:val="00D0026A"/>
    <w:rsid w:val="00D0132C"/>
    <w:rsid w:val="00D01380"/>
    <w:rsid w:val="00D01CDD"/>
    <w:rsid w:val="00D0205D"/>
    <w:rsid w:val="00D02669"/>
    <w:rsid w:val="00D028FD"/>
    <w:rsid w:val="00D02BA9"/>
    <w:rsid w:val="00D0400C"/>
    <w:rsid w:val="00D04434"/>
    <w:rsid w:val="00D051B8"/>
    <w:rsid w:val="00D06A54"/>
    <w:rsid w:val="00D06BEF"/>
    <w:rsid w:val="00D06ED9"/>
    <w:rsid w:val="00D07C6C"/>
    <w:rsid w:val="00D10447"/>
    <w:rsid w:val="00D1156F"/>
    <w:rsid w:val="00D1162C"/>
    <w:rsid w:val="00D119EA"/>
    <w:rsid w:val="00D11A1C"/>
    <w:rsid w:val="00D11B1E"/>
    <w:rsid w:val="00D12A6E"/>
    <w:rsid w:val="00D133B9"/>
    <w:rsid w:val="00D13B83"/>
    <w:rsid w:val="00D1450C"/>
    <w:rsid w:val="00D14518"/>
    <w:rsid w:val="00D14B31"/>
    <w:rsid w:val="00D155B6"/>
    <w:rsid w:val="00D1562A"/>
    <w:rsid w:val="00D160CD"/>
    <w:rsid w:val="00D163C9"/>
    <w:rsid w:val="00D16872"/>
    <w:rsid w:val="00D16A68"/>
    <w:rsid w:val="00D16F66"/>
    <w:rsid w:val="00D17191"/>
    <w:rsid w:val="00D174BF"/>
    <w:rsid w:val="00D17A02"/>
    <w:rsid w:val="00D17CF5"/>
    <w:rsid w:val="00D17D0D"/>
    <w:rsid w:val="00D17EB6"/>
    <w:rsid w:val="00D20130"/>
    <w:rsid w:val="00D22476"/>
    <w:rsid w:val="00D22DB2"/>
    <w:rsid w:val="00D235C3"/>
    <w:rsid w:val="00D24AB5"/>
    <w:rsid w:val="00D24BB2"/>
    <w:rsid w:val="00D25DD0"/>
    <w:rsid w:val="00D264E4"/>
    <w:rsid w:val="00D265A8"/>
    <w:rsid w:val="00D265F3"/>
    <w:rsid w:val="00D2691F"/>
    <w:rsid w:val="00D26C8F"/>
    <w:rsid w:val="00D2756C"/>
    <w:rsid w:val="00D276C5"/>
    <w:rsid w:val="00D27894"/>
    <w:rsid w:val="00D27DCD"/>
    <w:rsid w:val="00D30138"/>
    <w:rsid w:val="00D30319"/>
    <w:rsid w:val="00D305E8"/>
    <w:rsid w:val="00D31795"/>
    <w:rsid w:val="00D31A0C"/>
    <w:rsid w:val="00D32802"/>
    <w:rsid w:val="00D32B3F"/>
    <w:rsid w:val="00D32FDA"/>
    <w:rsid w:val="00D33094"/>
    <w:rsid w:val="00D33CD2"/>
    <w:rsid w:val="00D33DCE"/>
    <w:rsid w:val="00D352D2"/>
    <w:rsid w:val="00D356BB"/>
    <w:rsid w:val="00D36625"/>
    <w:rsid w:val="00D36809"/>
    <w:rsid w:val="00D36C32"/>
    <w:rsid w:val="00D37A12"/>
    <w:rsid w:val="00D37CBC"/>
    <w:rsid w:val="00D408C9"/>
    <w:rsid w:val="00D41022"/>
    <w:rsid w:val="00D4129C"/>
    <w:rsid w:val="00D41520"/>
    <w:rsid w:val="00D41964"/>
    <w:rsid w:val="00D421DD"/>
    <w:rsid w:val="00D42331"/>
    <w:rsid w:val="00D42956"/>
    <w:rsid w:val="00D43B41"/>
    <w:rsid w:val="00D43BA3"/>
    <w:rsid w:val="00D44BC4"/>
    <w:rsid w:val="00D452DC"/>
    <w:rsid w:val="00D45347"/>
    <w:rsid w:val="00D45975"/>
    <w:rsid w:val="00D45E09"/>
    <w:rsid w:val="00D461CA"/>
    <w:rsid w:val="00D4724E"/>
    <w:rsid w:val="00D508E6"/>
    <w:rsid w:val="00D50B73"/>
    <w:rsid w:val="00D5124B"/>
    <w:rsid w:val="00D527BA"/>
    <w:rsid w:val="00D527BD"/>
    <w:rsid w:val="00D52BB5"/>
    <w:rsid w:val="00D52BE5"/>
    <w:rsid w:val="00D554A8"/>
    <w:rsid w:val="00D554CF"/>
    <w:rsid w:val="00D55C84"/>
    <w:rsid w:val="00D56FFD"/>
    <w:rsid w:val="00D602C7"/>
    <w:rsid w:val="00D610D1"/>
    <w:rsid w:val="00D61694"/>
    <w:rsid w:val="00D61808"/>
    <w:rsid w:val="00D61A51"/>
    <w:rsid w:val="00D61F65"/>
    <w:rsid w:val="00D62032"/>
    <w:rsid w:val="00D62117"/>
    <w:rsid w:val="00D6250B"/>
    <w:rsid w:val="00D62AC4"/>
    <w:rsid w:val="00D636B5"/>
    <w:rsid w:val="00D639CA"/>
    <w:rsid w:val="00D639F2"/>
    <w:rsid w:val="00D64026"/>
    <w:rsid w:val="00D64158"/>
    <w:rsid w:val="00D64689"/>
    <w:rsid w:val="00D64CA1"/>
    <w:rsid w:val="00D65785"/>
    <w:rsid w:val="00D66E81"/>
    <w:rsid w:val="00D7139C"/>
    <w:rsid w:val="00D71EB0"/>
    <w:rsid w:val="00D7201F"/>
    <w:rsid w:val="00D72607"/>
    <w:rsid w:val="00D7276B"/>
    <w:rsid w:val="00D731F4"/>
    <w:rsid w:val="00D736EF"/>
    <w:rsid w:val="00D75419"/>
    <w:rsid w:val="00D755D3"/>
    <w:rsid w:val="00D756D6"/>
    <w:rsid w:val="00D75D4D"/>
    <w:rsid w:val="00D75F6A"/>
    <w:rsid w:val="00D760D3"/>
    <w:rsid w:val="00D76E9F"/>
    <w:rsid w:val="00D77033"/>
    <w:rsid w:val="00D7716E"/>
    <w:rsid w:val="00D80FEE"/>
    <w:rsid w:val="00D8117C"/>
    <w:rsid w:val="00D815B1"/>
    <w:rsid w:val="00D8227B"/>
    <w:rsid w:val="00D828D6"/>
    <w:rsid w:val="00D82E85"/>
    <w:rsid w:val="00D83A98"/>
    <w:rsid w:val="00D83B20"/>
    <w:rsid w:val="00D84C8B"/>
    <w:rsid w:val="00D85049"/>
    <w:rsid w:val="00D852C3"/>
    <w:rsid w:val="00D855B6"/>
    <w:rsid w:val="00D858F0"/>
    <w:rsid w:val="00D85AA8"/>
    <w:rsid w:val="00D861A7"/>
    <w:rsid w:val="00D86417"/>
    <w:rsid w:val="00D8654A"/>
    <w:rsid w:val="00D8680E"/>
    <w:rsid w:val="00D879C2"/>
    <w:rsid w:val="00D9001B"/>
    <w:rsid w:val="00D90692"/>
    <w:rsid w:val="00D91004"/>
    <w:rsid w:val="00D91081"/>
    <w:rsid w:val="00D91184"/>
    <w:rsid w:val="00D91257"/>
    <w:rsid w:val="00D91DD4"/>
    <w:rsid w:val="00D92B3D"/>
    <w:rsid w:val="00D94C11"/>
    <w:rsid w:val="00D94C41"/>
    <w:rsid w:val="00D95133"/>
    <w:rsid w:val="00D9559D"/>
    <w:rsid w:val="00D95AC8"/>
    <w:rsid w:val="00D95E38"/>
    <w:rsid w:val="00D95EF4"/>
    <w:rsid w:val="00D964FD"/>
    <w:rsid w:val="00D9687E"/>
    <w:rsid w:val="00D9690C"/>
    <w:rsid w:val="00D96BE3"/>
    <w:rsid w:val="00D970F0"/>
    <w:rsid w:val="00D97D53"/>
    <w:rsid w:val="00D97EBC"/>
    <w:rsid w:val="00DA079E"/>
    <w:rsid w:val="00DA0A94"/>
    <w:rsid w:val="00DA0F27"/>
    <w:rsid w:val="00DA11F0"/>
    <w:rsid w:val="00DA12F3"/>
    <w:rsid w:val="00DA14DE"/>
    <w:rsid w:val="00DA180C"/>
    <w:rsid w:val="00DA23D1"/>
    <w:rsid w:val="00DA291B"/>
    <w:rsid w:val="00DA4445"/>
    <w:rsid w:val="00DA45BD"/>
    <w:rsid w:val="00DA472B"/>
    <w:rsid w:val="00DA4D0E"/>
    <w:rsid w:val="00DA4FEE"/>
    <w:rsid w:val="00DA64B6"/>
    <w:rsid w:val="00DA68FE"/>
    <w:rsid w:val="00DA7472"/>
    <w:rsid w:val="00DA7D92"/>
    <w:rsid w:val="00DA7DB9"/>
    <w:rsid w:val="00DB031C"/>
    <w:rsid w:val="00DB0364"/>
    <w:rsid w:val="00DB0BA3"/>
    <w:rsid w:val="00DB1E51"/>
    <w:rsid w:val="00DB1F3E"/>
    <w:rsid w:val="00DB211D"/>
    <w:rsid w:val="00DB27E5"/>
    <w:rsid w:val="00DB29B4"/>
    <w:rsid w:val="00DB3779"/>
    <w:rsid w:val="00DB405C"/>
    <w:rsid w:val="00DB462B"/>
    <w:rsid w:val="00DB4F5D"/>
    <w:rsid w:val="00DB5696"/>
    <w:rsid w:val="00DB69BC"/>
    <w:rsid w:val="00DB6C20"/>
    <w:rsid w:val="00DB6D77"/>
    <w:rsid w:val="00DB70B8"/>
    <w:rsid w:val="00DB7370"/>
    <w:rsid w:val="00DB7B30"/>
    <w:rsid w:val="00DB7EF5"/>
    <w:rsid w:val="00DC0223"/>
    <w:rsid w:val="00DC0310"/>
    <w:rsid w:val="00DC0C98"/>
    <w:rsid w:val="00DC0E7A"/>
    <w:rsid w:val="00DC0F07"/>
    <w:rsid w:val="00DC3480"/>
    <w:rsid w:val="00DC39A1"/>
    <w:rsid w:val="00DC3DD7"/>
    <w:rsid w:val="00DC4A93"/>
    <w:rsid w:val="00DC4AF8"/>
    <w:rsid w:val="00DC4B14"/>
    <w:rsid w:val="00DC5228"/>
    <w:rsid w:val="00DC572F"/>
    <w:rsid w:val="00DC598F"/>
    <w:rsid w:val="00DC5DA6"/>
    <w:rsid w:val="00DC6EAE"/>
    <w:rsid w:val="00DC6ED9"/>
    <w:rsid w:val="00DC7F20"/>
    <w:rsid w:val="00DD0073"/>
    <w:rsid w:val="00DD1A1D"/>
    <w:rsid w:val="00DD1E77"/>
    <w:rsid w:val="00DD2091"/>
    <w:rsid w:val="00DD2352"/>
    <w:rsid w:val="00DD2B92"/>
    <w:rsid w:val="00DD3378"/>
    <w:rsid w:val="00DD356D"/>
    <w:rsid w:val="00DD3595"/>
    <w:rsid w:val="00DD38F0"/>
    <w:rsid w:val="00DD3AC5"/>
    <w:rsid w:val="00DD3E06"/>
    <w:rsid w:val="00DD49B3"/>
    <w:rsid w:val="00DD5051"/>
    <w:rsid w:val="00DD5155"/>
    <w:rsid w:val="00DD516F"/>
    <w:rsid w:val="00DD565A"/>
    <w:rsid w:val="00DD608A"/>
    <w:rsid w:val="00DD6186"/>
    <w:rsid w:val="00DD6E7D"/>
    <w:rsid w:val="00DD7168"/>
    <w:rsid w:val="00DD7DAA"/>
    <w:rsid w:val="00DE0F6B"/>
    <w:rsid w:val="00DE1871"/>
    <w:rsid w:val="00DE19F7"/>
    <w:rsid w:val="00DE3492"/>
    <w:rsid w:val="00DE4190"/>
    <w:rsid w:val="00DE5530"/>
    <w:rsid w:val="00DE57DD"/>
    <w:rsid w:val="00DE6490"/>
    <w:rsid w:val="00DE67BA"/>
    <w:rsid w:val="00DE6DC6"/>
    <w:rsid w:val="00DE7CEF"/>
    <w:rsid w:val="00DF0026"/>
    <w:rsid w:val="00DF0412"/>
    <w:rsid w:val="00DF0ED5"/>
    <w:rsid w:val="00DF1017"/>
    <w:rsid w:val="00DF10DE"/>
    <w:rsid w:val="00DF1410"/>
    <w:rsid w:val="00DF169B"/>
    <w:rsid w:val="00DF18D2"/>
    <w:rsid w:val="00DF2128"/>
    <w:rsid w:val="00DF2144"/>
    <w:rsid w:val="00DF2604"/>
    <w:rsid w:val="00DF265A"/>
    <w:rsid w:val="00DF282A"/>
    <w:rsid w:val="00DF2B1E"/>
    <w:rsid w:val="00DF37BB"/>
    <w:rsid w:val="00DF383D"/>
    <w:rsid w:val="00DF3EC8"/>
    <w:rsid w:val="00DF421E"/>
    <w:rsid w:val="00DF43E8"/>
    <w:rsid w:val="00DF4621"/>
    <w:rsid w:val="00DF501D"/>
    <w:rsid w:val="00DF6340"/>
    <w:rsid w:val="00DF6404"/>
    <w:rsid w:val="00DF6525"/>
    <w:rsid w:val="00DF6C89"/>
    <w:rsid w:val="00DF6D5D"/>
    <w:rsid w:val="00DF7327"/>
    <w:rsid w:val="00DF7557"/>
    <w:rsid w:val="00DF79F4"/>
    <w:rsid w:val="00E000C4"/>
    <w:rsid w:val="00E008E7"/>
    <w:rsid w:val="00E01EB3"/>
    <w:rsid w:val="00E02741"/>
    <w:rsid w:val="00E02927"/>
    <w:rsid w:val="00E02E3F"/>
    <w:rsid w:val="00E030DA"/>
    <w:rsid w:val="00E03A76"/>
    <w:rsid w:val="00E047E4"/>
    <w:rsid w:val="00E053C0"/>
    <w:rsid w:val="00E054F0"/>
    <w:rsid w:val="00E05C23"/>
    <w:rsid w:val="00E05C37"/>
    <w:rsid w:val="00E0678B"/>
    <w:rsid w:val="00E077DB"/>
    <w:rsid w:val="00E10111"/>
    <w:rsid w:val="00E105A3"/>
    <w:rsid w:val="00E106BB"/>
    <w:rsid w:val="00E106D2"/>
    <w:rsid w:val="00E10B56"/>
    <w:rsid w:val="00E10C8F"/>
    <w:rsid w:val="00E11887"/>
    <w:rsid w:val="00E120F4"/>
    <w:rsid w:val="00E122FD"/>
    <w:rsid w:val="00E127AE"/>
    <w:rsid w:val="00E12977"/>
    <w:rsid w:val="00E130EB"/>
    <w:rsid w:val="00E13521"/>
    <w:rsid w:val="00E13667"/>
    <w:rsid w:val="00E13AA3"/>
    <w:rsid w:val="00E13E21"/>
    <w:rsid w:val="00E1495B"/>
    <w:rsid w:val="00E1512E"/>
    <w:rsid w:val="00E159DD"/>
    <w:rsid w:val="00E17CA9"/>
    <w:rsid w:val="00E20070"/>
    <w:rsid w:val="00E20CE1"/>
    <w:rsid w:val="00E2144B"/>
    <w:rsid w:val="00E21667"/>
    <w:rsid w:val="00E21D64"/>
    <w:rsid w:val="00E22565"/>
    <w:rsid w:val="00E2261B"/>
    <w:rsid w:val="00E230CC"/>
    <w:rsid w:val="00E23884"/>
    <w:rsid w:val="00E23E02"/>
    <w:rsid w:val="00E241E8"/>
    <w:rsid w:val="00E24213"/>
    <w:rsid w:val="00E244FA"/>
    <w:rsid w:val="00E24B87"/>
    <w:rsid w:val="00E24FE6"/>
    <w:rsid w:val="00E25433"/>
    <w:rsid w:val="00E25F89"/>
    <w:rsid w:val="00E26F38"/>
    <w:rsid w:val="00E27930"/>
    <w:rsid w:val="00E27970"/>
    <w:rsid w:val="00E27B0F"/>
    <w:rsid w:val="00E27FF7"/>
    <w:rsid w:val="00E3017C"/>
    <w:rsid w:val="00E30574"/>
    <w:rsid w:val="00E31035"/>
    <w:rsid w:val="00E314F4"/>
    <w:rsid w:val="00E31A30"/>
    <w:rsid w:val="00E31CC2"/>
    <w:rsid w:val="00E3212F"/>
    <w:rsid w:val="00E328C3"/>
    <w:rsid w:val="00E33578"/>
    <w:rsid w:val="00E337F2"/>
    <w:rsid w:val="00E33C2D"/>
    <w:rsid w:val="00E34A91"/>
    <w:rsid w:val="00E34BF3"/>
    <w:rsid w:val="00E3532C"/>
    <w:rsid w:val="00E35982"/>
    <w:rsid w:val="00E359E3"/>
    <w:rsid w:val="00E364B9"/>
    <w:rsid w:val="00E369D4"/>
    <w:rsid w:val="00E369DD"/>
    <w:rsid w:val="00E37FDC"/>
    <w:rsid w:val="00E41595"/>
    <w:rsid w:val="00E41E30"/>
    <w:rsid w:val="00E42373"/>
    <w:rsid w:val="00E426B2"/>
    <w:rsid w:val="00E42D89"/>
    <w:rsid w:val="00E43D4E"/>
    <w:rsid w:val="00E4564F"/>
    <w:rsid w:val="00E45E0B"/>
    <w:rsid w:val="00E46156"/>
    <w:rsid w:val="00E46516"/>
    <w:rsid w:val="00E46596"/>
    <w:rsid w:val="00E465D2"/>
    <w:rsid w:val="00E46B59"/>
    <w:rsid w:val="00E47D2B"/>
    <w:rsid w:val="00E47D49"/>
    <w:rsid w:val="00E47DD9"/>
    <w:rsid w:val="00E5023B"/>
    <w:rsid w:val="00E50EE7"/>
    <w:rsid w:val="00E510EC"/>
    <w:rsid w:val="00E5206B"/>
    <w:rsid w:val="00E522C9"/>
    <w:rsid w:val="00E52490"/>
    <w:rsid w:val="00E5251F"/>
    <w:rsid w:val="00E5291A"/>
    <w:rsid w:val="00E532E1"/>
    <w:rsid w:val="00E5330E"/>
    <w:rsid w:val="00E5386E"/>
    <w:rsid w:val="00E541AF"/>
    <w:rsid w:val="00E54422"/>
    <w:rsid w:val="00E54771"/>
    <w:rsid w:val="00E55364"/>
    <w:rsid w:val="00E55D60"/>
    <w:rsid w:val="00E55D8F"/>
    <w:rsid w:val="00E57DA4"/>
    <w:rsid w:val="00E6098C"/>
    <w:rsid w:val="00E60DE5"/>
    <w:rsid w:val="00E60E73"/>
    <w:rsid w:val="00E6120F"/>
    <w:rsid w:val="00E6142B"/>
    <w:rsid w:val="00E61D5C"/>
    <w:rsid w:val="00E62A4B"/>
    <w:rsid w:val="00E62C00"/>
    <w:rsid w:val="00E62F78"/>
    <w:rsid w:val="00E6302D"/>
    <w:rsid w:val="00E631A5"/>
    <w:rsid w:val="00E638F4"/>
    <w:rsid w:val="00E64763"/>
    <w:rsid w:val="00E64F40"/>
    <w:rsid w:val="00E65122"/>
    <w:rsid w:val="00E654C6"/>
    <w:rsid w:val="00E660E3"/>
    <w:rsid w:val="00E667CD"/>
    <w:rsid w:val="00E66905"/>
    <w:rsid w:val="00E66DE1"/>
    <w:rsid w:val="00E67A97"/>
    <w:rsid w:val="00E7044E"/>
    <w:rsid w:val="00E70871"/>
    <w:rsid w:val="00E70FC0"/>
    <w:rsid w:val="00E713A3"/>
    <w:rsid w:val="00E7199A"/>
    <w:rsid w:val="00E71AD9"/>
    <w:rsid w:val="00E71FB3"/>
    <w:rsid w:val="00E72E0E"/>
    <w:rsid w:val="00E7327F"/>
    <w:rsid w:val="00E73470"/>
    <w:rsid w:val="00E74309"/>
    <w:rsid w:val="00E74E34"/>
    <w:rsid w:val="00E75CC9"/>
    <w:rsid w:val="00E75D3A"/>
    <w:rsid w:val="00E761AD"/>
    <w:rsid w:val="00E7653A"/>
    <w:rsid w:val="00E76E78"/>
    <w:rsid w:val="00E77CB6"/>
    <w:rsid w:val="00E77FFD"/>
    <w:rsid w:val="00E80126"/>
    <w:rsid w:val="00E80429"/>
    <w:rsid w:val="00E80D93"/>
    <w:rsid w:val="00E811F1"/>
    <w:rsid w:val="00E81F25"/>
    <w:rsid w:val="00E82931"/>
    <w:rsid w:val="00E830DF"/>
    <w:rsid w:val="00E83697"/>
    <w:rsid w:val="00E836D8"/>
    <w:rsid w:val="00E83817"/>
    <w:rsid w:val="00E83DF5"/>
    <w:rsid w:val="00E8489E"/>
    <w:rsid w:val="00E84EA3"/>
    <w:rsid w:val="00E850B5"/>
    <w:rsid w:val="00E857F0"/>
    <w:rsid w:val="00E86636"/>
    <w:rsid w:val="00E86C8D"/>
    <w:rsid w:val="00E87213"/>
    <w:rsid w:val="00E877D0"/>
    <w:rsid w:val="00E9042F"/>
    <w:rsid w:val="00E90860"/>
    <w:rsid w:val="00E90D52"/>
    <w:rsid w:val="00E90FA3"/>
    <w:rsid w:val="00E926F7"/>
    <w:rsid w:val="00E93431"/>
    <w:rsid w:val="00E934E9"/>
    <w:rsid w:val="00E93C64"/>
    <w:rsid w:val="00E93F76"/>
    <w:rsid w:val="00E94450"/>
    <w:rsid w:val="00E948C7"/>
    <w:rsid w:val="00E94DF3"/>
    <w:rsid w:val="00E960F5"/>
    <w:rsid w:val="00E96421"/>
    <w:rsid w:val="00E96434"/>
    <w:rsid w:val="00E97945"/>
    <w:rsid w:val="00E97B2E"/>
    <w:rsid w:val="00EA0AE3"/>
    <w:rsid w:val="00EA0B6C"/>
    <w:rsid w:val="00EA12B1"/>
    <w:rsid w:val="00EA1A32"/>
    <w:rsid w:val="00EA1E39"/>
    <w:rsid w:val="00EA29A7"/>
    <w:rsid w:val="00EA34A4"/>
    <w:rsid w:val="00EA4A50"/>
    <w:rsid w:val="00EA4B19"/>
    <w:rsid w:val="00EA5E7D"/>
    <w:rsid w:val="00EA68B4"/>
    <w:rsid w:val="00EA70E3"/>
    <w:rsid w:val="00EA7389"/>
    <w:rsid w:val="00EA778D"/>
    <w:rsid w:val="00EA798B"/>
    <w:rsid w:val="00EA7D2A"/>
    <w:rsid w:val="00EA7D98"/>
    <w:rsid w:val="00EB0846"/>
    <w:rsid w:val="00EB13D3"/>
    <w:rsid w:val="00EB1E6E"/>
    <w:rsid w:val="00EB2714"/>
    <w:rsid w:val="00EB2E3A"/>
    <w:rsid w:val="00EB2F73"/>
    <w:rsid w:val="00EB31EC"/>
    <w:rsid w:val="00EB32AD"/>
    <w:rsid w:val="00EB36C3"/>
    <w:rsid w:val="00EB42B3"/>
    <w:rsid w:val="00EB4847"/>
    <w:rsid w:val="00EB4863"/>
    <w:rsid w:val="00EB55C0"/>
    <w:rsid w:val="00EB5DEB"/>
    <w:rsid w:val="00EB61B8"/>
    <w:rsid w:val="00EB640A"/>
    <w:rsid w:val="00EB73BE"/>
    <w:rsid w:val="00EB7761"/>
    <w:rsid w:val="00EC0C9F"/>
    <w:rsid w:val="00EC12BF"/>
    <w:rsid w:val="00EC1661"/>
    <w:rsid w:val="00EC1FF2"/>
    <w:rsid w:val="00EC20F0"/>
    <w:rsid w:val="00EC2DE6"/>
    <w:rsid w:val="00EC2F31"/>
    <w:rsid w:val="00EC304C"/>
    <w:rsid w:val="00EC309C"/>
    <w:rsid w:val="00EC3100"/>
    <w:rsid w:val="00EC3540"/>
    <w:rsid w:val="00EC4800"/>
    <w:rsid w:val="00EC5614"/>
    <w:rsid w:val="00EC5852"/>
    <w:rsid w:val="00EC69E8"/>
    <w:rsid w:val="00EC6B30"/>
    <w:rsid w:val="00EC74EC"/>
    <w:rsid w:val="00EC7BCD"/>
    <w:rsid w:val="00ED07E9"/>
    <w:rsid w:val="00ED0D77"/>
    <w:rsid w:val="00ED1276"/>
    <w:rsid w:val="00ED2BF4"/>
    <w:rsid w:val="00ED2FE8"/>
    <w:rsid w:val="00ED39F4"/>
    <w:rsid w:val="00ED4FA3"/>
    <w:rsid w:val="00ED6322"/>
    <w:rsid w:val="00ED653F"/>
    <w:rsid w:val="00ED6843"/>
    <w:rsid w:val="00ED70B4"/>
    <w:rsid w:val="00ED70CD"/>
    <w:rsid w:val="00ED728E"/>
    <w:rsid w:val="00ED76CC"/>
    <w:rsid w:val="00ED7822"/>
    <w:rsid w:val="00EE0311"/>
    <w:rsid w:val="00EE1140"/>
    <w:rsid w:val="00EE1548"/>
    <w:rsid w:val="00EE15EF"/>
    <w:rsid w:val="00EE1741"/>
    <w:rsid w:val="00EE1859"/>
    <w:rsid w:val="00EE1A4F"/>
    <w:rsid w:val="00EE1A80"/>
    <w:rsid w:val="00EE3133"/>
    <w:rsid w:val="00EE399B"/>
    <w:rsid w:val="00EE5665"/>
    <w:rsid w:val="00EE6B75"/>
    <w:rsid w:val="00EE7731"/>
    <w:rsid w:val="00EE7D61"/>
    <w:rsid w:val="00EF1043"/>
    <w:rsid w:val="00EF114E"/>
    <w:rsid w:val="00EF1362"/>
    <w:rsid w:val="00EF19A8"/>
    <w:rsid w:val="00EF1B5C"/>
    <w:rsid w:val="00EF39CC"/>
    <w:rsid w:val="00EF425C"/>
    <w:rsid w:val="00EF515E"/>
    <w:rsid w:val="00EF5356"/>
    <w:rsid w:val="00EF5361"/>
    <w:rsid w:val="00EF58C0"/>
    <w:rsid w:val="00EF59BB"/>
    <w:rsid w:val="00EF5BAC"/>
    <w:rsid w:val="00EF5C13"/>
    <w:rsid w:val="00EF67BE"/>
    <w:rsid w:val="00F00AFF"/>
    <w:rsid w:val="00F00B5A"/>
    <w:rsid w:val="00F00FA4"/>
    <w:rsid w:val="00F015C7"/>
    <w:rsid w:val="00F01E0A"/>
    <w:rsid w:val="00F01E29"/>
    <w:rsid w:val="00F021BB"/>
    <w:rsid w:val="00F0221D"/>
    <w:rsid w:val="00F02630"/>
    <w:rsid w:val="00F03450"/>
    <w:rsid w:val="00F036E9"/>
    <w:rsid w:val="00F039F7"/>
    <w:rsid w:val="00F03FE7"/>
    <w:rsid w:val="00F04814"/>
    <w:rsid w:val="00F052C0"/>
    <w:rsid w:val="00F0564D"/>
    <w:rsid w:val="00F05B6F"/>
    <w:rsid w:val="00F062DC"/>
    <w:rsid w:val="00F0656B"/>
    <w:rsid w:val="00F06813"/>
    <w:rsid w:val="00F06AB8"/>
    <w:rsid w:val="00F06BF2"/>
    <w:rsid w:val="00F074A1"/>
    <w:rsid w:val="00F076FA"/>
    <w:rsid w:val="00F10318"/>
    <w:rsid w:val="00F10F6E"/>
    <w:rsid w:val="00F110A6"/>
    <w:rsid w:val="00F12085"/>
    <w:rsid w:val="00F123B1"/>
    <w:rsid w:val="00F13155"/>
    <w:rsid w:val="00F1337A"/>
    <w:rsid w:val="00F1427B"/>
    <w:rsid w:val="00F146E1"/>
    <w:rsid w:val="00F14D97"/>
    <w:rsid w:val="00F1504D"/>
    <w:rsid w:val="00F15550"/>
    <w:rsid w:val="00F15AB0"/>
    <w:rsid w:val="00F16E60"/>
    <w:rsid w:val="00F17A97"/>
    <w:rsid w:val="00F17D5E"/>
    <w:rsid w:val="00F20111"/>
    <w:rsid w:val="00F215BC"/>
    <w:rsid w:val="00F21DA6"/>
    <w:rsid w:val="00F21F56"/>
    <w:rsid w:val="00F22B75"/>
    <w:rsid w:val="00F235C2"/>
    <w:rsid w:val="00F235F4"/>
    <w:rsid w:val="00F23E46"/>
    <w:rsid w:val="00F23E89"/>
    <w:rsid w:val="00F23EBE"/>
    <w:rsid w:val="00F24108"/>
    <w:rsid w:val="00F24B82"/>
    <w:rsid w:val="00F24BDB"/>
    <w:rsid w:val="00F25543"/>
    <w:rsid w:val="00F26062"/>
    <w:rsid w:val="00F26073"/>
    <w:rsid w:val="00F26208"/>
    <w:rsid w:val="00F266B9"/>
    <w:rsid w:val="00F26B10"/>
    <w:rsid w:val="00F26C07"/>
    <w:rsid w:val="00F26C46"/>
    <w:rsid w:val="00F27B60"/>
    <w:rsid w:val="00F27C09"/>
    <w:rsid w:val="00F27D9B"/>
    <w:rsid w:val="00F30677"/>
    <w:rsid w:val="00F30E61"/>
    <w:rsid w:val="00F30E9C"/>
    <w:rsid w:val="00F30EEF"/>
    <w:rsid w:val="00F3112C"/>
    <w:rsid w:val="00F3141D"/>
    <w:rsid w:val="00F314E7"/>
    <w:rsid w:val="00F316F6"/>
    <w:rsid w:val="00F31812"/>
    <w:rsid w:val="00F3264A"/>
    <w:rsid w:val="00F32664"/>
    <w:rsid w:val="00F32B62"/>
    <w:rsid w:val="00F32D8E"/>
    <w:rsid w:val="00F32F5B"/>
    <w:rsid w:val="00F33173"/>
    <w:rsid w:val="00F331D4"/>
    <w:rsid w:val="00F33C08"/>
    <w:rsid w:val="00F34E5F"/>
    <w:rsid w:val="00F351EF"/>
    <w:rsid w:val="00F3587F"/>
    <w:rsid w:val="00F358FF"/>
    <w:rsid w:val="00F35E44"/>
    <w:rsid w:val="00F36AB7"/>
    <w:rsid w:val="00F36CD2"/>
    <w:rsid w:val="00F370E7"/>
    <w:rsid w:val="00F3787A"/>
    <w:rsid w:val="00F378B5"/>
    <w:rsid w:val="00F37A5C"/>
    <w:rsid w:val="00F37BB2"/>
    <w:rsid w:val="00F37C12"/>
    <w:rsid w:val="00F40553"/>
    <w:rsid w:val="00F407DF"/>
    <w:rsid w:val="00F41675"/>
    <w:rsid w:val="00F41C72"/>
    <w:rsid w:val="00F4276A"/>
    <w:rsid w:val="00F42A46"/>
    <w:rsid w:val="00F434B9"/>
    <w:rsid w:val="00F43549"/>
    <w:rsid w:val="00F43577"/>
    <w:rsid w:val="00F43B1D"/>
    <w:rsid w:val="00F4411E"/>
    <w:rsid w:val="00F44F01"/>
    <w:rsid w:val="00F4508F"/>
    <w:rsid w:val="00F45CD4"/>
    <w:rsid w:val="00F45FFF"/>
    <w:rsid w:val="00F464D2"/>
    <w:rsid w:val="00F47E9C"/>
    <w:rsid w:val="00F5026F"/>
    <w:rsid w:val="00F50622"/>
    <w:rsid w:val="00F513AC"/>
    <w:rsid w:val="00F515BE"/>
    <w:rsid w:val="00F51896"/>
    <w:rsid w:val="00F51E70"/>
    <w:rsid w:val="00F52D8B"/>
    <w:rsid w:val="00F52F68"/>
    <w:rsid w:val="00F53716"/>
    <w:rsid w:val="00F540BA"/>
    <w:rsid w:val="00F540E5"/>
    <w:rsid w:val="00F5449D"/>
    <w:rsid w:val="00F545EB"/>
    <w:rsid w:val="00F546B6"/>
    <w:rsid w:val="00F55017"/>
    <w:rsid w:val="00F55956"/>
    <w:rsid w:val="00F55EA0"/>
    <w:rsid w:val="00F56150"/>
    <w:rsid w:val="00F56D25"/>
    <w:rsid w:val="00F5783E"/>
    <w:rsid w:val="00F5794F"/>
    <w:rsid w:val="00F6018E"/>
    <w:rsid w:val="00F60821"/>
    <w:rsid w:val="00F60861"/>
    <w:rsid w:val="00F60BAD"/>
    <w:rsid w:val="00F60D39"/>
    <w:rsid w:val="00F61ABD"/>
    <w:rsid w:val="00F627F4"/>
    <w:rsid w:val="00F62973"/>
    <w:rsid w:val="00F62D5C"/>
    <w:rsid w:val="00F63B3A"/>
    <w:rsid w:val="00F642BE"/>
    <w:rsid w:val="00F656CB"/>
    <w:rsid w:val="00F65787"/>
    <w:rsid w:val="00F660BA"/>
    <w:rsid w:val="00F66B1B"/>
    <w:rsid w:val="00F66B3F"/>
    <w:rsid w:val="00F670F1"/>
    <w:rsid w:val="00F67193"/>
    <w:rsid w:val="00F6725B"/>
    <w:rsid w:val="00F676A5"/>
    <w:rsid w:val="00F7004E"/>
    <w:rsid w:val="00F70C3E"/>
    <w:rsid w:val="00F71457"/>
    <w:rsid w:val="00F71F15"/>
    <w:rsid w:val="00F72121"/>
    <w:rsid w:val="00F723D2"/>
    <w:rsid w:val="00F72488"/>
    <w:rsid w:val="00F737CE"/>
    <w:rsid w:val="00F73F07"/>
    <w:rsid w:val="00F7410C"/>
    <w:rsid w:val="00F7421B"/>
    <w:rsid w:val="00F74265"/>
    <w:rsid w:val="00F749A7"/>
    <w:rsid w:val="00F749DE"/>
    <w:rsid w:val="00F74B9B"/>
    <w:rsid w:val="00F74E70"/>
    <w:rsid w:val="00F7558F"/>
    <w:rsid w:val="00F756E1"/>
    <w:rsid w:val="00F757D1"/>
    <w:rsid w:val="00F75B90"/>
    <w:rsid w:val="00F76245"/>
    <w:rsid w:val="00F76D42"/>
    <w:rsid w:val="00F76E77"/>
    <w:rsid w:val="00F77154"/>
    <w:rsid w:val="00F77549"/>
    <w:rsid w:val="00F80455"/>
    <w:rsid w:val="00F8135C"/>
    <w:rsid w:val="00F824A2"/>
    <w:rsid w:val="00F8256C"/>
    <w:rsid w:val="00F825EB"/>
    <w:rsid w:val="00F82FBA"/>
    <w:rsid w:val="00F836F8"/>
    <w:rsid w:val="00F83A25"/>
    <w:rsid w:val="00F83D1A"/>
    <w:rsid w:val="00F84295"/>
    <w:rsid w:val="00F8437E"/>
    <w:rsid w:val="00F86511"/>
    <w:rsid w:val="00F866CA"/>
    <w:rsid w:val="00F86C95"/>
    <w:rsid w:val="00F86ED2"/>
    <w:rsid w:val="00F87114"/>
    <w:rsid w:val="00F8735F"/>
    <w:rsid w:val="00F87671"/>
    <w:rsid w:val="00F879AF"/>
    <w:rsid w:val="00F9137C"/>
    <w:rsid w:val="00F91A38"/>
    <w:rsid w:val="00F91C75"/>
    <w:rsid w:val="00F91E19"/>
    <w:rsid w:val="00F933C6"/>
    <w:rsid w:val="00F93764"/>
    <w:rsid w:val="00F94A3C"/>
    <w:rsid w:val="00F94BBB"/>
    <w:rsid w:val="00F952BA"/>
    <w:rsid w:val="00F9550D"/>
    <w:rsid w:val="00F9557C"/>
    <w:rsid w:val="00F95E57"/>
    <w:rsid w:val="00F97CB1"/>
    <w:rsid w:val="00FA03C0"/>
    <w:rsid w:val="00FA174E"/>
    <w:rsid w:val="00FA1BF2"/>
    <w:rsid w:val="00FA21B0"/>
    <w:rsid w:val="00FA278B"/>
    <w:rsid w:val="00FA30E4"/>
    <w:rsid w:val="00FA40FA"/>
    <w:rsid w:val="00FA51AA"/>
    <w:rsid w:val="00FA5245"/>
    <w:rsid w:val="00FA5674"/>
    <w:rsid w:val="00FA568B"/>
    <w:rsid w:val="00FA5766"/>
    <w:rsid w:val="00FA60FA"/>
    <w:rsid w:val="00FA6F25"/>
    <w:rsid w:val="00FA7024"/>
    <w:rsid w:val="00FA72D0"/>
    <w:rsid w:val="00FA7F31"/>
    <w:rsid w:val="00FA7F5B"/>
    <w:rsid w:val="00FB01A6"/>
    <w:rsid w:val="00FB0339"/>
    <w:rsid w:val="00FB0AFF"/>
    <w:rsid w:val="00FB239D"/>
    <w:rsid w:val="00FB2B70"/>
    <w:rsid w:val="00FB2CBC"/>
    <w:rsid w:val="00FB3C93"/>
    <w:rsid w:val="00FB3ECC"/>
    <w:rsid w:val="00FB4ED2"/>
    <w:rsid w:val="00FB5570"/>
    <w:rsid w:val="00FB5C20"/>
    <w:rsid w:val="00FB5C4B"/>
    <w:rsid w:val="00FB618C"/>
    <w:rsid w:val="00FB7164"/>
    <w:rsid w:val="00FB78B1"/>
    <w:rsid w:val="00FB7DB9"/>
    <w:rsid w:val="00FB7E43"/>
    <w:rsid w:val="00FC0335"/>
    <w:rsid w:val="00FC0379"/>
    <w:rsid w:val="00FC0719"/>
    <w:rsid w:val="00FC0F84"/>
    <w:rsid w:val="00FC141B"/>
    <w:rsid w:val="00FC2164"/>
    <w:rsid w:val="00FC242C"/>
    <w:rsid w:val="00FC2846"/>
    <w:rsid w:val="00FC2BC0"/>
    <w:rsid w:val="00FC3530"/>
    <w:rsid w:val="00FC3B62"/>
    <w:rsid w:val="00FC3D54"/>
    <w:rsid w:val="00FC3DE6"/>
    <w:rsid w:val="00FC42A0"/>
    <w:rsid w:val="00FC5456"/>
    <w:rsid w:val="00FC59F1"/>
    <w:rsid w:val="00FC5DB0"/>
    <w:rsid w:val="00FC6A7F"/>
    <w:rsid w:val="00FC6FB1"/>
    <w:rsid w:val="00FC75C5"/>
    <w:rsid w:val="00FC7628"/>
    <w:rsid w:val="00FC7A29"/>
    <w:rsid w:val="00FC7B11"/>
    <w:rsid w:val="00FC7DA2"/>
    <w:rsid w:val="00FC7E02"/>
    <w:rsid w:val="00FC7F1C"/>
    <w:rsid w:val="00FD1973"/>
    <w:rsid w:val="00FD1E63"/>
    <w:rsid w:val="00FD35DF"/>
    <w:rsid w:val="00FD369A"/>
    <w:rsid w:val="00FD3AFD"/>
    <w:rsid w:val="00FD4D2C"/>
    <w:rsid w:val="00FD5249"/>
    <w:rsid w:val="00FD52EC"/>
    <w:rsid w:val="00FD55EA"/>
    <w:rsid w:val="00FD5E08"/>
    <w:rsid w:val="00FD5F0A"/>
    <w:rsid w:val="00FD674B"/>
    <w:rsid w:val="00FD6ADD"/>
    <w:rsid w:val="00FD6B94"/>
    <w:rsid w:val="00FD6D6E"/>
    <w:rsid w:val="00FE001C"/>
    <w:rsid w:val="00FE0062"/>
    <w:rsid w:val="00FE0706"/>
    <w:rsid w:val="00FE101A"/>
    <w:rsid w:val="00FE115D"/>
    <w:rsid w:val="00FE17A9"/>
    <w:rsid w:val="00FE2B53"/>
    <w:rsid w:val="00FE32A7"/>
    <w:rsid w:val="00FE3353"/>
    <w:rsid w:val="00FE3D23"/>
    <w:rsid w:val="00FE3DA2"/>
    <w:rsid w:val="00FE4C01"/>
    <w:rsid w:val="00FE561E"/>
    <w:rsid w:val="00FE5C00"/>
    <w:rsid w:val="00FE6155"/>
    <w:rsid w:val="00FE6445"/>
    <w:rsid w:val="00FE6F8B"/>
    <w:rsid w:val="00FE727B"/>
    <w:rsid w:val="00FF02F4"/>
    <w:rsid w:val="00FF0463"/>
    <w:rsid w:val="00FF0F0F"/>
    <w:rsid w:val="00FF10CC"/>
    <w:rsid w:val="00FF1848"/>
    <w:rsid w:val="00FF1EAB"/>
    <w:rsid w:val="00FF230B"/>
    <w:rsid w:val="00FF244A"/>
    <w:rsid w:val="00FF34AF"/>
    <w:rsid w:val="00FF350E"/>
    <w:rsid w:val="00FF3782"/>
    <w:rsid w:val="00FF454B"/>
    <w:rsid w:val="00FF4764"/>
    <w:rsid w:val="00FF48C7"/>
    <w:rsid w:val="00FF4930"/>
    <w:rsid w:val="00FF51A4"/>
    <w:rsid w:val="00FF56C5"/>
    <w:rsid w:val="00FF5F08"/>
    <w:rsid w:val="00FF7403"/>
    <w:rsid w:val="00FF79FE"/>
    <w:rsid w:val="03A67C2F"/>
    <w:rsid w:val="0434F91B"/>
    <w:rsid w:val="05839DC1"/>
    <w:rsid w:val="0A6F8018"/>
    <w:rsid w:val="0C4B7924"/>
    <w:rsid w:val="0DF982AD"/>
    <w:rsid w:val="1E9AB11D"/>
    <w:rsid w:val="26D6B403"/>
    <w:rsid w:val="2ABEFB92"/>
    <w:rsid w:val="43950CE9"/>
    <w:rsid w:val="480236BA"/>
    <w:rsid w:val="5050F27C"/>
    <w:rsid w:val="51D8F970"/>
    <w:rsid w:val="593256F7"/>
    <w:rsid w:val="5E0CBAA1"/>
    <w:rsid w:val="64523108"/>
    <w:rsid w:val="6503AE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1793"/>
    <o:shapelayout v:ext="edit">
      <o:idmap v:ext="edit" data="1"/>
    </o:shapelayout>
  </w:shapeDefaults>
  <w:decimalSymbol w:val="."/>
  <w:listSeparator w:val=","/>
  <w14:docId w14:val="0A2F1195"/>
  <w14:defaultImageDpi w14:val="330"/>
  <w15:chartTrackingRefBased/>
  <w15:docId w15:val="{9D7AA55A-3332-4915-8AFA-6EAFC3A31B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aliases w:val="BodyText"/>
    <w:qFormat/>
    <w:rsid w:val="007C249F"/>
    <w:pPr>
      <w:tabs>
        <w:tab w:val="left" w:pos="180"/>
        <w:tab w:val="left" w:pos="360"/>
        <w:tab w:val="left" w:pos="540"/>
        <w:tab w:val="left" w:pos="720"/>
      </w:tabs>
      <w:suppressAutoHyphens/>
      <w:autoSpaceDE w:val="0"/>
      <w:autoSpaceDN w:val="0"/>
      <w:adjustRightInd w:val="0"/>
      <w:spacing w:before="120" w:after="120" w:line="288" w:lineRule="auto"/>
      <w:textAlignment w:val="center"/>
    </w:pPr>
    <w:rPr>
      <w:sz w:val="20"/>
      <w:szCs w:val="20"/>
    </w:rPr>
  </w:style>
  <w:style w:type="paragraph" w:styleId="Heading1">
    <w:name w:val="heading 1"/>
    <w:basedOn w:val="Normal"/>
    <w:next w:val="Normal"/>
    <w:link w:val="Heading1Char"/>
    <w:uiPriority w:val="9"/>
    <w:qFormat/>
    <w:rsid w:val="00CB4314"/>
    <w:pPr>
      <w:keepNext/>
      <w:keepLines/>
      <w:numPr>
        <w:numId w:val="305"/>
      </w:numPr>
      <w:tabs>
        <w:tab w:val="clear" w:pos="360"/>
        <w:tab w:val="num" w:pos="720"/>
      </w:tabs>
      <w:outlineLvl w:val="0"/>
    </w:pPr>
    <w:rPr>
      <w:rFonts w:eastAsiaTheme="majorEastAsia" w:cstheme="majorBidi"/>
      <w:b/>
      <w:color w:val="012768"/>
      <w:sz w:val="40"/>
      <w:szCs w:val="32"/>
    </w:rPr>
  </w:style>
  <w:style w:type="paragraph" w:styleId="Heading2">
    <w:name w:val="heading 2"/>
    <w:basedOn w:val="Normal"/>
    <w:next w:val="Normal"/>
    <w:link w:val="Heading2Char"/>
    <w:uiPriority w:val="9"/>
    <w:unhideWhenUsed/>
    <w:qFormat/>
    <w:rsid w:val="0090691B"/>
    <w:pPr>
      <w:keepNext/>
      <w:keepLines/>
      <w:spacing w:before="40" w:after="20" w:line="192" w:lineRule="auto"/>
      <w:ind w:left="720" w:hanging="360"/>
      <w:jc w:val="both"/>
      <w:outlineLvl w:val="1"/>
    </w:pPr>
    <w:rPr>
      <w:rFonts w:asciiTheme="majorHAnsi" w:eastAsiaTheme="majorEastAsia" w:hAnsiTheme="majorHAnsi" w:cstheme="majorBidi"/>
      <w:b/>
      <w:color w:val="012768"/>
      <w:sz w:val="24"/>
      <w:szCs w:val="26"/>
    </w:rPr>
  </w:style>
  <w:style w:type="paragraph" w:styleId="Heading3">
    <w:name w:val="heading 3"/>
    <w:basedOn w:val="Normal"/>
    <w:next w:val="Normal"/>
    <w:link w:val="Heading3Char"/>
    <w:uiPriority w:val="9"/>
    <w:unhideWhenUsed/>
    <w:qFormat/>
    <w:rsid w:val="00B954A3"/>
    <w:pPr>
      <w:keepNext/>
      <w:keepLines/>
      <w:spacing w:before="20" w:after="20" w:line="240" w:lineRule="auto"/>
      <w:ind w:left="1080" w:hanging="360"/>
      <w:outlineLvl w:val="2"/>
    </w:pPr>
    <w:rPr>
      <w:rFonts w:asciiTheme="majorHAnsi" w:eastAsiaTheme="majorEastAsia" w:hAnsiTheme="majorHAnsi" w:cstheme="majorBidi"/>
      <w:b/>
      <w:color w:val="012768"/>
      <w:szCs w:val="24"/>
    </w:rPr>
  </w:style>
  <w:style w:type="paragraph" w:styleId="Heading4">
    <w:name w:val="heading 4"/>
    <w:aliases w:val="Table"/>
    <w:basedOn w:val="Normal"/>
    <w:next w:val="Normal"/>
    <w:link w:val="Heading4Char"/>
    <w:uiPriority w:val="9"/>
    <w:unhideWhenUsed/>
    <w:qFormat/>
    <w:rsid w:val="001E2867"/>
    <w:pPr>
      <w:keepNext/>
      <w:keepLines/>
      <w:spacing w:before="40"/>
      <w:outlineLvl w:val="3"/>
    </w:pPr>
    <w:rPr>
      <w:rFonts w:eastAsiaTheme="majorEastAsia" w:cstheme="majorBidi"/>
      <w:iCs/>
      <w:color w:val="767171" w:themeColor="background2" w:themeShade="80"/>
    </w:rPr>
  </w:style>
  <w:style w:type="paragraph" w:styleId="Heading5">
    <w:name w:val="heading 5"/>
    <w:aliases w:val="Name"/>
    <w:basedOn w:val="Normal"/>
    <w:next w:val="Normal"/>
    <w:link w:val="Heading5Char"/>
    <w:uiPriority w:val="9"/>
    <w:unhideWhenUsed/>
    <w:qFormat/>
    <w:rsid w:val="009755F5"/>
    <w:pPr>
      <w:keepNext/>
      <w:keepLines/>
      <w:spacing w:line="259" w:lineRule="auto"/>
      <w:jc w:val="center"/>
      <w:outlineLvl w:val="4"/>
    </w:pPr>
    <w:rPr>
      <w:rFonts w:eastAsiaTheme="majorEastAsia" w:cstheme="majorBidi"/>
      <w:i/>
      <w:color w:val="767171" w:themeColor="background2" w:themeShade="80"/>
    </w:rPr>
  </w:style>
  <w:style w:type="paragraph" w:styleId="Heading6">
    <w:name w:val="heading 6"/>
    <w:basedOn w:val="Normal"/>
    <w:next w:val="Normal"/>
    <w:link w:val="Heading6Char"/>
    <w:uiPriority w:val="9"/>
    <w:unhideWhenUsed/>
    <w:rsid w:val="007C249F"/>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A95057"/>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9">
    <w:name w:val="heading 9"/>
    <w:basedOn w:val="Normal"/>
    <w:next w:val="Normal"/>
    <w:link w:val="Heading9Char"/>
    <w:uiPriority w:val="9"/>
    <w:semiHidden/>
    <w:unhideWhenUsed/>
    <w:qFormat/>
    <w:rsid w:val="005A4B1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HeadersADOTText">
    <w:name w:val="Section Headers (ADOT:Text)"/>
    <w:basedOn w:val="Normal"/>
    <w:uiPriority w:val="99"/>
    <w:rsid w:val="00B311A2"/>
    <w:rPr>
      <w:rFonts w:ascii="Myriad Pro Bold Condensed" w:hAnsi="Myriad Pro Bold Condensed" w:cs="Myriad Pro Bold Condensed"/>
      <w:b/>
      <w:bCs/>
      <w:color w:val="000065"/>
      <w:position w:val="6"/>
      <w:sz w:val="40"/>
      <w:szCs w:val="40"/>
    </w:rPr>
  </w:style>
  <w:style w:type="paragraph" w:customStyle="1" w:styleId="TableSub-HeaderADOTTable">
    <w:name w:val="Table Sub-Header (ADOT:Table)"/>
    <w:basedOn w:val="Normal"/>
    <w:uiPriority w:val="99"/>
    <w:rsid w:val="00BB7056"/>
    <w:pPr>
      <w:jc w:val="center"/>
    </w:pPr>
    <w:rPr>
      <w:rFonts w:ascii="Cambria" w:hAnsi="Cambria" w:cs="Cambria"/>
      <w:color w:val="323232"/>
    </w:rPr>
  </w:style>
  <w:style w:type="paragraph" w:customStyle="1" w:styleId="TableTextADOTTable">
    <w:name w:val="Table Text (ADOT:Table)"/>
    <w:basedOn w:val="TableSub-HeaderADOTTable"/>
    <w:uiPriority w:val="99"/>
    <w:rsid w:val="00BB7056"/>
    <w:pPr>
      <w:spacing w:line="200" w:lineRule="atLeast"/>
      <w:jc w:val="left"/>
    </w:pPr>
    <w:rPr>
      <w:sz w:val="18"/>
      <w:szCs w:val="18"/>
    </w:rPr>
  </w:style>
  <w:style w:type="paragraph" w:customStyle="1" w:styleId="NoParagraphStyle">
    <w:name w:val="[No Paragraph Style]"/>
    <w:rsid w:val="00BB7056"/>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BasicParagraph">
    <w:name w:val="[Basic Paragraph]"/>
    <w:basedOn w:val="NoParagraphStyle"/>
    <w:uiPriority w:val="99"/>
    <w:rsid w:val="00BB7056"/>
  </w:style>
  <w:style w:type="paragraph" w:customStyle="1" w:styleId="TableHeaderADOTTable">
    <w:name w:val="Table Header (ADOT:Table)"/>
    <w:basedOn w:val="NoParagraphStyle"/>
    <w:uiPriority w:val="99"/>
    <w:rsid w:val="00675B3C"/>
    <w:pPr>
      <w:suppressAutoHyphens/>
      <w:jc w:val="center"/>
    </w:pPr>
    <w:rPr>
      <w:rFonts w:ascii="Cambria" w:hAnsi="Cambria" w:cs="Cambria"/>
      <w:color w:val="323232"/>
      <w:sz w:val="26"/>
      <w:szCs w:val="26"/>
    </w:rPr>
  </w:style>
  <w:style w:type="paragraph" w:customStyle="1" w:styleId="TableSub-TextADOTTable">
    <w:name w:val="Table Sub-Text (ADOT:Table)"/>
    <w:basedOn w:val="TableTextADOTTable"/>
    <w:uiPriority w:val="99"/>
    <w:rsid w:val="004D0795"/>
    <w:pPr>
      <w:spacing w:line="180" w:lineRule="atLeast"/>
    </w:pPr>
    <w:rPr>
      <w:i/>
      <w:iCs/>
      <w:sz w:val="16"/>
      <w:szCs w:val="16"/>
    </w:rPr>
  </w:style>
  <w:style w:type="character" w:styleId="Hyperlink">
    <w:name w:val="Hyperlink"/>
    <w:basedOn w:val="DefaultParagraphFont"/>
    <w:uiPriority w:val="99"/>
    <w:rsid w:val="001F69C4"/>
    <w:rPr>
      <w:rFonts w:ascii="MyriadPro-It" w:hAnsi="MyriadPro-It" w:cs="MyriadPro-It"/>
      <w:i/>
      <w:iCs/>
      <w:color w:val="FF320C"/>
      <w:sz w:val="16"/>
      <w:szCs w:val="16"/>
      <w:u w:val="thick" w:color="FF0000"/>
    </w:rPr>
  </w:style>
  <w:style w:type="paragraph" w:styleId="ListParagraph">
    <w:name w:val="List Paragraph"/>
    <w:basedOn w:val="Normal"/>
    <w:uiPriority w:val="34"/>
    <w:qFormat/>
    <w:rsid w:val="00926E3D"/>
    <w:pPr>
      <w:ind w:left="720"/>
      <w:contextualSpacing/>
    </w:pPr>
  </w:style>
  <w:style w:type="paragraph" w:customStyle="1" w:styleId="TableSideSub-HeaderHyperlinkADOTTable">
    <w:name w:val="Table Side Sub-Header Hyperlink (ADOT:Table)"/>
    <w:basedOn w:val="TableSub-HeaderADOTTable"/>
    <w:uiPriority w:val="99"/>
    <w:rsid w:val="006E728A"/>
    <w:rPr>
      <w:b/>
      <w:bCs/>
      <w:color w:val="FF320C"/>
    </w:rPr>
  </w:style>
  <w:style w:type="character" w:customStyle="1" w:styleId="Hyperlink2ADOT">
    <w:name w:val="Hyperlink2 (ADOT)"/>
    <w:basedOn w:val="DefaultParagraphFont"/>
    <w:uiPriority w:val="99"/>
    <w:rsid w:val="006E728A"/>
    <w:rPr>
      <w:rFonts w:ascii="Cambria" w:hAnsi="Cambria" w:cs="Cambria"/>
      <w:i/>
      <w:iCs/>
      <w:color w:val="FF320C"/>
      <w:spacing w:val="-11"/>
      <w:sz w:val="22"/>
      <w:szCs w:val="22"/>
      <w:u w:val="none" w:color="FF0000"/>
    </w:rPr>
  </w:style>
  <w:style w:type="character" w:customStyle="1" w:styleId="HyperlinkADOT">
    <w:name w:val="Hyperlink (ADOT)"/>
    <w:uiPriority w:val="99"/>
    <w:rsid w:val="005A6F1D"/>
    <w:rPr>
      <w:rFonts w:ascii="Cambria" w:hAnsi="Cambria" w:cs="Cambria"/>
      <w:i/>
      <w:iCs/>
      <w:color w:val="FF320C"/>
      <w:spacing w:val="-8"/>
      <w:sz w:val="16"/>
      <w:szCs w:val="16"/>
      <w:u w:val="thick" w:color="FF0000"/>
    </w:rPr>
  </w:style>
  <w:style w:type="paragraph" w:customStyle="1" w:styleId="TableSideSub-HeaderBOLDADOTTable">
    <w:name w:val="Table Side Sub-Header BOLD (ADOT:Table)"/>
    <w:basedOn w:val="TableSub-HeaderADOTTable"/>
    <w:uiPriority w:val="99"/>
    <w:rsid w:val="005A6F1D"/>
    <w:rPr>
      <w:b/>
      <w:bCs/>
    </w:rPr>
  </w:style>
  <w:style w:type="paragraph" w:customStyle="1" w:styleId="TableText2ADOTTable">
    <w:name w:val="Table Text 2 (ADOT:Table)"/>
    <w:basedOn w:val="TableTextADOTTable"/>
    <w:uiPriority w:val="99"/>
    <w:rsid w:val="005D36CF"/>
    <w:pPr>
      <w:spacing w:line="260" w:lineRule="atLeast"/>
    </w:pPr>
    <w:rPr>
      <w:sz w:val="22"/>
      <w:szCs w:val="22"/>
      <w:u w:color="FF0000"/>
    </w:rPr>
  </w:style>
  <w:style w:type="paragraph" w:customStyle="1" w:styleId="TableTextSMADOTTable">
    <w:name w:val="Table Text SM (ADOT:Table)"/>
    <w:basedOn w:val="TableSub-HeaderADOTTable"/>
    <w:uiPriority w:val="99"/>
    <w:rsid w:val="005D36CF"/>
    <w:pPr>
      <w:spacing w:line="180" w:lineRule="atLeast"/>
      <w:jc w:val="left"/>
    </w:pPr>
    <w:rPr>
      <w:sz w:val="16"/>
      <w:szCs w:val="16"/>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paragraph" w:customStyle="1" w:styleId="CallOutHyperlinkADOTCallOutText">
    <w:name w:val="CallOut Hyperlink (ADOT:CallOut Text)"/>
    <w:basedOn w:val="BasicParagraph"/>
    <w:uiPriority w:val="99"/>
    <w:rsid w:val="00D276C5"/>
    <w:pPr>
      <w:suppressAutoHyphens/>
    </w:pPr>
    <w:rPr>
      <w:rFonts w:ascii="Cambria" w:hAnsi="Cambria" w:cs="Cambria"/>
      <w:color w:val="F05A28"/>
      <w:u w:val="thick"/>
    </w:rPr>
  </w:style>
  <w:style w:type="character" w:customStyle="1" w:styleId="ChapterText2">
    <w:name w:val="Chapter Text 2"/>
    <w:uiPriority w:val="99"/>
    <w:rsid w:val="00D174BF"/>
    <w:rPr>
      <w:rFonts w:ascii="Myriad Pro Condensed" w:hAnsi="Myriad Pro Condensed" w:cs="Myriad Pro Condensed"/>
      <w:outline/>
      <w:w w:val="84"/>
      <w:position w:val="20"/>
      <w:sz w:val="34"/>
      <w:szCs w:val="34"/>
    </w:rPr>
  </w:style>
  <w:style w:type="paragraph" w:customStyle="1" w:styleId="TableSideSub-HeaderADOTTable">
    <w:name w:val="Table Side Sub-Header (ADOT:Table)"/>
    <w:basedOn w:val="TableSub-HeaderADOTTable"/>
    <w:uiPriority w:val="99"/>
    <w:rsid w:val="00BC19F4"/>
    <w:rPr>
      <w:b/>
      <w:bCs/>
      <w:color w:val="58585B"/>
    </w:rPr>
  </w:style>
  <w:style w:type="character" w:customStyle="1" w:styleId="TOC3ADOT">
    <w:name w:val="TOC 3 (ADOT)"/>
    <w:uiPriority w:val="99"/>
    <w:rsid w:val="00976038"/>
    <w:rPr>
      <w:rFonts w:ascii="Myriad Pro Condensed" w:hAnsi="Myriad Pro Condensed" w:cs="Myriad Pro Condensed"/>
      <w:color w:val="006B64"/>
      <w:sz w:val="18"/>
      <w:szCs w:val="18"/>
    </w:rPr>
  </w:style>
  <w:style w:type="paragraph" w:customStyle="1" w:styleId="Table-smallADOT">
    <w:name w:val="Table-small (ADOT)"/>
    <w:basedOn w:val="NoParagraphStyle"/>
    <w:uiPriority w:val="99"/>
    <w:rsid w:val="000B701F"/>
    <w:pPr>
      <w:suppressAutoHyphens/>
      <w:spacing w:line="180" w:lineRule="atLeast"/>
    </w:pPr>
    <w:rPr>
      <w:rFonts w:ascii="Cambria" w:hAnsi="Cambria" w:cs="Cambria"/>
      <w:i/>
      <w:iCs/>
      <w:color w:val="58585B"/>
      <w:sz w:val="16"/>
      <w:szCs w:val="16"/>
    </w:rPr>
  </w:style>
  <w:style w:type="paragraph" w:customStyle="1" w:styleId="Tab2ADOTBulletsChecks">
    <w:name w:val="Tab2 (ADOT:Bullets/Checks)"/>
    <w:basedOn w:val="Normal"/>
    <w:uiPriority w:val="99"/>
    <w:rsid w:val="00FE6F8B"/>
    <w:pPr>
      <w:spacing w:after="90" w:line="220" w:lineRule="atLeast"/>
      <w:ind w:left="720"/>
    </w:pPr>
    <w:rPr>
      <w:rFonts w:ascii="Cambria" w:hAnsi="Cambria" w:cs="Cambria"/>
      <w:color w:val="58585B"/>
      <w:sz w:val="18"/>
      <w:szCs w:val="18"/>
    </w:rPr>
  </w:style>
  <w:style w:type="character" w:customStyle="1" w:styleId="ProperNameADOT">
    <w:name w:val="Proper Name (ADOT)"/>
    <w:uiPriority w:val="99"/>
    <w:rsid w:val="00200213"/>
    <w:rPr>
      <w:rFonts w:ascii="Cambria" w:hAnsi="Cambria" w:cs="Cambria"/>
      <w:i/>
      <w:iCs/>
      <w:color w:val="58585B"/>
      <w:sz w:val="22"/>
      <w:szCs w:val="22"/>
    </w:rPr>
  </w:style>
  <w:style w:type="character" w:customStyle="1" w:styleId="Hyperlink2ADOT1">
    <w:name w:val="Hyperlink2 (ADOT)1"/>
    <w:basedOn w:val="DefaultParagraphFont"/>
    <w:uiPriority w:val="99"/>
    <w:rsid w:val="00200213"/>
    <w:rPr>
      <w:rFonts w:ascii="Cambria" w:hAnsi="Cambria" w:cs="Cambria"/>
      <w:i/>
      <w:iCs/>
      <w:color w:val="F05A28"/>
      <w:spacing w:val="-11"/>
      <w:sz w:val="22"/>
      <w:szCs w:val="22"/>
      <w:u w:val="none" w:color="ED1C24"/>
    </w:rPr>
  </w:style>
  <w:style w:type="character" w:customStyle="1" w:styleId="ChapterText2ADOT">
    <w:name w:val="Chapter Text 2 (ADOT)"/>
    <w:uiPriority w:val="99"/>
    <w:rsid w:val="009D7DE0"/>
    <w:rPr>
      <w:rFonts w:ascii="Myriad Pro Condensed" w:hAnsi="Myriad Pro Condensed" w:cs="Myriad Pro Condensed"/>
      <w:color w:val="FFFFFF"/>
      <w:w w:val="100"/>
      <w:position w:val="23"/>
      <w:sz w:val="34"/>
      <w:szCs w:val="34"/>
    </w:rPr>
  </w:style>
  <w:style w:type="character" w:customStyle="1" w:styleId="UnderlinecopyADOT">
    <w:name w:val="Underline copy (ADOT)"/>
    <w:uiPriority w:val="99"/>
    <w:rsid w:val="00781262"/>
    <w:rPr>
      <w:rFonts w:ascii="Cambria" w:hAnsi="Cambria" w:cs="Cambria"/>
      <w:color w:val="58585B"/>
      <w:sz w:val="22"/>
      <w:szCs w:val="22"/>
      <w:u w:val="thick" w:color="58585B"/>
    </w:rPr>
  </w:style>
  <w:style w:type="paragraph" w:customStyle="1" w:styleId="BodyText-HeaderADOTText">
    <w:name w:val="Body Text - Header (ADOT:Text)"/>
    <w:basedOn w:val="NoParagraphStyle"/>
    <w:uiPriority w:val="99"/>
    <w:rsid w:val="005F4E49"/>
    <w:pPr>
      <w:suppressAutoHyphens/>
      <w:spacing w:after="360" w:line="260" w:lineRule="atLeast"/>
    </w:pPr>
    <w:rPr>
      <w:rFonts w:ascii="Cambria" w:hAnsi="Cambria" w:cs="Cambria"/>
      <w:sz w:val="22"/>
      <w:szCs w:val="22"/>
    </w:rPr>
  </w:style>
  <w:style w:type="character" w:styleId="Emphasis">
    <w:name w:val="Emphasis"/>
    <w:basedOn w:val="DefaultParagraphFont"/>
    <w:uiPriority w:val="20"/>
    <w:qFormat/>
    <w:rsid w:val="00A940D6"/>
    <w:rPr>
      <w:i/>
      <w:iCs/>
    </w:rPr>
  </w:style>
  <w:style w:type="paragraph" w:customStyle="1" w:styleId="Sub-Header17ADOTText">
    <w:name w:val="Sub-Header 17 (ADOT:Text)"/>
    <w:basedOn w:val="NoParagraphStyle"/>
    <w:next w:val="BodyText-HeaderADOTText"/>
    <w:uiPriority w:val="99"/>
    <w:rsid w:val="00FC2164"/>
    <w:pPr>
      <w:suppressAutoHyphens/>
      <w:spacing w:line="260" w:lineRule="atLeast"/>
    </w:pPr>
    <w:rPr>
      <w:rFonts w:ascii="Myriad Pro Condensed" w:hAnsi="Myriad Pro Condensed" w:cs="Myriad Pro Condensed"/>
      <w:color w:val="587840"/>
      <w:sz w:val="28"/>
      <w:szCs w:val="28"/>
    </w:rPr>
  </w:style>
  <w:style w:type="paragraph" w:styleId="BalloonText">
    <w:name w:val="Balloon Text"/>
    <w:basedOn w:val="Normal"/>
    <w:link w:val="BalloonTextChar"/>
    <w:uiPriority w:val="99"/>
    <w:semiHidden/>
    <w:unhideWhenUsed/>
    <w:rsid w:val="00D508E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08E6"/>
    <w:rPr>
      <w:rFonts w:ascii="Segoe UI" w:hAnsi="Segoe UI" w:cs="Segoe UI"/>
      <w:sz w:val="18"/>
      <w:szCs w:val="18"/>
    </w:rPr>
  </w:style>
  <w:style w:type="character" w:customStyle="1" w:styleId="Heading1Char">
    <w:name w:val="Heading 1 Char"/>
    <w:basedOn w:val="DefaultParagraphFont"/>
    <w:link w:val="Heading1"/>
    <w:uiPriority w:val="9"/>
    <w:rsid w:val="00CB4314"/>
    <w:rPr>
      <w:rFonts w:eastAsiaTheme="majorEastAsia" w:cstheme="majorBidi"/>
      <w:b/>
      <w:color w:val="012768"/>
      <w:sz w:val="40"/>
      <w:szCs w:val="32"/>
    </w:rPr>
  </w:style>
  <w:style w:type="character" w:customStyle="1" w:styleId="Heading2Char">
    <w:name w:val="Heading 2 Char"/>
    <w:basedOn w:val="DefaultParagraphFont"/>
    <w:link w:val="Heading2"/>
    <w:uiPriority w:val="9"/>
    <w:rsid w:val="0090691B"/>
    <w:rPr>
      <w:rFonts w:asciiTheme="majorHAnsi" w:eastAsiaTheme="majorEastAsia" w:hAnsiTheme="majorHAnsi" w:cstheme="majorBidi"/>
      <w:b/>
      <w:color w:val="012768"/>
      <w:sz w:val="24"/>
      <w:szCs w:val="26"/>
    </w:rPr>
  </w:style>
  <w:style w:type="character" w:customStyle="1" w:styleId="Heading3Char">
    <w:name w:val="Heading 3 Char"/>
    <w:basedOn w:val="DefaultParagraphFont"/>
    <w:link w:val="Heading3"/>
    <w:uiPriority w:val="9"/>
    <w:rsid w:val="00B954A3"/>
    <w:rPr>
      <w:rFonts w:asciiTheme="majorHAnsi" w:eastAsiaTheme="majorEastAsia" w:hAnsiTheme="majorHAnsi" w:cstheme="majorBidi"/>
      <w:b/>
      <w:color w:val="012768"/>
      <w:sz w:val="20"/>
      <w:szCs w:val="24"/>
    </w:rPr>
  </w:style>
  <w:style w:type="character" w:customStyle="1" w:styleId="Heading4Char">
    <w:name w:val="Heading 4 Char"/>
    <w:aliases w:val="Table Char"/>
    <w:basedOn w:val="DefaultParagraphFont"/>
    <w:link w:val="Heading4"/>
    <w:uiPriority w:val="9"/>
    <w:rsid w:val="00F56150"/>
    <w:rPr>
      <w:rFonts w:eastAsiaTheme="majorEastAsia" w:cstheme="majorBidi"/>
      <w:iCs/>
      <w:color w:val="767171" w:themeColor="background2" w:themeShade="80"/>
      <w:sz w:val="20"/>
      <w:szCs w:val="20"/>
    </w:rPr>
  </w:style>
  <w:style w:type="character" w:customStyle="1" w:styleId="Heading5Char">
    <w:name w:val="Heading 5 Char"/>
    <w:aliases w:val="Name Char"/>
    <w:basedOn w:val="DefaultParagraphFont"/>
    <w:link w:val="Heading5"/>
    <w:uiPriority w:val="9"/>
    <w:rsid w:val="009755F5"/>
    <w:rPr>
      <w:rFonts w:eastAsiaTheme="majorEastAsia" w:cstheme="majorBidi"/>
      <w:i/>
      <w:color w:val="767171" w:themeColor="background2" w:themeShade="80"/>
      <w:sz w:val="20"/>
      <w:szCs w:val="20"/>
    </w:rPr>
  </w:style>
  <w:style w:type="paragraph" w:styleId="Title">
    <w:name w:val="Title"/>
    <w:aliases w:val="Links"/>
    <w:basedOn w:val="Normal"/>
    <w:next w:val="Normal"/>
    <w:link w:val="TitleChar"/>
    <w:uiPriority w:val="10"/>
    <w:qFormat/>
    <w:rsid w:val="00C3308E"/>
    <w:pPr>
      <w:spacing w:before="0" w:after="0" w:line="240" w:lineRule="auto"/>
      <w:contextualSpacing/>
      <w:jc w:val="center"/>
    </w:pPr>
    <w:rPr>
      <w:rFonts w:ascii="Calibri" w:eastAsiaTheme="majorEastAsia" w:hAnsi="Calibri" w:cstheme="majorBidi"/>
      <w:i/>
      <w:color w:val="CE5B18"/>
      <w:spacing w:val="-10"/>
      <w:kern w:val="28"/>
      <w:szCs w:val="56"/>
    </w:rPr>
  </w:style>
  <w:style w:type="character" w:customStyle="1" w:styleId="TitleChar">
    <w:name w:val="Title Char"/>
    <w:aliases w:val="Links Char"/>
    <w:basedOn w:val="DefaultParagraphFont"/>
    <w:link w:val="Title"/>
    <w:uiPriority w:val="10"/>
    <w:rsid w:val="00C3308E"/>
    <w:rPr>
      <w:rFonts w:ascii="Calibri" w:eastAsiaTheme="majorEastAsia" w:hAnsi="Calibri" w:cstheme="majorBidi"/>
      <w:i/>
      <w:color w:val="CE5B18"/>
      <w:spacing w:val="-10"/>
      <w:kern w:val="28"/>
      <w:sz w:val="20"/>
      <w:szCs w:val="56"/>
    </w:rPr>
  </w:style>
  <w:style w:type="character" w:styleId="FollowedHyperlink">
    <w:name w:val="FollowedHyperlink"/>
    <w:basedOn w:val="DefaultParagraphFont"/>
    <w:uiPriority w:val="99"/>
    <w:semiHidden/>
    <w:unhideWhenUsed/>
    <w:rsid w:val="00C276A9"/>
    <w:rPr>
      <w:color w:val="954F72" w:themeColor="followedHyperlink"/>
      <w:u w:val="single"/>
    </w:rPr>
  </w:style>
  <w:style w:type="character" w:customStyle="1" w:styleId="UnresolvedMention1">
    <w:name w:val="Unresolved Mention1"/>
    <w:basedOn w:val="DefaultParagraphFont"/>
    <w:uiPriority w:val="99"/>
    <w:semiHidden/>
    <w:unhideWhenUsed/>
    <w:rsid w:val="00E42373"/>
    <w:rPr>
      <w:color w:val="808080"/>
      <w:shd w:val="clear" w:color="auto" w:fill="E6E6E6"/>
    </w:rPr>
  </w:style>
  <w:style w:type="paragraph" w:styleId="NoSpacing">
    <w:name w:val="No Spacing"/>
    <w:uiPriority w:val="1"/>
    <w:rsid w:val="007D34CB"/>
    <w:pPr>
      <w:spacing w:after="0" w:line="240" w:lineRule="auto"/>
    </w:pPr>
    <w:rPr>
      <w:sz w:val="20"/>
    </w:rPr>
  </w:style>
  <w:style w:type="character" w:styleId="CommentReference">
    <w:name w:val="annotation reference"/>
    <w:basedOn w:val="DefaultParagraphFont"/>
    <w:uiPriority w:val="99"/>
    <w:semiHidden/>
    <w:unhideWhenUsed/>
    <w:rsid w:val="001F31F0"/>
    <w:rPr>
      <w:sz w:val="16"/>
      <w:szCs w:val="16"/>
    </w:rPr>
  </w:style>
  <w:style w:type="paragraph" w:styleId="CommentText">
    <w:name w:val="annotation text"/>
    <w:basedOn w:val="Normal"/>
    <w:link w:val="CommentTextChar"/>
    <w:uiPriority w:val="99"/>
    <w:unhideWhenUsed/>
    <w:rsid w:val="001F31F0"/>
    <w:pPr>
      <w:spacing w:line="240" w:lineRule="auto"/>
    </w:pPr>
  </w:style>
  <w:style w:type="character" w:customStyle="1" w:styleId="CommentTextChar">
    <w:name w:val="Comment Text Char"/>
    <w:basedOn w:val="DefaultParagraphFont"/>
    <w:link w:val="CommentText"/>
    <w:uiPriority w:val="99"/>
    <w:rsid w:val="001F31F0"/>
    <w:rPr>
      <w:sz w:val="20"/>
      <w:szCs w:val="20"/>
    </w:rPr>
  </w:style>
  <w:style w:type="paragraph" w:styleId="CommentSubject">
    <w:name w:val="annotation subject"/>
    <w:basedOn w:val="CommentText"/>
    <w:next w:val="CommentText"/>
    <w:link w:val="CommentSubjectChar"/>
    <w:uiPriority w:val="99"/>
    <w:semiHidden/>
    <w:unhideWhenUsed/>
    <w:rsid w:val="001F31F0"/>
    <w:rPr>
      <w:b/>
      <w:bCs/>
    </w:rPr>
  </w:style>
  <w:style w:type="character" w:customStyle="1" w:styleId="CommentSubjectChar">
    <w:name w:val="Comment Subject Char"/>
    <w:basedOn w:val="CommentTextChar"/>
    <w:link w:val="CommentSubject"/>
    <w:uiPriority w:val="99"/>
    <w:semiHidden/>
    <w:rsid w:val="001F31F0"/>
    <w:rPr>
      <w:b/>
      <w:bCs/>
      <w:sz w:val="20"/>
      <w:szCs w:val="20"/>
    </w:rPr>
  </w:style>
  <w:style w:type="paragraph" w:customStyle="1" w:styleId="Note">
    <w:name w:val="Note"/>
    <w:basedOn w:val="Normal"/>
    <w:qFormat/>
    <w:rsid w:val="00F513AC"/>
    <w:pPr>
      <w:spacing w:line="240" w:lineRule="auto"/>
    </w:pPr>
    <w:rPr>
      <w:i/>
      <w:sz w:val="16"/>
    </w:rPr>
  </w:style>
  <w:style w:type="character" w:customStyle="1" w:styleId="UnresolvedMention2">
    <w:name w:val="Unresolved Mention2"/>
    <w:basedOn w:val="DefaultParagraphFont"/>
    <w:uiPriority w:val="99"/>
    <w:semiHidden/>
    <w:unhideWhenUsed/>
    <w:rsid w:val="00CE7218"/>
    <w:rPr>
      <w:color w:val="808080"/>
      <w:shd w:val="clear" w:color="auto" w:fill="E6E6E6"/>
    </w:rPr>
  </w:style>
  <w:style w:type="character" w:customStyle="1" w:styleId="UnresolvedMention3">
    <w:name w:val="Unresolved Mention3"/>
    <w:basedOn w:val="DefaultParagraphFont"/>
    <w:uiPriority w:val="99"/>
    <w:semiHidden/>
    <w:unhideWhenUsed/>
    <w:rPr>
      <w:color w:val="808080"/>
      <w:shd w:val="clear" w:color="auto" w:fill="E6E6E6"/>
    </w:rPr>
  </w:style>
  <w:style w:type="paragraph" w:customStyle="1" w:styleId="SubHeading3">
    <w:name w:val="SubHeading 3"/>
    <w:basedOn w:val="Normal"/>
    <w:next w:val="Normal"/>
    <w:link w:val="SubHeading3Char"/>
    <w:qFormat/>
    <w:rsid w:val="00693472"/>
    <w:pPr>
      <w:spacing w:before="20" w:after="20" w:line="264" w:lineRule="auto"/>
      <w:ind w:left="187"/>
    </w:pPr>
    <w:rPr>
      <w:rFonts w:asciiTheme="majorHAnsi" w:hAnsiTheme="majorHAnsi" w:cstheme="majorHAnsi"/>
      <w:b/>
      <w:color w:val="012768"/>
      <w:sz w:val="18"/>
    </w:rPr>
  </w:style>
  <w:style w:type="paragraph" w:customStyle="1" w:styleId="SubSubHeading3">
    <w:name w:val="Sub Sub Heading 3"/>
    <w:basedOn w:val="Normal"/>
    <w:link w:val="SubSubHeading3Char"/>
    <w:qFormat/>
    <w:rsid w:val="008B629B"/>
    <w:pPr>
      <w:ind w:left="180"/>
    </w:pPr>
    <w:rPr>
      <w:rFonts w:asciiTheme="majorHAnsi" w:hAnsiTheme="majorHAnsi" w:cstheme="majorHAnsi"/>
      <w:b/>
      <w:i/>
      <w:color w:val="012768"/>
      <w:sz w:val="18"/>
    </w:rPr>
  </w:style>
  <w:style w:type="character" w:customStyle="1" w:styleId="SubHeading3Char">
    <w:name w:val="SubHeading 3 Char"/>
    <w:basedOn w:val="DefaultParagraphFont"/>
    <w:link w:val="SubHeading3"/>
    <w:rsid w:val="00693472"/>
    <w:rPr>
      <w:rFonts w:asciiTheme="majorHAnsi" w:hAnsiTheme="majorHAnsi" w:cstheme="majorHAnsi"/>
      <w:b/>
      <w:color w:val="012768"/>
      <w:sz w:val="18"/>
      <w:szCs w:val="20"/>
    </w:rPr>
  </w:style>
  <w:style w:type="paragraph" w:styleId="FootnoteText">
    <w:name w:val="footnote text"/>
    <w:aliases w:val="Footnote Text Char1,Footnote Text Char Char,Char Char Char,Char Char1,ft,Footnote Text Char2 Char Char,Footnote Text Char Char1 Char Char,Footnote Text Char1 Char Char Char Char,Footnote Text Char Char Char Char Char Char,Figure title"/>
    <w:basedOn w:val="Normal"/>
    <w:link w:val="FootnoteTextChar"/>
    <w:uiPriority w:val="99"/>
    <w:unhideWhenUsed/>
    <w:qFormat/>
    <w:rsid w:val="009258D9"/>
    <w:pPr>
      <w:spacing w:line="240" w:lineRule="auto"/>
    </w:pPr>
  </w:style>
  <w:style w:type="character" w:customStyle="1" w:styleId="SubSubHeading3Char">
    <w:name w:val="Sub Sub Heading 3 Char"/>
    <w:basedOn w:val="DefaultParagraphFont"/>
    <w:link w:val="SubSubHeading3"/>
    <w:rsid w:val="008B629B"/>
    <w:rPr>
      <w:rFonts w:asciiTheme="majorHAnsi" w:hAnsiTheme="majorHAnsi" w:cstheme="majorHAnsi"/>
      <w:b/>
      <w:i/>
      <w:color w:val="012768"/>
      <w:sz w:val="18"/>
      <w:szCs w:val="20"/>
    </w:rPr>
  </w:style>
  <w:style w:type="character" w:customStyle="1" w:styleId="FootnoteTextChar">
    <w:name w:val="Footnote Text Char"/>
    <w:aliases w:val="Footnote Text Char1 Char,Footnote Text Char Char Char,Char Char Char Char,Char Char1 Char,ft Char,Footnote Text Char2 Char Char Char,Footnote Text Char Char1 Char Char Char,Footnote Text Char1 Char Char Char Char Char"/>
    <w:basedOn w:val="DefaultParagraphFont"/>
    <w:link w:val="FootnoteText"/>
    <w:uiPriority w:val="99"/>
    <w:rsid w:val="009258D9"/>
    <w:rPr>
      <w:sz w:val="20"/>
      <w:szCs w:val="20"/>
    </w:rPr>
  </w:style>
  <w:style w:type="character" w:styleId="FootnoteReference">
    <w:name w:val="footnote reference"/>
    <w:aliases w:val="fr,fr + 13 pt,Bold + 13 pt,Bold,Not Raised by ...,ftref,Numbering - Footnote"/>
    <w:basedOn w:val="DefaultParagraphFont"/>
    <w:uiPriority w:val="99"/>
    <w:unhideWhenUsed/>
    <w:qFormat/>
    <w:rsid w:val="009258D9"/>
    <w:rPr>
      <w:vertAlign w:val="superscript"/>
    </w:rPr>
  </w:style>
  <w:style w:type="character" w:customStyle="1" w:styleId="UnresolvedMention4">
    <w:name w:val="Unresolved Mention4"/>
    <w:basedOn w:val="DefaultParagraphFont"/>
    <w:uiPriority w:val="99"/>
    <w:semiHidden/>
    <w:unhideWhenUsed/>
    <w:rsid w:val="00303BFB"/>
    <w:rPr>
      <w:color w:val="808080"/>
      <w:shd w:val="clear" w:color="auto" w:fill="E6E6E6"/>
    </w:rPr>
  </w:style>
  <w:style w:type="character" w:customStyle="1" w:styleId="UnresolvedMention5">
    <w:name w:val="Unresolved Mention5"/>
    <w:basedOn w:val="DefaultParagraphFont"/>
    <w:uiPriority w:val="99"/>
    <w:semiHidden/>
    <w:unhideWhenUsed/>
    <w:rsid w:val="00425FC2"/>
    <w:rPr>
      <w:color w:val="808080"/>
      <w:shd w:val="clear" w:color="auto" w:fill="E6E6E6"/>
    </w:rPr>
  </w:style>
  <w:style w:type="character" w:styleId="Strong">
    <w:name w:val="Strong"/>
    <w:basedOn w:val="DefaultParagraphFont"/>
    <w:uiPriority w:val="22"/>
    <w:qFormat/>
    <w:rsid w:val="007470A6"/>
    <w:rPr>
      <w:b/>
      <w:bCs/>
    </w:rPr>
  </w:style>
  <w:style w:type="character" w:customStyle="1" w:styleId="UnresolvedMention6">
    <w:name w:val="Unresolved Mention6"/>
    <w:basedOn w:val="DefaultParagraphFont"/>
    <w:uiPriority w:val="99"/>
    <w:semiHidden/>
    <w:unhideWhenUsed/>
    <w:rsid w:val="006666FA"/>
    <w:rPr>
      <w:color w:val="808080"/>
      <w:shd w:val="clear" w:color="auto" w:fill="E6E6E6"/>
    </w:rPr>
  </w:style>
  <w:style w:type="character" w:customStyle="1" w:styleId="UnresolvedMention7">
    <w:name w:val="Unresolved Mention7"/>
    <w:basedOn w:val="DefaultParagraphFont"/>
    <w:uiPriority w:val="99"/>
    <w:semiHidden/>
    <w:unhideWhenUsed/>
    <w:rsid w:val="007D2C4E"/>
    <w:rPr>
      <w:color w:val="808080"/>
      <w:shd w:val="clear" w:color="auto" w:fill="E6E6E6"/>
    </w:rPr>
  </w:style>
  <w:style w:type="character" w:customStyle="1" w:styleId="UnresolvedMention70">
    <w:name w:val="Unresolved Mention70"/>
    <w:basedOn w:val="DefaultParagraphFont"/>
    <w:uiPriority w:val="99"/>
    <w:semiHidden/>
    <w:unhideWhenUsed/>
    <w:rsid w:val="00AA1279"/>
    <w:rPr>
      <w:color w:val="808080"/>
      <w:shd w:val="clear" w:color="auto" w:fill="E6E6E6"/>
    </w:rPr>
  </w:style>
  <w:style w:type="character" w:customStyle="1" w:styleId="UnresolvedMention700">
    <w:name w:val="Unresolved Mention700"/>
    <w:basedOn w:val="DefaultParagraphFont"/>
    <w:uiPriority w:val="99"/>
    <w:semiHidden/>
    <w:unhideWhenUsed/>
    <w:rsid w:val="00D61694"/>
    <w:rPr>
      <w:color w:val="808080"/>
      <w:shd w:val="clear" w:color="auto" w:fill="E6E6E6"/>
    </w:rPr>
  </w:style>
  <w:style w:type="character" w:customStyle="1" w:styleId="UnresolvedMention7000">
    <w:name w:val="Unresolved Mention7000"/>
    <w:basedOn w:val="DefaultParagraphFont"/>
    <w:uiPriority w:val="99"/>
    <w:semiHidden/>
    <w:unhideWhenUsed/>
    <w:rsid w:val="00DB211D"/>
    <w:rPr>
      <w:color w:val="808080"/>
      <w:shd w:val="clear" w:color="auto" w:fill="E6E6E6"/>
    </w:rPr>
  </w:style>
  <w:style w:type="paragraph" w:styleId="Revision">
    <w:name w:val="Revision"/>
    <w:hidden/>
    <w:uiPriority w:val="99"/>
    <w:semiHidden/>
    <w:rsid w:val="003622D7"/>
    <w:pPr>
      <w:spacing w:after="0" w:line="240" w:lineRule="auto"/>
    </w:pPr>
    <w:rPr>
      <w:sz w:val="20"/>
    </w:rPr>
  </w:style>
  <w:style w:type="character" w:customStyle="1" w:styleId="UnresolvedMention70000">
    <w:name w:val="Unresolved Mention70000"/>
    <w:basedOn w:val="DefaultParagraphFont"/>
    <w:uiPriority w:val="99"/>
    <w:semiHidden/>
    <w:unhideWhenUsed/>
    <w:rsid w:val="003622D7"/>
    <w:rPr>
      <w:color w:val="808080"/>
      <w:shd w:val="clear" w:color="auto" w:fill="E6E6E6"/>
    </w:rPr>
  </w:style>
  <w:style w:type="character" w:customStyle="1" w:styleId="UnresolvedMention700000">
    <w:name w:val="Unresolved Mention700000"/>
    <w:basedOn w:val="DefaultParagraphFont"/>
    <w:uiPriority w:val="99"/>
    <w:semiHidden/>
    <w:unhideWhenUsed/>
    <w:rsid w:val="002F7389"/>
    <w:rPr>
      <w:color w:val="808080"/>
      <w:shd w:val="clear" w:color="auto" w:fill="E6E6E6"/>
    </w:rPr>
  </w:style>
  <w:style w:type="character" w:customStyle="1" w:styleId="UnresolvedMention7000000">
    <w:name w:val="Unresolved Mention7000000"/>
    <w:basedOn w:val="DefaultParagraphFont"/>
    <w:uiPriority w:val="99"/>
    <w:semiHidden/>
    <w:unhideWhenUsed/>
    <w:rsid w:val="00FB5570"/>
    <w:rPr>
      <w:color w:val="808080"/>
      <w:shd w:val="clear" w:color="auto" w:fill="E6E6E6"/>
    </w:rPr>
  </w:style>
  <w:style w:type="character" w:customStyle="1" w:styleId="UnresolvedMention70000000">
    <w:name w:val="Unresolved Mention70000000"/>
    <w:basedOn w:val="DefaultParagraphFont"/>
    <w:uiPriority w:val="99"/>
    <w:semiHidden/>
    <w:unhideWhenUsed/>
    <w:rsid w:val="005212B4"/>
    <w:rPr>
      <w:color w:val="808080"/>
      <w:shd w:val="clear" w:color="auto" w:fill="E6E6E6"/>
    </w:rPr>
  </w:style>
  <w:style w:type="character" w:customStyle="1" w:styleId="UnresolvedMention700000000">
    <w:name w:val="Unresolved Mention700000000"/>
    <w:basedOn w:val="DefaultParagraphFont"/>
    <w:uiPriority w:val="99"/>
    <w:semiHidden/>
    <w:unhideWhenUsed/>
    <w:rsid w:val="00AF49C5"/>
    <w:rPr>
      <w:color w:val="808080"/>
      <w:shd w:val="clear" w:color="auto" w:fill="E6E6E6"/>
    </w:rPr>
  </w:style>
  <w:style w:type="character" w:customStyle="1" w:styleId="UnresolvedMention7000000000">
    <w:name w:val="Unresolved Mention7000000000"/>
    <w:basedOn w:val="DefaultParagraphFont"/>
    <w:uiPriority w:val="99"/>
    <w:semiHidden/>
    <w:unhideWhenUsed/>
    <w:rsid w:val="00E60E73"/>
    <w:rPr>
      <w:color w:val="808080"/>
      <w:shd w:val="clear" w:color="auto" w:fill="E6E6E6"/>
    </w:rPr>
  </w:style>
  <w:style w:type="character" w:customStyle="1" w:styleId="UnresolvedMention70000000000">
    <w:name w:val="Unresolved Mention70000000000"/>
    <w:basedOn w:val="DefaultParagraphFont"/>
    <w:uiPriority w:val="99"/>
    <w:semiHidden/>
    <w:unhideWhenUsed/>
    <w:rsid w:val="004214D8"/>
    <w:rPr>
      <w:color w:val="808080"/>
      <w:shd w:val="clear" w:color="auto" w:fill="E6E6E6"/>
    </w:rPr>
  </w:style>
  <w:style w:type="character" w:customStyle="1" w:styleId="UnresolvedMention700000000000">
    <w:name w:val="Unresolved Mention700000000000"/>
    <w:basedOn w:val="DefaultParagraphFont"/>
    <w:uiPriority w:val="99"/>
    <w:semiHidden/>
    <w:unhideWhenUsed/>
    <w:rsid w:val="00A747E9"/>
    <w:rPr>
      <w:color w:val="808080"/>
      <w:shd w:val="clear" w:color="auto" w:fill="E6E6E6"/>
    </w:rPr>
  </w:style>
  <w:style w:type="character" w:customStyle="1" w:styleId="UnresolvedMention7000000000000">
    <w:name w:val="Unresolved Mention7000000000000"/>
    <w:basedOn w:val="DefaultParagraphFont"/>
    <w:uiPriority w:val="99"/>
    <w:semiHidden/>
    <w:unhideWhenUsed/>
    <w:rsid w:val="00512112"/>
    <w:rPr>
      <w:color w:val="808080"/>
      <w:shd w:val="clear" w:color="auto" w:fill="E6E6E6"/>
    </w:rPr>
  </w:style>
  <w:style w:type="character" w:customStyle="1" w:styleId="UnresolvedMention70000000000000">
    <w:name w:val="Unresolved Mention70000000000000"/>
    <w:basedOn w:val="DefaultParagraphFont"/>
    <w:uiPriority w:val="99"/>
    <w:semiHidden/>
    <w:unhideWhenUsed/>
    <w:rsid w:val="001A39BD"/>
    <w:rPr>
      <w:color w:val="808080"/>
      <w:shd w:val="clear" w:color="auto" w:fill="E6E6E6"/>
    </w:rPr>
  </w:style>
  <w:style w:type="character" w:customStyle="1" w:styleId="UnresolvedMention700000000000000">
    <w:name w:val="Unresolved Mention700000000000000"/>
    <w:basedOn w:val="DefaultParagraphFont"/>
    <w:uiPriority w:val="99"/>
    <w:semiHidden/>
    <w:unhideWhenUsed/>
    <w:rsid w:val="00A849B3"/>
    <w:rPr>
      <w:color w:val="808080"/>
      <w:shd w:val="clear" w:color="auto" w:fill="E6E6E6"/>
    </w:rPr>
  </w:style>
  <w:style w:type="character" w:customStyle="1" w:styleId="UnresolvedMention8">
    <w:name w:val="Unresolved Mention8"/>
    <w:basedOn w:val="DefaultParagraphFont"/>
    <w:uiPriority w:val="99"/>
    <w:semiHidden/>
    <w:unhideWhenUsed/>
    <w:rsid w:val="00543068"/>
    <w:rPr>
      <w:color w:val="808080"/>
      <w:shd w:val="clear" w:color="auto" w:fill="E6E6E6"/>
    </w:rPr>
  </w:style>
  <w:style w:type="character" w:customStyle="1" w:styleId="UnresolvedMention9">
    <w:name w:val="Unresolved Mention9"/>
    <w:basedOn w:val="DefaultParagraphFont"/>
    <w:uiPriority w:val="99"/>
    <w:semiHidden/>
    <w:unhideWhenUsed/>
    <w:rsid w:val="005C1066"/>
    <w:rPr>
      <w:color w:val="808080"/>
      <w:shd w:val="clear" w:color="auto" w:fill="E6E6E6"/>
    </w:rPr>
  </w:style>
  <w:style w:type="character" w:customStyle="1" w:styleId="UnresolvedMention90">
    <w:name w:val="Unresolved Mention90"/>
    <w:basedOn w:val="DefaultParagraphFont"/>
    <w:uiPriority w:val="99"/>
    <w:semiHidden/>
    <w:unhideWhenUsed/>
    <w:rsid w:val="00446CFA"/>
    <w:rPr>
      <w:color w:val="808080"/>
      <w:shd w:val="clear" w:color="auto" w:fill="E6E6E6"/>
    </w:rPr>
  </w:style>
  <w:style w:type="character" w:customStyle="1" w:styleId="UnresolvedMention900">
    <w:name w:val="Unresolved Mention900"/>
    <w:basedOn w:val="DefaultParagraphFont"/>
    <w:uiPriority w:val="99"/>
    <w:semiHidden/>
    <w:unhideWhenUsed/>
    <w:rsid w:val="00F32B62"/>
    <w:rPr>
      <w:color w:val="808080"/>
      <w:shd w:val="clear" w:color="auto" w:fill="E6E6E6"/>
    </w:rPr>
  </w:style>
  <w:style w:type="character" w:customStyle="1" w:styleId="UnresolvedMention9000">
    <w:name w:val="Unresolved Mention9000"/>
    <w:basedOn w:val="DefaultParagraphFont"/>
    <w:uiPriority w:val="99"/>
    <w:unhideWhenUsed/>
    <w:rsid w:val="007D2594"/>
    <w:rPr>
      <w:color w:val="808080"/>
      <w:shd w:val="clear" w:color="auto" w:fill="E6E6E6"/>
    </w:rPr>
  </w:style>
  <w:style w:type="paragraph" w:styleId="NormalWeb">
    <w:name w:val="Normal (Web)"/>
    <w:basedOn w:val="Normal"/>
    <w:uiPriority w:val="99"/>
    <w:semiHidden/>
    <w:unhideWhenUsed/>
    <w:rsid w:val="00DD3378"/>
    <w:pPr>
      <w:spacing w:before="100" w:beforeAutospacing="1" w:after="100" w:afterAutospacing="1" w:line="240" w:lineRule="auto"/>
    </w:pPr>
    <w:rPr>
      <w:rFonts w:ascii="Times New Roman" w:hAnsi="Times New Roman" w:cs="Times New Roman"/>
      <w:sz w:val="24"/>
      <w:szCs w:val="24"/>
    </w:rPr>
  </w:style>
  <w:style w:type="paragraph" w:customStyle="1" w:styleId="Calloutboxes">
    <w:name w:val="Callout boxes"/>
    <w:basedOn w:val="NoParagraphStyle"/>
    <w:uiPriority w:val="99"/>
    <w:qFormat/>
    <w:rsid w:val="00D17191"/>
    <w:pPr>
      <w:suppressAutoHyphens/>
      <w:spacing w:line="240" w:lineRule="auto"/>
      <w:jc w:val="center"/>
    </w:pPr>
    <w:rPr>
      <w:rFonts w:asciiTheme="minorHAnsi" w:hAnsiTheme="minorHAnsi" w:cs="MyriadPro-Regular"/>
      <w:color w:val="58585B"/>
      <w:sz w:val="16"/>
      <w:szCs w:val="16"/>
    </w:rPr>
  </w:style>
  <w:style w:type="character" w:customStyle="1" w:styleId="UnresolvedMention10">
    <w:name w:val="Unresolved Mention10"/>
    <w:basedOn w:val="DefaultParagraphFont"/>
    <w:uiPriority w:val="99"/>
    <w:semiHidden/>
    <w:unhideWhenUsed/>
    <w:rsid w:val="00CF31BE"/>
    <w:rPr>
      <w:color w:val="808080"/>
      <w:shd w:val="clear" w:color="auto" w:fill="E6E6E6"/>
    </w:rPr>
  </w:style>
  <w:style w:type="character" w:customStyle="1" w:styleId="UnresolvedMention11">
    <w:name w:val="Unresolved Mention11"/>
    <w:basedOn w:val="DefaultParagraphFont"/>
    <w:uiPriority w:val="99"/>
    <w:unhideWhenUsed/>
    <w:rsid w:val="003221C0"/>
    <w:rPr>
      <w:color w:val="808080"/>
      <w:shd w:val="clear" w:color="auto" w:fill="E6E6E6"/>
    </w:rPr>
  </w:style>
  <w:style w:type="paragraph" w:customStyle="1" w:styleId="Default">
    <w:name w:val="Default"/>
    <w:rsid w:val="00D2691F"/>
    <w:pPr>
      <w:autoSpaceDE w:val="0"/>
      <w:autoSpaceDN w:val="0"/>
      <w:adjustRightInd w:val="0"/>
      <w:spacing w:after="0" w:line="240" w:lineRule="auto"/>
    </w:pPr>
    <w:rPr>
      <w:rFonts w:ascii="Calibri" w:hAnsi="Calibri" w:cs="Calibri"/>
      <w:color w:val="000000"/>
      <w:sz w:val="24"/>
      <w:szCs w:val="24"/>
    </w:rPr>
  </w:style>
  <w:style w:type="character" w:styleId="SubtleReference">
    <w:name w:val="Subtle Reference"/>
    <w:basedOn w:val="DefaultParagraphFont"/>
    <w:uiPriority w:val="31"/>
    <w:qFormat/>
    <w:rsid w:val="00673816"/>
    <w:rPr>
      <w:smallCaps/>
      <w:color w:val="5A5A5A" w:themeColor="text1" w:themeTint="A5"/>
    </w:rPr>
  </w:style>
  <w:style w:type="character" w:customStyle="1" w:styleId="UnresolvedMention12">
    <w:name w:val="Unresolved Mention12"/>
    <w:basedOn w:val="DefaultParagraphFont"/>
    <w:uiPriority w:val="99"/>
    <w:semiHidden/>
    <w:unhideWhenUsed/>
    <w:rsid w:val="00B035B0"/>
    <w:rPr>
      <w:color w:val="808080"/>
      <w:shd w:val="clear" w:color="auto" w:fill="E6E6E6"/>
    </w:rPr>
  </w:style>
  <w:style w:type="paragraph" w:styleId="Subtitle">
    <w:name w:val="Subtitle"/>
    <w:basedOn w:val="Normal"/>
    <w:next w:val="Normal"/>
    <w:link w:val="SubtitleChar"/>
    <w:uiPriority w:val="11"/>
    <w:qFormat/>
    <w:rsid w:val="00C3308E"/>
    <w:pPr>
      <w:numPr>
        <w:ilvl w:val="1"/>
      </w:numPr>
      <w:spacing w:after="160"/>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11"/>
    <w:rsid w:val="00C3308E"/>
    <w:rPr>
      <w:rFonts w:eastAsiaTheme="minorEastAsia"/>
      <w:color w:val="5A5A5A" w:themeColor="text1" w:themeTint="A5"/>
      <w:spacing w:val="15"/>
    </w:rPr>
  </w:style>
  <w:style w:type="character" w:styleId="SubtleEmphasis">
    <w:name w:val="Subtle Emphasis"/>
    <w:basedOn w:val="DefaultParagraphFont"/>
    <w:uiPriority w:val="19"/>
    <w:qFormat/>
    <w:rsid w:val="00C3308E"/>
    <w:rPr>
      <w:i/>
      <w:iCs/>
      <w:color w:val="404040" w:themeColor="text1" w:themeTint="BF"/>
    </w:rPr>
  </w:style>
  <w:style w:type="character" w:customStyle="1" w:styleId="UnresolvedMention13">
    <w:name w:val="Unresolved Mention13"/>
    <w:basedOn w:val="DefaultParagraphFont"/>
    <w:uiPriority w:val="99"/>
    <w:semiHidden/>
    <w:unhideWhenUsed/>
    <w:rsid w:val="00EF19A8"/>
    <w:rPr>
      <w:color w:val="808080"/>
      <w:shd w:val="clear" w:color="auto" w:fill="E6E6E6"/>
    </w:rPr>
  </w:style>
  <w:style w:type="character" w:styleId="BookTitle">
    <w:name w:val="Book Title"/>
    <w:basedOn w:val="DefaultParagraphFont"/>
    <w:uiPriority w:val="33"/>
    <w:qFormat/>
    <w:rsid w:val="00787D01"/>
    <w:rPr>
      <w:b/>
      <w:bCs/>
      <w:i/>
      <w:iCs/>
      <w:spacing w:val="5"/>
    </w:rPr>
  </w:style>
  <w:style w:type="character" w:customStyle="1" w:styleId="UnresolvedMention14">
    <w:name w:val="Unresolved Mention14"/>
    <w:basedOn w:val="DefaultParagraphFont"/>
    <w:uiPriority w:val="99"/>
    <w:semiHidden/>
    <w:unhideWhenUsed/>
    <w:rsid w:val="00BE0DD5"/>
    <w:rPr>
      <w:color w:val="808080"/>
      <w:shd w:val="clear" w:color="auto" w:fill="E6E6E6"/>
    </w:rPr>
  </w:style>
  <w:style w:type="paragraph" w:customStyle="1" w:styleId="Body-Regular">
    <w:name w:val="Body - Regular"/>
    <w:link w:val="Body-RegularChar"/>
    <w:qFormat/>
    <w:rsid w:val="004347CE"/>
    <w:pPr>
      <w:spacing w:after="200" w:line="240" w:lineRule="auto"/>
      <w:ind w:left="288" w:right="346"/>
      <w:jc w:val="both"/>
    </w:pPr>
    <w:rPr>
      <w:rFonts w:ascii="Calibri" w:eastAsia="Calibri" w:hAnsi="Calibri" w:cs="Times New Roman"/>
      <w:sz w:val="24"/>
      <w:szCs w:val="24"/>
      <w:lang w:val="en-CA"/>
    </w:rPr>
  </w:style>
  <w:style w:type="character" w:customStyle="1" w:styleId="Body-RegularChar">
    <w:name w:val="Body - Regular Char"/>
    <w:link w:val="Body-Regular"/>
    <w:locked/>
    <w:rsid w:val="004347CE"/>
    <w:rPr>
      <w:rFonts w:ascii="Calibri" w:eastAsia="Calibri" w:hAnsi="Calibri" w:cs="Times New Roman"/>
      <w:sz w:val="24"/>
      <w:szCs w:val="24"/>
      <w:lang w:val="en-CA"/>
    </w:rPr>
  </w:style>
  <w:style w:type="paragraph" w:customStyle="1" w:styleId="Task-Level1Heading">
    <w:name w:val="Task-Level 1 Heading"/>
    <w:basedOn w:val="Normal"/>
    <w:next w:val="Body-Regular"/>
    <w:uiPriority w:val="99"/>
    <w:rsid w:val="00D64158"/>
    <w:pPr>
      <w:keepNext/>
      <w:numPr>
        <w:numId w:val="251"/>
      </w:numPr>
      <w:pBdr>
        <w:top w:val="single" w:sz="12" w:space="1" w:color="5F80A7"/>
        <w:left w:val="single" w:sz="12" w:space="0" w:color="5F80A7"/>
        <w:bottom w:val="single" w:sz="12" w:space="1" w:color="5F80A7"/>
        <w:right w:val="single" w:sz="12" w:space="0" w:color="5F80A7"/>
      </w:pBdr>
      <w:tabs>
        <w:tab w:val="clear" w:pos="180"/>
        <w:tab w:val="clear" w:pos="360"/>
        <w:tab w:val="clear" w:pos="540"/>
        <w:tab w:val="clear" w:pos="720"/>
        <w:tab w:val="left" w:pos="9720"/>
      </w:tabs>
      <w:suppressAutoHyphens w:val="0"/>
      <w:autoSpaceDE/>
      <w:autoSpaceDN/>
      <w:adjustRightInd/>
      <w:spacing w:before="640" w:line="240" w:lineRule="auto"/>
      <w:ind w:right="258"/>
      <w:jc w:val="both"/>
      <w:textAlignment w:val="auto"/>
      <w:outlineLvl w:val="1"/>
    </w:pPr>
    <w:rPr>
      <w:rFonts w:ascii="Calibri" w:eastAsia="Times New Roman" w:hAnsi="Calibri" w:cs="Times New Roman"/>
      <w:b/>
      <w:color w:val="5F80A7"/>
      <w:sz w:val="28"/>
      <w:szCs w:val="24"/>
      <w:lang w:val="en-AU"/>
    </w:rPr>
  </w:style>
  <w:style w:type="paragraph" w:customStyle="1" w:styleId="Task-Level2Heading">
    <w:name w:val="Task-Level 2 Heading"/>
    <w:basedOn w:val="Normal"/>
    <w:next w:val="Body-Regular"/>
    <w:link w:val="Task-Level2HeadingChar"/>
    <w:uiPriority w:val="99"/>
    <w:rsid w:val="00D64158"/>
    <w:pPr>
      <w:keepNext/>
      <w:numPr>
        <w:ilvl w:val="2"/>
        <w:numId w:val="251"/>
      </w:numPr>
      <w:tabs>
        <w:tab w:val="clear" w:pos="180"/>
        <w:tab w:val="clear" w:pos="360"/>
        <w:tab w:val="clear" w:pos="540"/>
        <w:tab w:val="clear" w:pos="720"/>
      </w:tabs>
      <w:suppressAutoHyphens w:val="0"/>
      <w:autoSpaceDE/>
      <w:autoSpaceDN/>
      <w:adjustRightInd/>
      <w:spacing w:before="240" w:line="240" w:lineRule="auto"/>
      <w:ind w:right="258"/>
      <w:jc w:val="both"/>
      <w:textAlignment w:val="auto"/>
      <w:outlineLvl w:val="2"/>
    </w:pPr>
    <w:rPr>
      <w:rFonts w:ascii="Calibri" w:eastAsia="Times New Roman" w:hAnsi="Calibri" w:cs="Times New Roman"/>
      <w:b/>
      <w:color w:val="5F80A7"/>
      <w:sz w:val="26"/>
      <w:szCs w:val="26"/>
      <w:lang w:val="en-GB"/>
    </w:rPr>
  </w:style>
  <w:style w:type="character" w:customStyle="1" w:styleId="Task-Level2HeadingChar">
    <w:name w:val="Task-Level 2 Heading Char"/>
    <w:link w:val="Task-Level2Heading"/>
    <w:uiPriority w:val="99"/>
    <w:locked/>
    <w:rsid w:val="00D64158"/>
    <w:rPr>
      <w:rFonts w:ascii="Calibri" w:eastAsia="Times New Roman" w:hAnsi="Calibri" w:cs="Times New Roman"/>
      <w:b/>
      <w:color w:val="5F80A7"/>
      <w:sz w:val="26"/>
      <w:szCs w:val="26"/>
      <w:lang w:val="en-GB"/>
    </w:rPr>
  </w:style>
  <w:style w:type="paragraph" w:customStyle="1" w:styleId="Body-Bullets">
    <w:name w:val="Body - Bullets"/>
    <w:basedOn w:val="ListParagraph"/>
    <w:link w:val="Body-BulletsChar"/>
    <w:qFormat/>
    <w:rsid w:val="00BF4C39"/>
    <w:pPr>
      <w:numPr>
        <w:numId w:val="70"/>
      </w:numPr>
      <w:tabs>
        <w:tab w:val="clear" w:pos="540"/>
        <w:tab w:val="left" w:pos="450"/>
      </w:tabs>
    </w:pPr>
  </w:style>
  <w:style w:type="character" w:customStyle="1" w:styleId="Body-BulletsChar">
    <w:name w:val="Body - Bullets Char"/>
    <w:link w:val="Body-Bullets"/>
    <w:locked/>
    <w:rsid w:val="00BF4C39"/>
    <w:rPr>
      <w:sz w:val="20"/>
      <w:szCs w:val="20"/>
    </w:rPr>
  </w:style>
  <w:style w:type="paragraph" w:customStyle="1" w:styleId="Source-Graphic">
    <w:name w:val="Source-Graphic"/>
    <w:basedOn w:val="Normal"/>
    <w:link w:val="Source-GraphicChar"/>
    <w:qFormat/>
    <w:rsid w:val="00D64158"/>
    <w:pPr>
      <w:tabs>
        <w:tab w:val="clear" w:pos="180"/>
        <w:tab w:val="clear" w:pos="360"/>
        <w:tab w:val="clear" w:pos="540"/>
        <w:tab w:val="clear" w:pos="720"/>
      </w:tabs>
      <w:suppressAutoHyphens w:val="0"/>
      <w:autoSpaceDE/>
      <w:autoSpaceDN/>
      <w:adjustRightInd/>
      <w:spacing w:before="40" w:line="240" w:lineRule="auto"/>
      <w:textAlignment w:val="auto"/>
    </w:pPr>
    <w:rPr>
      <w:rFonts w:ascii="Calibri" w:eastAsia="Calibri" w:hAnsi="Calibri" w:cs="Times New Roman"/>
      <w:color w:val="808080"/>
      <w:sz w:val="16"/>
      <w:szCs w:val="16"/>
      <w:lang w:val="en-CA"/>
    </w:rPr>
  </w:style>
  <w:style w:type="character" w:customStyle="1" w:styleId="Source-GraphicChar">
    <w:name w:val="Source-Graphic Char"/>
    <w:link w:val="Source-Graphic"/>
    <w:locked/>
    <w:rsid w:val="00D64158"/>
    <w:rPr>
      <w:rFonts w:ascii="Calibri" w:eastAsia="Calibri" w:hAnsi="Calibri" w:cs="Times New Roman"/>
      <w:color w:val="808080"/>
      <w:sz w:val="16"/>
      <w:szCs w:val="16"/>
      <w:lang w:val="en-CA"/>
    </w:rPr>
  </w:style>
  <w:style w:type="character" w:customStyle="1" w:styleId="element-invisible">
    <w:name w:val="element-invisible"/>
    <w:basedOn w:val="DefaultParagraphFont"/>
    <w:rsid w:val="00EE0311"/>
  </w:style>
  <w:style w:type="character" w:styleId="IntenseReference">
    <w:name w:val="Intense Reference"/>
    <w:basedOn w:val="DefaultParagraphFont"/>
    <w:uiPriority w:val="32"/>
    <w:qFormat/>
    <w:rsid w:val="00787D01"/>
    <w:rPr>
      <w:b/>
      <w:bCs/>
      <w:smallCaps/>
      <w:color w:val="5B9BD5" w:themeColor="accent1"/>
      <w:spacing w:val="5"/>
    </w:rPr>
  </w:style>
  <w:style w:type="paragraph" w:styleId="IntenseQuote">
    <w:name w:val="Intense Quote"/>
    <w:basedOn w:val="Normal"/>
    <w:next w:val="Normal"/>
    <w:link w:val="IntenseQuoteChar"/>
    <w:uiPriority w:val="30"/>
    <w:qFormat/>
    <w:rsid w:val="00787D0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787D01"/>
    <w:rPr>
      <w:i/>
      <w:iCs/>
      <w:color w:val="5B9BD5" w:themeColor="accent1"/>
      <w:sz w:val="20"/>
      <w:szCs w:val="20"/>
    </w:rPr>
  </w:style>
  <w:style w:type="paragraph" w:styleId="Quote">
    <w:name w:val="Quote"/>
    <w:basedOn w:val="Normal"/>
    <w:next w:val="Normal"/>
    <w:link w:val="QuoteChar"/>
    <w:uiPriority w:val="29"/>
    <w:qFormat/>
    <w:rsid w:val="00787D0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87D01"/>
    <w:rPr>
      <w:i/>
      <w:iCs/>
      <w:color w:val="404040" w:themeColor="text1" w:themeTint="BF"/>
      <w:sz w:val="20"/>
      <w:szCs w:val="20"/>
    </w:rPr>
  </w:style>
  <w:style w:type="character" w:customStyle="1" w:styleId="UnresolvedMention15">
    <w:name w:val="Unresolved Mention15"/>
    <w:basedOn w:val="DefaultParagraphFont"/>
    <w:uiPriority w:val="99"/>
    <w:unhideWhenUsed/>
    <w:rsid w:val="000445E7"/>
    <w:rPr>
      <w:color w:val="808080"/>
      <w:shd w:val="clear" w:color="auto" w:fill="E6E6E6"/>
    </w:rPr>
  </w:style>
  <w:style w:type="character" w:customStyle="1" w:styleId="UnresolvedMention150">
    <w:name w:val="Unresolved Mention150"/>
    <w:basedOn w:val="DefaultParagraphFont"/>
    <w:uiPriority w:val="99"/>
    <w:semiHidden/>
    <w:unhideWhenUsed/>
    <w:rsid w:val="00DF79F4"/>
    <w:rPr>
      <w:color w:val="808080"/>
      <w:shd w:val="clear" w:color="auto" w:fill="E6E6E6"/>
    </w:rPr>
  </w:style>
  <w:style w:type="paragraph" w:styleId="TOC1">
    <w:name w:val="toc 1"/>
    <w:aliases w:val="TOC Manual"/>
    <w:basedOn w:val="Normal"/>
    <w:next w:val="Normal"/>
    <w:autoRedefine/>
    <w:uiPriority w:val="39"/>
    <w:unhideWhenUsed/>
    <w:rsid w:val="00B9191B"/>
    <w:pPr>
      <w:tabs>
        <w:tab w:val="clear" w:pos="180"/>
        <w:tab w:val="clear" w:pos="540"/>
        <w:tab w:val="clear" w:pos="720"/>
        <w:tab w:val="right" w:leader="dot" w:pos="10070"/>
      </w:tabs>
    </w:pPr>
    <w:rPr>
      <w:rFonts w:cstheme="minorHAnsi"/>
      <w:b/>
      <w:bCs/>
      <w:caps/>
    </w:rPr>
  </w:style>
  <w:style w:type="character" w:customStyle="1" w:styleId="UnresolvedMention16">
    <w:name w:val="Unresolved Mention16"/>
    <w:basedOn w:val="DefaultParagraphFont"/>
    <w:uiPriority w:val="99"/>
    <w:semiHidden/>
    <w:unhideWhenUsed/>
    <w:rsid w:val="0022454E"/>
    <w:rPr>
      <w:color w:val="808080"/>
      <w:shd w:val="clear" w:color="auto" w:fill="E6E6E6"/>
    </w:rPr>
  </w:style>
  <w:style w:type="paragraph" w:customStyle="1" w:styleId="BodyTextTitle">
    <w:name w:val="Body Text Title"/>
    <w:basedOn w:val="Normal"/>
    <w:qFormat/>
    <w:rsid w:val="002F17FB"/>
    <w:rPr>
      <w:b/>
      <w:color w:val="012768"/>
      <w:sz w:val="40"/>
    </w:rPr>
  </w:style>
  <w:style w:type="paragraph" w:customStyle="1" w:styleId="Chapter17Heading">
    <w:name w:val="Chapter 17 Heading"/>
    <w:basedOn w:val="Heading2"/>
    <w:qFormat/>
    <w:rsid w:val="000E518A"/>
    <w:pPr>
      <w:ind w:left="360"/>
    </w:pPr>
    <w:rPr>
      <w:rFonts w:asciiTheme="minorHAnsi" w:hAnsiTheme="minorHAnsi" w:cstheme="minorHAnsi"/>
      <w:sz w:val="34"/>
      <w:szCs w:val="34"/>
    </w:rPr>
  </w:style>
  <w:style w:type="character" w:customStyle="1" w:styleId="Heading6Char">
    <w:name w:val="Heading 6 Char"/>
    <w:basedOn w:val="DefaultParagraphFont"/>
    <w:link w:val="Heading6"/>
    <w:uiPriority w:val="9"/>
    <w:rsid w:val="007C249F"/>
    <w:rPr>
      <w:rFonts w:asciiTheme="majorHAnsi" w:eastAsiaTheme="majorEastAsia" w:hAnsiTheme="majorHAnsi" w:cstheme="majorBidi"/>
      <w:color w:val="1F4D78" w:themeColor="accent1" w:themeShade="7F"/>
      <w:sz w:val="20"/>
      <w:szCs w:val="20"/>
    </w:rPr>
  </w:style>
  <w:style w:type="paragraph" w:customStyle="1" w:styleId="Chapter17Subheader">
    <w:name w:val="Chapter 17 Subheader"/>
    <w:basedOn w:val="Heading2"/>
    <w:rsid w:val="007C249F"/>
  </w:style>
  <w:style w:type="paragraph" w:customStyle="1" w:styleId="TableNotes">
    <w:name w:val="Table Notes"/>
    <w:basedOn w:val="Normal"/>
    <w:qFormat/>
    <w:rsid w:val="00101A7C"/>
    <w:rPr>
      <w:color w:val="767171" w:themeColor="background2" w:themeShade="80"/>
      <w:sz w:val="16"/>
    </w:rPr>
  </w:style>
  <w:style w:type="paragraph" w:customStyle="1" w:styleId="StevenFigure">
    <w:name w:val="Steven Figure"/>
    <w:basedOn w:val="Heading5"/>
    <w:qFormat/>
    <w:rsid w:val="0006446C"/>
    <w:pPr>
      <w:jc w:val="left"/>
    </w:pPr>
    <w:rPr>
      <w:i w:val="0"/>
    </w:rPr>
  </w:style>
  <w:style w:type="table" w:customStyle="1" w:styleId="TableGrid1">
    <w:name w:val="Table Grid1"/>
    <w:basedOn w:val="TableNormal"/>
    <w:next w:val="TableGrid"/>
    <w:uiPriority w:val="39"/>
    <w:rsid w:val="00475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7">
    <w:name w:val="Unresolved Mention17"/>
    <w:basedOn w:val="DefaultParagraphFont"/>
    <w:uiPriority w:val="99"/>
    <w:unhideWhenUsed/>
    <w:rsid w:val="00FF454B"/>
    <w:rPr>
      <w:color w:val="808080"/>
      <w:shd w:val="clear" w:color="auto" w:fill="E6E6E6"/>
    </w:rPr>
  </w:style>
  <w:style w:type="paragraph" w:customStyle="1" w:styleId="NumberedList">
    <w:name w:val="Numbered List"/>
    <w:basedOn w:val="ListParagraph"/>
    <w:qFormat/>
    <w:rsid w:val="001B4F45"/>
    <w:pPr>
      <w:numPr>
        <w:numId w:val="234"/>
      </w:numPr>
      <w:tabs>
        <w:tab w:val="clear" w:pos="540"/>
        <w:tab w:val="left" w:pos="450"/>
      </w:tabs>
    </w:pPr>
  </w:style>
  <w:style w:type="paragraph" w:styleId="TOC2">
    <w:name w:val="toc 2"/>
    <w:basedOn w:val="Normal"/>
    <w:next w:val="Normal"/>
    <w:autoRedefine/>
    <w:uiPriority w:val="39"/>
    <w:unhideWhenUsed/>
    <w:rsid w:val="00542C57"/>
    <w:pPr>
      <w:tabs>
        <w:tab w:val="clear" w:pos="180"/>
        <w:tab w:val="clear" w:pos="360"/>
        <w:tab w:val="clear" w:pos="540"/>
        <w:tab w:val="clear" w:pos="720"/>
      </w:tabs>
      <w:spacing w:before="0" w:after="0"/>
      <w:ind w:left="200"/>
    </w:pPr>
    <w:rPr>
      <w:rFonts w:cstheme="minorHAnsi"/>
      <w:smallCaps/>
    </w:rPr>
  </w:style>
  <w:style w:type="paragraph" w:styleId="TOC3">
    <w:name w:val="toc 3"/>
    <w:basedOn w:val="Normal"/>
    <w:next w:val="Normal"/>
    <w:autoRedefine/>
    <w:uiPriority w:val="39"/>
    <w:unhideWhenUsed/>
    <w:rsid w:val="00542C57"/>
    <w:pPr>
      <w:tabs>
        <w:tab w:val="clear" w:pos="180"/>
        <w:tab w:val="clear" w:pos="360"/>
        <w:tab w:val="clear" w:pos="540"/>
        <w:tab w:val="clear" w:pos="720"/>
      </w:tabs>
      <w:spacing w:before="0" w:after="0"/>
      <w:ind w:left="400"/>
    </w:pPr>
    <w:rPr>
      <w:rFonts w:cstheme="minorHAnsi"/>
      <w:i/>
      <w:iCs/>
    </w:rPr>
  </w:style>
  <w:style w:type="character" w:customStyle="1" w:styleId="Heading9Char">
    <w:name w:val="Heading 9 Char"/>
    <w:basedOn w:val="DefaultParagraphFont"/>
    <w:link w:val="Heading9"/>
    <w:uiPriority w:val="9"/>
    <w:semiHidden/>
    <w:rsid w:val="005A4B1A"/>
    <w:rPr>
      <w:rFonts w:asciiTheme="majorHAnsi" w:eastAsiaTheme="majorEastAsia" w:hAnsiTheme="majorHAnsi" w:cstheme="majorBidi"/>
      <w:i/>
      <w:iCs/>
      <w:color w:val="272727" w:themeColor="text1" w:themeTint="D8"/>
      <w:sz w:val="21"/>
      <w:szCs w:val="21"/>
    </w:rPr>
  </w:style>
  <w:style w:type="character" w:customStyle="1" w:styleId="UnresolvedMention18">
    <w:name w:val="Unresolved Mention18"/>
    <w:basedOn w:val="DefaultParagraphFont"/>
    <w:uiPriority w:val="99"/>
    <w:semiHidden/>
    <w:unhideWhenUsed/>
    <w:rsid w:val="00341840"/>
    <w:rPr>
      <w:color w:val="808080"/>
      <w:shd w:val="clear" w:color="auto" w:fill="E6E6E6"/>
    </w:rPr>
  </w:style>
  <w:style w:type="character" w:customStyle="1" w:styleId="Heading7Char">
    <w:name w:val="Heading 7 Char"/>
    <w:basedOn w:val="DefaultParagraphFont"/>
    <w:link w:val="Heading7"/>
    <w:uiPriority w:val="9"/>
    <w:rsid w:val="00A95057"/>
    <w:rPr>
      <w:rFonts w:asciiTheme="majorHAnsi" w:eastAsiaTheme="majorEastAsia" w:hAnsiTheme="majorHAnsi" w:cstheme="majorBidi"/>
      <w:i/>
      <w:iCs/>
      <w:color w:val="1F4D78" w:themeColor="accent1" w:themeShade="7F"/>
      <w:sz w:val="20"/>
      <w:szCs w:val="20"/>
    </w:rPr>
  </w:style>
  <w:style w:type="table" w:styleId="GridTable2">
    <w:name w:val="Grid Table 2"/>
    <w:basedOn w:val="TableNormal"/>
    <w:uiPriority w:val="47"/>
    <w:rsid w:val="0043738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4">
    <w:name w:val="toc 4"/>
    <w:basedOn w:val="Normal"/>
    <w:next w:val="Normal"/>
    <w:autoRedefine/>
    <w:uiPriority w:val="39"/>
    <w:unhideWhenUsed/>
    <w:rsid w:val="007564A0"/>
    <w:pPr>
      <w:tabs>
        <w:tab w:val="clear" w:pos="180"/>
        <w:tab w:val="clear" w:pos="360"/>
        <w:tab w:val="clear" w:pos="540"/>
        <w:tab w:val="clear" w:pos="720"/>
      </w:tabs>
      <w:spacing w:before="0" w:after="0"/>
      <w:ind w:left="600"/>
    </w:pPr>
    <w:rPr>
      <w:rFonts w:cstheme="minorHAnsi"/>
      <w:sz w:val="18"/>
      <w:szCs w:val="18"/>
    </w:rPr>
  </w:style>
  <w:style w:type="paragraph" w:styleId="TOC5">
    <w:name w:val="toc 5"/>
    <w:basedOn w:val="Normal"/>
    <w:next w:val="Normal"/>
    <w:autoRedefine/>
    <w:uiPriority w:val="39"/>
    <w:unhideWhenUsed/>
    <w:rsid w:val="007564A0"/>
    <w:pPr>
      <w:tabs>
        <w:tab w:val="clear" w:pos="180"/>
        <w:tab w:val="clear" w:pos="360"/>
        <w:tab w:val="clear" w:pos="540"/>
        <w:tab w:val="clear" w:pos="720"/>
      </w:tabs>
      <w:spacing w:before="0" w:after="0"/>
      <w:ind w:left="800"/>
    </w:pPr>
    <w:rPr>
      <w:rFonts w:cstheme="minorHAnsi"/>
      <w:sz w:val="18"/>
      <w:szCs w:val="18"/>
    </w:rPr>
  </w:style>
  <w:style w:type="paragraph" w:styleId="TOC6">
    <w:name w:val="toc 6"/>
    <w:basedOn w:val="Normal"/>
    <w:next w:val="Normal"/>
    <w:autoRedefine/>
    <w:uiPriority w:val="39"/>
    <w:unhideWhenUsed/>
    <w:rsid w:val="007564A0"/>
    <w:pPr>
      <w:tabs>
        <w:tab w:val="clear" w:pos="180"/>
        <w:tab w:val="clear" w:pos="360"/>
        <w:tab w:val="clear" w:pos="540"/>
        <w:tab w:val="clear" w:pos="720"/>
      </w:tabs>
      <w:spacing w:before="0" w:after="0"/>
      <w:ind w:left="1000"/>
    </w:pPr>
    <w:rPr>
      <w:rFonts w:cstheme="minorHAnsi"/>
      <w:sz w:val="18"/>
      <w:szCs w:val="18"/>
    </w:rPr>
  </w:style>
  <w:style w:type="paragraph" w:styleId="TOC7">
    <w:name w:val="toc 7"/>
    <w:basedOn w:val="Normal"/>
    <w:next w:val="Normal"/>
    <w:autoRedefine/>
    <w:uiPriority w:val="39"/>
    <w:unhideWhenUsed/>
    <w:rsid w:val="007564A0"/>
    <w:pPr>
      <w:tabs>
        <w:tab w:val="clear" w:pos="180"/>
        <w:tab w:val="clear" w:pos="360"/>
        <w:tab w:val="clear" w:pos="540"/>
        <w:tab w:val="clear" w:pos="720"/>
      </w:tabs>
      <w:spacing w:before="0" w:after="0"/>
      <w:ind w:left="1200"/>
    </w:pPr>
    <w:rPr>
      <w:rFonts w:cstheme="minorHAnsi"/>
      <w:sz w:val="18"/>
      <w:szCs w:val="18"/>
    </w:rPr>
  </w:style>
  <w:style w:type="paragraph" w:styleId="TOC8">
    <w:name w:val="toc 8"/>
    <w:basedOn w:val="Normal"/>
    <w:next w:val="Normal"/>
    <w:autoRedefine/>
    <w:uiPriority w:val="39"/>
    <w:unhideWhenUsed/>
    <w:rsid w:val="007564A0"/>
    <w:pPr>
      <w:tabs>
        <w:tab w:val="clear" w:pos="180"/>
        <w:tab w:val="clear" w:pos="360"/>
        <w:tab w:val="clear" w:pos="540"/>
        <w:tab w:val="clear" w:pos="720"/>
      </w:tabs>
      <w:spacing w:before="0" w:after="0"/>
      <w:ind w:left="1400"/>
    </w:pPr>
    <w:rPr>
      <w:rFonts w:cstheme="minorHAnsi"/>
      <w:sz w:val="18"/>
      <w:szCs w:val="18"/>
    </w:rPr>
  </w:style>
  <w:style w:type="paragraph" w:styleId="TOC9">
    <w:name w:val="toc 9"/>
    <w:basedOn w:val="Normal"/>
    <w:next w:val="Normal"/>
    <w:autoRedefine/>
    <w:uiPriority w:val="39"/>
    <w:unhideWhenUsed/>
    <w:rsid w:val="007564A0"/>
    <w:pPr>
      <w:tabs>
        <w:tab w:val="clear" w:pos="180"/>
        <w:tab w:val="clear" w:pos="360"/>
        <w:tab w:val="clear" w:pos="540"/>
        <w:tab w:val="clear" w:pos="720"/>
      </w:tabs>
      <w:spacing w:before="0" w:after="0"/>
      <w:ind w:left="1600"/>
    </w:pPr>
    <w:rPr>
      <w:rFonts w:cstheme="minorHAnsi"/>
      <w:sz w:val="18"/>
      <w:szCs w:val="18"/>
    </w:rPr>
  </w:style>
  <w:style w:type="paragraph" w:styleId="BodyText">
    <w:name w:val="Body Text"/>
    <w:basedOn w:val="Normal"/>
    <w:link w:val="BodyTextChar"/>
    <w:uiPriority w:val="1"/>
    <w:qFormat/>
    <w:rsid w:val="00CF4EE9"/>
    <w:pPr>
      <w:widowControl w:val="0"/>
      <w:tabs>
        <w:tab w:val="clear" w:pos="180"/>
        <w:tab w:val="clear" w:pos="360"/>
        <w:tab w:val="clear" w:pos="540"/>
        <w:tab w:val="clear" w:pos="720"/>
      </w:tabs>
      <w:suppressAutoHyphens w:val="0"/>
      <w:adjustRightInd/>
      <w:spacing w:before="0" w:after="0" w:line="877" w:lineRule="exact"/>
      <w:ind w:left="108"/>
      <w:textAlignment w:val="auto"/>
    </w:pPr>
    <w:rPr>
      <w:rFonts w:ascii="Verdana" w:eastAsia="Verdana" w:hAnsi="Verdana" w:cs="Verdana"/>
      <w:b/>
      <w:bCs/>
      <w:sz w:val="82"/>
      <w:szCs w:val="82"/>
      <w:lang w:val="nl-NL"/>
    </w:rPr>
  </w:style>
  <w:style w:type="character" w:customStyle="1" w:styleId="BodyTextChar">
    <w:name w:val="Body Text Char"/>
    <w:basedOn w:val="DefaultParagraphFont"/>
    <w:link w:val="BodyText"/>
    <w:uiPriority w:val="1"/>
    <w:rsid w:val="00CF4EE9"/>
    <w:rPr>
      <w:rFonts w:ascii="Verdana" w:eastAsia="Verdana" w:hAnsi="Verdana" w:cs="Verdana"/>
      <w:b/>
      <w:bCs/>
      <w:sz w:val="82"/>
      <w:szCs w:val="82"/>
      <w:lang w:val="nl-NL"/>
    </w:rPr>
  </w:style>
  <w:style w:type="paragraph" w:customStyle="1" w:styleId="zNumbered">
    <w:name w:val="zNumbered"/>
    <w:basedOn w:val="ListParagraph"/>
    <w:qFormat/>
    <w:rsid w:val="00E71AD9"/>
    <w:pPr>
      <w:numPr>
        <w:numId w:val="322"/>
      </w:numPr>
      <w:tabs>
        <w:tab w:val="clear" w:pos="540"/>
        <w:tab w:val="left" w:pos="450"/>
      </w:tabs>
      <w:ind w:left="720"/>
    </w:pPr>
  </w:style>
  <w:style w:type="paragraph" w:customStyle="1" w:styleId="OneTimeUseBulletedList">
    <w:name w:val="One Time Use Bulleted List"/>
    <w:basedOn w:val="Body-Bullets"/>
    <w:qFormat/>
    <w:rsid w:val="00103039"/>
    <w:pPr>
      <w:numPr>
        <w:ilvl w:val="1"/>
        <w:numId w:val="0"/>
      </w:numPr>
      <w:ind w:left="990"/>
    </w:pPr>
  </w:style>
  <w:style w:type="paragraph" w:customStyle="1" w:styleId="SecondLevelBulletList">
    <w:name w:val="Second Level Bullet List"/>
    <w:basedOn w:val="OneTimeUseBulletedList"/>
    <w:qFormat/>
    <w:rsid w:val="00CA7ADB"/>
    <w:pPr>
      <w:numPr>
        <w:ilvl w:val="0"/>
        <w:numId w:val="325"/>
      </w:numPr>
      <w:ind w:left="1714"/>
      <w:contextualSpacing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57458">
      <w:bodyDiv w:val="1"/>
      <w:marLeft w:val="0"/>
      <w:marRight w:val="0"/>
      <w:marTop w:val="0"/>
      <w:marBottom w:val="0"/>
      <w:divBdr>
        <w:top w:val="none" w:sz="0" w:space="0" w:color="auto"/>
        <w:left w:val="none" w:sz="0" w:space="0" w:color="auto"/>
        <w:bottom w:val="none" w:sz="0" w:space="0" w:color="auto"/>
        <w:right w:val="none" w:sz="0" w:space="0" w:color="auto"/>
      </w:divBdr>
    </w:div>
    <w:div w:id="710954814">
      <w:bodyDiv w:val="1"/>
      <w:marLeft w:val="0"/>
      <w:marRight w:val="0"/>
      <w:marTop w:val="0"/>
      <w:marBottom w:val="0"/>
      <w:divBdr>
        <w:top w:val="none" w:sz="0" w:space="0" w:color="auto"/>
        <w:left w:val="none" w:sz="0" w:space="0" w:color="auto"/>
        <w:bottom w:val="none" w:sz="0" w:space="0" w:color="auto"/>
        <w:right w:val="none" w:sz="0" w:space="0" w:color="auto"/>
      </w:divBdr>
    </w:div>
    <w:div w:id="763499681">
      <w:bodyDiv w:val="1"/>
      <w:marLeft w:val="0"/>
      <w:marRight w:val="0"/>
      <w:marTop w:val="0"/>
      <w:marBottom w:val="0"/>
      <w:divBdr>
        <w:top w:val="none" w:sz="0" w:space="0" w:color="auto"/>
        <w:left w:val="none" w:sz="0" w:space="0" w:color="auto"/>
        <w:bottom w:val="none" w:sz="0" w:space="0" w:color="auto"/>
        <w:right w:val="none" w:sz="0" w:space="0" w:color="auto"/>
      </w:divBdr>
    </w:div>
    <w:div w:id="857081870">
      <w:bodyDiv w:val="1"/>
      <w:marLeft w:val="0"/>
      <w:marRight w:val="0"/>
      <w:marTop w:val="0"/>
      <w:marBottom w:val="0"/>
      <w:divBdr>
        <w:top w:val="none" w:sz="0" w:space="0" w:color="auto"/>
        <w:left w:val="none" w:sz="0" w:space="0" w:color="auto"/>
        <w:bottom w:val="none" w:sz="0" w:space="0" w:color="auto"/>
        <w:right w:val="none" w:sz="0" w:space="0" w:color="auto"/>
      </w:divBdr>
    </w:div>
    <w:div w:id="929312902">
      <w:bodyDiv w:val="1"/>
      <w:marLeft w:val="0"/>
      <w:marRight w:val="0"/>
      <w:marTop w:val="0"/>
      <w:marBottom w:val="0"/>
      <w:divBdr>
        <w:top w:val="none" w:sz="0" w:space="0" w:color="auto"/>
        <w:left w:val="none" w:sz="0" w:space="0" w:color="auto"/>
        <w:bottom w:val="none" w:sz="0" w:space="0" w:color="auto"/>
        <w:right w:val="none" w:sz="0" w:space="0" w:color="auto"/>
      </w:divBdr>
    </w:div>
    <w:div w:id="1580629166">
      <w:bodyDiv w:val="1"/>
      <w:marLeft w:val="0"/>
      <w:marRight w:val="0"/>
      <w:marTop w:val="0"/>
      <w:marBottom w:val="0"/>
      <w:divBdr>
        <w:top w:val="none" w:sz="0" w:space="0" w:color="auto"/>
        <w:left w:val="none" w:sz="0" w:space="0" w:color="auto"/>
        <w:bottom w:val="none" w:sz="0" w:space="0" w:color="auto"/>
        <w:right w:val="none" w:sz="0" w:space="0" w:color="auto"/>
      </w:divBdr>
    </w:div>
    <w:div w:id="2046371045">
      <w:bodyDiv w:val="1"/>
      <w:marLeft w:val="0"/>
      <w:marRight w:val="0"/>
      <w:marTop w:val="0"/>
      <w:marBottom w:val="0"/>
      <w:divBdr>
        <w:top w:val="none" w:sz="0" w:space="0" w:color="auto"/>
        <w:left w:val="none" w:sz="0" w:space="0" w:color="auto"/>
        <w:bottom w:val="none" w:sz="0" w:space="0" w:color="auto"/>
        <w:right w:val="none" w:sz="0" w:space="0" w:color="auto"/>
      </w:divBdr>
    </w:div>
    <w:div w:id="2095471060">
      <w:bodyDiv w:val="1"/>
      <w:marLeft w:val="0"/>
      <w:marRight w:val="0"/>
      <w:marTop w:val="0"/>
      <w:marBottom w:val="0"/>
      <w:divBdr>
        <w:top w:val="none" w:sz="0" w:space="0" w:color="auto"/>
        <w:left w:val="none" w:sz="0" w:space="0" w:color="auto"/>
        <w:bottom w:val="none" w:sz="0" w:space="0" w:color="auto"/>
        <w:right w:val="none" w:sz="0" w:space="0" w:color="auto"/>
      </w:divBdr>
    </w:div>
    <w:div w:id="2132672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agaz.org/" TargetMode="External"/><Relationship Id="rId671" Type="http://schemas.openxmlformats.org/officeDocument/2006/relationships/hyperlink" Target="https://www.law.cornell.edu/uscode/text/23/134" TargetMode="External"/><Relationship Id="rId769" Type="http://schemas.openxmlformats.org/officeDocument/2006/relationships/hyperlink" Target="https://www.law.cornell.edu/cfr/text/49/part-21" TargetMode="External"/><Relationship Id="rId976" Type="http://schemas.openxmlformats.org/officeDocument/2006/relationships/hyperlink" Target="https://www.azleg.gov/viewdocument/?docName=https://www.azleg.gov/ars/28/08486.htm" TargetMode="External"/><Relationship Id="rId21" Type="http://schemas.openxmlformats.org/officeDocument/2006/relationships/image" Target="media/image9.png"/><Relationship Id="rId324" Type="http://schemas.openxmlformats.org/officeDocument/2006/relationships/hyperlink" Target="https://www.nacog.org/menus/councils-committees.html" TargetMode="External"/><Relationship Id="rId531" Type="http://schemas.openxmlformats.org/officeDocument/2006/relationships/hyperlink" Target="https://www.law.cornell.edu/cfr/text/23/450.326" TargetMode="External"/><Relationship Id="rId629" Type="http://schemas.openxmlformats.org/officeDocument/2006/relationships/hyperlink" Target="https://www.fhwa.dot.gov/federalaid/projects.cfm" TargetMode="External"/><Relationship Id="rId1161" Type="http://schemas.openxmlformats.org/officeDocument/2006/relationships/hyperlink" Target="https://azdot.gov/sites/default/files/2019/05/lrtp-2040.pdf" TargetMode="External"/><Relationship Id="rId1259" Type="http://schemas.openxmlformats.org/officeDocument/2006/relationships/theme" Target="theme/theme1.xml"/><Relationship Id="rId170" Type="http://schemas.openxmlformats.org/officeDocument/2006/relationships/hyperlink" Target="http://www.azbikeped.org/" TargetMode="External"/><Relationship Id="rId836" Type="http://schemas.openxmlformats.org/officeDocument/2006/relationships/hyperlink" Target="https://www.azmag.gov/Portals/0/MAG-Public-Participation-Plan_English_1.pdf" TargetMode="External"/><Relationship Id="rId1021" Type="http://schemas.openxmlformats.org/officeDocument/2006/relationships/hyperlink" Target="https://www.fhwa.dot.gov/planning/congestion_management_process/cmp_guidebook/cmpguidebk.pdf" TargetMode="External"/><Relationship Id="rId1119" Type="http://schemas.openxmlformats.org/officeDocument/2006/relationships/hyperlink" Target="http://www.gpo.gov/fdsys/search/pagedetails.action?collectionCode=USCODE&amp;searchPath=Title+23%2FCHAPTER+2&amp;granuleId=USCODE-2011-title23-chap2-sec202&amp;packageId=USCODE-2011-title23&amp;oldPath=Title+23%2FCHAPTER+2&amp;fromPageDetails=true&amp;collapse=false&amp;ycord=867" TargetMode="External"/><Relationship Id="rId268" Type="http://schemas.openxmlformats.org/officeDocument/2006/relationships/hyperlink" Target="https://www.govinfo.gov/content/pkg/USCODE-2007-title49/pdf/USCODE-2007-title49-subtitleIII-chap53-sec5303.pdf" TargetMode="External"/><Relationship Id="rId475" Type="http://schemas.openxmlformats.org/officeDocument/2006/relationships/hyperlink" Target="https://www.fhwa.dot.gov/legsregs/title23.pdf" TargetMode="External"/><Relationship Id="rId682" Type="http://schemas.openxmlformats.org/officeDocument/2006/relationships/hyperlink" Target="https://www.law.cornell.edu/uscode/text/23/137" TargetMode="External"/><Relationship Id="rId903" Type="http://schemas.openxmlformats.org/officeDocument/2006/relationships/hyperlink" Target="https://azdot.gov/planning/transportation-studies/completed-transportation-studies/arizona-sonora-border-master-plan" TargetMode="External"/><Relationship Id="rId32" Type="http://schemas.openxmlformats.org/officeDocument/2006/relationships/image" Target="media/image18.png"/><Relationship Id="rId128" Type="http://schemas.openxmlformats.org/officeDocument/2006/relationships/image" Target="media/image46.jpeg"/><Relationship Id="rId335" Type="http://schemas.openxmlformats.org/officeDocument/2006/relationships/footer" Target="footer8.xml"/><Relationship Id="rId542" Type="http://schemas.openxmlformats.org/officeDocument/2006/relationships/hyperlink" Target="https://www.law.cornell.edu/uscode/text/49/5327" TargetMode="External"/><Relationship Id="rId987" Type="http://schemas.openxmlformats.org/officeDocument/2006/relationships/hyperlink" Target="https://www.epa.gov/environmental-topics/air-topics" TargetMode="External"/><Relationship Id="rId1172" Type="http://schemas.openxmlformats.org/officeDocument/2006/relationships/hyperlink" Target="https://www.fhwa.dot.gov/ipd/p3/default.aspx" TargetMode="External"/><Relationship Id="rId181" Type="http://schemas.openxmlformats.org/officeDocument/2006/relationships/hyperlink" Target="https://www.law.cornell.edu/cfr/text/23/450.210" TargetMode="External"/><Relationship Id="rId402" Type="http://schemas.openxmlformats.org/officeDocument/2006/relationships/footer" Target="footer13.xml"/><Relationship Id="rId847" Type="http://schemas.openxmlformats.org/officeDocument/2006/relationships/hyperlink" Target="https://www.wacog.com/title-vi/" TargetMode="External"/><Relationship Id="rId1032" Type="http://schemas.openxmlformats.org/officeDocument/2006/relationships/hyperlink" Target="https://www.ecfr.gov/cgi-bin/text-idx?c=ecfr&amp;sid=71cd3fabcea06a93619e3faf3ee44fdd&amp;rgn=div8&amp;view=text&amp;node=23:1.0.1.1.1.0.1.4&amp;idno=23" TargetMode="External"/><Relationship Id="rId279" Type="http://schemas.openxmlformats.org/officeDocument/2006/relationships/hyperlink" Target="https://www.azleg.gov/viewdocument/?docName=https://www.azleg.gov/ars/49/00408.htm" TargetMode="External"/><Relationship Id="rId486" Type="http://schemas.openxmlformats.org/officeDocument/2006/relationships/hyperlink" Target="https://www.fhwa.dot.gov/hep/guidance/superseded/23cfr450.cfm" TargetMode="External"/><Relationship Id="rId693" Type="http://schemas.openxmlformats.org/officeDocument/2006/relationships/hyperlink" Target="https://www.law.cornell.edu/uscode/text/23/402" TargetMode="External"/><Relationship Id="rId707" Type="http://schemas.openxmlformats.org/officeDocument/2006/relationships/hyperlink" Target="https://www.fhwa.dot.gov/planning/national_highway_system/" TargetMode="External"/><Relationship Id="rId914" Type="http://schemas.openxmlformats.org/officeDocument/2006/relationships/hyperlink" Target="https://arizonatrucking.com/" TargetMode="External"/><Relationship Id="rId43" Type="http://schemas.openxmlformats.org/officeDocument/2006/relationships/hyperlink" Target="https://www.govinfo.gov/content/pkg/CFR-2002-title23-vol1/xml/CFR-2002-title23-vol1-part450-subpartB.xml" TargetMode="External"/><Relationship Id="rId139" Type="http://schemas.openxmlformats.org/officeDocument/2006/relationships/hyperlink" Target="https://www.wacog.com/" TargetMode="External"/><Relationship Id="rId346" Type="http://schemas.openxmlformats.org/officeDocument/2006/relationships/hyperlink" Target="https://www.govinfo.gov/content/pkg/CFR-1999-title49-vol1/pdf/CFR-1999-title49-vol1-part29.pdf" TargetMode="External"/><Relationship Id="rId553" Type="http://schemas.openxmlformats.org/officeDocument/2006/relationships/hyperlink" Target="https://www.law.cornell.edu/cfr/text/23/450.326" TargetMode="External"/><Relationship Id="rId760" Type="http://schemas.openxmlformats.org/officeDocument/2006/relationships/footer" Target="footer24.xml"/><Relationship Id="rId998" Type="http://schemas.openxmlformats.org/officeDocument/2006/relationships/hyperlink" Target="https://www.fhwa.dot.gov/environment/air_quality/conformity/research/transportation_control_measures/" TargetMode="External"/><Relationship Id="rId1183" Type="http://schemas.openxmlformats.org/officeDocument/2006/relationships/hyperlink" Target="https://azdot.gov/sites/default/files/2019/05/pel-questionnaire-checklist-022712.pdf" TargetMode="External"/><Relationship Id="rId192" Type="http://schemas.openxmlformats.org/officeDocument/2006/relationships/hyperlink" Target="https://azdot.gov/sites/default/files/2019/08/adot-lrtp-final.pdf" TargetMode="External"/><Relationship Id="rId206" Type="http://schemas.openxmlformats.org/officeDocument/2006/relationships/hyperlink" Target="https://www.transit.dot.gov/state-safety-oversight" TargetMode="External"/><Relationship Id="rId413" Type="http://schemas.openxmlformats.org/officeDocument/2006/relationships/hyperlink" Target="https://azdot.gov/planning/transportation-programming/planning-programming" TargetMode="External"/><Relationship Id="rId858" Type="http://schemas.openxmlformats.org/officeDocument/2006/relationships/hyperlink" Target="https://www.transit.dot.gov/sites/fta.dot.gov/files/docs/FTA_C_9040.1F.pdf" TargetMode="External"/><Relationship Id="rId1043" Type="http://schemas.openxmlformats.org/officeDocument/2006/relationships/hyperlink" Target="https://www.fhwa.dot.gov/policyinformation/hpms/fieldmanual/" TargetMode="External"/><Relationship Id="rId497" Type="http://schemas.openxmlformats.org/officeDocument/2006/relationships/hyperlink" Target="https://www.law.cornell.edu/cfr/text/23/450.322" TargetMode="External"/><Relationship Id="rId620" Type="http://schemas.openxmlformats.org/officeDocument/2006/relationships/hyperlink" Target="https://www.azleg.gov/ars/41/01278.htm" TargetMode="External"/><Relationship Id="rId718" Type="http://schemas.openxmlformats.org/officeDocument/2006/relationships/hyperlink" Target="https://www.azleg.gov/viewdocument/?docName=https://www.azleg.gov/ars/48/00901.htm" TargetMode="External"/><Relationship Id="rId925" Type="http://schemas.openxmlformats.org/officeDocument/2006/relationships/hyperlink" Target="https://www.fhwa.dot.gov/planning/border_planning/us_mexico/" TargetMode="External"/><Relationship Id="rId1250" Type="http://schemas.openxmlformats.org/officeDocument/2006/relationships/hyperlink" Target="http://www.pedbikeinfo.org/state_contacts.cfm?ID=1" TargetMode="External"/><Relationship Id="rId357" Type="http://schemas.openxmlformats.org/officeDocument/2006/relationships/image" Target="media/image60.jpeg"/><Relationship Id="rId1110" Type="http://schemas.openxmlformats.org/officeDocument/2006/relationships/hyperlink" Target="http://www.aztribaltransportation.org/PDF/Transportation_Planning_Programming_Gdbk_Tribal_Govts.pdf" TargetMode="External"/><Relationship Id="rId1194" Type="http://schemas.openxmlformats.org/officeDocument/2006/relationships/hyperlink" Target="https://www.nrcs.usda.gov/wps/portal/nrcs/site/national/home/" TargetMode="External"/><Relationship Id="rId1208" Type="http://schemas.openxmlformats.org/officeDocument/2006/relationships/image" Target="media/image78.jpeg"/><Relationship Id="rId54" Type="http://schemas.openxmlformats.org/officeDocument/2006/relationships/hyperlink" Target="https://www.azleg.gov/viewdocument/?docName=https://www.azleg.gov/ars/28/06951.htm" TargetMode="External"/><Relationship Id="rId217" Type="http://schemas.openxmlformats.org/officeDocument/2006/relationships/hyperlink" Target="https://azdot.gov/planning/research-center" TargetMode="External"/><Relationship Id="rId564" Type="http://schemas.openxmlformats.org/officeDocument/2006/relationships/hyperlink" Target="https://azdot.gov/sites/default/files/media/2020/08/TIP-Amendment-Guidelines.pdf" TargetMode="External"/><Relationship Id="rId771" Type="http://schemas.openxmlformats.org/officeDocument/2006/relationships/hyperlink" Target="https://www.law.cornell.edu/cfr/text/49/part-37" TargetMode="External"/><Relationship Id="rId869" Type="http://schemas.openxmlformats.org/officeDocument/2006/relationships/hyperlink" Target="https://www.transit.dot.gov/grants/13093_3555.html" TargetMode="External"/><Relationship Id="rId424" Type="http://schemas.openxmlformats.org/officeDocument/2006/relationships/hyperlink" Target="https://www.azleg.gov/viewdocument/?docName=https://www.azleg.gov/ars/28/00501.htm" TargetMode="External"/><Relationship Id="rId631" Type="http://schemas.openxmlformats.org/officeDocument/2006/relationships/hyperlink" Target="https://www.govinfo.gov/app/details/USCODE-2011-title23/USCODE-2011-title23-chap1-sec101" TargetMode="External"/><Relationship Id="rId729" Type="http://schemas.openxmlformats.org/officeDocument/2006/relationships/hyperlink" Target="https://www.govinfo.gov/app/details/USCODE-2012-title49/USCODE-2012-title49-subtitleIII-chap53-sec5305" TargetMode="External"/><Relationship Id="rId1054" Type="http://schemas.openxmlformats.org/officeDocument/2006/relationships/hyperlink" Target="https://www.fhwa.dot.gov/policyinformation/hpms/2010/" TargetMode="External"/><Relationship Id="rId270" Type="http://schemas.openxmlformats.org/officeDocument/2006/relationships/hyperlink" Target="https://www.govinfo.gov/content/pkg/USCODE-2011-title23/html/USCODE-2011-title23-chap1-sec134.htm" TargetMode="External"/><Relationship Id="rId936" Type="http://schemas.openxmlformats.org/officeDocument/2006/relationships/hyperlink" Target="https://www.govinfo.gov/content/pkg/USCODE-2011-title23/pdf/USCODE-2011-title23-chap1-sec134.pdf" TargetMode="External"/><Relationship Id="rId1121" Type="http://schemas.openxmlformats.org/officeDocument/2006/relationships/hyperlink" Target="http://www.fhwa.dot.gov/legsregs/title23.pdf" TargetMode="External"/><Relationship Id="rId1219" Type="http://schemas.openxmlformats.org/officeDocument/2006/relationships/hyperlink" Target="https://ert.azgfd.gov/" TargetMode="External"/><Relationship Id="rId65" Type="http://schemas.openxmlformats.org/officeDocument/2006/relationships/image" Target="media/image24.jpeg"/><Relationship Id="rId130" Type="http://schemas.openxmlformats.org/officeDocument/2006/relationships/hyperlink" Target="https://www.seago.org/" TargetMode="External"/><Relationship Id="rId368" Type="http://schemas.openxmlformats.org/officeDocument/2006/relationships/hyperlink" Target="https://www.law.cornell.edu/cfr/text/23/420.117" TargetMode="External"/><Relationship Id="rId575" Type="http://schemas.openxmlformats.org/officeDocument/2006/relationships/footer" Target="footer19.xml"/><Relationship Id="rId782" Type="http://schemas.openxmlformats.org/officeDocument/2006/relationships/hyperlink" Target="https://www.govinfo.gov/content/pkg/USCODE-2010-title42/pdf/USCODE-2010-title42-chap61-subchapI-sec4601.pdf" TargetMode="External"/><Relationship Id="rId228" Type="http://schemas.openxmlformats.org/officeDocument/2006/relationships/hyperlink" Target="https://azdot.gov/planning/transportation-programs/state-long-range-transportation-plan" TargetMode="External"/><Relationship Id="rId435" Type="http://schemas.openxmlformats.org/officeDocument/2006/relationships/hyperlink" Target="https://www.azleg.gov/viewdocument/?docName=https://www.azleg.gov/ars/28/06955.htm" TargetMode="External"/><Relationship Id="rId642" Type="http://schemas.openxmlformats.org/officeDocument/2006/relationships/hyperlink" Target="https://www.ecfr.gov/cgi-bin/text-idx?tpl=/ecfrbrowse/Title23/23cfr450_main_02.tpl" TargetMode="External"/><Relationship Id="rId1065" Type="http://schemas.openxmlformats.org/officeDocument/2006/relationships/hyperlink" Target="https://www.fhwa.dot.gov/planning/processes/statewide/related/highway_functional_classifications/fcauab.pdf" TargetMode="External"/><Relationship Id="rId281" Type="http://schemas.openxmlformats.org/officeDocument/2006/relationships/hyperlink" Target="https://www.fhwa.dot.gov/planning/census_issues/urbanized_areas_and_mpo_tma/" TargetMode="External"/><Relationship Id="rId502" Type="http://schemas.openxmlformats.org/officeDocument/2006/relationships/hyperlink" Target="https://azdot.gov/planning/transportation-planning/tmas-mpos-and-cogs/adot-mpo-and-cog-guidelines-and-procedures" TargetMode="External"/><Relationship Id="rId947" Type="http://schemas.openxmlformats.org/officeDocument/2006/relationships/hyperlink" Target="https://azdot.gov/planning/airport-development/development-and-planning/state-airports-system-plan-sasp" TargetMode="External"/><Relationship Id="rId1132" Type="http://schemas.openxmlformats.org/officeDocument/2006/relationships/hyperlink" Target="https://gotr.azgovernor.gov/gotr/tribal-consultation-policies" TargetMode="External"/><Relationship Id="rId76" Type="http://schemas.openxmlformats.org/officeDocument/2006/relationships/image" Target="media/image270.png"/><Relationship Id="rId141" Type="http://schemas.openxmlformats.org/officeDocument/2006/relationships/hyperlink" Target="https://www.cympo.org/" TargetMode="External"/><Relationship Id="rId379" Type="http://schemas.openxmlformats.org/officeDocument/2006/relationships/hyperlink" Target="https://gao.az.gov/afis/vendor-information" TargetMode="External"/><Relationship Id="rId586" Type="http://schemas.openxmlformats.org/officeDocument/2006/relationships/hyperlink" Target="https://www.azleg.gov/viewdocument/?docName=https://www.azleg.gov/ars/28/06392.htm" TargetMode="External"/><Relationship Id="rId793" Type="http://schemas.openxmlformats.org/officeDocument/2006/relationships/hyperlink" Target="https://www.govinfo.gov/content/pkg/CFR-2012-title23-vol1/pdf/CFR-2012-title23-vol1-sec450-334.pdf" TargetMode="External"/><Relationship Id="rId807" Type="http://schemas.openxmlformats.org/officeDocument/2006/relationships/hyperlink" Target="https://azdot.gov/business/civil-rights/title-vi-nondiscrimination-program/title-vi-implementation" TargetMode="External"/><Relationship Id="rId7" Type="http://schemas.openxmlformats.org/officeDocument/2006/relationships/numbering" Target="numbering.xml"/><Relationship Id="rId239" Type="http://schemas.openxmlformats.org/officeDocument/2006/relationships/hyperlink" Target="https://railroads.dot.gov/" TargetMode="External"/><Relationship Id="rId446" Type="http://schemas.openxmlformats.org/officeDocument/2006/relationships/hyperlink" Target="https://www.law.cornell.edu/uscode/text/23/134" TargetMode="External"/><Relationship Id="rId653" Type="http://schemas.openxmlformats.org/officeDocument/2006/relationships/hyperlink" Target="https://www.govinfo.gov/app/details/USCODE-2011-title23/USCODE-2011-title23-chap1-sec104" TargetMode="External"/><Relationship Id="rId1076" Type="http://schemas.openxmlformats.org/officeDocument/2006/relationships/hyperlink" Target="https://azdot.gov/sites/default/files/2019/10/az-stsp-report-2019.pdf" TargetMode="External"/><Relationship Id="rId292" Type="http://schemas.openxmlformats.org/officeDocument/2006/relationships/image" Target="media/image55.png"/><Relationship Id="rId306" Type="http://schemas.openxmlformats.org/officeDocument/2006/relationships/hyperlink" Target="https://www.govinfo.gov/content/pkg/USCODE-2011-title23/pdf/USCODE-2011-title23-chap1-sec134.pdf" TargetMode="External"/><Relationship Id="rId860" Type="http://schemas.openxmlformats.org/officeDocument/2006/relationships/hyperlink" Target="https://www.law.cornell.edu/cfr/text/49/625.55" TargetMode="External"/><Relationship Id="rId958" Type="http://schemas.openxmlformats.org/officeDocument/2006/relationships/hyperlink" Target="https://azdot.gov/sites/default/files/2019/05/2011_la_grant_checklist.pdf" TargetMode="External"/><Relationship Id="rId1143" Type="http://schemas.openxmlformats.org/officeDocument/2006/relationships/hyperlink" Target="https://www.transit.dot.gov/funding/grants/formula-grants-rural-areas-fact-sheet-section-5311" TargetMode="External"/><Relationship Id="rId87" Type="http://schemas.openxmlformats.org/officeDocument/2006/relationships/hyperlink" Target="https://www.flagstaff.az.gov/995/Flagstaff-Metropolitan-Planning-Organiza" TargetMode="External"/><Relationship Id="rId513" Type="http://schemas.openxmlformats.org/officeDocument/2006/relationships/hyperlink" Target="https://www.govinfo.gov/content/pkg/USCODE-2011-title23/pdf/USCODE-2011-title23-chap1-sec139.pdf" TargetMode="External"/><Relationship Id="rId597" Type="http://schemas.openxmlformats.org/officeDocument/2006/relationships/hyperlink" Target="https://www.govinfo.gov/app/details/CFR-2014-title2-vol1/CFR-2014-title2-vol1-part200/summary" TargetMode="External"/><Relationship Id="rId720" Type="http://schemas.openxmlformats.org/officeDocument/2006/relationships/hyperlink" Target="https://www.azleg.gov/viewdocument/?docName=https://www.azleg.gov/ars/28/06712.htm" TargetMode="External"/><Relationship Id="rId818" Type="http://schemas.openxmlformats.org/officeDocument/2006/relationships/hyperlink" Target="https://azdot.gov/business/civil-rights/title-vi-nondiscrimination-program/title-vi-implementation" TargetMode="External"/><Relationship Id="rId152" Type="http://schemas.openxmlformats.org/officeDocument/2006/relationships/header" Target="header2.xml"/><Relationship Id="rId457" Type="http://schemas.openxmlformats.org/officeDocument/2006/relationships/hyperlink" Target="https://18b4wg1zsjp31kslx82j41oc-wpengine.netdna-ssl.com/wp-content/uploads/2014/10/SVMPO-RTP-2040-MASTER_1003Approved.pdf" TargetMode="External"/><Relationship Id="rId1003" Type="http://schemas.openxmlformats.org/officeDocument/2006/relationships/hyperlink" Target="https://azdot.gov/business/environmental-planning/air-quality/guidance-air-quality" TargetMode="External"/><Relationship Id="rId1087" Type="http://schemas.openxmlformats.org/officeDocument/2006/relationships/hyperlink" Target="https://www.azleg.gov/viewdocument/?docName=https://www.azleg.gov/ars/28/00505.htm" TargetMode="External"/><Relationship Id="rId1210" Type="http://schemas.openxmlformats.org/officeDocument/2006/relationships/image" Target="media/image79.png"/><Relationship Id="rId664" Type="http://schemas.openxmlformats.org/officeDocument/2006/relationships/hyperlink" Target="https://www.fhwa.dot.gov/policy/olsp/financingfederalaid/apph.cfm#9b" TargetMode="External"/><Relationship Id="rId871" Type="http://schemas.openxmlformats.org/officeDocument/2006/relationships/hyperlink" Target="https://www.transit.dot.gov/regulations-and-guidance/fta-circulars/final-circulars" TargetMode="External"/><Relationship Id="rId969" Type="http://schemas.openxmlformats.org/officeDocument/2006/relationships/image" Target="media/image68.jpeg"/><Relationship Id="rId14" Type="http://schemas.openxmlformats.org/officeDocument/2006/relationships/image" Target="media/image2.png"/><Relationship Id="rId317" Type="http://schemas.openxmlformats.org/officeDocument/2006/relationships/hyperlink" Target="https://www.cympo.org/technical-advisory-committee/" TargetMode="External"/><Relationship Id="rId524" Type="http://schemas.openxmlformats.org/officeDocument/2006/relationships/hyperlink" Target="https://www.law.cornell.edu/cfr/text/23/450.316" TargetMode="External"/><Relationship Id="rId731" Type="http://schemas.openxmlformats.org/officeDocument/2006/relationships/hyperlink" Target="https://www.govinfo.gov/content/pkg/CFR-2003-title49-vol1/pdf/CFR-2003-title49-vol1-part26.pdf" TargetMode="External"/><Relationship Id="rId1154" Type="http://schemas.openxmlformats.org/officeDocument/2006/relationships/hyperlink" Target="http://www.aztribaltransportation.org/PDF/FY19-ADOT-Annual-Tribal-Consultation-Report-100119.pdf" TargetMode="External"/><Relationship Id="rId98" Type="http://schemas.openxmlformats.org/officeDocument/2006/relationships/hyperlink" Target="https://scmpo.org/" TargetMode="External"/><Relationship Id="rId163" Type="http://schemas.openxmlformats.org/officeDocument/2006/relationships/image" Target="media/image53.png"/><Relationship Id="rId370" Type="http://schemas.openxmlformats.org/officeDocument/2006/relationships/hyperlink" Target="https://www.govinfo.gov/app/details/CFR-2014-title2-vol1/CFR-2014-title2-vol1-part200" TargetMode="External"/><Relationship Id="rId829" Type="http://schemas.openxmlformats.org/officeDocument/2006/relationships/hyperlink" Target="https://azdot.gov/sites/default/files/2019/05/adot-public-involvement-plan.pdf" TargetMode="External"/><Relationship Id="rId1014" Type="http://schemas.openxmlformats.org/officeDocument/2006/relationships/hyperlink" Target="https://azdot.gov/business/environmental-planning/air-quality/guidance-air-quality" TargetMode="External"/><Relationship Id="rId1221" Type="http://schemas.openxmlformats.org/officeDocument/2006/relationships/hyperlink" Target="https://www.cdc.gov/healthyplaces/fundedhias/arizona.htm" TargetMode="External"/><Relationship Id="rId230" Type="http://schemas.openxmlformats.org/officeDocument/2006/relationships/hyperlink" Target="https://www.transit.dot.gov/regulations-and-guidance/transportation-planning/metropolitan-transportation-plan-mtp" TargetMode="External"/><Relationship Id="rId468" Type="http://schemas.openxmlformats.org/officeDocument/2006/relationships/hyperlink" Target="https://www.law.cornell.edu/uscode/text/23/134" TargetMode="External"/><Relationship Id="rId675" Type="http://schemas.openxmlformats.org/officeDocument/2006/relationships/hyperlink" Target="https://www.law.cornell.edu/uscode/text/23/133" TargetMode="External"/><Relationship Id="rId882" Type="http://schemas.openxmlformats.org/officeDocument/2006/relationships/hyperlink" Target="https://www.govinfo.gov/app/details/USCODE-2018-title23/USCODE-2018-title23-chap1-sec133" TargetMode="External"/><Relationship Id="rId1098" Type="http://schemas.openxmlformats.org/officeDocument/2006/relationships/hyperlink" Target="https://safety.fhwa.dot.gov/hsip/resources/fhwasa09029/fhwasa09029.pdf" TargetMode="External"/><Relationship Id="rId25" Type="http://schemas.openxmlformats.org/officeDocument/2006/relationships/hyperlink" Target="https://azdot.gov/" TargetMode="External"/><Relationship Id="rId328" Type="http://schemas.openxmlformats.org/officeDocument/2006/relationships/image" Target="media/image59.png"/><Relationship Id="rId535" Type="http://schemas.openxmlformats.org/officeDocument/2006/relationships/hyperlink" Target="https://www.law.cornell.edu/uscode/text/23/402" TargetMode="External"/><Relationship Id="rId742" Type="http://schemas.openxmlformats.org/officeDocument/2006/relationships/hyperlink" Target="https://www.govinfo.gov/content/pkg/USCODE-2010-title42/pdf/USCODE-2010-title42-chap21-subchapV-sec2000d-1.pdf" TargetMode="External"/><Relationship Id="rId1165" Type="http://schemas.openxmlformats.org/officeDocument/2006/relationships/oleObject" Target="embeddings/oleObject1.bin"/><Relationship Id="rId174" Type="http://schemas.openxmlformats.org/officeDocument/2006/relationships/hyperlink" Target="https://azdot.gov/planning/transportation-programs/planning-assistance-rural-areas-para-program/para-planning-studies" TargetMode="External"/><Relationship Id="rId381" Type="http://schemas.openxmlformats.org/officeDocument/2006/relationships/footer" Target="footer11.xml"/><Relationship Id="rId602" Type="http://schemas.openxmlformats.org/officeDocument/2006/relationships/hyperlink" Target="https://www.govinfo.gov/app/details/CFR-2019-title2-vol1/CFR-2019-title2-vol1-sec200-512/summary" TargetMode="External"/><Relationship Id="rId1025" Type="http://schemas.openxmlformats.org/officeDocument/2006/relationships/hyperlink" Target="https://www.law.cornell.edu/cfr/text/23/450.320" TargetMode="External"/><Relationship Id="rId1232" Type="http://schemas.openxmlformats.org/officeDocument/2006/relationships/hyperlink" Target="https://www.govinfo.gov/content/pkg/USCODE-2010-title23/pdf/USCODE-2010-title23-chap1-sec135.pdf" TargetMode="External"/><Relationship Id="rId241" Type="http://schemas.openxmlformats.org/officeDocument/2006/relationships/hyperlink" Target="https://www.faa.gov/" TargetMode="External"/><Relationship Id="rId479" Type="http://schemas.openxmlformats.org/officeDocument/2006/relationships/hyperlink" Target="https://www.fhwa.dot.gov/legsregs/title23.pdf" TargetMode="External"/><Relationship Id="rId686" Type="http://schemas.openxmlformats.org/officeDocument/2006/relationships/hyperlink" Target="https://www.law.cornell.edu/uscode/text/23/329" TargetMode="External"/><Relationship Id="rId893" Type="http://schemas.openxmlformats.org/officeDocument/2006/relationships/hyperlink" Target="http://www.bnsf.com/" TargetMode="External"/><Relationship Id="rId907" Type="http://schemas.openxmlformats.org/officeDocument/2006/relationships/hyperlink" Target="https://azdot.gov/sites/default/files/2019/08/arizona-state-freight-plan-110917.pdf" TargetMode="External"/><Relationship Id="rId36" Type="http://schemas.openxmlformats.org/officeDocument/2006/relationships/hyperlink" Target="https://www.govinfo.gov/content/pkg/USCODE-2011-title23/pdf/USCODE-2011-title23-chap1-sec134.pdf" TargetMode="External"/><Relationship Id="rId339" Type="http://schemas.openxmlformats.org/officeDocument/2006/relationships/hyperlink" Target="https://www.govinfo.gov/content/pkg/CFR-2011-title23-vol1/pdf/CFR-2011-title23-vol1-sec450-308.pdf" TargetMode="External"/><Relationship Id="rId546" Type="http://schemas.openxmlformats.org/officeDocument/2006/relationships/hyperlink" Target="https://www.law.cornell.edu/uscode/text/23/134" TargetMode="External"/><Relationship Id="rId753" Type="http://schemas.openxmlformats.org/officeDocument/2006/relationships/hyperlink" Target="https://www.govinfo.gov/content/pkg/USCODE-2011-title23/pdf/USCODE-2011-title23-chap1-sec134.pdf" TargetMode="External"/><Relationship Id="rId1176" Type="http://schemas.openxmlformats.org/officeDocument/2006/relationships/hyperlink" Target="https://www.govinfo.gov/content/pkg/CFR-2013-title23-vol1/pdf/CFR-2013-title23-vol1-part450-appA.pdf" TargetMode="External"/><Relationship Id="rId101" Type="http://schemas.openxmlformats.org/officeDocument/2006/relationships/image" Target="media/image36.jpeg"/><Relationship Id="rId185" Type="http://schemas.openxmlformats.org/officeDocument/2006/relationships/hyperlink" Target="https://azdot.gov/about/boards-and-committees/priority-planning-advisory-committee" TargetMode="External"/><Relationship Id="rId406" Type="http://schemas.openxmlformats.org/officeDocument/2006/relationships/hyperlink" Target="https://www.law.cornell.edu/cfr/text/23/450.326" TargetMode="External"/><Relationship Id="rId960" Type="http://schemas.openxmlformats.org/officeDocument/2006/relationships/hyperlink" Target="https://azdot.gov/sites/default/files/2019/05/2011_env_grant_checklist_.pdf" TargetMode="External"/><Relationship Id="rId1036" Type="http://schemas.openxmlformats.org/officeDocument/2006/relationships/hyperlink" Target="https://www.ecfr.gov/cgi-bin/text-idx?c=ecfr&amp;rgn=div5&amp;view=text&amp;node=23:1.0.1.5.11&amp;idno=23" TargetMode="External"/><Relationship Id="rId1243" Type="http://schemas.openxmlformats.org/officeDocument/2006/relationships/hyperlink" Target="https://www.fhwa.dot.gov/publications/research/safety/pedbike/98165/index.cfm" TargetMode="External"/><Relationship Id="rId392" Type="http://schemas.openxmlformats.org/officeDocument/2006/relationships/hyperlink" Target="mailto:mpdinvoice@azdot.gov" TargetMode="External"/><Relationship Id="rId613" Type="http://schemas.openxmlformats.org/officeDocument/2006/relationships/hyperlink" Target="https://www.fhwa.dot.gov/azdiv/" TargetMode="External"/><Relationship Id="rId697" Type="http://schemas.openxmlformats.org/officeDocument/2006/relationships/hyperlink" Target="https://www.law.cornell.edu/uscode/text/23/133" TargetMode="External"/><Relationship Id="rId820" Type="http://schemas.openxmlformats.org/officeDocument/2006/relationships/hyperlink" Target="https://www.govinfo.gov/app/collection/cfr/" TargetMode="External"/><Relationship Id="rId918" Type="http://schemas.openxmlformats.org/officeDocument/2006/relationships/hyperlink" Target="https://www.fhwa.dot.gov/planning/border_planning/us_mexico/" TargetMode="External"/><Relationship Id="rId252" Type="http://schemas.openxmlformats.org/officeDocument/2006/relationships/hyperlink" Target="https://www.law.cornell.edu/cfr/text/25/170.421" TargetMode="External"/><Relationship Id="rId1103" Type="http://schemas.openxmlformats.org/officeDocument/2006/relationships/hyperlink" Target="https://safety.fhwa.dot.gov/hsip/resources/fhwasa09029/fhwasa09029.pdf" TargetMode="External"/><Relationship Id="rId1187" Type="http://schemas.openxmlformats.org/officeDocument/2006/relationships/hyperlink" Target="https://www.usgs.gov/core-science-systems/national-geospatial-program/topographic-maps" TargetMode="External"/><Relationship Id="rId47" Type="http://schemas.openxmlformats.org/officeDocument/2006/relationships/hyperlink" Target="https://www.govinfo.gov/content/pkg/USCODE-2010-title49/pdf/USCODE-2010-title49-subtitleIII-chap53-sec5304.pdf" TargetMode="External"/><Relationship Id="rId112" Type="http://schemas.openxmlformats.org/officeDocument/2006/relationships/image" Target="media/image39.jpeg"/><Relationship Id="rId557" Type="http://schemas.openxmlformats.org/officeDocument/2006/relationships/hyperlink" Target="https://www.law.cornell.edu/cfr/text/40/part-93" TargetMode="External"/><Relationship Id="rId764" Type="http://schemas.openxmlformats.org/officeDocument/2006/relationships/hyperlink" Target="https://www.govinfo.gov/content/pkg/USCODE-2010-title29/pdf/USCODE-2010-title29-chap16-subchapV-sec794.pdf" TargetMode="External"/><Relationship Id="rId971" Type="http://schemas.openxmlformats.org/officeDocument/2006/relationships/hyperlink" Target="https://azre.gov/military-airports" TargetMode="External"/><Relationship Id="rId196" Type="http://schemas.openxmlformats.org/officeDocument/2006/relationships/hyperlink" Target="https://azdot.gov/sites/default/files/2019/08/adot-lrtp-final.pdf" TargetMode="External"/><Relationship Id="rId417" Type="http://schemas.openxmlformats.org/officeDocument/2006/relationships/hyperlink" Target="https://www.govinfo.gov/content/pkg/USCODE-2011-title49/pdf/USCODE-2011-title49-subtitleIII-chap53-sec5303.pdf" TargetMode="External"/><Relationship Id="rId624" Type="http://schemas.openxmlformats.org/officeDocument/2006/relationships/hyperlink" Target="https://www.govinfo.gov/app/details/CFR-2014-title2-vol1/CFR-2014-title2-vol1-part200/summary" TargetMode="External"/><Relationship Id="rId831" Type="http://schemas.openxmlformats.org/officeDocument/2006/relationships/hyperlink" Target="https://www.govinfo.gov/content/pkg/USCODE-2011-title23/pdf/USCODE-2011-title23-chap1-sec134.pdf" TargetMode="External"/><Relationship Id="rId1047" Type="http://schemas.openxmlformats.org/officeDocument/2006/relationships/hyperlink" Target="https://storymaps.arcgis.com/stories/5278a189882148b79d7422ef94a3c4be" TargetMode="External"/><Relationship Id="rId1254" Type="http://schemas.openxmlformats.org/officeDocument/2006/relationships/hyperlink" Target="https://gohs.az.gov/highway-safety-programs/pedestrian-safety" TargetMode="External"/><Relationship Id="rId263" Type="http://schemas.openxmlformats.org/officeDocument/2006/relationships/hyperlink" Target="https://www.govinfo.gov/content/pkg/USCODE-2011-title23/pdf/USCODE-2011-title23-chap1-sec134.pdf" TargetMode="External"/><Relationship Id="rId470" Type="http://schemas.openxmlformats.org/officeDocument/2006/relationships/hyperlink" Target="https://www.law.cornell.edu/uscode/text/23/217" TargetMode="External"/><Relationship Id="rId929" Type="http://schemas.openxmlformats.org/officeDocument/2006/relationships/footer" Target="footer32.xml"/><Relationship Id="rId1114" Type="http://schemas.openxmlformats.org/officeDocument/2006/relationships/hyperlink" Target="http://www.aztribaltransportation.org/training.asp" TargetMode="External"/><Relationship Id="rId58" Type="http://schemas.openxmlformats.org/officeDocument/2006/relationships/hyperlink" Target="http://azmag.gov/" TargetMode="External"/><Relationship Id="rId123" Type="http://schemas.openxmlformats.org/officeDocument/2006/relationships/hyperlink" Target="https://www.nacog.org/" TargetMode="External"/><Relationship Id="rId330" Type="http://schemas.openxmlformats.org/officeDocument/2006/relationships/hyperlink" Target="https://azdot.gov/planning/transportation-programming/state-transportation-improvement-program-stip" TargetMode="External"/><Relationship Id="rId568" Type="http://schemas.openxmlformats.org/officeDocument/2006/relationships/hyperlink" Target="https://azdot.gov/sites/default/files/media/2020/08/TIP-Amendment-Guidelines.pdf" TargetMode="External"/><Relationship Id="rId775" Type="http://schemas.openxmlformats.org/officeDocument/2006/relationships/hyperlink" Target="https://www.govinfo.gov/content/pkg/USCODE-2008-title42/pdf/USCODE-2008-title42-chap21-subchapV.pdf" TargetMode="External"/><Relationship Id="rId982" Type="http://schemas.openxmlformats.org/officeDocument/2006/relationships/hyperlink" Target="https://www.govinfo.gov/content/pkg/FR-2008-11-12/html/E8-25654.htm" TargetMode="External"/><Relationship Id="rId1198" Type="http://schemas.openxmlformats.org/officeDocument/2006/relationships/hyperlink" Target="https://azdot.gov/business/environmental-planning/air-quality/guidance-air-quality" TargetMode="External"/><Relationship Id="rId428" Type="http://schemas.openxmlformats.org/officeDocument/2006/relationships/hyperlink" Target="https://www.azleg.gov/viewdocument/?docName=https://www.azleg.gov/ars/28/00505.htm" TargetMode="External"/><Relationship Id="rId635" Type="http://schemas.openxmlformats.org/officeDocument/2006/relationships/hyperlink" Target="https://www.govinfo.gov/app/details/USCODE-2011-title23/USCODE-2011-title23-chap1-sec134" TargetMode="External"/><Relationship Id="rId842" Type="http://schemas.openxmlformats.org/officeDocument/2006/relationships/hyperlink" Target="https://18b4wg1zsjp31kslx82j41oc-wpengine.netdna-ssl.com/wp-content/uploads/2019/01/2019-Public-Participation-Plan-APPROVED.pdf" TargetMode="External"/><Relationship Id="rId1058" Type="http://schemas.openxmlformats.org/officeDocument/2006/relationships/hyperlink" Target="https://www.fhwa.dot.gov/policy/ohpi/hpms/fchguidance.cfm" TargetMode="External"/><Relationship Id="rId274" Type="http://schemas.openxmlformats.org/officeDocument/2006/relationships/hyperlink" Target="https://www.govinfo.gov/content/pkg/CFR-2012-title27-vol2/pdf/CFR-2012-title27-vol2-chapI-subchapB.pdf" TargetMode="External"/><Relationship Id="rId481" Type="http://schemas.openxmlformats.org/officeDocument/2006/relationships/hyperlink" Target="https://www.fhwa.dot.gov/legsregs/title23.pdf" TargetMode="External"/><Relationship Id="rId702" Type="http://schemas.openxmlformats.org/officeDocument/2006/relationships/hyperlink" Target="https://www.law.cornell.edu/uscode/text/23/133" TargetMode="External"/><Relationship Id="rId1125" Type="http://schemas.openxmlformats.org/officeDocument/2006/relationships/hyperlink" Target="http://www2.epa.gov/laws-regulations/summary-executive-order-13175-consultation-and-coordination-indian-tribal" TargetMode="External"/><Relationship Id="rId69" Type="http://schemas.openxmlformats.org/officeDocument/2006/relationships/hyperlink" Target="https://pagregion.com/" TargetMode="External"/><Relationship Id="rId134" Type="http://schemas.openxmlformats.org/officeDocument/2006/relationships/image" Target="media/image48.jpeg"/><Relationship Id="rId579" Type="http://schemas.openxmlformats.org/officeDocument/2006/relationships/hyperlink" Target="https://www.fhwa.dot.gov/safetealu/" TargetMode="External"/><Relationship Id="rId786" Type="http://schemas.openxmlformats.org/officeDocument/2006/relationships/hyperlink" Target="https://www.govinfo.gov/content/pkg/CFR-2010-title49-vol1/pdf/CFR-2010-title49-vol1-part26.pdf" TargetMode="External"/><Relationship Id="rId993" Type="http://schemas.openxmlformats.org/officeDocument/2006/relationships/hyperlink" Target="https://azdot.gov/business/environmental-planning/air-quality/guidance-air-quality" TargetMode="External"/><Relationship Id="rId341" Type="http://schemas.openxmlformats.org/officeDocument/2006/relationships/hyperlink" Target="https://www.govinfo.gov/content/pkg/USCODE-2011-title23/pdf/USCODE-2011-title23-chap1-sec135.pdf" TargetMode="External"/><Relationship Id="rId439" Type="http://schemas.openxmlformats.org/officeDocument/2006/relationships/hyperlink" Target="https://www.govinfo.gov/content/pkg/PLAW-112publ141/pdf/PLAW-112publ141.pdf" TargetMode="External"/><Relationship Id="rId646" Type="http://schemas.openxmlformats.org/officeDocument/2006/relationships/hyperlink" Target="https://www.ecfr.gov/cgi-bin/text-idx?SID=b20169633ca5b61fbfef2c908b9973a9&amp;mc=true&amp;node=se23.1.450_1328&amp;rgn=div8" TargetMode="External"/><Relationship Id="rId1069" Type="http://schemas.openxmlformats.org/officeDocument/2006/relationships/image" Target="media/image70.jpeg"/><Relationship Id="rId201" Type="http://schemas.openxmlformats.org/officeDocument/2006/relationships/hyperlink" Target="https://azdot.gov/sites/default/files/2019/05/2018-adot-state-management-plan.pdf" TargetMode="External"/><Relationship Id="rId285" Type="http://schemas.openxmlformats.org/officeDocument/2006/relationships/hyperlink" Target="https://www.govinfo.gov/content/pkg/USCODE-2011-title23/pdf/USCODE-2011-title23-chap1-sec134.pdf" TargetMode="External"/><Relationship Id="rId506" Type="http://schemas.openxmlformats.org/officeDocument/2006/relationships/hyperlink" Target="https://www.law.cornell.edu/cfr/text/23/450.104" TargetMode="External"/><Relationship Id="rId853" Type="http://schemas.openxmlformats.org/officeDocument/2006/relationships/hyperlink" Target="https://www.transit.dot.gov/regulations-and-guidance/fta-circulars/full-funding-grant-agreements-guidance" TargetMode="External"/><Relationship Id="rId1136" Type="http://schemas.openxmlformats.org/officeDocument/2006/relationships/hyperlink" Target="https://www.azleg.gov/viewdocument/?docName=https://www.azleg.gov/ars/28/00332.htm" TargetMode="External"/><Relationship Id="rId492" Type="http://schemas.openxmlformats.org/officeDocument/2006/relationships/hyperlink" Target="https://www.environment.fhwa.dot.gov/env_initiatives/PEL.aspx" TargetMode="External"/><Relationship Id="rId713" Type="http://schemas.openxmlformats.org/officeDocument/2006/relationships/hyperlink" Target="https://www.govinfo.gov/app/details/USCODE-2015-title49/USCODE-2015-title49-subtitleIII-chap53-sec5307" TargetMode="External"/><Relationship Id="rId797" Type="http://schemas.openxmlformats.org/officeDocument/2006/relationships/hyperlink" Target="https://www.govinfo.gov/app/details/USCODE-2011-title23/USCODE-2011-title23-chap1-sec134" TargetMode="External"/><Relationship Id="rId920" Type="http://schemas.openxmlformats.org/officeDocument/2006/relationships/hyperlink" Target="https://www.fhwa.dot.gov/planning/border_planning/us_mexico/" TargetMode="External"/><Relationship Id="rId145" Type="http://schemas.openxmlformats.org/officeDocument/2006/relationships/hyperlink" Target="http://www.lhmpo.org/" TargetMode="External"/><Relationship Id="rId352" Type="http://schemas.openxmlformats.org/officeDocument/2006/relationships/hyperlink" Target="http://www.lhmpo.org/docs/default-source/federal-required-documents/fy20-fy21-upwp-04022019.pdf?sfvrsn=4f1cc5f0_10" TargetMode="External"/><Relationship Id="rId1203" Type="http://schemas.openxmlformats.org/officeDocument/2006/relationships/hyperlink" Target="https://www.azleg.gov/arsDetail/?title=37" TargetMode="External"/><Relationship Id="rId212" Type="http://schemas.openxmlformats.org/officeDocument/2006/relationships/hyperlink" Target="https://azdot.gov/business/engineering-and-construction/roadway-engineering/roadway-predesign" TargetMode="External"/><Relationship Id="rId657" Type="http://schemas.openxmlformats.org/officeDocument/2006/relationships/hyperlink" Target="https://www.govinfo.gov/app/details/USCODE-2011-title23/USCODE-2011-title23-chap1-sec104" TargetMode="External"/><Relationship Id="rId864" Type="http://schemas.openxmlformats.org/officeDocument/2006/relationships/hyperlink" Target="https://www.transit.dot.gov/funding/grantee-resources/certifications-and-assurances/fiscal-year-2013-annual-list-certifications" TargetMode="External"/><Relationship Id="rId296" Type="http://schemas.openxmlformats.org/officeDocument/2006/relationships/hyperlink" Target="https://www.law.cornell.edu/uscode/text/23/134" TargetMode="External"/><Relationship Id="rId517" Type="http://schemas.openxmlformats.org/officeDocument/2006/relationships/hyperlink" Target="https://www.fhwa.dot.gov/hep/guidance/superseded/23cfr500.cfm" TargetMode="External"/><Relationship Id="rId724" Type="http://schemas.openxmlformats.org/officeDocument/2006/relationships/footer" Target="footer22.xml"/><Relationship Id="rId931" Type="http://schemas.openxmlformats.org/officeDocument/2006/relationships/hyperlink" Target="https://azdot.gov/planning/airport-development" TargetMode="External"/><Relationship Id="rId1147" Type="http://schemas.openxmlformats.org/officeDocument/2006/relationships/hyperlink" Target="http://aztribaltransportation.org/PDF/ADOT-MGT-16-01-Tribal-Consultation.pdf" TargetMode="External"/><Relationship Id="rId60" Type="http://schemas.openxmlformats.org/officeDocument/2006/relationships/hyperlink" Target="https://www.azmag.gov/" TargetMode="External"/><Relationship Id="rId156" Type="http://schemas.openxmlformats.org/officeDocument/2006/relationships/footer" Target="footer5.xml"/><Relationship Id="rId363" Type="http://schemas.openxmlformats.org/officeDocument/2006/relationships/hyperlink" Target="https://www.law.cornell.edu/uscode/text/49/5303" TargetMode="External"/><Relationship Id="rId570" Type="http://schemas.openxmlformats.org/officeDocument/2006/relationships/hyperlink" Target="https://azdot.gov/sites/default/files/media/2020/08/SW_Submitting-Invoice_EGrants.pdf" TargetMode="External"/><Relationship Id="rId1007" Type="http://schemas.openxmlformats.org/officeDocument/2006/relationships/hyperlink" Target="https://www.epa.gov/state-and-local-transportation" TargetMode="External"/><Relationship Id="rId1214" Type="http://schemas.openxmlformats.org/officeDocument/2006/relationships/hyperlink" Target="https://www.epa.gov/environmental-topics/greener-living" TargetMode="External"/><Relationship Id="rId223" Type="http://schemas.openxmlformats.org/officeDocument/2006/relationships/hyperlink" Target="https://highways.dot.gov/federal-lands/about/contacts" TargetMode="External"/><Relationship Id="rId430" Type="http://schemas.openxmlformats.org/officeDocument/2006/relationships/hyperlink" Target="https://www.azleg.gov/viewdocument/?docName=https://www.azleg.gov/ars/28/00507.htm" TargetMode="External"/><Relationship Id="rId668" Type="http://schemas.openxmlformats.org/officeDocument/2006/relationships/hyperlink" Target="https://www.law.cornell.edu/cfr/text/2/200.96" TargetMode="External"/><Relationship Id="rId875" Type="http://schemas.openxmlformats.org/officeDocument/2006/relationships/footer" Target="footer31.xml"/><Relationship Id="rId1060" Type="http://schemas.openxmlformats.org/officeDocument/2006/relationships/hyperlink" Target="https://azgeo.az.gov/adot/WeLoveYourInput.aspx" TargetMode="External"/><Relationship Id="rId18" Type="http://schemas.openxmlformats.org/officeDocument/2006/relationships/header" Target="header1.xml"/><Relationship Id="rId528" Type="http://schemas.openxmlformats.org/officeDocument/2006/relationships/hyperlink" Target="https://www.law.cornell.edu/cfr/text/23/450.326" TargetMode="External"/><Relationship Id="rId735" Type="http://schemas.openxmlformats.org/officeDocument/2006/relationships/hyperlink" Target="https://www.govinfo.gov/content/pkg/CFR-2002-title23-vol1/pdf/CFR-2002-title23-vol1-part230.pdf" TargetMode="External"/><Relationship Id="rId942" Type="http://schemas.openxmlformats.org/officeDocument/2006/relationships/hyperlink" Target="https://www.faa.gov/airports/planning_capacity/npias/" TargetMode="External"/><Relationship Id="rId1158" Type="http://schemas.openxmlformats.org/officeDocument/2006/relationships/hyperlink" Target="http://www.aztribaltransportation.org/training.asp" TargetMode="External"/><Relationship Id="rId167" Type="http://schemas.openxmlformats.org/officeDocument/2006/relationships/hyperlink" Target="http://www.aztribaltransportation.org/" TargetMode="External"/><Relationship Id="rId374" Type="http://schemas.openxmlformats.org/officeDocument/2006/relationships/hyperlink" Target="https://egrants.azdot.gov/Login2.aspx?APPTHEME=AZDOT" TargetMode="External"/><Relationship Id="rId581" Type="http://schemas.openxmlformats.org/officeDocument/2006/relationships/hyperlink" Target="https://www.fhwa.dot.gov/fastact/" TargetMode="External"/><Relationship Id="rId1018" Type="http://schemas.openxmlformats.org/officeDocument/2006/relationships/hyperlink" Target="https://www.fhwa.dot.gov/planning/congestion_management_process/" TargetMode="External"/><Relationship Id="rId1225" Type="http://schemas.openxmlformats.org/officeDocument/2006/relationships/hyperlink" Target="http://www.azbikeped.org/" TargetMode="External"/><Relationship Id="rId71" Type="http://schemas.openxmlformats.org/officeDocument/2006/relationships/hyperlink" Target="https://pagregion.com/" TargetMode="External"/><Relationship Id="rId234" Type="http://schemas.openxmlformats.org/officeDocument/2006/relationships/hyperlink" Target="https://www.fhwa.dot.gov/policyinformation/statistics.cfm" TargetMode="External"/><Relationship Id="rId679" Type="http://schemas.openxmlformats.org/officeDocument/2006/relationships/hyperlink" Target="https://www.law.cornell.edu/uscode/text/23/134" TargetMode="External"/><Relationship Id="rId802" Type="http://schemas.openxmlformats.org/officeDocument/2006/relationships/hyperlink" Target="https://www.faa.gov/about/office_org/headquarters_offices/acr/com_civ_support/non_disc_pr/media/dot_order_1050_2A_standard_dot_title_vi_assurances.pdf" TargetMode="External"/><Relationship Id="rId886" Type="http://schemas.openxmlformats.org/officeDocument/2006/relationships/hyperlink" Target="https://www.govinfo.gov/app/details/USCODE-2018-title23/USCODE-2018-title23-chap1-sec104" TargetMode="External"/><Relationship Id="rId2" Type="http://schemas.openxmlformats.org/officeDocument/2006/relationships/customXml" Target="../customXml/item2.xml"/><Relationship Id="rId29" Type="http://schemas.openxmlformats.org/officeDocument/2006/relationships/image" Target="media/image15.png"/><Relationship Id="rId441" Type="http://schemas.openxmlformats.org/officeDocument/2006/relationships/hyperlink" Target="https://www.govinfo.gov/content/pkg/PLAW-112publ141/pdf/PLAW-112publ141.pdf" TargetMode="External"/><Relationship Id="rId539" Type="http://schemas.openxmlformats.org/officeDocument/2006/relationships/hyperlink" Target="https://www.law.cornell.edu/uscode/text/23/505" TargetMode="External"/><Relationship Id="rId746" Type="http://schemas.openxmlformats.org/officeDocument/2006/relationships/hyperlink" Target="https://www.govinfo.gov/content/pkg/USCODE-2010-title42/pdf/USCODE-2010-title42-chap126.pdf" TargetMode="External"/><Relationship Id="rId1071" Type="http://schemas.openxmlformats.org/officeDocument/2006/relationships/hyperlink" Target="https://www.epa.gov/state-and-local-transportation" TargetMode="External"/><Relationship Id="rId1169" Type="http://schemas.openxmlformats.org/officeDocument/2006/relationships/hyperlink" Target="https://azdot.gov/sites/default/files/2019/07/p3-program-guidelines.pdf" TargetMode="External"/><Relationship Id="rId178" Type="http://schemas.openxmlformats.org/officeDocument/2006/relationships/hyperlink" Target="https://azdot.gov/planning/transportation-planning/transportation-consultation-rural-officials-tcro" TargetMode="External"/><Relationship Id="rId301" Type="http://schemas.openxmlformats.org/officeDocument/2006/relationships/hyperlink" Target="https://www.law.cornell.edu/uscode/text/23/134" TargetMode="External"/><Relationship Id="rId953" Type="http://schemas.openxmlformats.org/officeDocument/2006/relationships/hyperlink" Target="https://www.faa.gov/airports/aip/guidance_letters/" TargetMode="External"/><Relationship Id="rId1029" Type="http://schemas.openxmlformats.org/officeDocument/2006/relationships/hyperlink" Target="https://www.fhwa.dot.gov/planning/congestion_management_process/cmp_guidebook/cmpguidebk.pdf" TargetMode="External"/><Relationship Id="rId1236" Type="http://schemas.openxmlformats.org/officeDocument/2006/relationships/hyperlink" Target="https://azdot.gov/business/civil-rights/title-vi-nondiscrimination-program/title-vi-implementation" TargetMode="External"/><Relationship Id="rId82" Type="http://schemas.openxmlformats.org/officeDocument/2006/relationships/hyperlink" Target="https://www.cympo.org/" TargetMode="External"/><Relationship Id="rId385" Type="http://schemas.openxmlformats.org/officeDocument/2006/relationships/hyperlink" Target="https://azdot.gov/sites/default/files/2019/05/tcro-policy-update.pdf" TargetMode="External"/><Relationship Id="rId592" Type="http://schemas.openxmlformats.org/officeDocument/2006/relationships/hyperlink" Target="https://www.azleg.gov/viewdocument/?docName=https://www.azleg.gov/ars/42/06106.htm" TargetMode="External"/><Relationship Id="rId606" Type="http://schemas.openxmlformats.org/officeDocument/2006/relationships/hyperlink" Target="https://www.govinfo.gov/app/details/CFR-2019-title2-vol1/CFR-2019-title2-vol1-sec200-425" TargetMode="External"/><Relationship Id="rId813" Type="http://schemas.openxmlformats.org/officeDocument/2006/relationships/hyperlink" Target="https://www.govinfo.gov/content/pkg/CFR-2017-title49-vol1/xml/CFR-2017-title49-vol1-part26.xml" TargetMode="External"/><Relationship Id="rId245" Type="http://schemas.openxmlformats.org/officeDocument/2006/relationships/hyperlink" Target="https://www.bia.gov/regional-offices/western" TargetMode="External"/><Relationship Id="rId452" Type="http://schemas.openxmlformats.org/officeDocument/2006/relationships/hyperlink" Target="https://mk0pagrtahost21swg12.kinstacdn.com/wp-content/docs/pag/2020/08/2045-RMAP-Update-Draft.pdf" TargetMode="External"/><Relationship Id="rId897" Type="http://schemas.openxmlformats.org/officeDocument/2006/relationships/hyperlink" Target="https://www.up.com/index.htm" TargetMode="External"/><Relationship Id="rId1082" Type="http://schemas.openxmlformats.org/officeDocument/2006/relationships/hyperlink" Target="https://www.azleg.gov/viewdocument/?docName=https://www.azleg.gov/ars/28/00503.htm" TargetMode="External"/><Relationship Id="rId105" Type="http://schemas.openxmlformats.org/officeDocument/2006/relationships/hyperlink" Target="https://www.sierravistaaz.gov/department/index.php?structureid=318" TargetMode="External"/><Relationship Id="rId312" Type="http://schemas.openxmlformats.org/officeDocument/2006/relationships/hyperlink" Target="https://www.law.cornell.edu/uscode/text/23/134" TargetMode="External"/><Relationship Id="rId757" Type="http://schemas.openxmlformats.org/officeDocument/2006/relationships/hyperlink" Target="https://www.govinfo.gov/app/details/CFR-2011-title23-vol1/CFR-2011-title23-vol1-sec450-334" TargetMode="External"/><Relationship Id="rId964" Type="http://schemas.openxmlformats.org/officeDocument/2006/relationships/hyperlink" Target="https://azdot.gov/sites/default/files/2019/05/airport_development_guidelines_oct_2011.pdf" TargetMode="External"/><Relationship Id="rId93" Type="http://schemas.openxmlformats.org/officeDocument/2006/relationships/hyperlink" Target="http://www.lhmpo.org/" TargetMode="External"/><Relationship Id="rId189" Type="http://schemas.openxmlformats.org/officeDocument/2006/relationships/hyperlink" Target="https://azdeq.gov/SIP" TargetMode="External"/><Relationship Id="rId396" Type="http://schemas.openxmlformats.org/officeDocument/2006/relationships/hyperlink" Target="https://gao.az.gov/travel/welcome-gao-travel" TargetMode="External"/><Relationship Id="rId617" Type="http://schemas.openxmlformats.org/officeDocument/2006/relationships/hyperlink" Target="https://www.faa.gov/about/office_org/headquarters_offices/aae/" TargetMode="External"/><Relationship Id="rId824" Type="http://schemas.openxmlformats.org/officeDocument/2006/relationships/footer" Target="footer26.xml"/><Relationship Id="rId1247" Type="http://schemas.openxmlformats.org/officeDocument/2006/relationships/hyperlink" Target="https://www.fhwa.dot.gov/environment/bicycle_pedestrian/guidance/guidance_2019.cfm" TargetMode="External"/><Relationship Id="rId256" Type="http://schemas.openxmlformats.org/officeDocument/2006/relationships/hyperlink" Target="https://www.hud.gov/states/arizona/offices" TargetMode="External"/><Relationship Id="rId463" Type="http://schemas.openxmlformats.org/officeDocument/2006/relationships/hyperlink" Target="https://www.fhwa.dot.gov/planning/lsnlrndatchmt.cfm" TargetMode="External"/><Relationship Id="rId670" Type="http://schemas.openxmlformats.org/officeDocument/2006/relationships/hyperlink" Target="https://www.law.cornell.edu/uscode/text/23/104" TargetMode="External"/><Relationship Id="rId1093" Type="http://schemas.openxmlformats.org/officeDocument/2006/relationships/hyperlink" Target="https://azdot.gov/business/transportation-systems-management-and-operations/operational-and-traffic-safety/arizona-0" TargetMode="External"/><Relationship Id="rId1107" Type="http://schemas.openxmlformats.org/officeDocument/2006/relationships/hyperlink" Target="http://www.aztribaltransportation.org/" TargetMode="External"/><Relationship Id="rId116" Type="http://schemas.openxmlformats.org/officeDocument/2006/relationships/hyperlink" Target="http://www.cagaz.org/" TargetMode="External"/><Relationship Id="rId323" Type="http://schemas.openxmlformats.org/officeDocument/2006/relationships/hyperlink" Target="http://www.cagaz.org/committees.html" TargetMode="External"/><Relationship Id="rId530" Type="http://schemas.openxmlformats.org/officeDocument/2006/relationships/hyperlink" Target="https://www.law.cornell.edu/cfr/text/23/450.326" TargetMode="External"/><Relationship Id="rId768" Type="http://schemas.openxmlformats.org/officeDocument/2006/relationships/hyperlink" Target="https://www.law.cornell.edu/cfr/text/49/part-21" TargetMode="External"/><Relationship Id="rId975" Type="http://schemas.openxmlformats.org/officeDocument/2006/relationships/hyperlink" Target="https://www.law.cornell.edu/cfr/text/23/450.306" TargetMode="External"/><Relationship Id="rId1160" Type="http://schemas.openxmlformats.org/officeDocument/2006/relationships/image" Target="media/image72.png"/><Relationship Id="rId20" Type="http://schemas.openxmlformats.org/officeDocument/2006/relationships/image" Target="media/image8.png"/><Relationship Id="rId628" Type="http://schemas.openxmlformats.org/officeDocument/2006/relationships/footer" Target="footer21.xml"/><Relationship Id="rId835" Type="http://schemas.openxmlformats.org/officeDocument/2006/relationships/hyperlink" Target="https://www.azleg.gov/viewdocument/?docName=https://www.azleg.gov/ars/38/00431.htm" TargetMode="External"/><Relationship Id="rId1258" Type="http://schemas.openxmlformats.org/officeDocument/2006/relationships/fontTable" Target="fontTable.xml"/><Relationship Id="rId267" Type="http://schemas.openxmlformats.org/officeDocument/2006/relationships/hyperlink" Target="https://www.govinfo.gov/content/pkg/USCODE-2011-title23/html/USCODE-2011-title23-chap1-sec134.htm" TargetMode="External"/><Relationship Id="rId474" Type="http://schemas.openxmlformats.org/officeDocument/2006/relationships/hyperlink" Target="https://www.fhwa.dot.gov/hep/guidance/superseded/23cfr450.cfm" TargetMode="External"/><Relationship Id="rId1020" Type="http://schemas.openxmlformats.org/officeDocument/2006/relationships/hyperlink" Target="https://www.fhwa.dot.gov/planning/congestion_management_process/cmp_guidebook/cmpguidebk.pdf" TargetMode="External"/><Relationship Id="rId1118" Type="http://schemas.openxmlformats.org/officeDocument/2006/relationships/hyperlink" Target="http://www.fhwa.dot.gov/map21/" TargetMode="External"/><Relationship Id="rId127" Type="http://schemas.openxmlformats.org/officeDocument/2006/relationships/image" Target="media/image45.jpeg"/><Relationship Id="rId681" Type="http://schemas.openxmlformats.org/officeDocument/2006/relationships/hyperlink" Target="https://www.law.cornell.edu/uscode/text/49/subtitle-III/chapter-53" TargetMode="External"/><Relationship Id="rId779" Type="http://schemas.openxmlformats.org/officeDocument/2006/relationships/hyperlink" Target="https://www.govinfo.gov/content/pkg/USCODE-2010-title42/pdf/USCODE-2010-title42-chap76-sec6101.pdf" TargetMode="External"/><Relationship Id="rId902" Type="http://schemas.openxmlformats.org/officeDocument/2006/relationships/hyperlink" Target="https://azdot.gov/planning/transportation-studies/completed-transportation-studies/arizona-sonora-border-master-plan" TargetMode="External"/><Relationship Id="rId986" Type="http://schemas.openxmlformats.org/officeDocument/2006/relationships/hyperlink" Target="https://www.govinfo.gov/content/pkg/FR-2008-03-27/html/E8-5645.htm" TargetMode="External"/><Relationship Id="rId31" Type="http://schemas.openxmlformats.org/officeDocument/2006/relationships/image" Target="media/image17.png"/><Relationship Id="rId334" Type="http://schemas.openxmlformats.org/officeDocument/2006/relationships/hyperlink" Target="https://azdot.gov/business/programs-and-partnerships/local-public-agency" TargetMode="External"/><Relationship Id="rId541" Type="http://schemas.openxmlformats.org/officeDocument/2006/relationships/hyperlink" Target="https://www.law.cornell.edu/uscode/text/49/5314" TargetMode="External"/><Relationship Id="rId639" Type="http://schemas.openxmlformats.org/officeDocument/2006/relationships/hyperlink" Target="https://www.govinfo.gov/app/details/USCODE-2012-title23/USCODE-2012-title23-chap1-sec168" TargetMode="External"/><Relationship Id="rId1171" Type="http://schemas.openxmlformats.org/officeDocument/2006/relationships/hyperlink" Target="https://www.fhwa.dot.gov/ipd/p3/default.aspx" TargetMode="External"/><Relationship Id="rId180" Type="http://schemas.openxmlformats.org/officeDocument/2006/relationships/hyperlink" Target="https://azdot.gov/planning/transportation-planning/transportation-consultation-rural-officials-tcro" TargetMode="External"/><Relationship Id="rId278" Type="http://schemas.openxmlformats.org/officeDocument/2006/relationships/hyperlink" Target="https://www.azleg.gov/viewdocument/?docName=https://www.azleg.gov/ars/49/00406.htm" TargetMode="External"/><Relationship Id="rId401" Type="http://schemas.openxmlformats.org/officeDocument/2006/relationships/footer" Target="footer12.xml"/><Relationship Id="rId846" Type="http://schemas.openxmlformats.org/officeDocument/2006/relationships/hyperlink" Target="https://www.seago.org/?q=title-iv-implementation-and-public-participation-plan-2012-update" TargetMode="External"/><Relationship Id="rId1031" Type="http://schemas.openxmlformats.org/officeDocument/2006/relationships/hyperlink" Target="https://www.govinfo.gov/content/pkg/PLAW-109publ59/pdf/PLAW-109publ59.pdf" TargetMode="External"/><Relationship Id="rId1129" Type="http://schemas.openxmlformats.org/officeDocument/2006/relationships/hyperlink" Target="https://www.nps.gov/archeology/tools/laws/arpa.htm" TargetMode="External"/><Relationship Id="rId485" Type="http://schemas.openxmlformats.org/officeDocument/2006/relationships/hyperlink" Target="https://www.fhwa.dot.gov/hep/guidance/superseded/23cfr450.cfm" TargetMode="External"/><Relationship Id="rId692" Type="http://schemas.openxmlformats.org/officeDocument/2006/relationships/hyperlink" Target="https://www.govinfo.gov/content/pkg/PLAW-109publ59/html/PLAW-109publ59.htm" TargetMode="External"/><Relationship Id="rId706" Type="http://schemas.openxmlformats.org/officeDocument/2006/relationships/hyperlink" Target="https://www.fhwa.dot.gov/planning/national_highway_system/" TargetMode="External"/><Relationship Id="rId913" Type="http://schemas.openxmlformats.org/officeDocument/2006/relationships/hyperlink" Target="http://azttca.org/" TargetMode="External"/><Relationship Id="rId42" Type="http://schemas.openxmlformats.org/officeDocument/2006/relationships/hyperlink" Target="https://www.govinfo.gov/content/pkg/CFR-2002-title23-vol1/xml/CFR-2002-title23-vol1-part450-subpartA.xml" TargetMode="External"/><Relationship Id="rId138" Type="http://schemas.openxmlformats.org/officeDocument/2006/relationships/hyperlink" Target="https://www.wacog.com/" TargetMode="External"/><Relationship Id="rId345" Type="http://schemas.openxmlformats.org/officeDocument/2006/relationships/hyperlink" Target="https://www.govinfo.gov/content/pkg/CFR-2009-title49-vol1/pdf/CFR-2009-title49-vol1-part18.pdf" TargetMode="External"/><Relationship Id="rId552" Type="http://schemas.openxmlformats.org/officeDocument/2006/relationships/hyperlink" Target="https://www.law.cornell.edu/cfr/text/23/450.332" TargetMode="External"/><Relationship Id="rId997" Type="http://schemas.openxmlformats.org/officeDocument/2006/relationships/hyperlink" Target="https://www.epa.gov/state-and-local-transportation" TargetMode="External"/><Relationship Id="rId1182" Type="http://schemas.openxmlformats.org/officeDocument/2006/relationships/hyperlink" Target="https://azdot.gov/sites/default/files/2019/05/pel-questionnaire-checklist-022712.pdf" TargetMode="External"/><Relationship Id="rId191" Type="http://schemas.openxmlformats.org/officeDocument/2006/relationships/hyperlink" Target="https://azdot.gov/planning/transportation-programming/current-five-year-program" TargetMode="External"/><Relationship Id="rId205" Type="http://schemas.openxmlformats.org/officeDocument/2006/relationships/hyperlink" Target="https://azdot.gov/sites/default/files/2019/05/2018-adot-state-management-plan.pdf" TargetMode="External"/><Relationship Id="rId412" Type="http://schemas.openxmlformats.org/officeDocument/2006/relationships/hyperlink" Target="https://www.azleg.gov/viewdocument/?docName=https://www.azleg.gov/ars/28/00504.htm" TargetMode="External"/><Relationship Id="rId857" Type="http://schemas.openxmlformats.org/officeDocument/2006/relationships/hyperlink" Target="https://www.grants.gov/web/grants/home.html" TargetMode="External"/><Relationship Id="rId1042" Type="http://schemas.openxmlformats.org/officeDocument/2006/relationships/hyperlink" Target="https://www.fhwa.dot.gov/policyinformation/hpms/fieldmanual/" TargetMode="External"/><Relationship Id="rId289" Type="http://schemas.openxmlformats.org/officeDocument/2006/relationships/hyperlink" Target="https://www.census.gov/programs-surveys/metro-micro/about.html" TargetMode="External"/><Relationship Id="rId496" Type="http://schemas.openxmlformats.org/officeDocument/2006/relationships/hyperlink" Target="https://www.law.cornell.edu/cfr/text/23/450.322" TargetMode="External"/><Relationship Id="rId717" Type="http://schemas.openxmlformats.org/officeDocument/2006/relationships/hyperlink" Target="https://www.azleg.gov/viewdocument/?docName=https://www.azleg.gov/ars/48/00510.htm" TargetMode="External"/><Relationship Id="rId924" Type="http://schemas.openxmlformats.org/officeDocument/2006/relationships/hyperlink" Target="https://www.fhwa.dot.gov/planning/border_planning/us_mexico/" TargetMode="External"/><Relationship Id="rId53" Type="http://schemas.openxmlformats.org/officeDocument/2006/relationships/hyperlink" Target="https://www.azleg.gov/viewdocument/?docName=https://www.azleg.gov/ars/28/06308.htm" TargetMode="External"/><Relationship Id="rId149" Type="http://schemas.openxmlformats.org/officeDocument/2006/relationships/hyperlink" Target="https://www.svmpo.org/" TargetMode="External"/><Relationship Id="rId356" Type="http://schemas.openxmlformats.org/officeDocument/2006/relationships/hyperlink" Target="https://www.govinfo.gov/app/details/CFR-1999-title49-vol1/CFR-1999-title49-vol1-sec18-50" TargetMode="External"/><Relationship Id="rId563" Type="http://schemas.openxmlformats.org/officeDocument/2006/relationships/hyperlink" Target="https://azdot.gov/sites/default/files/media/2020/08/TIP-Amendment-Guidelines.pdf" TargetMode="External"/><Relationship Id="rId770" Type="http://schemas.openxmlformats.org/officeDocument/2006/relationships/hyperlink" Target="https://www.law.cornell.edu/cfr/text/49/part-28" TargetMode="External"/><Relationship Id="rId1193" Type="http://schemas.openxmlformats.org/officeDocument/2006/relationships/hyperlink" Target="http://azstateparks.com/find/map.html" TargetMode="External"/><Relationship Id="rId1207" Type="http://schemas.openxmlformats.org/officeDocument/2006/relationships/hyperlink" Target="https://www.azleg.gov/ars/37/00215.htm" TargetMode="External"/><Relationship Id="rId216" Type="http://schemas.openxmlformats.org/officeDocument/2006/relationships/hyperlink" Target="https://azdot.gov/planning/research-center" TargetMode="External"/><Relationship Id="rId423" Type="http://schemas.openxmlformats.org/officeDocument/2006/relationships/hyperlink" Target="https://www.govinfo.gov/content/pkg/CFR-2011-title23-vol1/pdf/CFR-2011-title23-vol1-sec500-111.pdf" TargetMode="External"/><Relationship Id="rId868" Type="http://schemas.openxmlformats.org/officeDocument/2006/relationships/hyperlink" Target="https://azdot.gov/planning/transit-programs-and-grants" TargetMode="External"/><Relationship Id="rId1053" Type="http://schemas.openxmlformats.org/officeDocument/2006/relationships/image" Target="media/image69.jpeg"/><Relationship Id="rId630" Type="http://schemas.openxmlformats.org/officeDocument/2006/relationships/hyperlink" Target="https://www.fhwa.dot.gov/federalaid/projects.cfm" TargetMode="External"/><Relationship Id="rId728" Type="http://schemas.openxmlformats.org/officeDocument/2006/relationships/hyperlink" Target="https://www.govinfo.gov/app/details/USCODE-2011-title23/USCODE-2011-title23-chap1-sec134" TargetMode="External"/><Relationship Id="rId935" Type="http://schemas.openxmlformats.org/officeDocument/2006/relationships/hyperlink" Target="https://www.govinfo.gov/content/pkg/CFR-2012-title14-vol3/pdf/CFR-2012-title14-vol3-part151.pdf" TargetMode="External"/><Relationship Id="rId64" Type="http://schemas.openxmlformats.org/officeDocument/2006/relationships/image" Target="media/image23.jpeg"/><Relationship Id="rId367" Type="http://schemas.openxmlformats.org/officeDocument/2006/relationships/hyperlink" Target="https://www.law.cornell.edu/cfr/text/23/420.115" TargetMode="External"/><Relationship Id="rId574" Type="http://schemas.openxmlformats.org/officeDocument/2006/relationships/footer" Target="footer18.xml"/><Relationship Id="rId1120" Type="http://schemas.openxmlformats.org/officeDocument/2006/relationships/hyperlink" Target="http://www.gpo.gov/fdsys/granule/USCODE-2011-title18/USCODE-2011-title18-partI-chap53-sec1151/content-detail.html" TargetMode="External"/><Relationship Id="rId1218" Type="http://schemas.openxmlformats.org/officeDocument/2006/relationships/hyperlink" Target="http://www.habimap.org/" TargetMode="External"/><Relationship Id="rId227" Type="http://schemas.openxmlformats.org/officeDocument/2006/relationships/hyperlink" Target="https://www.transit.dot.gov/regulations-and-guidance/transportation-planning/unified-planning-work-program-upwp" TargetMode="External"/><Relationship Id="rId781" Type="http://schemas.openxmlformats.org/officeDocument/2006/relationships/hyperlink" Target="https://www.govinfo.gov/content/pkg/USCODE-2010-title29/pdf/USCODE-2010-title29-chap16-subchapV-sec794.pdf" TargetMode="External"/><Relationship Id="rId879" Type="http://schemas.openxmlformats.org/officeDocument/2006/relationships/hyperlink" Target="https://www.fhwa.dot.gov/planning/freight_planning/" TargetMode="External"/><Relationship Id="rId434" Type="http://schemas.openxmlformats.org/officeDocument/2006/relationships/hyperlink" Target="https://www.azleg.gov/viewdocument/?docName=https://www.azleg.gov/ars/28/06954.htm" TargetMode="External"/><Relationship Id="rId641" Type="http://schemas.openxmlformats.org/officeDocument/2006/relationships/hyperlink" Target="https://www.govinfo.gov/app/details/USCODE-2018-title49/USCODE-2018-title49-subtitleIII-chap53-sec5304" TargetMode="External"/><Relationship Id="rId739" Type="http://schemas.openxmlformats.org/officeDocument/2006/relationships/hyperlink" Target="https://www.govinfo.gov/app/details/USCODE-2011-title23/USCODE-2011-title23-chap3-sec324" TargetMode="External"/><Relationship Id="rId1064" Type="http://schemas.openxmlformats.org/officeDocument/2006/relationships/hyperlink" Target="https://origin.azdot.gov/maps/functional-classification-maps" TargetMode="External"/><Relationship Id="rId280" Type="http://schemas.openxmlformats.org/officeDocument/2006/relationships/hyperlink" Target="https://www.fhwa.dot.gov/planning/census_issues/urbanized_areas_and_mpo_tma/" TargetMode="External"/><Relationship Id="rId501" Type="http://schemas.openxmlformats.org/officeDocument/2006/relationships/footer" Target="footer17.xml"/><Relationship Id="rId946" Type="http://schemas.openxmlformats.org/officeDocument/2006/relationships/image" Target="media/image67.jpeg"/><Relationship Id="rId1131" Type="http://schemas.openxmlformats.org/officeDocument/2006/relationships/hyperlink" Target="https://www.govinfo.gov/content/pkg/STATUTE-92/pdf/STATUTE-92-Pg469.pdf" TargetMode="External"/><Relationship Id="rId1229" Type="http://schemas.openxmlformats.org/officeDocument/2006/relationships/hyperlink" Target="https://www.law.cornell.edu/uscode/text/23/217" TargetMode="External"/><Relationship Id="rId75" Type="http://schemas.openxmlformats.org/officeDocument/2006/relationships/hyperlink" Target="https://www.govinfo.gov/app/details/USCODE-2011-title23/USCODE-2011-title23-chap1-sec134" TargetMode="External"/><Relationship Id="rId140" Type="http://schemas.openxmlformats.org/officeDocument/2006/relationships/hyperlink" Target="https://www.azmag.gov/" TargetMode="External"/><Relationship Id="rId378" Type="http://schemas.openxmlformats.org/officeDocument/2006/relationships/hyperlink" Target="https://gao.az.gov/afis/vendor-information" TargetMode="External"/><Relationship Id="rId585" Type="http://schemas.openxmlformats.org/officeDocument/2006/relationships/hyperlink" Target="https://www.azleg.gov/viewdocument/?docName=https://www.azleg.gov/ars/28/06353.htm" TargetMode="External"/><Relationship Id="rId792" Type="http://schemas.openxmlformats.org/officeDocument/2006/relationships/hyperlink" Target="https://www.govinfo.gov/app/details/CFR-2011-title23-vol1/CFR-2011-title23-vol1-sec450-316" TargetMode="External"/><Relationship Id="rId806" Type="http://schemas.openxmlformats.org/officeDocument/2006/relationships/hyperlink" Target="https://azdot.gov/tags/communication" TargetMode="External"/><Relationship Id="rId6" Type="http://schemas.openxmlformats.org/officeDocument/2006/relationships/customXml" Target="../customXml/item6.xml"/><Relationship Id="rId238" Type="http://schemas.openxmlformats.org/officeDocument/2006/relationships/hyperlink" Target="https://railroads.dot.gov/" TargetMode="External"/><Relationship Id="rId445" Type="http://schemas.openxmlformats.org/officeDocument/2006/relationships/hyperlink" Target="https://www.azleg.gov/ars/28/06308.htm" TargetMode="External"/><Relationship Id="rId652" Type="http://schemas.openxmlformats.org/officeDocument/2006/relationships/hyperlink" Target="https://www.govinfo.gov/app/details/CFR-2002-title23-vol1/CFR-2002-title23-vol1-sec450-308" TargetMode="External"/><Relationship Id="rId1075" Type="http://schemas.openxmlformats.org/officeDocument/2006/relationships/hyperlink" Target="https://azdot.gov/node/5625" TargetMode="External"/><Relationship Id="rId291" Type="http://schemas.openxmlformats.org/officeDocument/2006/relationships/hyperlink" Target="https://www.govinfo.gov/app/details/CFR-2011-title23-vol1/CFR-2011-title23-vol1-sec450-104" TargetMode="External"/><Relationship Id="rId305" Type="http://schemas.openxmlformats.org/officeDocument/2006/relationships/hyperlink" Target="https://www.law.cornell.edu/cfr/text/23/450.310" TargetMode="External"/><Relationship Id="rId512" Type="http://schemas.openxmlformats.org/officeDocument/2006/relationships/hyperlink" Target="https://www.govinfo.gov/content/pkg/USCODE-2011-title23/html/USCODE-2011-title23-chap1-sec135.htm" TargetMode="External"/><Relationship Id="rId957" Type="http://schemas.openxmlformats.org/officeDocument/2006/relationships/hyperlink" Target="https://azdot.gov/sites/default/files/2019/05/2011_env_grant_checklist_.pdf" TargetMode="External"/><Relationship Id="rId1142" Type="http://schemas.openxmlformats.org/officeDocument/2006/relationships/hyperlink" Target="https://www.transit.dot.gov/funding/grants/applying/public-transportation-indian-reservations-2013-nofa" TargetMode="External"/><Relationship Id="rId86" Type="http://schemas.openxmlformats.org/officeDocument/2006/relationships/hyperlink" Target="https://www.flagstaff.az.gov/995/Flagstaff-Metropolitan-Planning-Organiza" TargetMode="External"/><Relationship Id="rId151" Type="http://schemas.openxmlformats.org/officeDocument/2006/relationships/hyperlink" Target="https://ympo.org/" TargetMode="External"/><Relationship Id="rId389" Type="http://schemas.openxmlformats.org/officeDocument/2006/relationships/hyperlink" Target="https://azdot.gov/business/civil-rights/title-vi-nondiscrimination-program/title-vi-implementation" TargetMode="External"/><Relationship Id="rId596" Type="http://schemas.openxmlformats.org/officeDocument/2006/relationships/hyperlink" Target="https://www.govinfo.gov/app/details/CFR-2014-title2-vol1/CFR-2014-title2-vol1-sec200-502" TargetMode="External"/><Relationship Id="rId817" Type="http://schemas.openxmlformats.org/officeDocument/2006/relationships/hyperlink" Target="https://adotdoors.dbesystem.com/" TargetMode="External"/><Relationship Id="rId1002" Type="http://schemas.openxmlformats.org/officeDocument/2006/relationships/hyperlink" Target="https://azdot.gov/business/environmental-planning/air-quality/guidance-air-quality" TargetMode="External"/><Relationship Id="rId249" Type="http://schemas.openxmlformats.org/officeDocument/2006/relationships/hyperlink" Target="https://www.law.cornell.edu/cfr/text/25/170.403" TargetMode="External"/><Relationship Id="rId456" Type="http://schemas.openxmlformats.org/officeDocument/2006/relationships/hyperlink" Target="http://www.lhmpo.org/docs/default-source/studies/2040-regional-transportation-plan.pdf?sfvrsn=56dcf8f0_2" TargetMode="External"/><Relationship Id="rId663" Type="http://schemas.openxmlformats.org/officeDocument/2006/relationships/hyperlink" Target="https://www.fhwa.dot.gov/policy/olsp/financingfederalaid/apph.cfm" TargetMode="External"/><Relationship Id="rId870" Type="http://schemas.openxmlformats.org/officeDocument/2006/relationships/hyperlink" Target="https://www.transit.dot.gov/grants/13093_3555.html" TargetMode="External"/><Relationship Id="rId1086" Type="http://schemas.openxmlformats.org/officeDocument/2006/relationships/hyperlink" Target="https://www.azleg.gov/viewdocument/?docName=https://www.azleg.gov/ars/28/00505.htm" TargetMode="External"/><Relationship Id="rId13" Type="http://schemas.openxmlformats.org/officeDocument/2006/relationships/image" Target="media/image1.png"/><Relationship Id="rId109" Type="http://schemas.openxmlformats.org/officeDocument/2006/relationships/hyperlink" Target="https://ympo.org/" TargetMode="External"/><Relationship Id="rId316" Type="http://schemas.openxmlformats.org/officeDocument/2006/relationships/hyperlink" Target="https://www.azmag.gov/Committees" TargetMode="External"/><Relationship Id="rId523" Type="http://schemas.openxmlformats.org/officeDocument/2006/relationships/hyperlink" Target="https://www.law.cornell.edu/cfr/text/23/450.326" TargetMode="External"/><Relationship Id="rId968" Type="http://schemas.openxmlformats.org/officeDocument/2006/relationships/hyperlink" Target="https://azre.gov/airport-boundary-maps" TargetMode="External"/><Relationship Id="rId1153" Type="http://schemas.openxmlformats.org/officeDocument/2006/relationships/hyperlink" Target="http://www.aztribaltransportation.org/contacts.asp" TargetMode="External"/><Relationship Id="rId97" Type="http://schemas.openxmlformats.org/officeDocument/2006/relationships/image" Target="media/image35.jpeg"/><Relationship Id="rId730" Type="http://schemas.openxmlformats.org/officeDocument/2006/relationships/hyperlink" Target="https://www.govinfo.gov/content/pkg/PLAW-109publ59/pdf/PLAW-109publ59.pdf" TargetMode="External"/><Relationship Id="rId828" Type="http://schemas.openxmlformats.org/officeDocument/2006/relationships/hyperlink" Target="https://www.azleg.gov/viewdocument/?docName=https://www.azleg.gov/ars/38/00431.htm" TargetMode="External"/><Relationship Id="rId1013" Type="http://schemas.openxmlformats.org/officeDocument/2006/relationships/hyperlink" Target="https://www.law.cornell.edu/cfr/text/40/93.113" TargetMode="External"/><Relationship Id="rId162" Type="http://schemas.openxmlformats.org/officeDocument/2006/relationships/hyperlink" Target="https://www.azleg.gov/ars/28/00332.htm" TargetMode="External"/><Relationship Id="rId218" Type="http://schemas.openxmlformats.org/officeDocument/2006/relationships/hyperlink" Target="https://azdot.gov/node/5264" TargetMode="External"/><Relationship Id="rId425" Type="http://schemas.openxmlformats.org/officeDocument/2006/relationships/hyperlink" Target="https://www.azleg.gov/viewdocument/?docName=https://www.azleg.gov/ars/28/00502.htm" TargetMode="External"/><Relationship Id="rId467" Type="http://schemas.openxmlformats.org/officeDocument/2006/relationships/hyperlink" Target="https://codes.findlaw.com/us/title-23-highways/23-usc-sect-150.html" TargetMode="External"/><Relationship Id="rId632" Type="http://schemas.openxmlformats.org/officeDocument/2006/relationships/hyperlink" Target="https://www.govinfo.gov/app/details/USCODE-2011-title23/USCODE-2011-title23-chap1-sec102" TargetMode="External"/><Relationship Id="rId1055" Type="http://schemas.openxmlformats.org/officeDocument/2006/relationships/hyperlink" Target="https://www.fhwa.dot.gov/planning/processes/statewide/related/highway_functional_classifications/" TargetMode="External"/><Relationship Id="rId1097" Type="http://schemas.openxmlformats.org/officeDocument/2006/relationships/hyperlink" Target="https://azdot.gov/about/transportation-safety/arizona-strategic-traffic-safety-plan-stsp" TargetMode="External"/><Relationship Id="rId1220" Type="http://schemas.openxmlformats.org/officeDocument/2006/relationships/hyperlink" Target="https://arizona.uli.org/" TargetMode="External"/><Relationship Id="rId271" Type="http://schemas.openxmlformats.org/officeDocument/2006/relationships/hyperlink" Target="https://www.govinfo.gov/app/details/CFR-2008-title23-vol1/CFR-2008-title23-vol1-sec450-310" TargetMode="External"/><Relationship Id="rId674" Type="http://schemas.openxmlformats.org/officeDocument/2006/relationships/hyperlink" Target="https://www.law.cornell.edu/uscode/text/23/505" TargetMode="External"/><Relationship Id="rId881" Type="http://schemas.openxmlformats.org/officeDocument/2006/relationships/hyperlink" Target="https://www.fhwa.dot.gov/map21/guidance/guidesec1116.cfm" TargetMode="External"/><Relationship Id="rId937" Type="http://schemas.openxmlformats.org/officeDocument/2006/relationships/hyperlink" Target="https://www.govinfo.gov/content/pkg/CFR-2011-title23-vol1/pdf/CFR-2011-title23-vol1-sec450-316.pdf" TargetMode="External"/><Relationship Id="rId979" Type="http://schemas.openxmlformats.org/officeDocument/2006/relationships/hyperlink" Target="https://azdot.gov/business/environmental-planning/air-quality/guidance-air-quality" TargetMode="External"/><Relationship Id="rId1122" Type="http://schemas.openxmlformats.org/officeDocument/2006/relationships/hyperlink" Target="http://www.fhwa.dot.gov/legsregs/title23.pdf" TargetMode="External"/><Relationship Id="rId24" Type="http://schemas.openxmlformats.org/officeDocument/2006/relationships/footer" Target="footer2.xml"/><Relationship Id="rId66" Type="http://schemas.openxmlformats.org/officeDocument/2006/relationships/image" Target="media/image25.jpeg"/><Relationship Id="rId131" Type="http://schemas.openxmlformats.org/officeDocument/2006/relationships/hyperlink" Target="https://www.seago.org/" TargetMode="External"/><Relationship Id="rId327" Type="http://schemas.openxmlformats.org/officeDocument/2006/relationships/image" Target="media/image58.png"/><Relationship Id="rId369" Type="http://schemas.openxmlformats.org/officeDocument/2006/relationships/hyperlink" Target="https://www.govinfo.gov/app/details/CFR-2014-title2-vol1/CFR-2014-title2-vol1-part200" TargetMode="External"/><Relationship Id="rId534" Type="http://schemas.openxmlformats.org/officeDocument/2006/relationships/hyperlink" Target="https://www.law.cornell.edu/cfr/text/23/450.326" TargetMode="External"/><Relationship Id="rId576" Type="http://schemas.openxmlformats.org/officeDocument/2006/relationships/hyperlink" Target="https://www.govinfo.gov/app/details/CFR-2014-title2-vol1/CFR-2014-title2-vol1-part200" TargetMode="External"/><Relationship Id="rId741" Type="http://schemas.openxmlformats.org/officeDocument/2006/relationships/hyperlink" Target="https://www.govinfo.gov/content/pkg/CFR-2000-title40-vol14/pdf/CFR-2000-title40-vol14-part93.pdf" TargetMode="External"/><Relationship Id="rId783" Type="http://schemas.openxmlformats.org/officeDocument/2006/relationships/hyperlink" Target="https://www.govinfo.gov/content/pkg/USCODE-2011-title23/pdf/USCODE-2011-title23-chap3-sec324.pdf" TargetMode="External"/><Relationship Id="rId839" Type="http://schemas.openxmlformats.org/officeDocument/2006/relationships/hyperlink" Target="http://www.cympo.org/pdf/products/Final_PPP_2011.pdf" TargetMode="External"/><Relationship Id="rId990" Type="http://schemas.openxmlformats.org/officeDocument/2006/relationships/hyperlink" Target="https://www.fhwa.dot.gov/environment/air_quality/conformity/policy_and_guidance/" TargetMode="External"/><Relationship Id="rId1164" Type="http://schemas.openxmlformats.org/officeDocument/2006/relationships/image" Target="media/image73.emf"/><Relationship Id="rId173" Type="http://schemas.openxmlformats.org/officeDocument/2006/relationships/hyperlink" Target="https://azdot.gov/planning/transportation-programs/state-rail-plan" TargetMode="External"/><Relationship Id="rId229" Type="http://schemas.openxmlformats.org/officeDocument/2006/relationships/hyperlink" Target="https://azdot.gov/planning/transportation-programming/state-transportation-improvement-program-stip" TargetMode="External"/><Relationship Id="rId380" Type="http://schemas.openxmlformats.org/officeDocument/2006/relationships/footer" Target="footer10.xml"/><Relationship Id="rId436" Type="http://schemas.openxmlformats.org/officeDocument/2006/relationships/hyperlink" Target="https://www.azleg.gov/viewdocument/?docName=https://www.azleg.gov/ars/28/06308.htm" TargetMode="External"/><Relationship Id="rId601" Type="http://schemas.openxmlformats.org/officeDocument/2006/relationships/hyperlink" Target="https://beta.sam.gov/help/assistance-listing" TargetMode="External"/><Relationship Id="rId643" Type="http://schemas.openxmlformats.org/officeDocument/2006/relationships/hyperlink" Target="https://www.ecfr.gov/cgi-bin/text-idx?SID=b20169633ca5b61fbfef2c908b9973a9&amp;mc=true&amp;node=se23.1.450_1320&amp;rgn=div8" TargetMode="External"/><Relationship Id="rId1024" Type="http://schemas.openxmlformats.org/officeDocument/2006/relationships/hyperlink" Target="https://www.law.cornell.edu/cfr/text/23/450.320" TargetMode="External"/><Relationship Id="rId1066" Type="http://schemas.openxmlformats.org/officeDocument/2006/relationships/hyperlink" Target="https://www.fhwa.dot.gov/planning/processes/statewide/related/highway_functional_classifications/fcauab.pdf" TargetMode="External"/><Relationship Id="rId1231" Type="http://schemas.openxmlformats.org/officeDocument/2006/relationships/hyperlink" Target="https://www.govinfo.gov/content/pkg/USCODE-2010-title23/pdf/USCODE-2010-title23-chap1-sec134.pdf" TargetMode="External"/><Relationship Id="rId240" Type="http://schemas.openxmlformats.org/officeDocument/2006/relationships/hyperlink" Target="https://www.law.cornell.edu/uscode/text/49/103" TargetMode="External"/><Relationship Id="rId478" Type="http://schemas.openxmlformats.org/officeDocument/2006/relationships/hyperlink" Target="https://www.fhwa.dot.gov/hep/guidance/superseded/23cfr450.cfm" TargetMode="External"/><Relationship Id="rId685" Type="http://schemas.openxmlformats.org/officeDocument/2006/relationships/hyperlink" Target="https://www.law.cornell.edu/uscode/text/23/328" TargetMode="External"/><Relationship Id="rId850" Type="http://schemas.openxmlformats.org/officeDocument/2006/relationships/hyperlink" Target="https://www.grants.gov/web/grants/home.html" TargetMode="External"/><Relationship Id="rId892" Type="http://schemas.openxmlformats.org/officeDocument/2006/relationships/hyperlink" Target="https://arizonatrucking.com/" TargetMode="External"/><Relationship Id="rId906" Type="http://schemas.openxmlformats.org/officeDocument/2006/relationships/hyperlink" Target="https://www.fhwa.dot.gov/planning/border_planning/us_mexico/" TargetMode="External"/><Relationship Id="rId948" Type="http://schemas.openxmlformats.org/officeDocument/2006/relationships/hyperlink" Target="https://azmemory.azlibrary.gov/digital/collection/statepubs/id/17626" TargetMode="External"/><Relationship Id="rId1133" Type="http://schemas.openxmlformats.org/officeDocument/2006/relationships/hyperlink" Target="https://www.azleg.gov/ars/41/02051.htm" TargetMode="External"/><Relationship Id="rId35" Type="http://schemas.openxmlformats.org/officeDocument/2006/relationships/hyperlink" Target="https://www.govinfo.gov/app/details/USCODE-2010-title23" TargetMode="External"/><Relationship Id="rId77" Type="http://schemas.openxmlformats.org/officeDocument/2006/relationships/hyperlink" Target="https://www.govinfo.gov/app/details/USCODE-2011-title23/USCODE-2011-title23-chap1-sec134" TargetMode="External"/><Relationship Id="rId100" Type="http://schemas.openxmlformats.org/officeDocument/2006/relationships/hyperlink" Target="https://azdot.gov/sites/default/files/2019/12/SCMPO-Conformity-Finding-October-2019%20.pdf" TargetMode="External"/><Relationship Id="rId282" Type="http://schemas.openxmlformats.org/officeDocument/2006/relationships/hyperlink" Target="https://www.govinfo.gov/content/pkg/USCODE-2011-title23/pdf/USCODE-2011-title23-chap1-sec101.pdf" TargetMode="External"/><Relationship Id="rId338" Type="http://schemas.openxmlformats.org/officeDocument/2006/relationships/hyperlink" Target="https://www.govinfo.gov/content/pkg/CFR-2011-title23-vol1/pdf/CFR-2011-title23-vol1-part420.pdf" TargetMode="External"/><Relationship Id="rId503" Type="http://schemas.openxmlformats.org/officeDocument/2006/relationships/hyperlink" Target="https://azdot.gov/planning/transportation-planning/tmas-mpos-and-cogs/adot-mpo-and-cog-guidelines-and-procedures" TargetMode="External"/><Relationship Id="rId545" Type="http://schemas.openxmlformats.org/officeDocument/2006/relationships/hyperlink" Target="https://www.law.cornell.edu/cfr/text/23/450.326" TargetMode="External"/><Relationship Id="rId587" Type="http://schemas.openxmlformats.org/officeDocument/2006/relationships/hyperlink" Target="https://www.azleg.gov/viewdocument/?docName=https://www.azleg.gov/ars/28/06533.htm" TargetMode="External"/><Relationship Id="rId710" Type="http://schemas.openxmlformats.org/officeDocument/2006/relationships/hyperlink" Target="https://azdot.gov/sites/default/files/2019/05/2018-adot-state-management-plan.pdf" TargetMode="External"/><Relationship Id="rId752" Type="http://schemas.openxmlformats.org/officeDocument/2006/relationships/hyperlink" Target="https://www.govinfo.gov/content/pkg/USCODE-2009-title49/pdf/USCODE-2009-title49-subtitleIII-chap53-sec5305.pdf" TargetMode="External"/><Relationship Id="rId808" Type="http://schemas.openxmlformats.org/officeDocument/2006/relationships/hyperlink" Target="https://azmag.gov/Title-VI" TargetMode="External"/><Relationship Id="rId1175" Type="http://schemas.openxmlformats.org/officeDocument/2006/relationships/image" Target="media/image76.png"/><Relationship Id="rId8" Type="http://schemas.openxmlformats.org/officeDocument/2006/relationships/styles" Target="styles.xml"/><Relationship Id="rId142" Type="http://schemas.openxmlformats.org/officeDocument/2006/relationships/hyperlink" Target="http://www.pagregion.com/" TargetMode="External"/><Relationship Id="rId184" Type="http://schemas.openxmlformats.org/officeDocument/2006/relationships/hyperlink" Target="https://azdot.gov/planning/transportation-programming/current-five-year-program" TargetMode="External"/><Relationship Id="rId391" Type="http://schemas.openxmlformats.org/officeDocument/2006/relationships/hyperlink" Target="https://azdot.gov/business/civil-rights/title-vi-nondiscrimination-program/title-vi-implementation" TargetMode="External"/><Relationship Id="rId405" Type="http://schemas.openxmlformats.org/officeDocument/2006/relationships/hyperlink" Target="https://www.law.cornell.edu/uscode/text/23/135" TargetMode="External"/><Relationship Id="rId447" Type="http://schemas.openxmlformats.org/officeDocument/2006/relationships/hyperlink" Target="https://www.law.cornell.edu/cfr/text/23/450.316" TargetMode="External"/><Relationship Id="rId612" Type="http://schemas.openxmlformats.org/officeDocument/2006/relationships/hyperlink" Target="https://facweb.census.gov/" TargetMode="External"/><Relationship Id="rId794" Type="http://schemas.openxmlformats.org/officeDocument/2006/relationships/hyperlink" Target="https://www.govinfo.gov/app/details/CFR-2011-title23-vol1/CFR-2011-title23-vol1-sec450-334/summary" TargetMode="External"/><Relationship Id="rId1035" Type="http://schemas.openxmlformats.org/officeDocument/2006/relationships/hyperlink" Target="https://www.govinfo.gov/app/details/CFR-2011-title23-vol1/CFR-2011-title23-vol1-sec420-105" TargetMode="External"/><Relationship Id="rId1077" Type="http://schemas.openxmlformats.org/officeDocument/2006/relationships/hyperlink" Target="https://azdot.gov/sites/default/files/2019/10/az-stsp-report-2019.pdf" TargetMode="External"/><Relationship Id="rId1200" Type="http://schemas.openxmlformats.org/officeDocument/2006/relationships/hyperlink" Target="https://land.az.gov/content/annual-reports" TargetMode="External"/><Relationship Id="rId1242" Type="http://schemas.openxmlformats.org/officeDocument/2006/relationships/hyperlink" Target="https://safety.fhwa.dot.gov/tools/docs/bci.pdf" TargetMode="External"/><Relationship Id="rId251" Type="http://schemas.openxmlformats.org/officeDocument/2006/relationships/hyperlink" Target="https://highways.dot.gov/federal-lands/programs-tribal/planning/ttip" TargetMode="External"/><Relationship Id="rId489" Type="http://schemas.openxmlformats.org/officeDocument/2006/relationships/hyperlink" Target="https://www.fhwa.dot.gov/hep/guidance/superseded/23cfr450.cfm" TargetMode="External"/><Relationship Id="rId654" Type="http://schemas.openxmlformats.org/officeDocument/2006/relationships/hyperlink" Target="https://www.govinfo.gov/app/details/USCODE-2012-title49/USCODE-2012-title49-subtitleIII-chap53-sec5305" TargetMode="External"/><Relationship Id="rId696" Type="http://schemas.openxmlformats.org/officeDocument/2006/relationships/hyperlink" Target="https://www.law.cornell.edu/uscode/text/49/subtitle-III/chapter-53" TargetMode="External"/><Relationship Id="rId861" Type="http://schemas.openxmlformats.org/officeDocument/2006/relationships/hyperlink" Target="https://www.transit.dot.gov/funding/grants/grant-programs" TargetMode="External"/><Relationship Id="rId917" Type="http://schemas.openxmlformats.org/officeDocument/2006/relationships/hyperlink" Target="https://saleo.org/" TargetMode="External"/><Relationship Id="rId959" Type="http://schemas.openxmlformats.org/officeDocument/2006/relationships/hyperlink" Target="https://azdot.gov/sites/default/files/2019/05/2011_mp_grant_checklist.pdf" TargetMode="External"/><Relationship Id="rId1102" Type="http://schemas.openxmlformats.org/officeDocument/2006/relationships/hyperlink" Target="http://www.cmfclearinghouse.org/" TargetMode="External"/><Relationship Id="rId46" Type="http://schemas.openxmlformats.org/officeDocument/2006/relationships/hyperlink" Target="https://www.govinfo.gov/content/pkg/USCODE-2010-title49/pdf/USCODE-2010-title49-subtitleIII-chap53-sec5303.pdf" TargetMode="External"/><Relationship Id="rId293" Type="http://schemas.openxmlformats.org/officeDocument/2006/relationships/hyperlink" Target="https://www.nado.org/metropolitan-and-rural-transportation-planning-case-studies-and-checklists-for-regional-collaboration/" TargetMode="External"/><Relationship Id="rId307" Type="http://schemas.openxmlformats.org/officeDocument/2006/relationships/hyperlink" Target="https://www.govinfo.gov/content/pkg/USCODE-2010-title49/pdf/USCODE-2010-title49-subtitleIII-chap53-sec5303.pdf" TargetMode="External"/><Relationship Id="rId349" Type="http://schemas.openxmlformats.org/officeDocument/2006/relationships/hyperlink" Target="https://mk0pagrtahost21swg12.kinstacdn.com/wp-content/docs/pag/2020/09/PAG_OWP_FY2020_and_FY2021_WEB__061419.pdf" TargetMode="External"/><Relationship Id="rId514" Type="http://schemas.openxmlformats.org/officeDocument/2006/relationships/hyperlink" Target="https://www.govinfo.gov/content/pkg/USCODE-2011-title23/pdf/USCODE-2011-title23-chap2-sec204.pdf" TargetMode="External"/><Relationship Id="rId556" Type="http://schemas.openxmlformats.org/officeDocument/2006/relationships/hyperlink" Target="https://www.law.cornell.edu/cfr/text/23/450.326" TargetMode="External"/><Relationship Id="rId721" Type="http://schemas.openxmlformats.org/officeDocument/2006/relationships/hyperlink" Target="https://www.azleg.gov/viewdocument/?docName=https://www.azleg.gov/ars/42/06103.htm" TargetMode="External"/><Relationship Id="rId763" Type="http://schemas.openxmlformats.org/officeDocument/2006/relationships/hyperlink" Target="https://www.govinfo.gov/app/details/USCODE-2011-title23/USCODE-2011-title23-chap3-sec324" TargetMode="External"/><Relationship Id="rId1144" Type="http://schemas.openxmlformats.org/officeDocument/2006/relationships/hyperlink" Target="https://www.transit.dot.gov/funding/grants/applying/public-transportation-indian-reservations-2013-nofa" TargetMode="External"/><Relationship Id="rId1186" Type="http://schemas.openxmlformats.org/officeDocument/2006/relationships/hyperlink" Target="http://websoilsurvey.sc.egov.usda.gov/app/WebSoilSurvey.aspx" TargetMode="External"/><Relationship Id="rId88" Type="http://schemas.openxmlformats.org/officeDocument/2006/relationships/hyperlink" Target="https://www.flagstaff.az.gov/995/Flagstaff-Metropolitan-Planning-Organiza" TargetMode="External"/><Relationship Id="rId111" Type="http://schemas.openxmlformats.org/officeDocument/2006/relationships/hyperlink" Target="https://ympo.org/" TargetMode="External"/><Relationship Id="rId153" Type="http://schemas.openxmlformats.org/officeDocument/2006/relationships/footer" Target="footer4.xml"/><Relationship Id="rId195" Type="http://schemas.openxmlformats.org/officeDocument/2006/relationships/hyperlink" Target="https://azdot.gov/about/transportation-safety/arizona-strategic-traffic-safety-plan-stsp" TargetMode="External"/><Relationship Id="rId209" Type="http://schemas.openxmlformats.org/officeDocument/2006/relationships/hyperlink" Target="https://azdot.gov/maps" TargetMode="External"/><Relationship Id="rId360" Type="http://schemas.openxmlformats.org/officeDocument/2006/relationships/hyperlink" Target="https://www.law.cornell.edu/uscode/text/23/323" TargetMode="External"/><Relationship Id="rId416" Type="http://schemas.openxmlformats.org/officeDocument/2006/relationships/hyperlink" Target="https://www.govinfo.gov/content/pkg/USCODE-2011-title23/pdf/USCODE-2011-title23-chap1-sec134.pdf" TargetMode="External"/><Relationship Id="rId598" Type="http://schemas.openxmlformats.org/officeDocument/2006/relationships/hyperlink" Target="https://www.govinfo.gov/app/details/CFR-2019-title2-vol1/CFR-2019-title2-vol1-sec200-508" TargetMode="External"/><Relationship Id="rId819" Type="http://schemas.openxmlformats.org/officeDocument/2006/relationships/hyperlink" Target="https://adotdoors.dbesystem.com/" TargetMode="External"/><Relationship Id="rId970" Type="http://schemas.openxmlformats.org/officeDocument/2006/relationships/hyperlink" Target="https://azre.gov/military-airports" TargetMode="External"/><Relationship Id="rId1004" Type="http://schemas.openxmlformats.org/officeDocument/2006/relationships/hyperlink" Target="https://www.govinfo.gov/content/pkg/CFR-2013-title40-vol21/xml/CFR-2013-title40-vol21-sec93-109.xml" TargetMode="External"/><Relationship Id="rId1046" Type="http://schemas.openxmlformats.org/officeDocument/2006/relationships/hyperlink" Target="https://www.fhwa.dot.gov/policyinformation/hpms.cfm" TargetMode="External"/><Relationship Id="rId1211" Type="http://schemas.openxmlformats.org/officeDocument/2006/relationships/hyperlink" Target="http://ahtd.info/yahoo_site_admin/assets/docs/Trans_Planning_4_Sustain-Guidebook-reduced.24985631.pdf" TargetMode="External"/><Relationship Id="rId1253" Type="http://schemas.openxmlformats.org/officeDocument/2006/relationships/hyperlink" Target="https://gohs.az.gov/highway-safety-programs/bicycle-safety" TargetMode="External"/><Relationship Id="rId220" Type="http://schemas.openxmlformats.org/officeDocument/2006/relationships/hyperlink" Target="https://azdot.gov/sites/default/files/2019/08/apl.pdf" TargetMode="External"/><Relationship Id="rId458" Type="http://schemas.openxmlformats.org/officeDocument/2006/relationships/hyperlink" Target="https://ympo.org/wp-content/uploads/2018/06/YMPO-2018-2041-RTP.pdf" TargetMode="External"/><Relationship Id="rId623" Type="http://schemas.openxmlformats.org/officeDocument/2006/relationships/hyperlink" Target="https://www.azleg.gov/viewdocument/?docName=https://www.azleg.gov/ars/28/06313.htm" TargetMode="External"/><Relationship Id="rId665" Type="http://schemas.openxmlformats.org/officeDocument/2006/relationships/hyperlink" Target="https://www.govinfo.gov/app/details/USCODE-2011-title49/USCODE-2011-title49-subtitleIII-chap53-sec5303" TargetMode="External"/><Relationship Id="rId830" Type="http://schemas.openxmlformats.org/officeDocument/2006/relationships/hyperlink" Target="https://azdot.gov/sites/default/files/2019/05/adot-public-involvement-plan.pdf" TargetMode="External"/><Relationship Id="rId872" Type="http://schemas.openxmlformats.org/officeDocument/2006/relationships/hyperlink" Target="https://www.transit.dot.gov/regulations-and-guidance/fta-circulars/final-circulars" TargetMode="External"/><Relationship Id="rId928" Type="http://schemas.openxmlformats.org/officeDocument/2006/relationships/image" Target="media/image65.jpg"/><Relationship Id="rId1088" Type="http://schemas.openxmlformats.org/officeDocument/2006/relationships/hyperlink" Target="https://www.govinfo.gov/content/pkg/CFR-2011-title23-vol1/pdf/CFR-2011-title23-vol1-part924.pdf" TargetMode="External"/><Relationship Id="rId15" Type="http://schemas.openxmlformats.org/officeDocument/2006/relationships/image" Target="media/image3.png"/><Relationship Id="rId57" Type="http://schemas.openxmlformats.org/officeDocument/2006/relationships/image" Target="media/image21.jpeg"/><Relationship Id="rId262" Type="http://schemas.openxmlformats.org/officeDocument/2006/relationships/footer" Target="footer7.xml"/><Relationship Id="rId318" Type="http://schemas.openxmlformats.org/officeDocument/2006/relationships/hyperlink" Target="https://www.metroplanflg.org/who-we-are" TargetMode="External"/><Relationship Id="rId525" Type="http://schemas.openxmlformats.org/officeDocument/2006/relationships/hyperlink" Target="https://www.law.cornell.edu/cfr/text/23/450.326" TargetMode="External"/><Relationship Id="rId567" Type="http://schemas.openxmlformats.org/officeDocument/2006/relationships/hyperlink" Target="https://azdot.gov/sites/default/files/media/2020/08/SW_ESTIP_Creating_an_Amendment.pdf" TargetMode="External"/><Relationship Id="rId732" Type="http://schemas.openxmlformats.org/officeDocument/2006/relationships/hyperlink" Target="https://www.govinfo.gov/app/details/PLAW-105publ178" TargetMode="External"/><Relationship Id="rId1113" Type="http://schemas.openxmlformats.org/officeDocument/2006/relationships/hyperlink" Target="https://www.azleg.gov/ars/28/00332.htm" TargetMode="External"/><Relationship Id="rId1155" Type="http://schemas.openxmlformats.org/officeDocument/2006/relationships/hyperlink" Target="http://www.aztribaltransportation.org/PDF/FY19-ADOT-Annual-Tribal-Consultation-Report-100119.pdf" TargetMode="External"/><Relationship Id="rId1197" Type="http://schemas.openxmlformats.org/officeDocument/2006/relationships/hyperlink" Target="http://www.epa.gov/osw/hazard/" TargetMode="External"/><Relationship Id="rId99" Type="http://schemas.openxmlformats.org/officeDocument/2006/relationships/hyperlink" Target="https://scmpo.org/" TargetMode="External"/><Relationship Id="rId122" Type="http://schemas.openxmlformats.org/officeDocument/2006/relationships/hyperlink" Target="https://www.nacog.org/" TargetMode="External"/><Relationship Id="rId164" Type="http://schemas.openxmlformats.org/officeDocument/2006/relationships/hyperlink" Target="http://www.aztribaltransportation.org/PDF/Transportation_Planning_Programming_Gdbk_Tribal_Govts.pdf" TargetMode="External"/><Relationship Id="rId371" Type="http://schemas.openxmlformats.org/officeDocument/2006/relationships/hyperlink" Target="https://gao.az.gov/travel/welcome-gao-travel" TargetMode="External"/><Relationship Id="rId774" Type="http://schemas.openxmlformats.org/officeDocument/2006/relationships/hyperlink" Target="https://www.law.cornell.edu/cfr/text/28/50.3" TargetMode="External"/><Relationship Id="rId981" Type="http://schemas.openxmlformats.org/officeDocument/2006/relationships/hyperlink" Target="https://www.govinfo.gov/content/pkg/FR-2011-08-31/html/2011-21359.htm" TargetMode="External"/><Relationship Id="rId1015" Type="http://schemas.openxmlformats.org/officeDocument/2006/relationships/hyperlink" Target="https://www.law.cornell.edu/cfr/text/40/93.105" TargetMode="External"/><Relationship Id="rId1057" Type="http://schemas.openxmlformats.org/officeDocument/2006/relationships/hyperlink" Target="https://www.fhwa.dot.gov/policy/ohpi/hpms/fchguidance.cfm" TargetMode="External"/><Relationship Id="rId1222" Type="http://schemas.openxmlformats.org/officeDocument/2006/relationships/hyperlink" Target="https://htaindex.cnt.org/" TargetMode="External"/><Relationship Id="rId427" Type="http://schemas.openxmlformats.org/officeDocument/2006/relationships/hyperlink" Target="https://www.azleg.gov/viewdocument/?docName=https://www.azleg.gov/ars/28/00504.htm" TargetMode="External"/><Relationship Id="rId469" Type="http://schemas.openxmlformats.org/officeDocument/2006/relationships/hyperlink" Target="https://www.law.cornell.edu/cfr/text/23/450.324" TargetMode="External"/><Relationship Id="rId634" Type="http://schemas.openxmlformats.org/officeDocument/2006/relationships/hyperlink" Target="https://www.govinfo.gov/app/details/USCODE-2011-title23/USCODE-2011-title23-chap1-sec120" TargetMode="External"/><Relationship Id="rId676" Type="http://schemas.openxmlformats.org/officeDocument/2006/relationships/hyperlink" Target="https://www.law.cornell.edu/uscode/text/23/134" TargetMode="External"/><Relationship Id="rId841" Type="http://schemas.openxmlformats.org/officeDocument/2006/relationships/hyperlink" Target="http://www.lhmpo.org/docs/default-source/federal-required-documents/lhmpo_pip_final_amended_10302017.pdf?sfvrsn=fadef9f0_6" TargetMode="External"/><Relationship Id="rId883" Type="http://schemas.openxmlformats.org/officeDocument/2006/relationships/hyperlink" Target="https://www.govinfo.gov/app/details/USCODE-2018-title23/USCODE-2018-title23-chap5-sec505" TargetMode="External"/><Relationship Id="rId1099" Type="http://schemas.openxmlformats.org/officeDocument/2006/relationships/hyperlink" Target="http://www.highwaysafetymanual.org/Pages/default.aspx" TargetMode="External"/><Relationship Id="rId26" Type="http://schemas.openxmlformats.org/officeDocument/2006/relationships/image" Target="media/image12.png"/><Relationship Id="rId231" Type="http://schemas.openxmlformats.org/officeDocument/2006/relationships/hyperlink" Target="https://azdot.gov/planning/transportation-planning/metropolitan-transportation-program" TargetMode="External"/><Relationship Id="rId273" Type="http://schemas.openxmlformats.org/officeDocument/2006/relationships/hyperlink" Target="https://www.ecfr.gov/cgi-bin/text-idx?c=ecfr&amp;sid=7f5985b5d2fe301f3fd5a6f537e6bfb8&amp;rgn=div5&amp;view=text&amp;node=23:1.0.1.5.11&amp;idno=23" TargetMode="External"/><Relationship Id="rId329" Type="http://schemas.openxmlformats.org/officeDocument/2006/relationships/hyperlink" Target="https://azdot.gov/planning/transportation-programs/state-long-range-transportation-plan" TargetMode="External"/><Relationship Id="rId480" Type="http://schemas.openxmlformats.org/officeDocument/2006/relationships/hyperlink" Target="https://www.fhwa.dot.gov/hep/guidance/superseded/23cfr450.cfm" TargetMode="External"/><Relationship Id="rId536" Type="http://schemas.openxmlformats.org/officeDocument/2006/relationships/hyperlink" Target="https://www.law.cornell.edu/uscode/text/49/31102" TargetMode="External"/><Relationship Id="rId701" Type="http://schemas.openxmlformats.org/officeDocument/2006/relationships/hyperlink" Target="https://www.law.cornell.edu/uscode/text/23/133" TargetMode="External"/><Relationship Id="rId939" Type="http://schemas.openxmlformats.org/officeDocument/2006/relationships/hyperlink" Target="https://www.govinfo.gov/content/pkg/CFR-2011-title23-vol1/pdf/CFR-2011-title23-vol1-sec450-322.pdf" TargetMode="External"/><Relationship Id="rId1124" Type="http://schemas.openxmlformats.org/officeDocument/2006/relationships/hyperlink" Target="https://www.transportation.gov/individuals/foia/dot-order-53011-american-indiansalaska-nativestribes" TargetMode="External"/><Relationship Id="rId1166" Type="http://schemas.openxmlformats.org/officeDocument/2006/relationships/hyperlink" Target="https://www.azleg.gov/legtext/49leg/1r/bills/hb2396h.pdf" TargetMode="External"/><Relationship Id="rId68" Type="http://schemas.openxmlformats.org/officeDocument/2006/relationships/hyperlink" Target="https://pagregion.com/" TargetMode="External"/><Relationship Id="rId133" Type="http://schemas.openxmlformats.org/officeDocument/2006/relationships/image" Target="media/image47.jpeg"/><Relationship Id="rId175" Type="http://schemas.openxmlformats.org/officeDocument/2006/relationships/hyperlink" Target="https://highways.dot.gov/research/opportunities-partnerships/partnerships/state-planning-research" TargetMode="External"/><Relationship Id="rId340" Type="http://schemas.openxmlformats.org/officeDocument/2006/relationships/hyperlink" Target="https://www.govinfo.gov/content/pkg/USCODE-2011-title23/pdf/USCODE-2011-title23-chap1-sec134.pdf" TargetMode="External"/><Relationship Id="rId578" Type="http://schemas.openxmlformats.org/officeDocument/2006/relationships/hyperlink" Target="https://www.fhwa.dot.gov/tea21/" TargetMode="External"/><Relationship Id="rId743" Type="http://schemas.openxmlformats.org/officeDocument/2006/relationships/hyperlink" Target="https://www.govinfo.gov/content/pkg/USCODE-2010-title42/pdf/USCODE-2010-title42-chap76-sec6101.pdf" TargetMode="External"/><Relationship Id="rId785" Type="http://schemas.openxmlformats.org/officeDocument/2006/relationships/hyperlink" Target="https://www.govinfo.gov/content/pkg/FR-2000-08-16/pdf/00-20938.pdf" TargetMode="External"/><Relationship Id="rId950" Type="http://schemas.openxmlformats.org/officeDocument/2006/relationships/hyperlink" Target="https://www.gao.gov/" TargetMode="External"/><Relationship Id="rId992" Type="http://schemas.openxmlformats.org/officeDocument/2006/relationships/hyperlink" Target="https://www.law.cornell.edu/uscode/text/42/7506" TargetMode="External"/><Relationship Id="rId1026" Type="http://schemas.openxmlformats.org/officeDocument/2006/relationships/hyperlink" Target="https://www.environment.fhwa.dot.gov/nepa/nepa_projDev.aspx" TargetMode="External"/><Relationship Id="rId200" Type="http://schemas.openxmlformats.org/officeDocument/2006/relationships/hyperlink" Target="https://azdot.gov/sites/default/files/2019/05/2018-adot-state-management-plan.pdf" TargetMode="External"/><Relationship Id="rId382" Type="http://schemas.openxmlformats.org/officeDocument/2006/relationships/hyperlink" Target="https://azmemory.azlibrary.gov/digital/collection/execorders/id/1611" TargetMode="External"/><Relationship Id="rId438" Type="http://schemas.openxmlformats.org/officeDocument/2006/relationships/hyperlink" Target="https://www.law.cornell.edu/uscode/text/23/134" TargetMode="External"/><Relationship Id="rId603" Type="http://schemas.openxmlformats.org/officeDocument/2006/relationships/hyperlink" Target="https://www.govinfo.gov/app/details/CFR-2019-title2-vol1/CFR-2019-title2-vol1-sec200-512/summary" TargetMode="External"/><Relationship Id="rId645" Type="http://schemas.openxmlformats.org/officeDocument/2006/relationships/hyperlink" Target="https://www.ecfr.gov/cgi-bin/text-idx?SID=b20169633ca5b61fbfef2c908b9973a9&amp;mc=true&amp;node=se23.1.450_1326&amp;rgn=div8" TargetMode="External"/><Relationship Id="rId687" Type="http://schemas.openxmlformats.org/officeDocument/2006/relationships/hyperlink" Target="https://www.law.cornell.edu/uscode/text/42/7408" TargetMode="External"/><Relationship Id="rId810" Type="http://schemas.openxmlformats.org/officeDocument/2006/relationships/hyperlink" Target="https://www.metroplanflg.org/compliance" TargetMode="External"/><Relationship Id="rId852" Type="http://schemas.openxmlformats.org/officeDocument/2006/relationships/hyperlink" Target="https://www.transit.dot.gov/regulations-and-guidance/fta-circulars/full-funding-grant-agreements-guidance" TargetMode="External"/><Relationship Id="rId908" Type="http://schemas.openxmlformats.org/officeDocument/2006/relationships/hyperlink" Target="https://azdot.gov/sites/default/files/2019/08/final-report-arizona-truck-parking-study.pdf" TargetMode="External"/><Relationship Id="rId1068" Type="http://schemas.openxmlformats.org/officeDocument/2006/relationships/hyperlink" Target="https://www.fhwa.dot.gov/azdiv/Arizona_SO_Agreement_signed_2015_04_09.pdf" TargetMode="External"/><Relationship Id="rId1233" Type="http://schemas.openxmlformats.org/officeDocument/2006/relationships/hyperlink" Target="https://www.transportation.gov/bicycles-pedestrians" TargetMode="External"/><Relationship Id="rId242" Type="http://schemas.openxmlformats.org/officeDocument/2006/relationships/hyperlink" Target="https://www.hud.gov/" TargetMode="External"/><Relationship Id="rId284" Type="http://schemas.openxmlformats.org/officeDocument/2006/relationships/hyperlink" Target="https://www.law.cornell.edu/cfr/text/23/450.312" TargetMode="External"/><Relationship Id="rId491" Type="http://schemas.openxmlformats.org/officeDocument/2006/relationships/hyperlink" Target="https://www.fhwa.dot.gov/hep/guidance/superseded/23cfr450.cfm" TargetMode="External"/><Relationship Id="rId505" Type="http://schemas.openxmlformats.org/officeDocument/2006/relationships/hyperlink" Target="https://www.law.cornell.edu/uscode/text/23/134" TargetMode="External"/><Relationship Id="rId712" Type="http://schemas.openxmlformats.org/officeDocument/2006/relationships/hyperlink" Target="https://www.govinfo.gov/app/details/USCODE-2015-title49/USCODE-2015-title49-subtitleIII-chap53-sec5307" TargetMode="External"/><Relationship Id="rId894" Type="http://schemas.openxmlformats.org/officeDocument/2006/relationships/hyperlink" Target="https://www.up.com/index.htm" TargetMode="External"/><Relationship Id="rId1135" Type="http://schemas.openxmlformats.org/officeDocument/2006/relationships/hyperlink" Target="http://www.aztribaltransportation.org/PDF/ADOT-MGT-16-01-Tribal-Consultation.pdf" TargetMode="External"/><Relationship Id="rId1177" Type="http://schemas.openxmlformats.org/officeDocument/2006/relationships/hyperlink" Target="https://www.govinfo.gov/content/pkg/CFR-2004-title23-vol1/pdf/CFR-2004-title23-vol1-part450.pdf" TargetMode="External"/><Relationship Id="rId37" Type="http://schemas.openxmlformats.org/officeDocument/2006/relationships/hyperlink" Target="https://www.govinfo.gov/content/pkg/USCODE-2011-title23/pdf/USCODE-2011-title23-chap1-sec135.pdf" TargetMode="External"/><Relationship Id="rId79" Type="http://schemas.openxmlformats.org/officeDocument/2006/relationships/hyperlink" Target="https://www.cympo.org/" TargetMode="External"/><Relationship Id="rId102" Type="http://schemas.openxmlformats.org/officeDocument/2006/relationships/image" Target="media/image37.jpeg"/><Relationship Id="rId144" Type="http://schemas.openxmlformats.org/officeDocument/2006/relationships/hyperlink" Target="http://www.cagaz.org/" TargetMode="External"/><Relationship Id="rId547" Type="http://schemas.openxmlformats.org/officeDocument/2006/relationships/hyperlink" Target="https://www.law.cornell.edu/cfr/text/23/450.326" TargetMode="External"/><Relationship Id="rId589" Type="http://schemas.openxmlformats.org/officeDocument/2006/relationships/hyperlink" Target="https://www.azleg.gov/viewdocument/?docName=https://www.azleg.gov/ars/28/09142.htm" TargetMode="External"/><Relationship Id="rId754" Type="http://schemas.openxmlformats.org/officeDocument/2006/relationships/hyperlink" Target="https://www.govinfo.gov/content/pkg/USCODE-2011-title49/pdf/USCODE-2011-title49-subtitleIII-chap53-sec5306.pdf" TargetMode="External"/><Relationship Id="rId796" Type="http://schemas.openxmlformats.org/officeDocument/2006/relationships/hyperlink" Target="https://www.govinfo.gov/content/pkg/USCODE-2010-title29/pdf/USCODE-2010-title29-chap16-subchapV-sec794.pdf" TargetMode="External"/><Relationship Id="rId961" Type="http://schemas.openxmlformats.org/officeDocument/2006/relationships/hyperlink" Target="https://azdot.gov/sites/default/files/2019/05/2011_la_grant_checklist.pdf" TargetMode="External"/><Relationship Id="rId1202" Type="http://schemas.openxmlformats.org/officeDocument/2006/relationships/hyperlink" Target="https://www.loc.gov/law/help/statutes-at-large/37th-congress/session-3/c37s3ch56.pdf" TargetMode="External"/><Relationship Id="rId90" Type="http://schemas.openxmlformats.org/officeDocument/2006/relationships/image" Target="media/image32.jpeg"/><Relationship Id="rId186" Type="http://schemas.openxmlformats.org/officeDocument/2006/relationships/hyperlink" Target="https://azdot.gov/planning/transportation-programming/current-five-year-program" TargetMode="External"/><Relationship Id="rId351" Type="http://schemas.openxmlformats.org/officeDocument/2006/relationships/hyperlink" Target="https://az-flagstaff4.civicplus.com/DocumentCenter/View/58109/FMPO-UPWP-2019-EB-final-5-24-18" TargetMode="External"/><Relationship Id="rId393" Type="http://schemas.openxmlformats.org/officeDocument/2006/relationships/hyperlink" Target="https://egrants.azdot.gov/Login2.aspx?APPTHEME=AZDOT" TargetMode="External"/><Relationship Id="rId407" Type="http://schemas.openxmlformats.org/officeDocument/2006/relationships/hyperlink" Target="https://www.govinfo.gov/content/pkg/CFR-2012-title23-vol1/pdf/CFR-2012-title23-vol1-sec450-334.pdf" TargetMode="External"/><Relationship Id="rId449" Type="http://schemas.openxmlformats.org/officeDocument/2006/relationships/hyperlink" Target="file:///\\ustpe100cifs01\Jobs\11593%20ADOT%20MPD%20Planning%20OC\Task%20D%20COG&amp;MPO%20Manual%20Update\5-0%20%5ePROJECT%20DATA\Working_Manual\23%20C.F.R.%20&#167;%20450.322(b)" TargetMode="External"/><Relationship Id="rId614" Type="http://schemas.openxmlformats.org/officeDocument/2006/relationships/hyperlink" Target="https://www.bia.gov/knowledge-base/audit-financial" TargetMode="External"/><Relationship Id="rId656" Type="http://schemas.openxmlformats.org/officeDocument/2006/relationships/hyperlink" Target="https://www.govinfo.gov/app/details/USCODE-2013-title49/USCODE-2013-title49-subtitleIII-chap53-sec5339" TargetMode="External"/><Relationship Id="rId821" Type="http://schemas.openxmlformats.org/officeDocument/2006/relationships/hyperlink" Target="https://www.govinfo.gov/app/details/CFR-2011-title49-vol1/CFR-2011-title49-vol1-sec26-13" TargetMode="External"/><Relationship Id="rId863" Type="http://schemas.openxmlformats.org/officeDocument/2006/relationships/hyperlink" Target="https://www.transit.dot.gov/funding/grantee-resources/certifications-and-assurances/fiscal-year-2013-annual-list-certifications" TargetMode="External"/><Relationship Id="rId1037" Type="http://schemas.openxmlformats.org/officeDocument/2006/relationships/hyperlink" Target="https://www.ecfr.gov/cgi-bin/text-idx?c=ecfr&amp;rgn=div5&amp;view=text&amp;node=23:1.0.1.5.12&amp;idno=23" TargetMode="External"/><Relationship Id="rId1079" Type="http://schemas.openxmlformats.org/officeDocument/2006/relationships/hyperlink" Target="https://www.govinfo.gov/content/pkg/USCODE-2011-title23/pdf/USCODE-2011-title23-chap4-sec402.pdf" TargetMode="External"/><Relationship Id="rId1244" Type="http://schemas.openxmlformats.org/officeDocument/2006/relationships/hyperlink" Target="https://www.gis.fhwa.dot.gov/documents/GIS_BikePed_Peer_rpt.htm" TargetMode="External"/><Relationship Id="rId211" Type="http://schemas.openxmlformats.org/officeDocument/2006/relationships/hyperlink" Target="https://azdot.gov/business/environmental-planning/programs/planning-and-environmental-linkages" TargetMode="External"/><Relationship Id="rId253" Type="http://schemas.openxmlformats.org/officeDocument/2006/relationships/hyperlink" Target="https://azdot.gov/planning" TargetMode="External"/><Relationship Id="rId295" Type="http://schemas.openxmlformats.org/officeDocument/2006/relationships/hyperlink" Target="https://www.nado.org/metropolitan-and-rural-transportation-planning-case-studies-and-checklists-for-regional-collaboration/" TargetMode="External"/><Relationship Id="rId309" Type="http://schemas.openxmlformats.org/officeDocument/2006/relationships/hyperlink" Target="https://www.govinfo.gov/content/pkg/CFR-2011-title23-vol1/pdf/CFR-2011-title23-vol1-sec450-314.pdf" TargetMode="External"/><Relationship Id="rId460" Type="http://schemas.openxmlformats.org/officeDocument/2006/relationships/hyperlink" Target="https://www.law.cornell.edu/cfr/text/49/part-611" TargetMode="External"/><Relationship Id="rId516" Type="http://schemas.openxmlformats.org/officeDocument/2006/relationships/hyperlink" Target="https://www.fhwa.dot.gov/hep/guidance/superseded/23cfr450.cfm" TargetMode="External"/><Relationship Id="rId698" Type="http://schemas.openxmlformats.org/officeDocument/2006/relationships/hyperlink" Target="https://www.law.cornell.edu/uscode/text/23/133" TargetMode="External"/><Relationship Id="rId919" Type="http://schemas.openxmlformats.org/officeDocument/2006/relationships/hyperlink" Target="https://www.fhwa.dot.gov/planning/border_planning/us_mexico/" TargetMode="External"/><Relationship Id="rId1090" Type="http://schemas.openxmlformats.org/officeDocument/2006/relationships/hyperlink" Target="https://www.azleg.gov/viewdocument/?docName=https://www.azleg.gov/ars/28/00503.htm" TargetMode="External"/><Relationship Id="rId1104" Type="http://schemas.openxmlformats.org/officeDocument/2006/relationships/hyperlink" Target="https://azdot.gov/sites/default/files/2019/06/2015-hsip-manual.pdf" TargetMode="External"/><Relationship Id="rId1146" Type="http://schemas.openxmlformats.org/officeDocument/2006/relationships/hyperlink" Target="https://www.law.cornell.edu/cfr/text/25/part-170" TargetMode="External"/><Relationship Id="rId48" Type="http://schemas.openxmlformats.org/officeDocument/2006/relationships/hyperlink" Target="https://www.fhwa.dot.gov/map21/docs/title23usc.pdf" TargetMode="External"/><Relationship Id="rId113" Type="http://schemas.openxmlformats.org/officeDocument/2006/relationships/hyperlink" Target="https://azdot.gov/sites/default/files/2019/12/YMPO-Conformity-Finding-November-2019.pdf" TargetMode="External"/><Relationship Id="rId320" Type="http://schemas.openxmlformats.org/officeDocument/2006/relationships/hyperlink" Target="https://scmpo.org/tac/" TargetMode="External"/><Relationship Id="rId558" Type="http://schemas.openxmlformats.org/officeDocument/2006/relationships/hyperlink" Target="https://www.law.cornell.edu/cfr/text/23/450.326" TargetMode="External"/><Relationship Id="rId723" Type="http://schemas.openxmlformats.org/officeDocument/2006/relationships/hyperlink" Target="https://www.azleg.gov/viewdocument/?docName=https://www.azleg.gov/ars/42/05159.htm" TargetMode="External"/><Relationship Id="rId765" Type="http://schemas.openxmlformats.org/officeDocument/2006/relationships/hyperlink" Target="https://www.govinfo.gov/app/details/USCODE-2010-title42/USCODE-2010-title42-chap76-sec6101" TargetMode="External"/><Relationship Id="rId930" Type="http://schemas.openxmlformats.org/officeDocument/2006/relationships/footer" Target="footer33.xml"/><Relationship Id="rId972" Type="http://schemas.openxmlformats.org/officeDocument/2006/relationships/hyperlink" Target="https://www.azleg.gov/ars/28/08461.htm" TargetMode="External"/><Relationship Id="rId1006" Type="http://schemas.openxmlformats.org/officeDocument/2006/relationships/hyperlink" Target="https://www.epa.gov/state-and-local-transportation" TargetMode="External"/><Relationship Id="rId1188" Type="http://schemas.openxmlformats.org/officeDocument/2006/relationships/hyperlink" Target="http://www.habimap.org/" TargetMode="External"/><Relationship Id="rId155" Type="http://schemas.openxmlformats.org/officeDocument/2006/relationships/image" Target="media/image500.png"/><Relationship Id="rId197" Type="http://schemas.openxmlformats.org/officeDocument/2006/relationships/hyperlink" Target="https://azmag.gov/Programs/Transportation" TargetMode="External"/><Relationship Id="rId362" Type="http://schemas.openxmlformats.org/officeDocument/2006/relationships/hyperlink" Target="https://www.transit.dot.gov/funding/procurement/third-party-procurement/local-matching-funds" TargetMode="External"/><Relationship Id="rId418" Type="http://schemas.openxmlformats.org/officeDocument/2006/relationships/hyperlink" Target="https://www.govinfo.gov/content/pkg/CFR-2011-title23-vol1/pdf/CFR-2011-title23-vol1-sec450-316.pdf" TargetMode="External"/><Relationship Id="rId625" Type="http://schemas.openxmlformats.org/officeDocument/2006/relationships/hyperlink" Target="https://www.govinfo.gov/app/details/CFR-2014-title2-vol1/CFR-2014-title2-vol1-part200/summary" TargetMode="External"/><Relationship Id="rId832" Type="http://schemas.openxmlformats.org/officeDocument/2006/relationships/hyperlink" Target="https://www.govinfo.gov/content/pkg/CFR-2011-title23-vol1/xml/CFR-2011-title23-vol1-sec450-316.xml" TargetMode="External"/><Relationship Id="rId1048" Type="http://schemas.openxmlformats.org/officeDocument/2006/relationships/hyperlink" Target="https://storymaps.arcgis.com/stories/5278a189882148b79d7422ef94a3c4be" TargetMode="External"/><Relationship Id="rId1213" Type="http://schemas.openxmlformats.org/officeDocument/2006/relationships/hyperlink" Target="https://www.hud.gov/sites/documents/2012OSHCACCOMPRPT.PDF" TargetMode="External"/><Relationship Id="rId1255" Type="http://schemas.openxmlformats.org/officeDocument/2006/relationships/hyperlink" Target="https://gohs.az.gov/highway-safety-programs/bicycle-safety" TargetMode="External"/><Relationship Id="rId222" Type="http://schemas.openxmlformats.org/officeDocument/2006/relationships/hyperlink" Target="https://flh.fhwa.dot.gov/" TargetMode="External"/><Relationship Id="rId264" Type="http://schemas.openxmlformats.org/officeDocument/2006/relationships/hyperlink" Target="https://www.govinfo.gov/content/pkg/USCODE-2011-title23/html/USCODE-2011-title23-chap1-sec134.htm" TargetMode="External"/><Relationship Id="rId471" Type="http://schemas.openxmlformats.org/officeDocument/2006/relationships/hyperlink" Target="https://www.fhwa.dot.gov/legsregs/title23.pdf" TargetMode="External"/><Relationship Id="rId667" Type="http://schemas.openxmlformats.org/officeDocument/2006/relationships/hyperlink" Target="https://www.law.cornell.edu/cfr/text/2/200.96" TargetMode="External"/><Relationship Id="rId874" Type="http://schemas.openxmlformats.org/officeDocument/2006/relationships/footer" Target="footer30.xml"/><Relationship Id="rId1115" Type="http://schemas.openxmlformats.org/officeDocument/2006/relationships/hyperlink" Target="https://ntl.bts.gov/DOCS/istea.html" TargetMode="External"/><Relationship Id="rId17" Type="http://schemas.openxmlformats.org/officeDocument/2006/relationships/image" Target="media/image5.png"/><Relationship Id="rId59" Type="http://schemas.openxmlformats.org/officeDocument/2006/relationships/image" Target="media/image22.png"/><Relationship Id="rId124" Type="http://schemas.openxmlformats.org/officeDocument/2006/relationships/hyperlink" Target="https://www.nacog.org/" TargetMode="External"/><Relationship Id="rId527" Type="http://schemas.openxmlformats.org/officeDocument/2006/relationships/hyperlink" Target="https://www.law.cornell.edu/cfr/text/23/450.326" TargetMode="External"/><Relationship Id="rId569" Type="http://schemas.openxmlformats.org/officeDocument/2006/relationships/hyperlink" Target="https://azdot.gov/sites/default/files/media/2020/08/SW_ESTIP_Adding_projects_to_a_New_TIP_Cycle_Adoption.pdf" TargetMode="External"/><Relationship Id="rId734" Type="http://schemas.openxmlformats.org/officeDocument/2006/relationships/hyperlink" Target="https://www.govinfo.gov/content/pkg/USCODE-2011-title23/pdf/USCODE-2011-title23-chap1-sec135.pdf" TargetMode="External"/><Relationship Id="rId776" Type="http://schemas.openxmlformats.org/officeDocument/2006/relationships/hyperlink" Target="https://www.govinfo.gov/content/pkg/CFR-2003-title49-vol1/pdf/CFR-2003-title49-vol1-part21.pdf" TargetMode="External"/><Relationship Id="rId941" Type="http://schemas.openxmlformats.org/officeDocument/2006/relationships/hyperlink" Target="https://www.faa.gov/documentLibrary/media/advisory_circular/150-5070-7/150_5070_7.pdf" TargetMode="External"/><Relationship Id="rId983" Type="http://schemas.openxmlformats.org/officeDocument/2006/relationships/hyperlink" Target="https://www.govinfo.gov/content/pkg/FR-2010-02-09/html/2010-1990.htm" TargetMode="External"/><Relationship Id="rId1157" Type="http://schemas.openxmlformats.org/officeDocument/2006/relationships/hyperlink" Target="http://www.aztribaltransportation.org/" TargetMode="External"/><Relationship Id="rId1199" Type="http://schemas.openxmlformats.org/officeDocument/2006/relationships/hyperlink" Target="https://www.ecfr.gov/cgi-bin/text-idx?SID=ecc41c96bf7f3fad84dcb175a361d785&amp;mc=true&amp;node=pt23.1.772&amp;rgn=div5" TargetMode="External"/><Relationship Id="rId70" Type="http://schemas.openxmlformats.org/officeDocument/2006/relationships/image" Target="media/image221.png"/><Relationship Id="rId166" Type="http://schemas.openxmlformats.org/officeDocument/2006/relationships/hyperlink" Target="http://www.aztribaltransportation.org/PDF/Transportation_Planning_Programming_Gdbk_Tribal_Govts.pdf" TargetMode="External"/><Relationship Id="rId331" Type="http://schemas.openxmlformats.org/officeDocument/2006/relationships/hyperlink" Target="https://www.law.cornell.edu/cfr/text/23/part-450" TargetMode="External"/><Relationship Id="rId373" Type="http://schemas.openxmlformats.org/officeDocument/2006/relationships/hyperlink" Target="https://www.law.cornell.edu/cfr/text/23/420.117" TargetMode="External"/><Relationship Id="rId429" Type="http://schemas.openxmlformats.org/officeDocument/2006/relationships/hyperlink" Target="https://www.azleg.gov/viewdocument/?docName=https://www.azleg.gov/ars/28/00506.htm" TargetMode="External"/><Relationship Id="rId580" Type="http://schemas.openxmlformats.org/officeDocument/2006/relationships/hyperlink" Target="https://www.transportation.gov/map21" TargetMode="External"/><Relationship Id="rId636" Type="http://schemas.openxmlformats.org/officeDocument/2006/relationships/hyperlink" Target="https://www.govinfo.gov/app/details/USCODE-2011-title23/USCODE-2011-title23-chap1-sec135" TargetMode="External"/><Relationship Id="rId801" Type="http://schemas.openxmlformats.org/officeDocument/2006/relationships/hyperlink" Target="https://www.govinfo.gov/app/details/CFR-1999-title49-vol1/CFR-1999-title49-vol1-sec21-7" TargetMode="External"/><Relationship Id="rId1017" Type="http://schemas.openxmlformats.org/officeDocument/2006/relationships/hyperlink" Target="https://www.fhwa.dot.gov/planning/congestion_management_process/" TargetMode="External"/><Relationship Id="rId1059" Type="http://schemas.openxmlformats.org/officeDocument/2006/relationships/hyperlink" Target="https://azgeo.az.gov/adot/WeLoveYourInput.aspx" TargetMode="External"/><Relationship Id="rId1224" Type="http://schemas.openxmlformats.org/officeDocument/2006/relationships/hyperlink" Target="https://azdot.gov/adot-news/adot-finalizes-bicycle-and-pedestrian-plan-update" TargetMode="External"/><Relationship Id="rId1" Type="http://schemas.openxmlformats.org/officeDocument/2006/relationships/customXml" Target="../customXml/item1.xml"/><Relationship Id="rId233" Type="http://schemas.openxmlformats.org/officeDocument/2006/relationships/hyperlink" Target="http://origin.azdot.gov/planning/DataandAnalysis/highway-performance-monitoring-system" TargetMode="External"/><Relationship Id="rId440" Type="http://schemas.openxmlformats.org/officeDocument/2006/relationships/hyperlink" Target="https://www.law.cornell.edu/uscode/text/23/134" TargetMode="External"/><Relationship Id="rId678" Type="http://schemas.openxmlformats.org/officeDocument/2006/relationships/hyperlink" Target="https://www.law.cornell.edu/uscode/text/23/505" TargetMode="External"/><Relationship Id="rId843" Type="http://schemas.openxmlformats.org/officeDocument/2006/relationships/hyperlink" Target="http://ympo.org/plans/ympo-public-participation-plan/" TargetMode="External"/><Relationship Id="rId885" Type="http://schemas.openxmlformats.org/officeDocument/2006/relationships/hyperlink" Target="https://www.govinfo.gov/app/details/USCODE-2018-title23/USCODE-2018-title23-chap1-sec167" TargetMode="External"/><Relationship Id="rId1070" Type="http://schemas.openxmlformats.org/officeDocument/2006/relationships/hyperlink" Target="https://www.epa.gov/state-and-local-transportation" TargetMode="External"/><Relationship Id="rId1126" Type="http://schemas.openxmlformats.org/officeDocument/2006/relationships/hyperlink" Target="https://www.archives.gov/files/federal-register/executive-orders/pdf/12898.pdf" TargetMode="External"/><Relationship Id="rId28" Type="http://schemas.openxmlformats.org/officeDocument/2006/relationships/image" Target="media/image14.png"/><Relationship Id="rId275" Type="http://schemas.openxmlformats.org/officeDocument/2006/relationships/hyperlink" Target="https://www.govinfo.gov/content/pkg/STATUTE-82/pdf/STATUTE-82-Pg1098.pdf" TargetMode="External"/><Relationship Id="rId300" Type="http://schemas.openxmlformats.org/officeDocument/2006/relationships/hyperlink" Target="https://www.fhwa.dot.gov/azdiv/" TargetMode="External"/><Relationship Id="rId482" Type="http://schemas.openxmlformats.org/officeDocument/2006/relationships/hyperlink" Target="https://www.fhwa.dot.gov/hep/guidance/superseded/23cfr450.cfm" TargetMode="External"/><Relationship Id="rId538" Type="http://schemas.openxmlformats.org/officeDocument/2006/relationships/hyperlink" Target="https://www.law.cornell.edu/uscode/text/49/5305" TargetMode="External"/><Relationship Id="rId703" Type="http://schemas.openxmlformats.org/officeDocument/2006/relationships/hyperlink" Target="https://www.law.cornell.edu/uscode/text/23/133" TargetMode="External"/><Relationship Id="rId745" Type="http://schemas.openxmlformats.org/officeDocument/2006/relationships/hyperlink" Target="https://www.govinfo.gov/content/pkg/USCODE-2009-title42/pdf/USCODE-2009-title42-chap85-subchapI-partD-subpart1-sec7506.pdf" TargetMode="External"/><Relationship Id="rId910" Type="http://schemas.openxmlformats.org/officeDocument/2006/relationships/hyperlink" Target="https://azdot.gov/sites/default/files/2019/08/Transportation-Asset-Management-Plan.pdf" TargetMode="External"/><Relationship Id="rId952" Type="http://schemas.openxmlformats.org/officeDocument/2006/relationships/hyperlink" Target="https://www.faa.gov/airports/aip/aip_handbook/" TargetMode="External"/><Relationship Id="rId1168" Type="http://schemas.openxmlformats.org/officeDocument/2006/relationships/hyperlink" Target="https://azdot.gov/business/programs-and-partnerships/p3-initiatives" TargetMode="External"/><Relationship Id="rId81" Type="http://schemas.openxmlformats.org/officeDocument/2006/relationships/hyperlink" Target="https://www.cympo.org/" TargetMode="External"/><Relationship Id="rId135" Type="http://schemas.openxmlformats.org/officeDocument/2006/relationships/image" Target="media/image49.jpeg"/><Relationship Id="rId177" Type="http://schemas.openxmlformats.org/officeDocument/2006/relationships/hyperlink" Target="https://azdot.gov/planning/transportation-programs/planning-assistance-rural-areas-para-program" TargetMode="External"/><Relationship Id="rId342" Type="http://schemas.openxmlformats.org/officeDocument/2006/relationships/hyperlink" Target="https://www.govinfo.gov/content/pkg/USCODE-2011-title23/pdf/USCODE-2011-title23-chap1-sec139.pdf" TargetMode="External"/><Relationship Id="rId384" Type="http://schemas.openxmlformats.org/officeDocument/2006/relationships/image" Target="media/image61.jpeg"/><Relationship Id="rId591" Type="http://schemas.openxmlformats.org/officeDocument/2006/relationships/hyperlink" Target="https://www.azleg.gov/viewdocument/?docName=https://www.azleg.gov/ars/42/06105.htm" TargetMode="External"/><Relationship Id="rId605" Type="http://schemas.openxmlformats.org/officeDocument/2006/relationships/hyperlink" Target="https://facweb.census.gov/" TargetMode="External"/><Relationship Id="rId787" Type="http://schemas.openxmlformats.org/officeDocument/2006/relationships/hyperlink" Target="https://www.law.cornell.edu/uscode/text/23/109" TargetMode="External"/><Relationship Id="rId812" Type="http://schemas.openxmlformats.org/officeDocument/2006/relationships/hyperlink" Target="https://www.govinfo.gov/content/pkg/CFR-2017-title49-vol1/xml/CFR-2017-title49-vol1-part26.xml" TargetMode="External"/><Relationship Id="rId994" Type="http://schemas.openxmlformats.org/officeDocument/2006/relationships/hyperlink" Target="https://azdot.gov/business/environmental-planning/air-quality" TargetMode="External"/><Relationship Id="rId1028" Type="http://schemas.openxmlformats.org/officeDocument/2006/relationships/hyperlink" Target="https://www.fhwa.dot.gov/planning/congestion_management_process/cmp_guidebook/cmpguidebk.pdf" TargetMode="External"/><Relationship Id="rId1235" Type="http://schemas.openxmlformats.org/officeDocument/2006/relationships/hyperlink" Target="http://www.azbikeped.org/downloads/MGT01-2-Bike-Policy.pdf" TargetMode="External"/><Relationship Id="rId202" Type="http://schemas.openxmlformats.org/officeDocument/2006/relationships/hyperlink" Target="https://azdot.gov/sites/default/files/2019/05/2018-adot-state-management-plan.pdf" TargetMode="External"/><Relationship Id="rId244" Type="http://schemas.openxmlformats.org/officeDocument/2006/relationships/hyperlink" Target="https://www.bia.gov/" TargetMode="External"/><Relationship Id="rId647" Type="http://schemas.openxmlformats.org/officeDocument/2006/relationships/hyperlink" Target="https://www.ecfr.gov/cgi-bin/text-idx?SID=b20169633ca5b61fbfef2c908b9973a9&amp;mc=true&amp;node=se23.1.450_1330&amp;rgn=div8" TargetMode="External"/><Relationship Id="rId689" Type="http://schemas.openxmlformats.org/officeDocument/2006/relationships/hyperlink" Target="https://www.law.cornell.edu/uscode/text/23/146" TargetMode="External"/><Relationship Id="rId854" Type="http://schemas.openxmlformats.org/officeDocument/2006/relationships/hyperlink" Target="https://azdot.gov/planning/transit-programs-and-grants/rural-transit-assistance-program-rtap" TargetMode="External"/><Relationship Id="rId896" Type="http://schemas.openxmlformats.org/officeDocument/2006/relationships/hyperlink" Target="http://www.bnsf.com/" TargetMode="External"/><Relationship Id="rId1081" Type="http://schemas.openxmlformats.org/officeDocument/2006/relationships/hyperlink" Target="https://www.fhwa.dot.gov/map21/docs/title23usc.pdf" TargetMode="External"/><Relationship Id="rId39" Type="http://schemas.openxmlformats.org/officeDocument/2006/relationships/hyperlink" Target="https://www.govinfo.gov/content/pkg/USCODE-2011-title23/pdf/USCODE-2011-title23-chap2-sec201.pdf" TargetMode="External"/><Relationship Id="rId286" Type="http://schemas.openxmlformats.org/officeDocument/2006/relationships/hyperlink" Target="https://www.govtrack.us/congress/bills/105/s1271/text" TargetMode="External"/><Relationship Id="rId451" Type="http://schemas.openxmlformats.org/officeDocument/2006/relationships/hyperlink" Target="https://www.azmag.gov/Portals/0/Documents/RTP/2040-RTP-Update-FINAL_2-26-2020_Protected.pdf" TargetMode="External"/><Relationship Id="rId493" Type="http://schemas.openxmlformats.org/officeDocument/2006/relationships/hyperlink" Target="https://www.environment.fhwa.dot.gov/env_initiatives/PEL.aspx" TargetMode="External"/><Relationship Id="rId507" Type="http://schemas.openxmlformats.org/officeDocument/2006/relationships/hyperlink" Target="https://www.law.cornell.edu/cfr/text/23/450.326" TargetMode="External"/><Relationship Id="rId549" Type="http://schemas.openxmlformats.org/officeDocument/2006/relationships/hyperlink" Target="https://azdot.gov/planning/transportation-programs/state-long-range-transportation-plan" TargetMode="External"/><Relationship Id="rId714" Type="http://schemas.openxmlformats.org/officeDocument/2006/relationships/hyperlink" Target="https://www.fhwa.dot.gov/ipd/finance/default.aspx" TargetMode="External"/><Relationship Id="rId756" Type="http://schemas.openxmlformats.org/officeDocument/2006/relationships/hyperlink" Target="https://www.govinfo.gov/content/pkg/USCODE-2011-title49/pdf/USCODE-2011-title49-subtitleIII-chap53-sec5332.pdf" TargetMode="External"/><Relationship Id="rId921" Type="http://schemas.openxmlformats.org/officeDocument/2006/relationships/hyperlink" Target="https://www.fhwa.dot.gov/planning/border_planning/us_mexico/" TargetMode="External"/><Relationship Id="rId1137" Type="http://schemas.openxmlformats.org/officeDocument/2006/relationships/hyperlink" Target="https://www.azleg.gov/viewdocument/?docName=https://www.azleg.gov/ars/28/00506.htm" TargetMode="External"/><Relationship Id="rId1179" Type="http://schemas.openxmlformats.org/officeDocument/2006/relationships/hyperlink" Target="https://www.govinfo.gov/app/details/USCODE-2012-title23/USCODE-2012-title23-chap1-sec168" TargetMode="External"/><Relationship Id="rId50" Type="http://schemas.openxmlformats.org/officeDocument/2006/relationships/hyperlink" Target="https://www.azleg.gov/viewdocument/?docName=https://www.azleg.gov/ars/28/00501.htm" TargetMode="External"/><Relationship Id="rId104" Type="http://schemas.openxmlformats.org/officeDocument/2006/relationships/hyperlink" Target="https://www.sierravistaaz.gov/department/index.php?structureid=318" TargetMode="External"/><Relationship Id="rId146" Type="http://schemas.openxmlformats.org/officeDocument/2006/relationships/hyperlink" Target="https://www.nacog.org/" TargetMode="External"/><Relationship Id="rId188" Type="http://schemas.openxmlformats.org/officeDocument/2006/relationships/hyperlink" Target="https://azdot.gov/planning/transportation-programs/state-long-range-transportation-plan" TargetMode="External"/><Relationship Id="rId311" Type="http://schemas.openxmlformats.org/officeDocument/2006/relationships/image" Target="media/image57.jpeg"/><Relationship Id="rId353" Type="http://schemas.openxmlformats.org/officeDocument/2006/relationships/hyperlink" Target="https://scmpo.org/wp-content/uploads/2019/07/FY2020_2021-SCMPO-UPWP-051419.pdf" TargetMode="External"/><Relationship Id="rId395" Type="http://schemas.openxmlformats.org/officeDocument/2006/relationships/hyperlink" Target="https://www.govinfo.gov/app/details/CFR-2014-title2-vol1/CFR-2014-title2-vol1-part200" TargetMode="External"/><Relationship Id="rId409" Type="http://schemas.openxmlformats.org/officeDocument/2006/relationships/hyperlink" Target="https://www.govinfo.gov/content/pkg/USCODE-2011-title23/pdf/USCODE-2011-title23-chap1-sec135.pdf" TargetMode="External"/><Relationship Id="rId560" Type="http://schemas.openxmlformats.org/officeDocument/2006/relationships/hyperlink" Target="https://www.law.cornell.edu/cfr/text/23/450.104" TargetMode="External"/><Relationship Id="rId798" Type="http://schemas.openxmlformats.org/officeDocument/2006/relationships/hyperlink" Target="https://www.govinfo.gov/app/details/USCODE-2011-title49/USCODE-2011-title49-subtitleIII-chap53-sec5303" TargetMode="External"/><Relationship Id="rId963" Type="http://schemas.openxmlformats.org/officeDocument/2006/relationships/hyperlink" Target="https://azdot.gov/planning/airport-development/airports" TargetMode="External"/><Relationship Id="rId1039" Type="http://schemas.openxmlformats.org/officeDocument/2006/relationships/hyperlink" Target="https://www.ecfr.gov/cgi-bin/text-idx?c=ecfr&amp;rgn=div5&amp;view=text&amp;node=23:1.0.1.6.14&amp;idno=23" TargetMode="External"/><Relationship Id="rId1190" Type="http://schemas.openxmlformats.org/officeDocument/2006/relationships/hyperlink" Target="http://www.fws.gov/wetlands/Data/State-Downloads.html" TargetMode="External"/><Relationship Id="rId1204" Type="http://schemas.openxmlformats.org/officeDocument/2006/relationships/hyperlink" Target="https://land.az.gov/contact" TargetMode="External"/><Relationship Id="rId1246" Type="http://schemas.openxmlformats.org/officeDocument/2006/relationships/hyperlink" Target="https://azdot.gov/business/engineering-and-construction/traffic/guidelines-and-processes" TargetMode="External"/><Relationship Id="rId92" Type="http://schemas.openxmlformats.org/officeDocument/2006/relationships/hyperlink" Target="http://www.lhmpo.org/" TargetMode="External"/><Relationship Id="rId213" Type="http://schemas.openxmlformats.org/officeDocument/2006/relationships/hyperlink" Target="https://azdot.gov/planning/airport-development/development-and-planning/five-year-airport-capital-improvement-program" TargetMode="External"/><Relationship Id="rId420" Type="http://schemas.openxmlformats.org/officeDocument/2006/relationships/hyperlink" Target="https://www.govinfo.gov/content/pkg/CFR-2011-title23-vol1/pdf/CFR-2011-title23-vol1-sec450-322.pdf" TargetMode="External"/><Relationship Id="rId616" Type="http://schemas.openxmlformats.org/officeDocument/2006/relationships/hyperlink" Target="https://www.aicpa.org/interestareas/governmentalauditquality/resources/hudinformation/hudinformationhudconsolidatedauditguide.html" TargetMode="External"/><Relationship Id="rId658" Type="http://schemas.openxmlformats.org/officeDocument/2006/relationships/hyperlink" Target="https://www.govinfo.gov/app/details/USCODE-2011-title23/USCODE-2011-title23-chap1-sec104" TargetMode="External"/><Relationship Id="rId823" Type="http://schemas.openxmlformats.org/officeDocument/2006/relationships/hyperlink" Target="https://www.govinfo.gov/app/details/CFR-2011-title49-vol1/CFR-2011-title49-vol1-sec26-13" TargetMode="External"/><Relationship Id="rId865" Type="http://schemas.openxmlformats.org/officeDocument/2006/relationships/hyperlink" Target="https://www.transit.dot.gov/funding/grantee-resources/sample-fta-agreements/fta-master-agreement-fta-ma18-october-1-2011" TargetMode="External"/><Relationship Id="rId1050" Type="http://schemas.openxmlformats.org/officeDocument/2006/relationships/hyperlink" Target="https://nacog.ms2soft.com" TargetMode="External"/><Relationship Id="rId255" Type="http://schemas.openxmlformats.org/officeDocument/2006/relationships/hyperlink" Target="https://www.fhwa.dot.gov/azdiv/" TargetMode="External"/><Relationship Id="rId297" Type="http://schemas.openxmlformats.org/officeDocument/2006/relationships/hyperlink" Target="https://www.law.cornell.edu/uscode/text/49/5303" TargetMode="External"/><Relationship Id="rId462" Type="http://schemas.openxmlformats.org/officeDocument/2006/relationships/hyperlink" Target="https://www.fhwa.dot.gov/planning/fsclcntrntques.cfm" TargetMode="External"/><Relationship Id="rId518" Type="http://schemas.openxmlformats.org/officeDocument/2006/relationships/hyperlink" Target="https://www.azleg.gov/viewdocument/?docName=https://www.azleg.gov/ars/28/06538.htm" TargetMode="External"/><Relationship Id="rId725" Type="http://schemas.openxmlformats.org/officeDocument/2006/relationships/footer" Target="footer23.xml"/><Relationship Id="rId932" Type="http://schemas.openxmlformats.org/officeDocument/2006/relationships/hyperlink" Target="https://azdot.gov/planning/airport-development" TargetMode="External"/><Relationship Id="rId1092" Type="http://schemas.openxmlformats.org/officeDocument/2006/relationships/hyperlink" Target="https://www.azleg.gov/viewdocument/?docName=https://www.azleg.gov/ars/28/00505.htm" TargetMode="External"/><Relationship Id="rId1106" Type="http://schemas.openxmlformats.org/officeDocument/2006/relationships/hyperlink" Target="https://ams.az.gov/agency/governors-office-highway-safety-gohs" TargetMode="External"/><Relationship Id="rId1148" Type="http://schemas.openxmlformats.org/officeDocument/2006/relationships/hyperlink" Target="http://aztribaltransportation.org/PDF/ADOT-MGT-16-01-Tribal-Consultation.pdf" TargetMode="External"/><Relationship Id="rId115" Type="http://schemas.openxmlformats.org/officeDocument/2006/relationships/hyperlink" Target="http://www.cagaz.org/" TargetMode="External"/><Relationship Id="rId157" Type="http://schemas.openxmlformats.org/officeDocument/2006/relationships/image" Target="media/image51.png"/><Relationship Id="rId322" Type="http://schemas.openxmlformats.org/officeDocument/2006/relationships/hyperlink" Target="https://ympo.org/about-us/technical-advisory-committee/" TargetMode="External"/><Relationship Id="rId364" Type="http://schemas.openxmlformats.org/officeDocument/2006/relationships/hyperlink" Target="https://www.transit.dot.gov/regulations-and-guidance/fta-circulars/program-guidance-metropolitan-planning-and-state-planning-and" TargetMode="External"/><Relationship Id="rId767" Type="http://schemas.openxmlformats.org/officeDocument/2006/relationships/hyperlink" Target="https://www.govinfo.gov/content/pkg/USCODE-2009-title42/html/USCODE-2009-title42-chap126.htm" TargetMode="External"/><Relationship Id="rId974" Type="http://schemas.openxmlformats.org/officeDocument/2006/relationships/hyperlink" Target="https://www.azleg.gov/ars/28/08202.htm" TargetMode="External"/><Relationship Id="rId1008" Type="http://schemas.openxmlformats.org/officeDocument/2006/relationships/hyperlink" Target="https://azdot.gov/business/environmental-planning/air-quality/congestion-mitigation-air-quality-transportation-control" TargetMode="External"/><Relationship Id="rId1215" Type="http://schemas.openxmlformats.org/officeDocument/2006/relationships/hyperlink" Target="https://environment.transportation.org/" TargetMode="External"/><Relationship Id="rId61" Type="http://schemas.openxmlformats.org/officeDocument/2006/relationships/hyperlink" Target="http://azmag.gov/" TargetMode="External"/><Relationship Id="rId199" Type="http://schemas.openxmlformats.org/officeDocument/2006/relationships/hyperlink" Target="https://azdot.gov/sites/default/files/2019/05/2018-adot-state-management-plan.pdf" TargetMode="External"/><Relationship Id="rId571" Type="http://schemas.openxmlformats.org/officeDocument/2006/relationships/hyperlink" Target="https://azdot.gov/sites/default/files/media/2020/08/SW_ESTIP_UnsubmittingDeleting_Project_Versions_and_TIP_actions.pdf" TargetMode="External"/><Relationship Id="rId627" Type="http://schemas.openxmlformats.org/officeDocument/2006/relationships/footer" Target="footer20.xml"/><Relationship Id="rId669" Type="http://schemas.openxmlformats.org/officeDocument/2006/relationships/hyperlink" Target="https://www.govinfo.gov/app/details/CFR-2014-title2-vol1/CFR-2014-title2-vol1-sec200-306" TargetMode="External"/><Relationship Id="rId834" Type="http://schemas.openxmlformats.org/officeDocument/2006/relationships/hyperlink" Target="https://www.transit.dot.gov/title6" TargetMode="External"/><Relationship Id="rId876" Type="http://schemas.openxmlformats.org/officeDocument/2006/relationships/hyperlink" Target="https://azmemory.azlibrary.gov/digital/collection/statepubs/id/9338" TargetMode="External"/><Relationship Id="rId1257" Type="http://schemas.openxmlformats.org/officeDocument/2006/relationships/footer" Target="footer36.xml"/><Relationship Id="rId19" Type="http://schemas.openxmlformats.org/officeDocument/2006/relationships/footer" Target="footer1.xml"/><Relationship Id="rId224" Type="http://schemas.openxmlformats.org/officeDocument/2006/relationships/hyperlink" Target="https://flh.fhwa.dot.gov/" TargetMode="External"/><Relationship Id="rId266" Type="http://schemas.openxmlformats.org/officeDocument/2006/relationships/hyperlink" Target="https://www.govinfo.gov/app/details/CFR-2011-title23-vol1/CFR-2011-title23-vol1-sec450-312" TargetMode="External"/><Relationship Id="rId431" Type="http://schemas.openxmlformats.org/officeDocument/2006/relationships/hyperlink" Target="https://www.azleg.gov/viewdocument/?docName=https://www.azleg.gov/ars/28/06951.htm" TargetMode="External"/><Relationship Id="rId473" Type="http://schemas.openxmlformats.org/officeDocument/2006/relationships/hyperlink" Target="https://www.fhwa.dot.gov/legsregs/title23.pdf" TargetMode="External"/><Relationship Id="rId529" Type="http://schemas.openxmlformats.org/officeDocument/2006/relationships/hyperlink" Target="https://www.law.cornell.edu/cfr/text/23/450.326" TargetMode="External"/><Relationship Id="rId680" Type="http://schemas.openxmlformats.org/officeDocument/2006/relationships/hyperlink" Target="https://www.law.cornell.edu/uscode/text/23/135" TargetMode="External"/><Relationship Id="rId736" Type="http://schemas.openxmlformats.org/officeDocument/2006/relationships/hyperlink" Target="https://www.govinfo.gov/app/details/CFR-2011-title23-vol1/CFR-2011-title23-vol1-sec450-334" TargetMode="External"/><Relationship Id="rId901" Type="http://schemas.openxmlformats.org/officeDocument/2006/relationships/hyperlink" Target="https://azmemory.azlibrary.gov/digital/collection/statepubs/id/8984" TargetMode="External"/><Relationship Id="rId1061" Type="http://schemas.openxmlformats.org/officeDocument/2006/relationships/hyperlink" Target="https://works.maps.arcgis.com/apps/webappviewer/index.html?id=4bcb96763e48482799906407a0cdb7cb" TargetMode="External"/><Relationship Id="rId1117" Type="http://schemas.openxmlformats.org/officeDocument/2006/relationships/hyperlink" Target="https://www.fhwa.dot.gov/safetealu/" TargetMode="External"/><Relationship Id="rId1159" Type="http://schemas.openxmlformats.org/officeDocument/2006/relationships/hyperlink" Target="http://www.aztribaltransportation.org/training.asp" TargetMode="External"/><Relationship Id="rId30" Type="http://schemas.openxmlformats.org/officeDocument/2006/relationships/image" Target="media/image16.png"/><Relationship Id="rId126" Type="http://schemas.openxmlformats.org/officeDocument/2006/relationships/image" Target="media/image44.jpeg"/><Relationship Id="rId168" Type="http://schemas.openxmlformats.org/officeDocument/2006/relationships/hyperlink" Target="http://www.aztribaltransportation.org/" TargetMode="External"/><Relationship Id="rId333" Type="http://schemas.openxmlformats.org/officeDocument/2006/relationships/hyperlink" Target="https://azdot.gov/business/programs-and-partnerships/local-public-agency" TargetMode="External"/><Relationship Id="rId540" Type="http://schemas.openxmlformats.org/officeDocument/2006/relationships/hyperlink" Target="https://www.law.cornell.edu/uscode/text/49/5305" TargetMode="External"/><Relationship Id="rId778" Type="http://schemas.openxmlformats.org/officeDocument/2006/relationships/hyperlink" Target="https://www.govinfo.gov/content/pkg/USCODE-2011-title49/pdf/USCODE-2011-title49-subtitleIII-chap53-sec5332.pdf" TargetMode="External"/><Relationship Id="rId943" Type="http://schemas.openxmlformats.org/officeDocument/2006/relationships/hyperlink" Target="https://azdot.gov/planning/airport-development/development-and-planning/state-airports-system-plan-sasp" TargetMode="External"/><Relationship Id="rId985" Type="http://schemas.openxmlformats.org/officeDocument/2006/relationships/hyperlink" Target="https://www.govinfo.gov/content/pkg/FR-2013-01-15/html/2012-30946.htm" TargetMode="External"/><Relationship Id="rId1019" Type="http://schemas.openxmlformats.org/officeDocument/2006/relationships/hyperlink" Target="https://www.fhwa.dot.gov/planning/congestion_management_process/cmp_guidebook/cmpguidebk.pdf" TargetMode="External"/><Relationship Id="rId1170" Type="http://schemas.openxmlformats.org/officeDocument/2006/relationships/hyperlink" Target="https://azdot.gov/sites/default/files/2019/07/p3-program-guidelines.pdf" TargetMode="External"/><Relationship Id="rId72" Type="http://schemas.openxmlformats.org/officeDocument/2006/relationships/image" Target="media/image26.png"/><Relationship Id="rId375" Type="http://schemas.openxmlformats.org/officeDocument/2006/relationships/hyperlink" Target="mailto:mpdinvoice@azdot.gov" TargetMode="External"/><Relationship Id="rId582" Type="http://schemas.openxmlformats.org/officeDocument/2006/relationships/hyperlink" Target="https://www.govinfo.gov/app/details/CFR-2014-title2-vol1/CFR-2014-title2-vol1-part200/summary" TargetMode="External"/><Relationship Id="rId638" Type="http://schemas.openxmlformats.org/officeDocument/2006/relationships/hyperlink" Target="https://www.govinfo.gov/app/details/USCODE-2011-title23/USCODE-2011-title23-chap1-sec150" TargetMode="External"/><Relationship Id="rId803" Type="http://schemas.openxmlformats.org/officeDocument/2006/relationships/hyperlink" Target="https://azdot.gov/business/civil-rights/title-vi-nondiscrimination-program" TargetMode="External"/><Relationship Id="rId845" Type="http://schemas.openxmlformats.org/officeDocument/2006/relationships/hyperlink" Target="https://nacog.org/fileLibrary/TPAC%20Title%20VI%20Plan.pdf" TargetMode="External"/><Relationship Id="rId1030" Type="http://schemas.openxmlformats.org/officeDocument/2006/relationships/hyperlink" Target="https://www.govinfo.gov/content/pkg/PLAW-109publ59/pdf/PLAW-109publ59.pdf" TargetMode="External"/><Relationship Id="rId1226" Type="http://schemas.openxmlformats.org/officeDocument/2006/relationships/hyperlink" Target="http://www.azbikeped.org/" TargetMode="External"/><Relationship Id="rId3" Type="http://schemas.openxmlformats.org/officeDocument/2006/relationships/customXml" Target="../customXml/item3.xml"/><Relationship Id="rId235" Type="http://schemas.openxmlformats.org/officeDocument/2006/relationships/hyperlink" Target="https://www.fhwa.dot.gov/azdiv/" TargetMode="External"/><Relationship Id="rId277" Type="http://schemas.openxmlformats.org/officeDocument/2006/relationships/hyperlink" Target="https://www.azleg.gov/viewdocument/?docName=https://www.azleg.gov/ars/49/00408.htm" TargetMode="External"/><Relationship Id="rId400" Type="http://schemas.openxmlformats.org/officeDocument/2006/relationships/hyperlink" Target="https://www.law.cornell.edu/uscode/text/23/104" TargetMode="External"/><Relationship Id="rId442" Type="http://schemas.openxmlformats.org/officeDocument/2006/relationships/hyperlink" Target="https://www.law.cornell.edu/uscode/text/23/134" TargetMode="External"/><Relationship Id="rId484" Type="http://schemas.openxmlformats.org/officeDocument/2006/relationships/hyperlink" Target="https://www.fhwa.dot.gov/legsregs/title23.pdf" TargetMode="External"/><Relationship Id="rId705" Type="http://schemas.openxmlformats.org/officeDocument/2006/relationships/hyperlink" Target="https://www.law.cornell.edu/uscode/text/23/133" TargetMode="External"/><Relationship Id="rId887" Type="http://schemas.openxmlformats.org/officeDocument/2006/relationships/hyperlink" Target="https://azdot.gov/sites/default/files/2019/08/arizona-state-freight-plan-110917.pdf" TargetMode="External"/><Relationship Id="rId1072" Type="http://schemas.openxmlformats.org/officeDocument/2006/relationships/hyperlink" Target="https://azdot.gov/traffic-monitoring" TargetMode="External"/><Relationship Id="rId1128" Type="http://schemas.openxmlformats.org/officeDocument/2006/relationships/hyperlink" Target="http://www.epa.gov/compliance/nepa/" TargetMode="External"/><Relationship Id="rId137" Type="http://schemas.openxmlformats.org/officeDocument/2006/relationships/hyperlink" Target="https://www.wacog.com/" TargetMode="External"/><Relationship Id="rId302" Type="http://schemas.openxmlformats.org/officeDocument/2006/relationships/hyperlink" Target="https://www.law.cornell.edu/cfr/text/23/450.310" TargetMode="External"/><Relationship Id="rId344" Type="http://schemas.openxmlformats.org/officeDocument/2006/relationships/hyperlink" Target="https://www.govinfo.gov/app/details/CFR-2014-title2-vol1/CFR-2014-title2-vol1-part200" TargetMode="External"/><Relationship Id="rId691" Type="http://schemas.openxmlformats.org/officeDocument/2006/relationships/hyperlink" Target="https://www.law.cornell.edu/uscode/text/23/217" TargetMode="External"/><Relationship Id="rId747" Type="http://schemas.openxmlformats.org/officeDocument/2006/relationships/hyperlink" Target="https://www.govinfo.gov/content/pkg/CFR-2009-title49-vol1/pdf/CFR-2009-title49-vol1-part21.pdf" TargetMode="External"/><Relationship Id="rId789" Type="http://schemas.openxmlformats.org/officeDocument/2006/relationships/hyperlink" Target="https://www.epa.gov/ocr" TargetMode="External"/><Relationship Id="rId912" Type="http://schemas.openxmlformats.org/officeDocument/2006/relationships/hyperlink" Target="https://www.federalregister.gov/documents/2019/11/07/2019-24197/state-highway-rail-grade-crossing-action-plans" TargetMode="External"/><Relationship Id="rId954" Type="http://schemas.openxmlformats.org/officeDocument/2006/relationships/hyperlink" Target="https://www.faa.gov/airports/aip/guidance_letters/" TargetMode="External"/><Relationship Id="rId996" Type="http://schemas.openxmlformats.org/officeDocument/2006/relationships/hyperlink" Target="https://www.epa.gov/state-and-local-transportation" TargetMode="External"/><Relationship Id="rId41" Type="http://schemas.openxmlformats.org/officeDocument/2006/relationships/hyperlink" Target="https://www.govinfo.gov/app/details/CFR-2002-title23-vol1" TargetMode="External"/><Relationship Id="rId83" Type="http://schemas.openxmlformats.org/officeDocument/2006/relationships/image" Target="media/image29.jpeg"/><Relationship Id="rId179" Type="http://schemas.openxmlformats.org/officeDocument/2006/relationships/hyperlink" Target="https://azdot.gov/planning/transportation-planning/transportation-consultation-rural-officials-tcro" TargetMode="External"/><Relationship Id="rId386" Type="http://schemas.openxmlformats.org/officeDocument/2006/relationships/hyperlink" Target="https://azdot.gov/sites/default/files/2019/05/tcro-policy-update.pdf" TargetMode="External"/><Relationship Id="rId551" Type="http://schemas.openxmlformats.org/officeDocument/2006/relationships/hyperlink" Target="https://www.law.cornell.edu/cfr/text/23/450.332" TargetMode="External"/><Relationship Id="rId593" Type="http://schemas.openxmlformats.org/officeDocument/2006/relationships/hyperlink" Target="https://www.govinfo.gov/app/details/CFR-2014-title2-vol1/CFR-2014-title2-vol1-part200" TargetMode="External"/><Relationship Id="rId607" Type="http://schemas.openxmlformats.org/officeDocument/2006/relationships/hyperlink" Target="https://www.govinfo.gov/app/details/CFR-2019-title2-vol1/CFR-2019-title2-vol1-sec200-512/summary" TargetMode="External"/><Relationship Id="rId649" Type="http://schemas.openxmlformats.org/officeDocument/2006/relationships/hyperlink" Target="https://www.ecfr.gov/cgi-bin/text-idx?c=ecfr&amp;rgn=div5&amp;view=text&amp;node=23:1.0.1.6.14&amp;idno=23" TargetMode="External"/><Relationship Id="rId814" Type="http://schemas.openxmlformats.org/officeDocument/2006/relationships/hyperlink" Target="https://www.govinfo.gov/content/pkg/CFR-2017-title49-vol1/xml/CFR-2017-title49-vol1-part26.xml" TargetMode="External"/><Relationship Id="rId856" Type="http://schemas.openxmlformats.org/officeDocument/2006/relationships/hyperlink" Target="https://azdot.gov/planning/transit-programs-and-grants/rural-transit-assistance-program-rtap" TargetMode="External"/><Relationship Id="rId1181" Type="http://schemas.openxmlformats.org/officeDocument/2006/relationships/hyperlink" Target="https://www.environment.fhwa.dot.gov/env_initiatives/pel/corridor_nepa_guidance.aspx" TargetMode="External"/><Relationship Id="rId1237" Type="http://schemas.openxmlformats.org/officeDocument/2006/relationships/image" Target="media/image590.png"/><Relationship Id="rId190" Type="http://schemas.openxmlformats.org/officeDocument/2006/relationships/hyperlink" Target="http://www.azdeq.gov/" TargetMode="External"/><Relationship Id="rId204" Type="http://schemas.openxmlformats.org/officeDocument/2006/relationships/hyperlink" Target="https://azdot.gov/planning/transit-programs-and-grants" TargetMode="External"/><Relationship Id="rId246" Type="http://schemas.openxmlformats.org/officeDocument/2006/relationships/hyperlink" Target="https://www.bia.gov/regional-offices/western" TargetMode="External"/><Relationship Id="rId288" Type="http://schemas.openxmlformats.org/officeDocument/2006/relationships/hyperlink" Target="https://www.law.cornell.edu/cfr/text/23/450.312" TargetMode="External"/><Relationship Id="rId411" Type="http://schemas.openxmlformats.org/officeDocument/2006/relationships/hyperlink" Target="https://www.azleg.gov/viewdocument/?docName=https://www.azleg.gov/ars/28/00504.htm" TargetMode="External"/><Relationship Id="rId453" Type="http://schemas.openxmlformats.org/officeDocument/2006/relationships/hyperlink" Target="https://scmpo.org/wp-content/uploads/2020/03/SCMPO-RTP-FINAL-REPORT-02-14-2020.pdf" TargetMode="External"/><Relationship Id="rId509" Type="http://schemas.openxmlformats.org/officeDocument/2006/relationships/hyperlink" Target="https://www.law.cornell.edu/cfr/text/23/450.216" TargetMode="External"/><Relationship Id="rId660" Type="http://schemas.openxmlformats.org/officeDocument/2006/relationships/hyperlink" Target="https://www.govinfo.gov/app/details/USCODE-2015-title23/USCODE-2015-title23-chap1-sec133" TargetMode="External"/><Relationship Id="rId898" Type="http://schemas.openxmlformats.org/officeDocument/2006/relationships/hyperlink" Target="https://www.aar.org/" TargetMode="External"/><Relationship Id="rId1041" Type="http://schemas.openxmlformats.org/officeDocument/2006/relationships/hyperlink" Target="https://www.govinfo.gov/content/pkg/USCODE-2010-title23/pdf/USCODE-2010-title23-chap5-sec502.pdf" TargetMode="External"/><Relationship Id="rId1083" Type="http://schemas.openxmlformats.org/officeDocument/2006/relationships/hyperlink" Target="https://www.azleg.gov/viewdocument/?docName=https://www.azleg.gov/ars/28/00504.htm" TargetMode="External"/><Relationship Id="rId1139" Type="http://schemas.openxmlformats.org/officeDocument/2006/relationships/hyperlink" Target="https://www.azleg.gov/viewdocument/?docName=https://www.azleg.gov/ars/28/06951.htm" TargetMode="External"/><Relationship Id="rId106" Type="http://schemas.openxmlformats.org/officeDocument/2006/relationships/hyperlink" Target="https://www.sierravistaaz.gov/department/index.php?structureid=318" TargetMode="External"/><Relationship Id="rId313" Type="http://schemas.openxmlformats.org/officeDocument/2006/relationships/hyperlink" Target="https://www.law.cornell.edu/uscode/text/49/5303" TargetMode="External"/><Relationship Id="rId495" Type="http://schemas.openxmlformats.org/officeDocument/2006/relationships/hyperlink" Target="https://www.law.cornell.edu/cfr/text/23/450.104" TargetMode="External"/><Relationship Id="rId716" Type="http://schemas.openxmlformats.org/officeDocument/2006/relationships/hyperlink" Target="https://www.govinfo.gov/app/details/USCODE-2011-title23/USCODE-2011-title23-chap1-sec129" TargetMode="External"/><Relationship Id="rId758" Type="http://schemas.openxmlformats.org/officeDocument/2006/relationships/hyperlink" Target="https://www.govinfo.gov/app/details/USCODE-2011-title23/USCODE-2011-title23-chap1-sec134" TargetMode="External"/><Relationship Id="rId923" Type="http://schemas.openxmlformats.org/officeDocument/2006/relationships/hyperlink" Target="https://www.fhwa.dot.gov/planning/border_planning/us_mexico/" TargetMode="External"/><Relationship Id="rId965" Type="http://schemas.openxmlformats.org/officeDocument/2006/relationships/hyperlink" Target="https://azdot.gov/planning/airport-development/development-and-planning/five-year-airport-capital-improvement-program" TargetMode="External"/><Relationship Id="rId1150" Type="http://schemas.openxmlformats.org/officeDocument/2006/relationships/hyperlink" Target="http://www.aztribaltransportation.org/contacts.asp" TargetMode="External"/><Relationship Id="rId10" Type="http://schemas.openxmlformats.org/officeDocument/2006/relationships/webSettings" Target="webSettings.xml"/><Relationship Id="rId52" Type="http://schemas.openxmlformats.org/officeDocument/2006/relationships/hyperlink" Target="https://www.azleg.gov/viewdocument/?docName=https://www.azleg.gov/ars/28/00504.htm" TargetMode="External"/><Relationship Id="rId94" Type="http://schemas.openxmlformats.org/officeDocument/2006/relationships/hyperlink" Target="http://www.lhmpo.org/" TargetMode="External"/><Relationship Id="rId148" Type="http://schemas.openxmlformats.org/officeDocument/2006/relationships/hyperlink" Target="https://www.seago.org/" TargetMode="External"/><Relationship Id="rId355" Type="http://schemas.openxmlformats.org/officeDocument/2006/relationships/hyperlink" Target="https://ympo.org/wp-content/uploads/2019/05/FY-2019-21-YMPO-UPWP-Board-Approved-05-16-19.pdf" TargetMode="External"/><Relationship Id="rId397" Type="http://schemas.openxmlformats.org/officeDocument/2006/relationships/hyperlink" Target="https://www.govinfo.gov/app/details/CFR-2014-title2-vol1/CFR-2014-title2-vol1-part200" TargetMode="External"/><Relationship Id="rId520" Type="http://schemas.openxmlformats.org/officeDocument/2006/relationships/hyperlink" Target="https://www.law.cornell.edu/uscode/text/23/134" TargetMode="External"/><Relationship Id="rId562" Type="http://schemas.openxmlformats.org/officeDocument/2006/relationships/hyperlink" Target="https://www.law.cornell.edu/cfr/text/23/450.104" TargetMode="External"/><Relationship Id="rId618" Type="http://schemas.openxmlformats.org/officeDocument/2006/relationships/hyperlink" Target="https://www.transit.dot.gov/region9/about" TargetMode="External"/><Relationship Id="rId825" Type="http://schemas.openxmlformats.org/officeDocument/2006/relationships/footer" Target="footer27.xml"/><Relationship Id="rId1192" Type="http://schemas.openxmlformats.org/officeDocument/2006/relationships/hyperlink" Target="https://www.environment.fhwa.dot.gov/env_topics/4f_tutorial/default.aspx" TargetMode="External"/><Relationship Id="rId1206" Type="http://schemas.openxmlformats.org/officeDocument/2006/relationships/image" Target="media/image77.jpeg"/><Relationship Id="rId1248" Type="http://schemas.openxmlformats.org/officeDocument/2006/relationships/hyperlink" Target="https://www.fhwa.dot.gov/environment/bicycle_pedestrian/guidance/guidance_2019.cfm" TargetMode="External"/><Relationship Id="rId215" Type="http://schemas.openxmlformats.org/officeDocument/2006/relationships/hyperlink" Target="https://azdot.gov/planning/research-center" TargetMode="External"/><Relationship Id="rId257" Type="http://schemas.openxmlformats.org/officeDocument/2006/relationships/hyperlink" Target="https://www.transit.dot.gov/region9" TargetMode="External"/><Relationship Id="rId422" Type="http://schemas.openxmlformats.org/officeDocument/2006/relationships/hyperlink" Target="https://www.govinfo.gov/content/pkg/CFR-2011-title23-vol1/pdf/CFR-2011-title23-vol1-sec500-110.pdf" TargetMode="External"/><Relationship Id="rId464" Type="http://schemas.openxmlformats.org/officeDocument/2006/relationships/hyperlink" Target="https://www.fhwa.dot.gov/planning/fsclcntrntques.cfm" TargetMode="External"/><Relationship Id="rId867" Type="http://schemas.openxmlformats.org/officeDocument/2006/relationships/hyperlink" Target="https://azdot.gov/planning/transit-programs-and-grants" TargetMode="External"/><Relationship Id="rId1010" Type="http://schemas.openxmlformats.org/officeDocument/2006/relationships/hyperlink" Target="https://azdot.gov/business/environmental-planning/air-quality/congestion-mitigation-air-quality-transportation-control" TargetMode="External"/><Relationship Id="rId1052" Type="http://schemas.openxmlformats.org/officeDocument/2006/relationships/hyperlink" Target="https://adot.maps.arcgis.com/apps/MapJournal/index.html?appid=32bd9c6bf7634a29ae8997c15c88771a" TargetMode="External"/><Relationship Id="rId1094" Type="http://schemas.openxmlformats.org/officeDocument/2006/relationships/hyperlink" Target="https://azdot.gov/business/transportation-systems-management-and-operations/operational-and-traffic-safety/arizona-0" TargetMode="External"/><Relationship Id="rId1108" Type="http://schemas.openxmlformats.org/officeDocument/2006/relationships/hyperlink" Target="http://www.aztribaltransportation.org/" TargetMode="External"/><Relationship Id="rId299" Type="http://schemas.openxmlformats.org/officeDocument/2006/relationships/hyperlink" Target="https://www.law.cornell.edu/cfr/text/23/450.310" TargetMode="External"/><Relationship Id="rId727" Type="http://schemas.openxmlformats.org/officeDocument/2006/relationships/hyperlink" Target="https://www.govinfo.gov/app/details/CFR-2011-title23-vol1/CFR-2011-title23-vol1-sec450-334" TargetMode="External"/><Relationship Id="rId934" Type="http://schemas.openxmlformats.org/officeDocument/2006/relationships/hyperlink" Target="https://www.govinfo.gov/content/pkg/USCODE-2011-title49/pdf/USCODE-2011-title49-subtitleVII-partC-chap481.pdf" TargetMode="External"/><Relationship Id="rId63" Type="http://schemas.openxmlformats.org/officeDocument/2006/relationships/hyperlink" Target="https://www.azmag.gov/" TargetMode="External"/><Relationship Id="rId159" Type="http://schemas.openxmlformats.org/officeDocument/2006/relationships/hyperlink" Target="https://azdot.gov/planning" TargetMode="External"/><Relationship Id="rId366" Type="http://schemas.openxmlformats.org/officeDocument/2006/relationships/hyperlink" Target="https://www.law.cornell.edu/cfr/text/23/450.316" TargetMode="External"/><Relationship Id="rId573" Type="http://schemas.openxmlformats.org/officeDocument/2006/relationships/hyperlink" Target="https://azdot.gov/sites/default/files/media/2020/08/SW_ESTIP_Creating_New_TIP_Cycle_Numbers.pdf" TargetMode="External"/><Relationship Id="rId780" Type="http://schemas.openxmlformats.org/officeDocument/2006/relationships/hyperlink" Target="https://www.govinfo.gov/content/pkg/CFR-1999-title23-vol1/pdf/CFR-1999-title23-vol1-part230.pdf" TargetMode="External"/><Relationship Id="rId1217" Type="http://schemas.openxmlformats.org/officeDocument/2006/relationships/hyperlink" Target="https://www.planning.org/" TargetMode="External"/><Relationship Id="rId226" Type="http://schemas.openxmlformats.org/officeDocument/2006/relationships/hyperlink" Target="https://azdot.gov/sites/default/files/media/2019/12/adot-research-program-manual-2019.pdf" TargetMode="External"/><Relationship Id="rId433" Type="http://schemas.openxmlformats.org/officeDocument/2006/relationships/hyperlink" Target="https://www.azleg.gov/viewdocument/?docName=https://www.azleg.gov/ars/28/06953.htm" TargetMode="External"/><Relationship Id="rId878" Type="http://schemas.openxmlformats.org/officeDocument/2006/relationships/hyperlink" Target="https://www.fhwa.dot.gov/planning/freight_planning/" TargetMode="External"/><Relationship Id="rId1063" Type="http://schemas.openxmlformats.org/officeDocument/2006/relationships/hyperlink" Target="https://works.maps.arcgis.com/apps/webappviewer/index.html?id=4bcb96763e48482799906407a0cdb7cb" TargetMode="External"/><Relationship Id="rId640" Type="http://schemas.openxmlformats.org/officeDocument/2006/relationships/hyperlink" Target="https://www.govinfo.gov/app/details/USCODE-2012-title23/USCODE-2012-title23-chap2-sec201" TargetMode="External"/><Relationship Id="rId738" Type="http://schemas.openxmlformats.org/officeDocument/2006/relationships/hyperlink" Target="https://www.govinfo.gov/app/details/USCODE-1997-title23/USCODE-1997-title23-chap1-sec135" TargetMode="External"/><Relationship Id="rId945" Type="http://schemas.openxmlformats.org/officeDocument/2006/relationships/image" Target="media/image66.png"/><Relationship Id="rId74" Type="http://schemas.openxmlformats.org/officeDocument/2006/relationships/image" Target="media/image27.png"/><Relationship Id="rId377" Type="http://schemas.openxmlformats.org/officeDocument/2006/relationships/hyperlink" Target="https://www.law.cornell.edu/uscode/text/23/104" TargetMode="External"/><Relationship Id="rId500" Type="http://schemas.openxmlformats.org/officeDocument/2006/relationships/footer" Target="footer16.xml"/><Relationship Id="rId584" Type="http://schemas.openxmlformats.org/officeDocument/2006/relationships/hyperlink" Target="https://www.azleg.gov/viewdocument/?docName=https://www.azleg.gov/ars/28/06305.htm" TargetMode="External"/><Relationship Id="rId805" Type="http://schemas.openxmlformats.org/officeDocument/2006/relationships/hyperlink" Target="https://azdot.gov/sites/default/files/2019/05/adot-public-involvement-plan.pdf" TargetMode="External"/><Relationship Id="rId1130" Type="http://schemas.openxmlformats.org/officeDocument/2006/relationships/hyperlink" Target="https://uscode.house.gov/view.xhtml?path=/prelim@title25/chapter32&amp;edition=prelim" TargetMode="External"/><Relationship Id="rId1228" Type="http://schemas.openxmlformats.org/officeDocument/2006/relationships/hyperlink" Target="https://www.fhwa.dot.gov/environment/bicycle_pedestrian/guidance/policy_accom.cfm" TargetMode="External"/><Relationship Id="rId5" Type="http://schemas.openxmlformats.org/officeDocument/2006/relationships/customXml" Target="../customXml/item5.xml"/><Relationship Id="rId237" Type="http://schemas.openxmlformats.org/officeDocument/2006/relationships/hyperlink" Target="https://railroads.dot.gov/" TargetMode="External"/><Relationship Id="rId791" Type="http://schemas.openxmlformats.org/officeDocument/2006/relationships/hyperlink" Target="https://www.govinfo.gov/app/details/CFR-2011-title23-vol1/CFR-2011-title23-vol1-sec450-210" TargetMode="External"/><Relationship Id="rId889" Type="http://schemas.openxmlformats.org/officeDocument/2006/relationships/hyperlink" Target="https://ops.fhwa.dot.gov/fastact/index.htm" TargetMode="External"/><Relationship Id="rId1074" Type="http://schemas.openxmlformats.org/officeDocument/2006/relationships/hyperlink" Target="https://azdot.gov/node/5625" TargetMode="External"/><Relationship Id="rId444" Type="http://schemas.openxmlformats.org/officeDocument/2006/relationships/hyperlink" Target="https://www.azleg.gov/ars/28/06308.htm" TargetMode="External"/><Relationship Id="rId651" Type="http://schemas.openxmlformats.org/officeDocument/2006/relationships/hyperlink" Target="https://www.ecfr.gov/cgi-bin/text-idx?c=ecfr&amp;rgn=div5&amp;view=text&amp;node=23:1.0.1.6.14&amp;idno=23" TargetMode="External"/><Relationship Id="rId749" Type="http://schemas.openxmlformats.org/officeDocument/2006/relationships/hyperlink" Target="https://www.ecfr.gov/cgi-bin/text-idx?c=ecfr&amp;tpl=/ecfrbrowse/Title49/49cfr37_main_02.tpl" TargetMode="External"/><Relationship Id="rId290" Type="http://schemas.openxmlformats.org/officeDocument/2006/relationships/hyperlink" Target="https://www.whitehouse.gov/omb/" TargetMode="External"/><Relationship Id="rId304" Type="http://schemas.openxmlformats.org/officeDocument/2006/relationships/hyperlink" Target="https://www.law.cornell.edu/uscode/text/23/134" TargetMode="External"/><Relationship Id="rId388" Type="http://schemas.openxmlformats.org/officeDocument/2006/relationships/hyperlink" Target="https://azdot.gov/business/environmental-planning/air-quality" TargetMode="External"/><Relationship Id="rId511" Type="http://schemas.openxmlformats.org/officeDocument/2006/relationships/hyperlink" Target="https://www.govinfo.gov/content/pkg/USCODE-2011-title23/html/USCODE-2011-title23-chap1-sec134.htm" TargetMode="External"/><Relationship Id="rId609" Type="http://schemas.openxmlformats.org/officeDocument/2006/relationships/hyperlink" Target="https://www.govinfo.gov/app/details/CFR-2019-title2-vol1/CFR-2019-title2-vol1-sec200-512/summary" TargetMode="External"/><Relationship Id="rId956" Type="http://schemas.openxmlformats.org/officeDocument/2006/relationships/hyperlink" Target="https://azdot.gov/sites/default/files/2019/05/2011_mp_grant_checklist.pdf" TargetMode="External"/><Relationship Id="rId1141" Type="http://schemas.openxmlformats.org/officeDocument/2006/relationships/hyperlink" Target="https://www.fhwa.dot.gov/fastact/factsheets/tribaltransportationfs.cfm" TargetMode="External"/><Relationship Id="rId1239" Type="http://schemas.openxmlformats.org/officeDocument/2006/relationships/hyperlink" Target="https://safety.fhwa.dot.gov/tools/docs/bci.pdf" TargetMode="External"/><Relationship Id="rId85" Type="http://schemas.openxmlformats.org/officeDocument/2006/relationships/hyperlink" Target="https://www.flagstaff.az.gov/995/Flagstaff-Metropolitan-Planning-Organiza" TargetMode="External"/><Relationship Id="rId150" Type="http://schemas.openxmlformats.org/officeDocument/2006/relationships/hyperlink" Target="https://www.wacog.com/" TargetMode="External"/><Relationship Id="rId595" Type="http://schemas.openxmlformats.org/officeDocument/2006/relationships/hyperlink" Target="https://azdot.gov/about/audit-and-analysis" TargetMode="External"/><Relationship Id="rId816" Type="http://schemas.openxmlformats.org/officeDocument/2006/relationships/hyperlink" Target="https://www.govinfo.gov/content/pkg/CFR-2017-title49-vol1/xml/CFR-2017-title49-vol1-part26.xml" TargetMode="External"/><Relationship Id="rId1001" Type="http://schemas.openxmlformats.org/officeDocument/2006/relationships/hyperlink" Target="https://www.epa.gov/moves" TargetMode="External"/><Relationship Id="rId248" Type="http://schemas.openxmlformats.org/officeDocument/2006/relationships/hyperlink" Target="https://www.bia.gov/bia/ois/division-transportation/operations" TargetMode="External"/><Relationship Id="rId455" Type="http://schemas.openxmlformats.org/officeDocument/2006/relationships/hyperlink" Target="https://www.flagstaff.az.gov/DocumentCenter/View/50022/RTP-Blueprint-2040?bidId=" TargetMode="External"/><Relationship Id="rId662" Type="http://schemas.openxmlformats.org/officeDocument/2006/relationships/hyperlink" Target="https://www.fhwa.dot.gov/map21/funding.cfm" TargetMode="External"/><Relationship Id="rId1085" Type="http://schemas.openxmlformats.org/officeDocument/2006/relationships/hyperlink" Target="https://www.azleg.gov/ars/28/00504.htm" TargetMode="External"/><Relationship Id="rId12" Type="http://schemas.openxmlformats.org/officeDocument/2006/relationships/endnotes" Target="endnotes.xml"/><Relationship Id="rId108" Type="http://schemas.openxmlformats.org/officeDocument/2006/relationships/hyperlink" Target="https://ympo.org/" TargetMode="External"/><Relationship Id="rId315" Type="http://schemas.openxmlformats.org/officeDocument/2006/relationships/hyperlink" Target="https://www.law.cornell.edu/cfr/text/49/613.100" TargetMode="External"/><Relationship Id="rId522" Type="http://schemas.openxmlformats.org/officeDocument/2006/relationships/hyperlink" Target="https://www.law.cornell.edu/cfr/text/23/450.316" TargetMode="External"/><Relationship Id="rId967" Type="http://schemas.openxmlformats.org/officeDocument/2006/relationships/hyperlink" Target="https://azre.gov/airport-boundary-maps" TargetMode="External"/><Relationship Id="rId1152" Type="http://schemas.openxmlformats.org/officeDocument/2006/relationships/hyperlink" Target="http://www.aztribaltransportation.org/contacts.asp" TargetMode="External"/><Relationship Id="rId96" Type="http://schemas.openxmlformats.org/officeDocument/2006/relationships/image" Target="media/image34.jpeg"/><Relationship Id="rId161" Type="http://schemas.openxmlformats.org/officeDocument/2006/relationships/hyperlink" Target="https://www.law.cornell.edu/uscode/text/18/1151" TargetMode="External"/><Relationship Id="rId399" Type="http://schemas.openxmlformats.org/officeDocument/2006/relationships/hyperlink" Target="https://gao.az.gov/afis/vendor-information" TargetMode="External"/><Relationship Id="rId827" Type="http://schemas.openxmlformats.org/officeDocument/2006/relationships/hyperlink" Target="https://www.law.cornell.edu/cfr/text/23/450.316" TargetMode="External"/><Relationship Id="rId1012" Type="http://schemas.openxmlformats.org/officeDocument/2006/relationships/hyperlink" Target="https://www.law.cornell.edu/cfr/text/40/93.113" TargetMode="External"/><Relationship Id="rId259" Type="http://schemas.openxmlformats.org/officeDocument/2006/relationships/hyperlink" Target="https://railroads.dot.gov/divisions/regional-offices/region-7-sacramento-ca" TargetMode="External"/><Relationship Id="rId466" Type="http://schemas.openxmlformats.org/officeDocument/2006/relationships/hyperlink" Target="https://www.law.cornell.edu/cfr/text/23/450.306" TargetMode="External"/><Relationship Id="rId673" Type="http://schemas.openxmlformats.org/officeDocument/2006/relationships/hyperlink" Target="https://www.law.cornell.edu/cfr/text/23/part-450" TargetMode="External"/><Relationship Id="rId880" Type="http://schemas.openxmlformats.org/officeDocument/2006/relationships/hyperlink" Target="https://azdot.gov/sites/default/files/2019/08/arizona-state-freight-plan-110917.pdf" TargetMode="External"/><Relationship Id="rId1096" Type="http://schemas.openxmlformats.org/officeDocument/2006/relationships/hyperlink" Target="https://www.fhwa.dot.gov/map21/docs/title23usc.pdf" TargetMode="External"/><Relationship Id="rId23" Type="http://schemas.openxmlformats.org/officeDocument/2006/relationships/image" Target="media/image11.png"/><Relationship Id="rId119" Type="http://schemas.openxmlformats.org/officeDocument/2006/relationships/image" Target="media/image41.jpeg"/><Relationship Id="rId326" Type="http://schemas.openxmlformats.org/officeDocument/2006/relationships/hyperlink" Target="https://www.wacog.com/transportation-advisory-committee/" TargetMode="External"/><Relationship Id="rId533" Type="http://schemas.openxmlformats.org/officeDocument/2006/relationships/hyperlink" Target="https://www.law.cornell.edu/cfr/text/23/450.326" TargetMode="External"/><Relationship Id="rId978" Type="http://schemas.openxmlformats.org/officeDocument/2006/relationships/footer" Target="footer35.xml"/><Relationship Id="rId1163" Type="http://schemas.openxmlformats.org/officeDocument/2006/relationships/hyperlink" Target="https://azdot.gov/planning/transportation-studies/completed-transportation-studies/arizona-sonora-border-master-plan" TargetMode="External"/><Relationship Id="rId740" Type="http://schemas.openxmlformats.org/officeDocument/2006/relationships/hyperlink" Target="https://www.govinfo.gov/content/pkg/USCODE-2010-title29/pdf/USCODE-2010-title29-chap16-subchapV-sec794.pdf" TargetMode="External"/><Relationship Id="rId838" Type="http://schemas.openxmlformats.org/officeDocument/2006/relationships/hyperlink" Target="https://scmpo.org/wp-content/uploads/2018/09/Final-DRAFT-SCMPO-PPP-2019-073118.pdf" TargetMode="External"/><Relationship Id="rId1023" Type="http://schemas.openxmlformats.org/officeDocument/2006/relationships/hyperlink" Target="https://www.fhwa.dot.gov/specialfunding/stp/" TargetMode="External"/><Relationship Id="rId172" Type="http://schemas.openxmlformats.org/officeDocument/2006/relationships/hyperlink" Target="https://azdot.gov/planning/transportation-programs/state-rail-plan" TargetMode="External"/><Relationship Id="rId477" Type="http://schemas.openxmlformats.org/officeDocument/2006/relationships/hyperlink" Target="https://www.fhwa.dot.gov/legsregs/title23.pdf" TargetMode="External"/><Relationship Id="rId600" Type="http://schemas.openxmlformats.org/officeDocument/2006/relationships/hyperlink" Target="https://www.govinfo.gov/app/details/CFR-2014-title2-vol1/CFR-2014-title2-vol1-part200/summary" TargetMode="External"/><Relationship Id="rId684" Type="http://schemas.openxmlformats.org/officeDocument/2006/relationships/hyperlink" Target="https://www.law.cornell.edu/uscode/text/23/119" TargetMode="External"/><Relationship Id="rId1230" Type="http://schemas.openxmlformats.org/officeDocument/2006/relationships/hyperlink" Target="https://www.govinfo.gov/content/pkg/USCODE-2010-title23/pdf/USCODE-2010-title23-chap2-sec217.pdf" TargetMode="External"/><Relationship Id="rId337" Type="http://schemas.openxmlformats.org/officeDocument/2006/relationships/hyperlink" Target="https://www.law.cornell.edu/cfr/text/23/450.104" TargetMode="External"/><Relationship Id="rId891" Type="http://schemas.openxmlformats.org/officeDocument/2006/relationships/hyperlink" Target="https://ops.fhwa.dot.gov/fastact/crfc/sec_1116_gdnce.htm" TargetMode="External"/><Relationship Id="rId905" Type="http://schemas.openxmlformats.org/officeDocument/2006/relationships/hyperlink" Target="http://bmp.sandag.org/" TargetMode="External"/><Relationship Id="rId989" Type="http://schemas.openxmlformats.org/officeDocument/2006/relationships/hyperlink" Target="https://www.fhwa.dot.gov/environment/air_quality/conformity/con_broc.pdf" TargetMode="External"/><Relationship Id="rId34" Type="http://schemas.openxmlformats.org/officeDocument/2006/relationships/hyperlink" Target="https://www.fmcsa.dot.gov/fastact/csa" TargetMode="External"/><Relationship Id="rId544" Type="http://schemas.openxmlformats.org/officeDocument/2006/relationships/hyperlink" Target="https://ops.fhwa.dot.gov/Freight/infrastructure/nat_reg_sig/index.htm" TargetMode="External"/><Relationship Id="rId751" Type="http://schemas.openxmlformats.org/officeDocument/2006/relationships/hyperlink" Target="https://www.govinfo.gov/content/pkg/USCODE-2009-title49/pdf/USCODE-2009-title49-subtitleIII-chap53-sec5303.pdf" TargetMode="External"/><Relationship Id="rId849" Type="http://schemas.openxmlformats.org/officeDocument/2006/relationships/footer" Target="footer29.xml"/><Relationship Id="rId1174" Type="http://schemas.openxmlformats.org/officeDocument/2006/relationships/image" Target="media/image75.png"/><Relationship Id="rId183" Type="http://schemas.openxmlformats.org/officeDocument/2006/relationships/hyperlink" Target="https://azdot.gov/planning/transportation-programming/current-five-year-program" TargetMode="External"/><Relationship Id="rId390" Type="http://schemas.openxmlformats.org/officeDocument/2006/relationships/hyperlink" Target="mailto:mpdinvoice@azdot.gov" TargetMode="External"/><Relationship Id="rId404" Type="http://schemas.openxmlformats.org/officeDocument/2006/relationships/hyperlink" Target="https://www.law.cornell.edu/uscode/text/23/134" TargetMode="External"/><Relationship Id="rId611" Type="http://schemas.openxmlformats.org/officeDocument/2006/relationships/hyperlink" Target="https://azdot.gov/about/audit-and-analysis" TargetMode="External"/><Relationship Id="rId1034" Type="http://schemas.openxmlformats.org/officeDocument/2006/relationships/hyperlink" Target="https://www.ecfr.gov/cgi-bin/text-idx?c=ecfr&amp;rgn=div5&amp;view=text&amp;node=23:1.0.1.5.10&amp;idno=23" TargetMode="External"/><Relationship Id="rId1241" Type="http://schemas.openxmlformats.org/officeDocument/2006/relationships/hyperlink" Target="https://www.gis.fhwa.dot.gov/documents/GIS_BikePed_Peer_rpt.htm" TargetMode="External"/><Relationship Id="rId250" Type="http://schemas.openxmlformats.org/officeDocument/2006/relationships/hyperlink" Target="https://www.bia.gov/bia/ois/dsd" TargetMode="External"/><Relationship Id="rId488" Type="http://schemas.openxmlformats.org/officeDocument/2006/relationships/hyperlink" Target="https://www.fhwa.dot.gov/hep/guidance/superseded/23cfr450.cfm" TargetMode="External"/><Relationship Id="rId695" Type="http://schemas.openxmlformats.org/officeDocument/2006/relationships/hyperlink" Target="https://www.law.cornell.edu/uscode/text/23" TargetMode="External"/><Relationship Id="rId709" Type="http://schemas.openxmlformats.org/officeDocument/2006/relationships/hyperlink" Target="https://azdot.gov/sites/default/files/2019/05/2018-adot-state-management-plan.pdf" TargetMode="External"/><Relationship Id="rId916" Type="http://schemas.openxmlformats.org/officeDocument/2006/relationships/hyperlink" Target="https://www.airforwarders.org/cpages/homepage" TargetMode="External"/><Relationship Id="rId1101" Type="http://schemas.openxmlformats.org/officeDocument/2006/relationships/hyperlink" Target="http://www.cmfclearinghouse.org/" TargetMode="External"/><Relationship Id="rId45" Type="http://schemas.openxmlformats.org/officeDocument/2006/relationships/hyperlink" Target="https://www.govinfo.gov/app/details/USCODE-2010-title49" TargetMode="External"/><Relationship Id="rId110" Type="http://schemas.openxmlformats.org/officeDocument/2006/relationships/hyperlink" Target="https://ympo.org/" TargetMode="External"/><Relationship Id="rId348" Type="http://schemas.openxmlformats.org/officeDocument/2006/relationships/hyperlink" Target="https://www.azmag.gov/Portals/0/Documents/MagContent/FY_2020-21_UPWP_FINAL_Approved.pdf?ver=2019-10-31-104736-670" TargetMode="External"/><Relationship Id="rId555" Type="http://schemas.openxmlformats.org/officeDocument/2006/relationships/hyperlink" Target="https://www.law.cornell.edu/uscode/text/23/134" TargetMode="External"/><Relationship Id="rId762" Type="http://schemas.openxmlformats.org/officeDocument/2006/relationships/hyperlink" Target="https://www.govinfo.gov/app/details/USCODE-2011-title42/USCODE-2011-title42-chap21-subchapV-sec2000d" TargetMode="External"/><Relationship Id="rId1185" Type="http://schemas.openxmlformats.org/officeDocument/2006/relationships/hyperlink" Target="http://soils.usda.gov/" TargetMode="External"/><Relationship Id="rId194" Type="http://schemas.openxmlformats.org/officeDocument/2006/relationships/hyperlink" Target="https://azdot.gov/planning/transportation-studies/completed-transportation-studies/arizona-sonora-border-master-plan" TargetMode="External"/><Relationship Id="rId208" Type="http://schemas.openxmlformats.org/officeDocument/2006/relationships/hyperlink" Target="https://azdot.gov/planning/transportation-analysis/data-analytics" TargetMode="External"/><Relationship Id="rId415" Type="http://schemas.openxmlformats.org/officeDocument/2006/relationships/footer" Target="footer15.xml"/><Relationship Id="rId622" Type="http://schemas.openxmlformats.org/officeDocument/2006/relationships/image" Target="media/image62.png"/><Relationship Id="rId1045" Type="http://schemas.openxmlformats.org/officeDocument/2006/relationships/hyperlink" Target="https://www.fhwa.dot.gov/policyinformation/hpms.cfm" TargetMode="External"/><Relationship Id="rId1252" Type="http://schemas.openxmlformats.org/officeDocument/2006/relationships/hyperlink" Target="https://www.apbp.org/" TargetMode="External"/><Relationship Id="rId261" Type="http://schemas.openxmlformats.org/officeDocument/2006/relationships/footer" Target="footer6.xml"/><Relationship Id="rId499" Type="http://schemas.openxmlformats.org/officeDocument/2006/relationships/hyperlink" Target="https://www.law.cornell.edu/cfr/text/23/450.316" TargetMode="External"/><Relationship Id="rId927" Type="http://schemas.openxmlformats.org/officeDocument/2006/relationships/hyperlink" Target="http://www.borderplanning.fhwa.dot.gov/adot_PPPrpt/execSumm.asp" TargetMode="External"/><Relationship Id="rId1112" Type="http://schemas.openxmlformats.org/officeDocument/2006/relationships/hyperlink" Target="https://www.law.cornell.edu/uscode/text/18/1151" TargetMode="External"/><Relationship Id="rId56" Type="http://schemas.openxmlformats.org/officeDocument/2006/relationships/hyperlink" Target="https://azmemory.azlibrary.gov/digital/collection/execorders/id/1611" TargetMode="External"/><Relationship Id="rId359" Type="http://schemas.openxmlformats.org/officeDocument/2006/relationships/hyperlink" Target="https://www.fhwa.dot.gov/legsregs/directives/policy/memonfmr_tapered20190515.htm" TargetMode="External"/><Relationship Id="rId566" Type="http://schemas.openxmlformats.org/officeDocument/2006/relationships/hyperlink" Target="https://azdot.gov/planning/transportation-planning/tmas-mpos-and-cogs/adot-mpo-and-cog-guidelines-and-procedures" TargetMode="External"/><Relationship Id="rId773" Type="http://schemas.openxmlformats.org/officeDocument/2006/relationships/hyperlink" Target="https://www.law.cornell.edu/cfr/text/28/part-35" TargetMode="External"/><Relationship Id="rId1196" Type="http://schemas.openxmlformats.org/officeDocument/2006/relationships/hyperlink" Target="http://www.census.gov/cgi-bin/geo/shapefiles2013/main" TargetMode="External"/><Relationship Id="rId121" Type="http://schemas.openxmlformats.org/officeDocument/2006/relationships/image" Target="media/image43.jpeg"/><Relationship Id="rId219" Type="http://schemas.openxmlformats.org/officeDocument/2006/relationships/hyperlink" Target="https://azdot.gov/node/5260" TargetMode="External"/><Relationship Id="rId426" Type="http://schemas.openxmlformats.org/officeDocument/2006/relationships/hyperlink" Target="https://www.azleg.gov/viewdocument/?docName=https://www.azleg.gov/ars/28/00503.htm" TargetMode="External"/><Relationship Id="rId633" Type="http://schemas.openxmlformats.org/officeDocument/2006/relationships/hyperlink" Target="https://www.govinfo.gov/app/details/USCODE-2011-title23/USCODE-2011-title23-chap1-sec104" TargetMode="External"/><Relationship Id="rId980" Type="http://schemas.openxmlformats.org/officeDocument/2006/relationships/hyperlink" Target="https://azdot.gov/business/environmental-planning/air-quality/guidance-air-quality" TargetMode="External"/><Relationship Id="rId1056" Type="http://schemas.openxmlformats.org/officeDocument/2006/relationships/hyperlink" Target="https://www.fhwa.dot.gov/planning/processes/statewide/related/highway_functional_classifications/fcauab.pdf" TargetMode="External"/><Relationship Id="rId840" Type="http://schemas.openxmlformats.org/officeDocument/2006/relationships/hyperlink" Target="https://www.flagstaff.az.gov/DocumentCenter/View/6802/FMPO-PPP?bidId=" TargetMode="External"/><Relationship Id="rId938" Type="http://schemas.openxmlformats.org/officeDocument/2006/relationships/hyperlink" Target="https://www.govinfo.gov/content/pkg/CFR-2011-title23-vol1/pdf/CFR-2011-title23-vol1-sec450-320.pdf" TargetMode="External"/><Relationship Id="rId67" Type="http://schemas.openxmlformats.org/officeDocument/2006/relationships/hyperlink" Target="https://pagregion.com/" TargetMode="External"/><Relationship Id="rId272" Type="http://schemas.openxmlformats.org/officeDocument/2006/relationships/hyperlink" Target="https://www.govinfo.gov/content/pkg/USCODE-2007-title49/pdf/USCODE-2007-title49-subtitleIII-chap53-sec5303.pdf" TargetMode="External"/><Relationship Id="rId577" Type="http://schemas.openxmlformats.org/officeDocument/2006/relationships/hyperlink" Target="https://ntl.bts.gov/DOCS/istea.html" TargetMode="External"/><Relationship Id="rId700" Type="http://schemas.openxmlformats.org/officeDocument/2006/relationships/hyperlink" Target="https://www.fhwa.dot.gov/azdiv/stewtoc.cfm" TargetMode="External"/><Relationship Id="rId1123" Type="http://schemas.openxmlformats.org/officeDocument/2006/relationships/hyperlink" Target="http://www.fhwa.dot.gov/legsregs/title23.pdf" TargetMode="External"/><Relationship Id="rId132" Type="http://schemas.openxmlformats.org/officeDocument/2006/relationships/hyperlink" Target="https://www.seago.org/" TargetMode="External"/><Relationship Id="rId784" Type="http://schemas.openxmlformats.org/officeDocument/2006/relationships/hyperlink" Target="https://www.govinfo.gov/content/pkg/USCODE-2010-title42/pdf/USCODE-2010-title42-chap126.pdf" TargetMode="External"/><Relationship Id="rId991" Type="http://schemas.openxmlformats.org/officeDocument/2006/relationships/hyperlink" Target="https://www.fhwa.dot.gov/environment/air_quality/conformity/policy_and_guidance/" TargetMode="External"/><Relationship Id="rId1067" Type="http://schemas.openxmlformats.org/officeDocument/2006/relationships/hyperlink" Target="https://www.fhwa.dot.gov/azdiv/Arizona_SO_Agreement_signed_2015_04_09.pdf" TargetMode="External"/><Relationship Id="rId437" Type="http://schemas.openxmlformats.org/officeDocument/2006/relationships/hyperlink" Target="https://www.govinfo.gov/content/pkg/PLAW-112publ141/pdf/PLAW-112publ141.pdf" TargetMode="External"/><Relationship Id="rId644" Type="http://schemas.openxmlformats.org/officeDocument/2006/relationships/hyperlink" Target="https://www.ecfr.gov/cgi-bin/text-idx?SID=b20169633ca5b61fbfef2c908b9973a9&amp;mc=true&amp;node=se23.1.450_1324&amp;rgn=div8" TargetMode="External"/><Relationship Id="rId851" Type="http://schemas.openxmlformats.org/officeDocument/2006/relationships/hyperlink" Target="https://www.grants.gov/web/grants/home.html" TargetMode="External"/><Relationship Id="rId283" Type="http://schemas.openxmlformats.org/officeDocument/2006/relationships/hyperlink" Target="https://www.govinfo.gov/app/details/USCODE-2011-title49/USCODE-2011-title49-subtitleIII-chap53-sec5302" TargetMode="External"/><Relationship Id="rId490" Type="http://schemas.openxmlformats.org/officeDocument/2006/relationships/hyperlink" Target="https://www.govinfo.gov/content/pkg/USCODE-2011-title23/html/USCODE-2011-title23-chap1-sec134.htm" TargetMode="External"/><Relationship Id="rId504" Type="http://schemas.openxmlformats.org/officeDocument/2006/relationships/hyperlink" Target="https://azdot.gov/planning/transportation-planning/tmas-mpos-and-cogs/adot-mpo-and-cog-guidelines-and-procedures" TargetMode="External"/><Relationship Id="rId711" Type="http://schemas.openxmlformats.org/officeDocument/2006/relationships/hyperlink" Target="https://www.govinfo.gov/app/details/USCODE-2011-title49/USCODE-2011-title49-subtitleIII-chap53-sec5303" TargetMode="External"/><Relationship Id="rId949" Type="http://schemas.openxmlformats.org/officeDocument/2006/relationships/hyperlink" Target="https://azmemory.azlibrary.gov/digital/collection/statepubs/id/17626" TargetMode="External"/><Relationship Id="rId1134" Type="http://schemas.openxmlformats.org/officeDocument/2006/relationships/hyperlink" Target="http://aztribaltransportation.org/PDF/ADOT-MGT-16-01-Tribal-Consultation.pdf" TargetMode="External"/><Relationship Id="rId78" Type="http://schemas.openxmlformats.org/officeDocument/2006/relationships/image" Target="media/image28.jpeg"/><Relationship Id="rId143" Type="http://schemas.openxmlformats.org/officeDocument/2006/relationships/hyperlink" Target="https://www.metroplanflg.org/" TargetMode="External"/><Relationship Id="rId350" Type="http://schemas.openxmlformats.org/officeDocument/2006/relationships/hyperlink" Target="https://www.cympo.org/wp-content/uploads/2019/03/FY-2020-21-Work-Program_Draft_03042019_w_out_MTIP_separate-.pdf" TargetMode="External"/><Relationship Id="rId588" Type="http://schemas.openxmlformats.org/officeDocument/2006/relationships/hyperlink" Target="https://www.azleg.gov/viewdocument/?docName=https://www.azleg.gov/ars/28/07675.htm" TargetMode="External"/><Relationship Id="rId795" Type="http://schemas.openxmlformats.org/officeDocument/2006/relationships/hyperlink" Target="https://www.govinfo.gov/content/pkg/USCODE-2011-title23/pdf/USCODE-2011-title23-chap3-sec324.pdf" TargetMode="External"/><Relationship Id="rId809" Type="http://schemas.openxmlformats.org/officeDocument/2006/relationships/hyperlink" Target="https://www.cympo.org/federally-required-documents/" TargetMode="External"/><Relationship Id="rId1201" Type="http://schemas.openxmlformats.org/officeDocument/2006/relationships/hyperlink" Target="https://land.az.gov/content/annual-reports" TargetMode="External"/><Relationship Id="rId9" Type="http://schemas.openxmlformats.org/officeDocument/2006/relationships/settings" Target="settings.xml"/><Relationship Id="rId210" Type="http://schemas.openxmlformats.org/officeDocument/2006/relationships/hyperlink" Target="https://azdot.gov/maps" TargetMode="External"/><Relationship Id="rId448" Type="http://schemas.openxmlformats.org/officeDocument/2006/relationships/hyperlink" Target="https://www.law.cornell.edu/cfr/text/23/450.322" TargetMode="External"/><Relationship Id="rId655" Type="http://schemas.openxmlformats.org/officeDocument/2006/relationships/hyperlink" Target="https://www.govinfo.gov/app/details/USCODE-2015-title49/USCODE-2015-title49-subtitleIII-chap53-sec5307" TargetMode="External"/><Relationship Id="rId862" Type="http://schemas.openxmlformats.org/officeDocument/2006/relationships/hyperlink" Target="https://www.transit.dot.gov/funding/grants/grant-programs" TargetMode="External"/><Relationship Id="rId1078" Type="http://schemas.openxmlformats.org/officeDocument/2006/relationships/hyperlink" Target="https://safety.fhwa.dot.gov/hsip/" TargetMode="External"/><Relationship Id="rId294" Type="http://schemas.openxmlformats.org/officeDocument/2006/relationships/image" Target="media/image550.png"/><Relationship Id="rId308" Type="http://schemas.openxmlformats.org/officeDocument/2006/relationships/hyperlink" Target="https://www.govinfo.gov/content/pkg/USCODE-2010-title49/pdf/USCODE-2010-title49-subtitleIII-chap53-sec5304.pdf" TargetMode="External"/><Relationship Id="rId515" Type="http://schemas.openxmlformats.org/officeDocument/2006/relationships/hyperlink" Target="https://www.govinfo.gov/content/pkg/USCODE-2008-title49/pdf/USCODE-2008-title49-subtitleIII-chap53-sec5304.pdf" TargetMode="External"/><Relationship Id="rId722" Type="http://schemas.openxmlformats.org/officeDocument/2006/relationships/hyperlink" Target="https://www.azleg.gov/viewdocument/?docName=https://www.azleg.gov/ars/28/07701.htm" TargetMode="External"/><Relationship Id="rId1145" Type="http://schemas.openxmlformats.org/officeDocument/2006/relationships/hyperlink" Target="https://www.transit.dot.gov/funding/grants/formula-grants-rural-areas-fact-sheet-section-5311" TargetMode="External"/><Relationship Id="rId89" Type="http://schemas.openxmlformats.org/officeDocument/2006/relationships/image" Target="media/image31.jpeg"/><Relationship Id="rId154" Type="http://schemas.openxmlformats.org/officeDocument/2006/relationships/image" Target="media/image50.png"/><Relationship Id="rId361" Type="http://schemas.openxmlformats.org/officeDocument/2006/relationships/hyperlink" Target="https://www.transit.dot.gov/funding/procurement/third-party-procurement/local-matching-funds" TargetMode="External"/><Relationship Id="rId599" Type="http://schemas.openxmlformats.org/officeDocument/2006/relationships/hyperlink" Target="https://www.govinfo.gov/app/details/CFR-2014-title2-vol1/CFR-2014-title2-vol1-part200/summary" TargetMode="External"/><Relationship Id="rId1005" Type="http://schemas.openxmlformats.org/officeDocument/2006/relationships/hyperlink" Target="https://www.govinfo.gov/content/pkg/CFR-2013-title40-vol21/xml/CFR-2013-title40-vol21-sec93-101.xml" TargetMode="External"/><Relationship Id="rId1212" Type="http://schemas.openxmlformats.org/officeDocument/2006/relationships/hyperlink" Target="https://www.sustainablehighways.org/" TargetMode="External"/><Relationship Id="rId459" Type="http://schemas.openxmlformats.org/officeDocument/2006/relationships/hyperlink" Target="https://www.law.cornell.edu/uscode/text/23/106" TargetMode="External"/><Relationship Id="rId666" Type="http://schemas.openxmlformats.org/officeDocument/2006/relationships/hyperlink" Target="https://www.fhwa.dot.gov/legsregs/directives/policy/memonfmr_tapered20190515.htm" TargetMode="External"/><Relationship Id="rId873" Type="http://schemas.openxmlformats.org/officeDocument/2006/relationships/hyperlink" Target="https://egrants.azdot.gov/Login2.aspx?APPTHEME=AZDOT" TargetMode="External"/><Relationship Id="rId1089" Type="http://schemas.openxmlformats.org/officeDocument/2006/relationships/hyperlink" Target="https://www.govinfo.gov/content/pkg/USCODE-2011-title23/pdf/USCODE-2011-title23-chap4-sec402.pdf" TargetMode="External"/><Relationship Id="rId16" Type="http://schemas.openxmlformats.org/officeDocument/2006/relationships/image" Target="media/image4.png"/><Relationship Id="rId221" Type="http://schemas.openxmlformats.org/officeDocument/2006/relationships/hyperlink" Target="https://www.fhwa.dot.gov/federal-aidessentials/federalaid.cfm" TargetMode="External"/><Relationship Id="rId319" Type="http://schemas.openxmlformats.org/officeDocument/2006/relationships/hyperlink" Target="http://www.lhmpo.org/committees" TargetMode="External"/><Relationship Id="rId526" Type="http://schemas.openxmlformats.org/officeDocument/2006/relationships/hyperlink" Target="https://www.law.cornell.edu/cfr/text/23/450.326" TargetMode="External"/><Relationship Id="rId1156" Type="http://schemas.openxmlformats.org/officeDocument/2006/relationships/hyperlink" Target="http://www.aztribaltransportation.org/training.asp" TargetMode="External"/><Relationship Id="rId733" Type="http://schemas.openxmlformats.org/officeDocument/2006/relationships/hyperlink" Target="https://www.govinfo.gov/content/pkg/USCODE-2011-title23/pdf/USCODE-2011-title23-chap1-sec134.pdf" TargetMode="External"/><Relationship Id="rId940" Type="http://schemas.openxmlformats.org/officeDocument/2006/relationships/hyperlink" Target="https://www.azleg.gov/arstitle/" TargetMode="External"/><Relationship Id="rId1016" Type="http://schemas.openxmlformats.org/officeDocument/2006/relationships/hyperlink" Target="https://www.law.cornell.edu/cfr/text/40/93.105" TargetMode="External"/><Relationship Id="rId165" Type="http://schemas.openxmlformats.org/officeDocument/2006/relationships/image" Target="media/image530.png"/><Relationship Id="rId372" Type="http://schemas.openxmlformats.org/officeDocument/2006/relationships/hyperlink" Target="https://gao.az.gov/travel/welcome-gao-travel" TargetMode="External"/><Relationship Id="rId677" Type="http://schemas.openxmlformats.org/officeDocument/2006/relationships/hyperlink" Target="https://www.law.cornell.edu/uscode/text/49/subtitle-III/chapter-53" TargetMode="External"/><Relationship Id="rId800" Type="http://schemas.openxmlformats.org/officeDocument/2006/relationships/hyperlink" Target="https://www.govinfo.gov/app/details/CFR-2003-title49-vol1/CFR-2003-title49-vol1-part21" TargetMode="External"/><Relationship Id="rId1223" Type="http://schemas.openxmlformats.org/officeDocument/2006/relationships/hyperlink" Target="https://azdot.gov/adot-news/adot-finalizes-bicycle-and-pedestrian-plan-update" TargetMode="External"/><Relationship Id="rId232" Type="http://schemas.openxmlformats.org/officeDocument/2006/relationships/hyperlink" Target="https://azdot.gov/planning/traffic-monitoring" TargetMode="External"/><Relationship Id="rId884" Type="http://schemas.openxmlformats.org/officeDocument/2006/relationships/hyperlink" Target="https://www.govinfo.gov/app/details/USCODE-2018-title49/USCODE-2018-title49-subtitleIX-chap702-sec70202" TargetMode="External"/><Relationship Id="rId27" Type="http://schemas.openxmlformats.org/officeDocument/2006/relationships/image" Target="media/image13.png"/><Relationship Id="rId537" Type="http://schemas.openxmlformats.org/officeDocument/2006/relationships/hyperlink" Target="https://www.law.cornell.edu/uscode/text/23/104" TargetMode="External"/><Relationship Id="rId744" Type="http://schemas.openxmlformats.org/officeDocument/2006/relationships/hyperlink" Target="https://www.govinfo.gov/content/pkg/USCODE-2009-title42/pdf/USCODE-2009-title42-chap85-subchapI-partD-subpart1-sec7504.pdf" TargetMode="External"/><Relationship Id="rId951" Type="http://schemas.openxmlformats.org/officeDocument/2006/relationships/hyperlink" Target="https://www.faa.gov/airports/aip/aip_handbook/" TargetMode="External"/><Relationship Id="rId1167" Type="http://schemas.openxmlformats.org/officeDocument/2006/relationships/hyperlink" Target="https://azdot.gov/business/programs-and-partnerships/p3-initiatives" TargetMode="External"/><Relationship Id="rId80" Type="http://schemas.openxmlformats.org/officeDocument/2006/relationships/hyperlink" Target="https://www.cympo.org/" TargetMode="External"/><Relationship Id="rId176" Type="http://schemas.openxmlformats.org/officeDocument/2006/relationships/hyperlink" Target="https://azdot.gov/planning/transportation-programs/planning-assistance-rural-areas-para-program" TargetMode="External"/><Relationship Id="rId383" Type="http://schemas.openxmlformats.org/officeDocument/2006/relationships/hyperlink" Target="https://www.govinfo.gov/app/details/CFR-2014-title2-vol1/CFR-2014-title2-vol1-part200" TargetMode="External"/><Relationship Id="rId590" Type="http://schemas.openxmlformats.org/officeDocument/2006/relationships/hyperlink" Target="https://www.azleg.gov/viewdocument/?docName=https://www.azleg.gov/ars/41/01278.htm" TargetMode="External"/><Relationship Id="rId604" Type="http://schemas.openxmlformats.org/officeDocument/2006/relationships/hyperlink" Target="https://facweb.census.gov/" TargetMode="External"/><Relationship Id="rId811" Type="http://schemas.openxmlformats.org/officeDocument/2006/relationships/hyperlink" Target="http://ympo.org/studies-reports/title-vi-report/" TargetMode="External"/><Relationship Id="rId1027" Type="http://schemas.openxmlformats.org/officeDocument/2006/relationships/hyperlink" Target="https://www.environment.fhwa.dot.gov/nepa/nepa_projDev.aspx" TargetMode="External"/><Relationship Id="rId1234" Type="http://schemas.openxmlformats.org/officeDocument/2006/relationships/hyperlink" Target="https://www.transportation.gov/bicycles-pedestrians" TargetMode="External"/><Relationship Id="rId243" Type="http://schemas.openxmlformats.org/officeDocument/2006/relationships/hyperlink" Target="https://www.epa.gov/" TargetMode="External"/><Relationship Id="rId450" Type="http://schemas.openxmlformats.org/officeDocument/2006/relationships/hyperlink" Target="file:///\\ustpe100cifs01\Jobs\11593%20ADOT%20MPD%20Planning%20OC\Task%20D%20COG&amp;MPO%20Manual%20Update\5-0%20%5ePROJECT%20DATA\Working_Manual\23%20C.F.R.%20&#167;%20450.322(b)" TargetMode="External"/><Relationship Id="rId688" Type="http://schemas.openxmlformats.org/officeDocument/2006/relationships/hyperlink" Target="https://www.law.cornell.edu/uscode/text/23/137" TargetMode="External"/><Relationship Id="rId895" Type="http://schemas.openxmlformats.org/officeDocument/2006/relationships/hyperlink" Target="https://www.aar.org/" TargetMode="External"/><Relationship Id="rId909" Type="http://schemas.openxmlformats.org/officeDocument/2006/relationships/hyperlink" Target="https://azdot.gov/node/5628" TargetMode="External"/><Relationship Id="rId1080" Type="http://schemas.openxmlformats.org/officeDocument/2006/relationships/hyperlink" Target="https://www.govinfo.gov/content/pkg/CFR-2017-title23-vol1/xml/CFR-2017-title23-vol1-part924.xml" TargetMode="External"/><Relationship Id="rId38" Type="http://schemas.openxmlformats.org/officeDocument/2006/relationships/footer" Target="footer3.xml"/><Relationship Id="rId103" Type="http://schemas.openxmlformats.org/officeDocument/2006/relationships/hyperlink" Target="https://www.sierravistaaz.gov/department/index.php?structureid=318" TargetMode="External"/><Relationship Id="rId310" Type="http://schemas.openxmlformats.org/officeDocument/2006/relationships/hyperlink" Target="https://www.govinfo.gov/content/pkg/CFR-2005-title49-vol7/pdf/CFR-2005-title49-vol7-sec613-100.pdf" TargetMode="External"/><Relationship Id="rId548" Type="http://schemas.openxmlformats.org/officeDocument/2006/relationships/hyperlink" Target="https://azdot.gov/planning/transportation-programs/state-long-range-transportation-plan" TargetMode="External"/><Relationship Id="rId755" Type="http://schemas.openxmlformats.org/officeDocument/2006/relationships/hyperlink" Target="https://www.govinfo.gov/content/pkg/USCODE-2011-title49/pdf/USCODE-2011-title49-subtitleIII-chap53-sec5323.pdf" TargetMode="External"/><Relationship Id="rId962" Type="http://schemas.openxmlformats.org/officeDocument/2006/relationships/hyperlink" Target="https://azdot.gov/planning/airport-development/airports" TargetMode="External"/><Relationship Id="rId1178" Type="http://schemas.openxmlformats.org/officeDocument/2006/relationships/hyperlink" Target="https://www.fhwa.dot.gov/innovation/everydaycounts/" TargetMode="External"/><Relationship Id="rId91" Type="http://schemas.openxmlformats.org/officeDocument/2006/relationships/image" Target="media/image33.jpeg"/><Relationship Id="rId187" Type="http://schemas.openxmlformats.org/officeDocument/2006/relationships/hyperlink" Target="https://azdot.gov/planning/transportation-programming/state-transportation-improvement-program-stip" TargetMode="External"/><Relationship Id="rId394" Type="http://schemas.openxmlformats.org/officeDocument/2006/relationships/hyperlink" Target="https://gao.az.gov/travel/welcome-gao-travel" TargetMode="External"/><Relationship Id="rId408" Type="http://schemas.openxmlformats.org/officeDocument/2006/relationships/hyperlink" Target="https://www.govinfo.gov/content/pkg/USCODE-2013-title23/pdf/USCODE-2013-title23-chap1-sec134.pdf" TargetMode="External"/><Relationship Id="rId615" Type="http://schemas.openxmlformats.org/officeDocument/2006/relationships/hyperlink" Target="https://www.epa.gov/compliance/epas-audit-policy" TargetMode="External"/><Relationship Id="rId822" Type="http://schemas.openxmlformats.org/officeDocument/2006/relationships/hyperlink" Target="https://www.govinfo.gov/content/pkg/CFR-2017-title49-vol1/xml/CFR-2017-title49-vol1-part26.xml" TargetMode="External"/><Relationship Id="rId1038" Type="http://schemas.openxmlformats.org/officeDocument/2006/relationships/hyperlink" Target="https://www.govinfo.gov/content/pkg/CFR-2010-title23-vol1/pdf/CFR-2010-title23-vol1-part500.pdf" TargetMode="External"/><Relationship Id="rId1245" Type="http://schemas.openxmlformats.org/officeDocument/2006/relationships/hyperlink" Target="https://azdot.gov/business/engineering-and-construction/traffic/guidelines-and-processes" TargetMode="External"/><Relationship Id="rId254" Type="http://schemas.openxmlformats.org/officeDocument/2006/relationships/hyperlink" Target="https://www.faa.gov/about/office_org/headquarters_offices/arc/ro_center/?file_name=contact_us_western_pacific" TargetMode="External"/><Relationship Id="rId699" Type="http://schemas.openxmlformats.org/officeDocument/2006/relationships/hyperlink" Target="https://www.fhwa.dot.gov/azdiv/stewtoc.cfm" TargetMode="External"/><Relationship Id="rId1091" Type="http://schemas.openxmlformats.org/officeDocument/2006/relationships/hyperlink" Target="https://www.azleg.gov/viewdocument/?docName=https://www.azleg.gov/ars/28/00504.htm" TargetMode="External"/><Relationship Id="rId1105" Type="http://schemas.openxmlformats.org/officeDocument/2006/relationships/hyperlink" Target="https://safety.fhwa.dot.gov/hsip/resources/fhwasa09029/fhwasa09029.pdf" TargetMode="External"/><Relationship Id="rId49" Type="http://schemas.openxmlformats.org/officeDocument/2006/relationships/hyperlink" Target="https://www.azleg.gov/arsDetail/?title=28" TargetMode="External"/><Relationship Id="rId114" Type="http://schemas.openxmlformats.org/officeDocument/2006/relationships/hyperlink" Target="http://www.cagaz.org/" TargetMode="External"/><Relationship Id="rId461" Type="http://schemas.openxmlformats.org/officeDocument/2006/relationships/hyperlink" Target="https://www.fhwa.dot.gov/planning/lsnlrndatchmt.cfm" TargetMode="External"/><Relationship Id="rId559" Type="http://schemas.openxmlformats.org/officeDocument/2006/relationships/hyperlink" Target="https://www.law.cornell.edu/cfr/text/23/450.328" TargetMode="External"/><Relationship Id="rId766" Type="http://schemas.openxmlformats.org/officeDocument/2006/relationships/image" Target="media/image63.png"/><Relationship Id="rId1189" Type="http://schemas.openxmlformats.org/officeDocument/2006/relationships/hyperlink" Target="https://hazards.fema.gov/femaportal/wps/portal" TargetMode="External"/><Relationship Id="rId198" Type="http://schemas.openxmlformats.org/officeDocument/2006/relationships/hyperlink" Target="https://azdot.gov/planning/transportation-programs/state-rail-plan" TargetMode="External"/><Relationship Id="rId321" Type="http://schemas.openxmlformats.org/officeDocument/2006/relationships/hyperlink" Target="https://www.svmpo.org/boards-and-committees/" TargetMode="External"/><Relationship Id="rId419" Type="http://schemas.openxmlformats.org/officeDocument/2006/relationships/hyperlink" Target="https://www.govinfo.gov/content/pkg/CFR-2011-title23-vol1/pdf/CFR-2011-title23-vol1-sec450-320.pdf" TargetMode="External"/><Relationship Id="rId626" Type="http://schemas.openxmlformats.org/officeDocument/2006/relationships/hyperlink" Target="https://www.azleg.gov/viewdocument/?docName=https://www.azleg.gov/ars/28/06313.htm" TargetMode="External"/><Relationship Id="rId973" Type="http://schemas.openxmlformats.org/officeDocument/2006/relationships/hyperlink" Target="https://www.faa.gov/airports/aip/military_airport_program/" TargetMode="External"/><Relationship Id="rId1049" Type="http://schemas.openxmlformats.org/officeDocument/2006/relationships/hyperlink" Target="https://adot.ms2soft.com" TargetMode="External"/><Relationship Id="rId1256" Type="http://schemas.openxmlformats.org/officeDocument/2006/relationships/hyperlink" Target="https://gohs.az.gov/highway-safety-programs/pedestrian-safety" TargetMode="External"/><Relationship Id="rId833" Type="http://schemas.openxmlformats.org/officeDocument/2006/relationships/hyperlink" Target="https://www.transit.dot.gov/title6" TargetMode="External"/><Relationship Id="rId1116" Type="http://schemas.openxmlformats.org/officeDocument/2006/relationships/hyperlink" Target="http://www.fhwa.dot.gov/tea21/" TargetMode="External"/><Relationship Id="rId265" Type="http://schemas.openxmlformats.org/officeDocument/2006/relationships/hyperlink" Target="https://www.govinfo.gov/content/pkg/USCODE-2007-title49/pdf/USCODE-2007-title49-subtitleIII-chap53-sec5303.pdf" TargetMode="External"/><Relationship Id="rId472" Type="http://schemas.openxmlformats.org/officeDocument/2006/relationships/hyperlink" Target="https://www.fhwa.dot.gov/hep/guidance/superseded/23cfr450.cfm" TargetMode="External"/><Relationship Id="rId900" Type="http://schemas.openxmlformats.org/officeDocument/2006/relationships/hyperlink" Target="http://www.portoftucson.net/" TargetMode="External"/><Relationship Id="rId125" Type="http://schemas.openxmlformats.org/officeDocument/2006/relationships/hyperlink" Target="https://www.nacog.org/" TargetMode="External"/><Relationship Id="rId332" Type="http://schemas.openxmlformats.org/officeDocument/2006/relationships/hyperlink" Target="https://www.law.cornell.edu/cfr/text/49/part-613" TargetMode="External"/><Relationship Id="rId777" Type="http://schemas.openxmlformats.org/officeDocument/2006/relationships/hyperlink" Target="https://www.govinfo.gov/content/pkg/CFR-1999-title23-vol1/pdf/CFR-1999-title23-vol1-part200.pdf" TargetMode="External"/><Relationship Id="rId984" Type="http://schemas.openxmlformats.org/officeDocument/2006/relationships/hyperlink" Target="https://www.govinfo.gov/content/pkg/FR-2015-10-26/pdf/2015-26594.pdf" TargetMode="External"/><Relationship Id="rId637" Type="http://schemas.openxmlformats.org/officeDocument/2006/relationships/hyperlink" Target="https://www.govinfo.gov/app/details/USCODE-2011-title23/USCODE-2011-title23-chap1-sec139" TargetMode="External"/><Relationship Id="rId844" Type="http://schemas.openxmlformats.org/officeDocument/2006/relationships/hyperlink" Target="http://www.cagaz.org/Departments/tpt/programs/tptprograms.html" TargetMode="External"/><Relationship Id="rId276" Type="http://schemas.openxmlformats.org/officeDocument/2006/relationships/hyperlink" Target="https://www.azleg.gov/viewdocument/?docName=https://www.azleg.gov/ars/49/00406.htm" TargetMode="External"/><Relationship Id="rId483" Type="http://schemas.openxmlformats.org/officeDocument/2006/relationships/hyperlink" Target="https://www.fhwa.dot.gov/hep/guidance/superseded/23cfr450.cfm" TargetMode="External"/><Relationship Id="rId690" Type="http://schemas.openxmlformats.org/officeDocument/2006/relationships/hyperlink" Target="https://www.law.cornell.edu/uscode/text/23/206" TargetMode="External"/><Relationship Id="rId704" Type="http://schemas.openxmlformats.org/officeDocument/2006/relationships/hyperlink" Target="https://www.congress.gov/bill/114th-congress/house-bill/22/text" TargetMode="External"/><Relationship Id="rId911" Type="http://schemas.openxmlformats.org/officeDocument/2006/relationships/hyperlink" Target="https://www.federalregister.gov/documents/2019/11/07/2019-24197/state-highway-rail-grade-crossing-action-plans" TargetMode="External"/><Relationship Id="rId1127" Type="http://schemas.openxmlformats.org/officeDocument/2006/relationships/hyperlink" Target="https://www.gsa.gov/real-estate/historic-preservation/historic-preservation-policy-tools/legislation-policy-and-reports/section-106-national-historic-preservation-act-of-1966" TargetMode="External"/><Relationship Id="rId40" Type="http://schemas.openxmlformats.org/officeDocument/2006/relationships/hyperlink" Target="https://www.law.cornell.edu/uscode/text/23/201" TargetMode="External"/><Relationship Id="rId136" Type="http://schemas.openxmlformats.org/officeDocument/2006/relationships/hyperlink" Target="https://www.wacog.com/" TargetMode="External"/><Relationship Id="rId343" Type="http://schemas.openxmlformats.org/officeDocument/2006/relationships/hyperlink" Target="https://www.govinfo.gov/content/pkg/USCODE-2011-title31/pdf/USCODE-2011-title31-subtitleIII.pdf" TargetMode="External"/><Relationship Id="rId550" Type="http://schemas.openxmlformats.org/officeDocument/2006/relationships/hyperlink" Target="https://www.law.cornell.edu/cfr/text/23/450.326" TargetMode="External"/><Relationship Id="rId788" Type="http://schemas.openxmlformats.org/officeDocument/2006/relationships/hyperlink" Target="https://www.law.cornell.edu/cfr/text/49/part-26" TargetMode="External"/><Relationship Id="rId995" Type="http://schemas.openxmlformats.org/officeDocument/2006/relationships/hyperlink" Target="https://azdot.gov/business/environmental-planning/air-quality" TargetMode="External"/><Relationship Id="rId1180" Type="http://schemas.openxmlformats.org/officeDocument/2006/relationships/hyperlink" Target="https://www.environment.fhwa.dot.gov/env_initiatives/pel/corridor_nepa_guidance.aspx" TargetMode="External"/><Relationship Id="rId203" Type="http://schemas.openxmlformats.org/officeDocument/2006/relationships/hyperlink" Target="https://azdot.gov/planning/transportation-programs/arizona-state-aviation-system-plan-sasp-update" TargetMode="External"/><Relationship Id="rId648" Type="http://schemas.openxmlformats.org/officeDocument/2006/relationships/hyperlink" Target="https://www.ecfr.gov/cgi-bin/text-idx?SID=b20169633ca5b61fbfef2c908b9973a9&amp;mc=true&amp;node=se23.1.450_1332&amp;rgn=div8" TargetMode="External"/><Relationship Id="rId855" Type="http://schemas.openxmlformats.org/officeDocument/2006/relationships/hyperlink" Target="https://www.grants.gov/web/grants/home.html" TargetMode="External"/><Relationship Id="rId1040" Type="http://schemas.openxmlformats.org/officeDocument/2006/relationships/hyperlink" Target="https://www.govinfo.gov/content/pkg/CFR-2011-title23-vol1/pdf/CFR-2011-title23-vol1-sec924-7.pdf" TargetMode="External"/><Relationship Id="rId287" Type="http://schemas.openxmlformats.org/officeDocument/2006/relationships/hyperlink" Target="https://www.govinfo.gov/app/details/CFR-2011-title23-vol1/CFR-2011-title23-vol1-part420" TargetMode="External"/><Relationship Id="rId410" Type="http://schemas.openxmlformats.org/officeDocument/2006/relationships/hyperlink" Target="https://www.azleg.gov/viewdocument/?docName=https://www.azleg.gov/ars/28/00503.htm" TargetMode="External"/><Relationship Id="rId494" Type="http://schemas.openxmlformats.org/officeDocument/2006/relationships/hyperlink" Target="https://www.law.cornell.edu/cfr/text/23/450.104" TargetMode="External"/><Relationship Id="rId508" Type="http://schemas.openxmlformats.org/officeDocument/2006/relationships/hyperlink" Target="https://www.law.cornell.edu/uscode/text/23/135" TargetMode="External"/><Relationship Id="rId715" Type="http://schemas.openxmlformats.org/officeDocument/2006/relationships/hyperlink" Target="https://www.fhwa.dot.gov/ipd/finance/tools_programs/federal_debt_financing/default.aspx" TargetMode="External"/><Relationship Id="rId922" Type="http://schemas.openxmlformats.org/officeDocument/2006/relationships/hyperlink" Target="https://www.fhwa.dot.gov/planning/border_planning/us_mexico/" TargetMode="External"/><Relationship Id="rId1138" Type="http://schemas.openxmlformats.org/officeDocument/2006/relationships/hyperlink" Target="https://www.azleg.gov/viewdocument/?docName=https://www.azleg.gov/ars/28/00307.htm" TargetMode="External"/><Relationship Id="rId147" Type="http://schemas.openxmlformats.org/officeDocument/2006/relationships/hyperlink" Target="https://scmpo.org/" TargetMode="External"/><Relationship Id="rId354" Type="http://schemas.openxmlformats.org/officeDocument/2006/relationships/hyperlink" Target="http://18b4wg1zsjp31kslx82j41oc-wpengine.netdna-ssl.com/wp-content/uploads/2019/09/FY20-Work-Program-Budget-SEPT-AMENDMENT-2019.pdf" TargetMode="External"/><Relationship Id="rId799" Type="http://schemas.openxmlformats.org/officeDocument/2006/relationships/hyperlink" Target="https://www.govinfo.gov/app/details/CFR-2008-title23-vol1/CFR-2008-title23-vol1-sec200-9" TargetMode="External"/><Relationship Id="rId1191" Type="http://schemas.openxmlformats.org/officeDocument/2006/relationships/hyperlink" Target="http://azstateparks.com/SHPO/" TargetMode="External"/><Relationship Id="rId1205" Type="http://schemas.openxmlformats.org/officeDocument/2006/relationships/hyperlink" Target="https://land.az.gov/contact" TargetMode="External"/><Relationship Id="rId51" Type="http://schemas.openxmlformats.org/officeDocument/2006/relationships/hyperlink" Target="https://www.azleg.gov/viewdocument/?docName=https://www.azleg.gov/ars/28/00503.htm" TargetMode="External"/><Relationship Id="rId561" Type="http://schemas.openxmlformats.org/officeDocument/2006/relationships/hyperlink" Target="https://www.law.cornell.edu/cfr/text/23/450.104" TargetMode="External"/><Relationship Id="rId659" Type="http://schemas.openxmlformats.org/officeDocument/2006/relationships/hyperlink" Target="https://www.govinfo.gov/app/details/USCODE-2015-title23/USCODE-2015-title23-chap1-sec105" TargetMode="External"/><Relationship Id="rId866" Type="http://schemas.openxmlformats.org/officeDocument/2006/relationships/hyperlink" Target="https://www.transit.dot.gov/funding/grantee-resources/sample-fta-agreements/fta-master-agreement-fta-ma18-october-1-2011" TargetMode="External"/><Relationship Id="rId214" Type="http://schemas.openxmlformats.org/officeDocument/2006/relationships/hyperlink" Target="https://azdot.gov/planning/airport-development/development-and-planning/airport-pavement-management-system-apms" TargetMode="External"/><Relationship Id="rId298" Type="http://schemas.openxmlformats.org/officeDocument/2006/relationships/hyperlink" Target="https://www.law.cornell.edu/uscode/text/23/134" TargetMode="External"/><Relationship Id="rId421" Type="http://schemas.openxmlformats.org/officeDocument/2006/relationships/hyperlink" Target="https://www.govinfo.gov/content/pkg/CFR-2011-title23-vol1/pdf/CFR-2011-title23-vol1-sec500-109.pdf" TargetMode="External"/><Relationship Id="rId519" Type="http://schemas.openxmlformats.org/officeDocument/2006/relationships/hyperlink" Target="http://aztransportationboard.gov/downloads/Board-Policies-Map.pdf" TargetMode="External"/><Relationship Id="rId1051" Type="http://schemas.openxmlformats.org/officeDocument/2006/relationships/hyperlink" Target="https://adot.maps.arcgis.com/apps/MapJournal/index.html?appid=32bd9c6bf7634a29ae8997c15c88771a" TargetMode="External"/><Relationship Id="rId1149" Type="http://schemas.openxmlformats.org/officeDocument/2006/relationships/hyperlink" Target="http://www.aztribaltransportation.org/contacts.asp" TargetMode="External"/><Relationship Id="rId158" Type="http://schemas.openxmlformats.org/officeDocument/2006/relationships/image" Target="media/image261.png"/><Relationship Id="rId726" Type="http://schemas.openxmlformats.org/officeDocument/2006/relationships/hyperlink" Target="https://www.govinfo.gov/app/details/USCODE-2011-title23/USCODE-2011-title23-chap1-sec134" TargetMode="External"/><Relationship Id="rId933" Type="http://schemas.openxmlformats.org/officeDocument/2006/relationships/hyperlink" Target="https://www.faa.gov/airports/aip/" TargetMode="External"/><Relationship Id="rId1009" Type="http://schemas.openxmlformats.org/officeDocument/2006/relationships/hyperlink" Target="https://azdot.gov/business/environmental-planning/air-quality/congestion-mitigation-air-quality-transportation-control" TargetMode="External"/><Relationship Id="rId62" Type="http://schemas.openxmlformats.org/officeDocument/2006/relationships/image" Target="media/image220.png"/><Relationship Id="rId365" Type="http://schemas.openxmlformats.org/officeDocument/2006/relationships/hyperlink" Target="https://www.transit.dot.gov/regulations-and-guidance/fta-circulars/program-guidance-metropolitan-planning-and-state-planning-and" TargetMode="External"/><Relationship Id="rId572" Type="http://schemas.openxmlformats.org/officeDocument/2006/relationships/hyperlink" Target="https://azdot.gov/sites/default/files/media/2020/08/SW_WorkProgramApprovalProcess.pdf" TargetMode="External"/><Relationship Id="rId1216" Type="http://schemas.openxmlformats.org/officeDocument/2006/relationships/hyperlink" Target="https://www.ssti.us/" TargetMode="External"/><Relationship Id="rId225" Type="http://schemas.openxmlformats.org/officeDocument/2006/relationships/image" Target="media/image54.jpeg"/><Relationship Id="rId432" Type="http://schemas.openxmlformats.org/officeDocument/2006/relationships/hyperlink" Target="https://www.azleg.gov/viewdocument/?docName=https://www.azleg.gov/ars/28/06952.htm" TargetMode="External"/><Relationship Id="rId877" Type="http://schemas.openxmlformats.org/officeDocument/2006/relationships/image" Target="media/image64.png"/><Relationship Id="rId1062" Type="http://schemas.openxmlformats.org/officeDocument/2006/relationships/hyperlink" Target="https://origin.azdot.gov/maps/functional-classification-maps" TargetMode="External"/><Relationship Id="rId737" Type="http://schemas.openxmlformats.org/officeDocument/2006/relationships/hyperlink" Target="https://www.govinfo.gov/app/details/USCODE-2011-title23/USCODE-2011-title23-chap1-sec134" TargetMode="External"/><Relationship Id="rId944" Type="http://schemas.openxmlformats.org/officeDocument/2006/relationships/hyperlink" Target="https://azdot.gov/planning/airport-development/development-and-planning/airport-capital-improvement-program" TargetMode="External"/><Relationship Id="rId73" Type="http://schemas.openxmlformats.org/officeDocument/2006/relationships/image" Target="media/image260.png"/><Relationship Id="rId169" Type="http://schemas.openxmlformats.org/officeDocument/2006/relationships/hyperlink" Target="http://www.azbikeped.org/" TargetMode="External"/><Relationship Id="rId376" Type="http://schemas.openxmlformats.org/officeDocument/2006/relationships/hyperlink" Target="mailto:mpdinvoice@azdot.gov" TargetMode="External"/><Relationship Id="rId583" Type="http://schemas.openxmlformats.org/officeDocument/2006/relationships/hyperlink" Target="https://www.azleg.gov/viewdocument/?docName=https://www.azleg.gov/ars/28/06305.htm" TargetMode="External"/><Relationship Id="rId790" Type="http://schemas.openxmlformats.org/officeDocument/2006/relationships/hyperlink" Target="https://www.epa.gov/ocr" TargetMode="External"/><Relationship Id="rId804" Type="http://schemas.openxmlformats.org/officeDocument/2006/relationships/hyperlink" Target="https://azdot.gov/business/civil-rights/title-vi-nondiscrimination-program" TargetMode="External"/><Relationship Id="rId1227" Type="http://schemas.openxmlformats.org/officeDocument/2006/relationships/hyperlink" Target="https://www.fhwa.dot.gov/environment/bicycle_pedestrian/guidance/policy_accom.cfm" TargetMode="External"/><Relationship Id="rId4" Type="http://schemas.openxmlformats.org/officeDocument/2006/relationships/customXml" Target="../customXml/item4.xml"/><Relationship Id="rId236" Type="http://schemas.openxmlformats.org/officeDocument/2006/relationships/hyperlink" Target="file:///C:\Users\siffermanst\AppData\Roaming\Microsoft\Word\transit.dot.gov" TargetMode="External"/><Relationship Id="rId443" Type="http://schemas.openxmlformats.org/officeDocument/2006/relationships/hyperlink" Target="https://www.law.cornell.edu/uscode/text/23/134" TargetMode="External"/><Relationship Id="rId650" Type="http://schemas.openxmlformats.org/officeDocument/2006/relationships/hyperlink" Target="https://www.ecfr.gov/cgi-bin/text-idx?c=ecfr&amp;rgn=div5&amp;view=text&amp;node=23:1.0.1.6.14&amp;idno=23" TargetMode="External"/><Relationship Id="rId888" Type="http://schemas.openxmlformats.org/officeDocument/2006/relationships/hyperlink" Target="https://azmemory.azlibrary.gov/digital/collection/statepubs/id/9338" TargetMode="External"/><Relationship Id="rId1073" Type="http://schemas.openxmlformats.org/officeDocument/2006/relationships/hyperlink" Target="https://azdot.gov/traffic-monitoring" TargetMode="External"/><Relationship Id="rId303" Type="http://schemas.openxmlformats.org/officeDocument/2006/relationships/image" Target="media/image56.png"/><Relationship Id="rId748" Type="http://schemas.openxmlformats.org/officeDocument/2006/relationships/hyperlink" Target="https://www.govinfo.gov/content/pkg/CFR-2014-title49-vol1/pdf/CFR-2014-title49-vol1-sec27-19.pdf" TargetMode="External"/><Relationship Id="rId955" Type="http://schemas.openxmlformats.org/officeDocument/2006/relationships/hyperlink" Target="https://azdot.gov/planning/airport-development/development-and-planning/state-airports-system-plan-sasp" TargetMode="External"/><Relationship Id="rId1140" Type="http://schemas.openxmlformats.org/officeDocument/2006/relationships/hyperlink" Target="https://www.fhwa.dot.gov/fastact/factsheets/tribaltransportationfs.cfm" TargetMode="External"/><Relationship Id="rId84" Type="http://schemas.openxmlformats.org/officeDocument/2006/relationships/image" Target="media/image30.jpeg"/><Relationship Id="rId387" Type="http://schemas.openxmlformats.org/officeDocument/2006/relationships/hyperlink" Target="https://azdot.gov/business/environmental-planning/air-quality" TargetMode="External"/><Relationship Id="rId510" Type="http://schemas.openxmlformats.org/officeDocument/2006/relationships/hyperlink" Target="https://www.law.cornell.edu/cfr/text/23/450.328" TargetMode="External"/><Relationship Id="rId594" Type="http://schemas.openxmlformats.org/officeDocument/2006/relationships/hyperlink" Target="https://azdot.gov/about/audit-and-analysis" TargetMode="External"/><Relationship Id="rId608" Type="http://schemas.openxmlformats.org/officeDocument/2006/relationships/hyperlink" Target="https://www.govinfo.gov/app/details/CFR-2019-title2-vol1/CFR-2019-title2-vol1-sec200-512/summary" TargetMode="External"/><Relationship Id="rId815" Type="http://schemas.openxmlformats.org/officeDocument/2006/relationships/hyperlink" Target="https://www.govinfo.gov/content/pkg/CFR-2017-title49-vol1/xml/CFR-2017-title49-vol1-part26.xml" TargetMode="External"/><Relationship Id="rId1238" Type="http://schemas.openxmlformats.org/officeDocument/2006/relationships/hyperlink" Target="http://www.azbikeped.org/downloads/MGT01-2-Bike-Policy.pdf" TargetMode="External"/><Relationship Id="rId247" Type="http://schemas.openxmlformats.org/officeDocument/2006/relationships/hyperlink" Target="https://www.bia.gov/bia/ois/division-transportation" TargetMode="External"/><Relationship Id="rId899" Type="http://schemas.openxmlformats.org/officeDocument/2006/relationships/hyperlink" Target="http://www.portoftucson.net/" TargetMode="External"/><Relationship Id="rId1000" Type="http://schemas.openxmlformats.org/officeDocument/2006/relationships/hyperlink" Target="https://www.epa.gov/state-and-local-transportation" TargetMode="External"/><Relationship Id="rId1084" Type="http://schemas.openxmlformats.org/officeDocument/2006/relationships/hyperlink" Target="https://www.azleg.gov/viewdocument/?docName=https://www.azleg.gov/ars/28/00505.htm" TargetMode="External"/><Relationship Id="rId107" Type="http://schemas.openxmlformats.org/officeDocument/2006/relationships/image" Target="media/image38.jpeg"/><Relationship Id="rId454" Type="http://schemas.openxmlformats.org/officeDocument/2006/relationships/hyperlink" Target="https://www.cympo.org/docs/cympo-final-rtp-04-13-2015.pdf" TargetMode="External"/><Relationship Id="rId661" Type="http://schemas.openxmlformats.org/officeDocument/2006/relationships/hyperlink" Target="https://www.fhwa.dot.gov/map21/funding.cfm" TargetMode="External"/><Relationship Id="rId759" Type="http://schemas.openxmlformats.org/officeDocument/2006/relationships/hyperlink" Target="https://www.govinfo.gov/app/details/USCODE-2011-title23/USCODE-2011-title23-chap1-sec134" TargetMode="External"/><Relationship Id="rId966" Type="http://schemas.openxmlformats.org/officeDocument/2006/relationships/hyperlink" Target="https://azdot.gov/planning/airport-development/development-and-planning/five-year-airport-capital-improvement-program" TargetMode="External"/><Relationship Id="rId11" Type="http://schemas.openxmlformats.org/officeDocument/2006/relationships/footnotes" Target="footnotes.xml"/><Relationship Id="rId314" Type="http://schemas.openxmlformats.org/officeDocument/2006/relationships/hyperlink" Target="https://www.law.cornell.edu/cfr/text/23/450.310" TargetMode="External"/><Relationship Id="rId398" Type="http://schemas.openxmlformats.org/officeDocument/2006/relationships/hyperlink" Target="https://gao.az.gov/afis/vendor-information" TargetMode="External"/><Relationship Id="rId521" Type="http://schemas.openxmlformats.org/officeDocument/2006/relationships/hyperlink" Target="https://www.law.cornell.edu/cfr/text/23/450.316" TargetMode="External"/><Relationship Id="rId619" Type="http://schemas.openxmlformats.org/officeDocument/2006/relationships/hyperlink" Target="https://railroads.dot.gov/" TargetMode="External"/><Relationship Id="rId1151" Type="http://schemas.openxmlformats.org/officeDocument/2006/relationships/image" Target="media/image71.jpeg"/><Relationship Id="rId1249" Type="http://schemas.openxmlformats.org/officeDocument/2006/relationships/hyperlink" Target="http://www.pedbikeinfo.org/state_contacts.cfm?ID=1" TargetMode="External"/><Relationship Id="rId95" Type="http://schemas.openxmlformats.org/officeDocument/2006/relationships/hyperlink" Target="http://www.lhmpo.org/" TargetMode="External"/><Relationship Id="rId160" Type="http://schemas.openxmlformats.org/officeDocument/2006/relationships/image" Target="media/image52.png"/><Relationship Id="rId826" Type="http://schemas.openxmlformats.org/officeDocument/2006/relationships/hyperlink" Target="https://www.law.cornell.edu/uscode/text/23/134" TargetMode="External"/><Relationship Id="rId1011" Type="http://schemas.openxmlformats.org/officeDocument/2006/relationships/hyperlink" Target="https://azdot.gov/business/environmental-planning/air-quality/congestion-mitigation-air-quality-transportation-control" TargetMode="External"/><Relationship Id="rId1109" Type="http://schemas.openxmlformats.org/officeDocument/2006/relationships/hyperlink" Target="http://www.aztribaltransportation.org/PDF/Transportation_Planning_Programming_Gdbk_Tribal_Govts.pdf" TargetMode="External"/><Relationship Id="rId258" Type="http://schemas.openxmlformats.org/officeDocument/2006/relationships/hyperlink" Target="https://www.epa.gov/aboutepa/epa-region-9-pacific-southwest" TargetMode="External"/><Relationship Id="rId465" Type="http://schemas.openxmlformats.org/officeDocument/2006/relationships/hyperlink" Target="https://www.law.cornell.edu/uscode/text/23/134" TargetMode="External"/><Relationship Id="rId672" Type="http://schemas.openxmlformats.org/officeDocument/2006/relationships/hyperlink" Target="https://www.law.cornell.edu/cfr/text/23/part-420" TargetMode="External"/><Relationship Id="rId1095" Type="http://schemas.openxmlformats.org/officeDocument/2006/relationships/hyperlink" Target="https://safety.fhwa.dot.gov/local_rural/training/fhwasa10012/" TargetMode="External"/><Relationship Id="rId22" Type="http://schemas.openxmlformats.org/officeDocument/2006/relationships/image" Target="media/image10.png"/><Relationship Id="rId118" Type="http://schemas.openxmlformats.org/officeDocument/2006/relationships/image" Target="media/image40.jpeg"/><Relationship Id="rId325" Type="http://schemas.openxmlformats.org/officeDocument/2006/relationships/hyperlink" Target="https://www.seago.org/board-councils-and-committees" TargetMode="External"/><Relationship Id="rId532" Type="http://schemas.openxmlformats.org/officeDocument/2006/relationships/hyperlink" Target="https://www.law.cornell.edu/cfr/text/23/450.326" TargetMode="External"/><Relationship Id="rId977" Type="http://schemas.openxmlformats.org/officeDocument/2006/relationships/footer" Target="footer34.xml"/><Relationship Id="rId1162" Type="http://schemas.openxmlformats.org/officeDocument/2006/relationships/hyperlink" Target="https://azdot.gov/planning/transportation-studies/completed-transportation-studies/arizona-sonora-border-master-plan" TargetMode="External"/><Relationship Id="rId171" Type="http://schemas.openxmlformats.org/officeDocument/2006/relationships/hyperlink" Target="http://www.azbikeped.org/" TargetMode="External"/><Relationship Id="rId837" Type="http://schemas.openxmlformats.org/officeDocument/2006/relationships/hyperlink" Target="https://mk0pagrtahost21swg12.kinstacdn.com/wp-content/docs/pag/2020/08/PIP2018.pdf" TargetMode="External"/><Relationship Id="rId1022" Type="http://schemas.openxmlformats.org/officeDocument/2006/relationships/hyperlink" Target="https://azdot.gov/planning/airport-development/development-and-planning/state-airports-system-plan-sasp" TargetMode="External"/><Relationship Id="rId269" Type="http://schemas.openxmlformats.org/officeDocument/2006/relationships/hyperlink" Target="https://www.ecfr.gov/cgi-bin/text-idx?c=ecfr&amp;sid=7f5985b5d2fe301f3fd5a6f537e6bfb8&amp;rgn=div5&amp;view=text&amp;node=23:1.0.1.5.11&amp;idno=23" TargetMode="External"/><Relationship Id="rId476" Type="http://schemas.openxmlformats.org/officeDocument/2006/relationships/hyperlink" Target="https://www.fhwa.dot.gov/hep/guidance/superseded/23cfr450.cfm" TargetMode="External"/><Relationship Id="rId683" Type="http://schemas.openxmlformats.org/officeDocument/2006/relationships/hyperlink" Target="https://www.govinfo.gov/content/pkg/PLAW-109publ59/html/PLAW-109publ59.htm" TargetMode="External"/><Relationship Id="rId890" Type="http://schemas.openxmlformats.org/officeDocument/2006/relationships/hyperlink" Target="https://ops.fhwa.dot.gov/fastact/crfc/sec_1116_gdnce.htm" TargetMode="External"/><Relationship Id="rId904" Type="http://schemas.openxmlformats.org/officeDocument/2006/relationships/hyperlink" Target="https://www.gob.mx/sct" TargetMode="External"/><Relationship Id="rId33" Type="http://schemas.openxmlformats.org/officeDocument/2006/relationships/image" Target="media/image19.png"/><Relationship Id="rId129" Type="http://schemas.openxmlformats.org/officeDocument/2006/relationships/hyperlink" Target="https://www.seago.org/" TargetMode="External"/><Relationship Id="rId336" Type="http://schemas.openxmlformats.org/officeDocument/2006/relationships/footer" Target="footer9.xml"/><Relationship Id="rId543" Type="http://schemas.openxmlformats.org/officeDocument/2006/relationships/hyperlink" Target="https://ops.fhwa.dot.gov/Freight/infrastructure/nat_reg_sig/index.htm" TargetMode="External"/><Relationship Id="rId988" Type="http://schemas.openxmlformats.org/officeDocument/2006/relationships/hyperlink" Target="https://www.fhwa.dot.gov/environment/air_quality/conformity/con_broc.pdf" TargetMode="External"/><Relationship Id="rId1173" Type="http://schemas.openxmlformats.org/officeDocument/2006/relationships/image" Target="media/image74.jpeg"/><Relationship Id="rId182" Type="http://schemas.openxmlformats.org/officeDocument/2006/relationships/hyperlink" Target="https://azdot.gov/about/boards-and-committees/priority-planning-advisory-committee" TargetMode="External"/><Relationship Id="rId403" Type="http://schemas.openxmlformats.org/officeDocument/2006/relationships/hyperlink" Target="https://www.law.cornell.edu/uscode/text/23/134" TargetMode="External"/><Relationship Id="rId750" Type="http://schemas.openxmlformats.org/officeDocument/2006/relationships/hyperlink" Target="https://www.govinfo.gov/content/pkg/CFR-2011-title49-vol1/pdf/CFR-2011-title49-vol1-part38.pdf" TargetMode="External"/><Relationship Id="rId848" Type="http://schemas.openxmlformats.org/officeDocument/2006/relationships/footer" Target="footer28.xml"/><Relationship Id="rId1033" Type="http://schemas.openxmlformats.org/officeDocument/2006/relationships/hyperlink" Target="https://www.govinfo.gov/content/pkg/USCODE-2011-title23/pdf/USCODE-2011-title23-chap1-sec104.pdf" TargetMode="External"/><Relationship Id="rId487" Type="http://schemas.openxmlformats.org/officeDocument/2006/relationships/hyperlink" Target="https://www.fhwa.dot.gov/hep/guidance/superseded/23cfr450.cfm" TargetMode="External"/><Relationship Id="rId610" Type="http://schemas.openxmlformats.org/officeDocument/2006/relationships/hyperlink" Target="https://www.govinfo.gov/app/details/CFR-2014-title2-vol1/CFR-2014-title2-vol1-part200" TargetMode="External"/><Relationship Id="rId694" Type="http://schemas.openxmlformats.org/officeDocument/2006/relationships/hyperlink" Target="https://www.law.cornell.edu/uscode/text/23/chapter-5" TargetMode="External"/><Relationship Id="rId708" Type="http://schemas.openxmlformats.org/officeDocument/2006/relationships/hyperlink" Target="https://www.govinfo.gov/app/details/USCODE-2011-title49/USCODE-2011-title49-subtitleIII-chap53-sec5303" TargetMode="External"/><Relationship Id="rId915" Type="http://schemas.openxmlformats.org/officeDocument/2006/relationships/hyperlink" Target="https://aslrra.org/" TargetMode="External"/><Relationship Id="rId1240" Type="http://schemas.openxmlformats.org/officeDocument/2006/relationships/hyperlink" Target="https://www.fhwa.dot.gov/publications/research/safety/pedbike/98165/index.cfm" TargetMode="External"/><Relationship Id="rId347" Type="http://schemas.openxmlformats.org/officeDocument/2006/relationships/hyperlink" Target="https://www.transit.dot.gov/regulations-and-guidance/fta-circulars/program-guidance-metropolitan-planning-and-state-planning-and" TargetMode="External"/><Relationship Id="rId999" Type="http://schemas.openxmlformats.org/officeDocument/2006/relationships/hyperlink" Target="https://www.epa.gov/state-and-local-transportation" TargetMode="External"/><Relationship Id="rId1100" Type="http://schemas.openxmlformats.org/officeDocument/2006/relationships/hyperlink" Target="https://www.transportation.org/" TargetMode="External"/><Relationship Id="rId1184" Type="http://schemas.openxmlformats.org/officeDocument/2006/relationships/hyperlink" Target="https://azdot.gov/sites/default/files/2019/05/pel-questionnaire-checklist-022712.pdf" TargetMode="External"/><Relationship Id="rId44" Type="http://schemas.openxmlformats.org/officeDocument/2006/relationships/hyperlink" Target="https://www.govinfo.gov/content/pkg/CFR-2002-title23-vol1/xml/CFR-2002-title23-vol1-part450-subpartC.xml" TargetMode="External"/><Relationship Id="rId554" Type="http://schemas.openxmlformats.org/officeDocument/2006/relationships/hyperlink" Target="https://www.law.cornell.edu/cfr/text/23/450.316" TargetMode="External"/><Relationship Id="rId761" Type="http://schemas.openxmlformats.org/officeDocument/2006/relationships/footer" Target="footer25.xml"/><Relationship Id="rId859" Type="http://schemas.openxmlformats.org/officeDocument/2006/relationships/hyperlink" Target="https://www.transit.dot.gov/sites/fta.dot.gov/files/docs/FTA_C_9040.1F.pdf" TargetMode="External"/><Relationship Id="rId193" Type="http://schemas.openxmlformats.org/officeDocument/2006/relationships/hyperlink" Target="https://azdot.gov/planning/transportation-programs/state-rail-plan" TargetMode="External"/><Relationship Id="rId207" Type="http://schemas.openxmlformats.org/officeDocument/2006/relationships/hyperlink" Target="https://azdot.gov/planning/traffic-monitoring" TargetMode="External"/><Relationship Id="rId414" Type="http://schemas.openxmlformats.org/officeDocument/2006/relationships/footer" Target="footer14.xml"/><Relationship Id="rId498" Type="http://schemas.openxmlformats.org/officeDocument/2006/relationships/hyperlink" Target="https://www.law.cornell.edu/uscode/text/23/134" TargetMode="External"/><Relationship Id="rId621" Type="http://schemas.openxmlformats.org/officeDocument/2006/relationships/hyperlink" Target="https://www.azleg.gov/ars/41/01278.htm" TargetMode="External"/><Relationship Id="rId1044" Type="http://schemas.openxmlformats.org/officeDocument/2006/relationships/hyperlink" Target="https://www.fhwa.dot.gov/policyinformation/hpms/fieldmanual/" TargetMode="External"/><Relationship Id="rId1251" Type="http://schemas.openxmlformats.org/officeDocument/2006/relationships/hyperlink" Target="https://www.apbp.org/" TargetMode="External"/><Relationship Id="rId260" Type="http://schemas.openxmlformats.org/officeDocument/2006/relationships/hyperlink" Target="https://www.bia.gov/regional-offices/western" TargetMode="External"/><Relationship Id="rId719" Type="http://schemas.openxmlformats.org/officeDocument/2006/relationships/hyperlink" Target="https://www.azleg.gov/viewdocument/?docName=https://www.azleg.gov/ars/48/00701.htm" TargetMode="External"/><Relationship Id="rId926" Type="http://schemas.openxmlformats.org/officeDocument/2006/relationships/hyperlink" Target="https://www.fhwa.dot.gov/planning/border_planning/us_mexico/" TargetMode="External"/><Relationship Id="rId1111" Type="http://schemas.openxmlformats.org/officeDocument/2006/relationships/hyperlink" Target="http://www.aztribaltransportation.org/PDF/Transportation_Planning_Programming_Gdbk_Tribal_Govts.pdf" TargetMode="External"/><Relationship Id="rId55" Type="http://schemas.openxmlformats.org/officeDocument/2006/relationships/image" Target="media/image20.jpg"/><Relationship Id="rId120" Type="http://schemas.openxmlformats.org/officeDocument/2006/relationships/image" Target="media/image42.jpeg"/><Relationship Id="rId358" Type="http://schemas.openxmlformats.org/officeDocument/2006/relationships/hyperlink" Target="https://www.fhwa.dot.gov/legsregs/directives/policy/memonfmr_tapered20190515.htm" TargetMode="External"/><Relationship Id="rId565" Type="http://schemas.openxmlformats.org/officeDocument/2006/relationships/hyperlink" Target="https://estip.azdot.gov/secure/login" TargetMode="External"/><Relationship Id="rId772" Type="http://schemas.openxmlformats.org/officeDocument/2006/relationships/hyperlink" Target="https://www.law.cornell.edu/cfr/text/23/part-200" TargetMode="External"/><Relationship Id="rId1195" Type="http://schemas.openxmlformats.org/officeDocument/2006/relationships/hyperlink" Target="https://www.census.gov/programs-surveys/decennial-census/decade.2010.html" TargetMode="External"/><Relationship Id="rId1209" Type="http://schemas.openxmlformats.org/officeDocument/2006/relationships/hyperlink" Target="https://www.epa.gov/smartgrowth"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10.xml.rels><?xml version="1.0" encoding="UTF-8" standalone="yes"?>
<Relationships xmlns="http://schemas.openxmlformats.org/package/2006/relationships"><Relationship Id="rId1" Type="http://schemas.openxmlformats.org/officeDocument/2006/relationships/image" Target="media/image7.jpeg"/></Relationships>
</file>

<file path=word/_rels/footer11.xml.rels><?xml version="1.0" encoding="UTF-8" standalone="yes"?>
<Relationships xmlns="http://schemas.openxmlformats.org/package/2006/relationships"><Relationship Id="rId1" Type="http://schemas.openxmlformats.org/officeDocument/2006/relationships/image" Target="media/image7.jpeg"/></Relationships>
</file>

<file path=word/_rels/footer12.xml.rels><?xml version="1.0" encoding="UTF-8" standalone="yes"?>
<Relationships xmlns="http://schemas.openxmlformats.org/package/2006/relationships"><Relationship Id="rId1" Type="http://schemas.openxmlformats.org/officeDocument/2006/relationships/image" Target="media/image7.jpeg"/></Relationships>
</file>

<file path=word/_rels/footer13.xml.rels><?xml version="1.0" encoding="UTF-8" standalone="yes"?>
<Relationships xmlns="http://schemas.openxmlformats.org/package/2006/relationships"><Relationship Id="rId1" Type="http://schemas.openxmlformats.org/officeDocument/2006/relationships/image" Target="media/image7.jpeg"/></Relationships>
</file>

<file path=word/_rels/footer14.xml.rels><?xml version="1.0" encoding="UTF-8" standalone="yes"?>
<Relationships xmlns="http://schemas.openxmlformats.org/package/2006/relationships"><Relationship Id="rId1" Type="http://schemas.openxmlformats.org/officeDocument/2006/relationships/image" Target="media/image7.jpeg"/></Relationships>
</file>

<file path=word/_rels/footer15.xml.rels><?xml version="1.0" encoding="UTF-8" standalone="yes"?>
<Relationships xmlns="http://schemas.openxmlformats.org/package/2006/relationships"><Relationship Id="rId1" Type="http://schemas.openxmlformats.org/officeDocument/2006/relationships/image" Target="media/image7.jpeg"/></Relationships>
</file>

<file path=word/_rels/footer16.xml.rels><?xml version="1.0" encoding="UTF-8" standalone="yes"?>
<Relationships xmlns="http://schemas.openxmlformats.org/package/2006/relationships"><Relationship Id="rId1" Type="http://schemas.openxmlformats.org/officeDocument/2006/relationships/image" Target="media/image7.jpeg"/></Relationships>
</file>

<file path=word/_rels/footer17.xml.rels><?xml version="1.0" encoding="UTF-8" standalone="yes"?>
<Relationships xmlns="http://schemas.openxmlformats.org/package/2006/relationships"><Relationship Id="rId1" Type="http://schemas.openxmlformats.org/officeDocument/2006/relationships/image" Target="media/image7.jpeg"/></Relationships>
</file>

<file path=word/_rels/footer18.xml.rels><?xml version="1.0" encoding="UTF-8" standalone="yes"?>
<Relationships xmlns="http://schemas.openxmlformats.org/package/2006/relationships"><Relationship Id="rId1" Type="http://schemas.openxmlformats.org/officeDocument/2006/relationships/image" Target="media/image7.jpeg"/></Relationships>
</file>

<file path=word/_rels/footer19.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footer20.xml.rels><?xml version="1.0" encoding="UTF-8" standalone="yes"?>
<Relationships xmlns="http://schemas.openxmlformats.org/package/2006/relationships"><Relationship Id="rId1" Type="http://schemas.openxmlformats.org/officeDocument/2006/relationships/image" Target="media/image7.jpeg"/></Relationships>
</file>

<file path=word/_rels/footer21.xml.rels><?xml version="1.0" encoding="UTF-8" standalone="yes"?>
<Relationships xmlns="http://schemas.openxmlformats.org/package/2006/relationships"><Relationship Id="rId1" Type="http://schemas.openxmlformats.org/officeDocument/2006/relationships/image" Target="media/image7.jpeg"/></Relationships>
</file>

<file path=word/_rels/footer22.xml.rels><?xml version="1.0" encoding="UTF-8" standalone="yes"?>
<Relationships xmlns="http://schemas.openxmlformats.org/package/2006/relationships"><Relationship Id="rId1" Type="http://schemas.openxmlformats.org/officeDocument/2006/relationships/image" Target="media/image7.jpeg"/></Relationships>
</file>

<file path=word/_rels/footer23.xml.rels><?xml version="1.0" encoding="UTF-8" standalone="yes"?>
<Relationships xmlns="http://schemas.openxmlformats.org/package/2006/relationships"><Relationship Id="rId1" Type="http://schemas.openxmlformats.org/officeDocument/2006/relationships/image" Target="media/image7.jpeg"/></Relationships>
</file>

<file path=word/_rels/footer24.xml.rels><?xml version="1.0" encoding="UTF-8" standalone="yes"?>
<Relationships xmlns="http://schemas.openxmlformats.org/package/2006/relationships"><Relationship Id="rId1" Type="http://schemas.openxmlformats.org/officeDocument/2006/relationships/image" Target="media/image7.jpeg"/></Relationships>
</file>

<file path=word/_rels/footer25.xml.rels><?xml version="1.0" encoding="UTF-8" standalone="yes"?>
<Relationships xmlns="http://schemas.openxmlformats.org/package/2006/relationships"><Relationship Id="rId1" Type="http://schemas.openxmlformats.org/officeDocument/2006/relationships/image" Target="media/image7.jpeg"/></Relationships>
</file>

<file path=word/_rels/footer26.xml.rels><?xml version="1.0" encoding="UTF-8" standalone="yes"?>
<Relationships xmlns="http://schemas.openxmlformats.org/package/2006/relationships"><Relationship Id="rId1" Type="http://schemas.openxmlformats.org/officeDocument/2006/relationships/image" Target="media/image7.jpeg"/></Relationships>
</file>

<file path=word/_rels/footer27.xml.rels><?xml version="1.0" encoding="UTF-8" standalone="yes"?>
<Relationships xmlns="http://schemas.openxmlformats.org/package/2006/relationships"><Relationship Id="rId1" Type="http://schemas.openxmlformats.org/officeDocument/2006/relationships/image" Target="media/image7.jpeg"/></Relationships>
</file>

<file path=word/_rels/footer28.xml.rels><?xml version="1.0" encoding="UTF-8" standalone="yes"?>
<Relationships xmlns="http://schemas.openxmlformats.org/package/2006/relationships"><Relationship Id="rId1" Type="http://schemas.openxmlformats.org/officeDocument/2006/relationships/image" Target="media/image7.jpeg"/></Relationships>
</file>

<file path=word/_rels/footer29.xml.rels><?xml version="1.0" encoding="UTF-8" standalone="yes"?>
<Relationships xmlns="http://schemas.openxmlformats.org/package/2006/relationships"><Relationship Id="rId1" Type="http://schemas.openxmlformats.org/officeDocument/2006/relationships/image" Target="media/image7.jpeg"/></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footer30.xml.rels><?xml version="1.0" encoding="UTF-8" standalone="yes"?>
<Relationships xmlns="http://schemas.openxmlformats.org/package/2006/relationships"><Relationship Id="rId1" Type="http://schemas.openxmlformats.org/officeDocument/2006/relationships/image" Target="media/image7.jpeg"/></Relationships>
</file>

<file path=word/_rels/footer31.xml.rels><?xml version="1.0" encoding="UTF-8" standalone="yes"?>
<Relationships xmlns="http://schemas.openxmlformats.org/package/2006/relationships"><Relationship Id="rId1" Type="http://schemas.openxmlformats.org/officeDocument/2006/relationships/image" Target="media/image7.jpeg"/></Relationships>
</file>

<file path=word/_rels/footer32.xml.rels><?xml version="1.0" encoding="UTF-8" standalone="yes"?>
<Relationships xmlns="http://schemas.openxmlformats.org/package/2006/relationships"><Relationship Id="rId1" Type="http://schemas.openxmlformats.org/officeDocument/2006/relationships/image" Target="media/image7.jpeg"/></Relationships>
</file>

<file path=word/_rels/footer33.xml.rels><?xml version="1.0" encoding="UTF-8" standalone="yes"?>
<Relationships xmlns="http://schemas.openxmlformats.org/package/2006/relationships"><Relationship Id="rId1" Type="http://schemas.openxmlformats.org/officeDocument/2006/relationships/image" Target="media/image7.jpeg"/></Relationships>
</file>

<file path=word/_rels/footer34.xml.rels><?xml version="1.0" encoding="UTF-8" standalone="yes"?>
<Relationships xmlns="http://schemas.openxmlformats.org/package/2006/relationships"><Relationship Id="rId1" Type="http://schemas.openxmlformats.org/officeDocument/2006/relationships/image" Target="media/image7.jpeg"/></Relationships>
</file>

<file path=word/_rels/footer36.xml.rels><?xml version="1.0" encoding="UTF-8" standalone="yes"?>
<Relationships xmlns="http://schemas.openxmlformats.org/package/2006/relationships"><Relationship Id="rId1" Type="http://schemas.openxmlformats.org/officeDocument/2006/relationships/image" Target="media/image7.jpeg"/></Relationships>
</file>

<file path=word/_rels/footer4.xml.rels><?xml version="1.0" encoding="UTF-8" standalone="yes"?>
<Relationships xmlns="http://schemas.openxmlformats.org/package/2006/relationships"><Relationship Id="rId1" Type="http://schemas.openxmlformats.org/officeDocument/2006/relationships/image" Target="media/image7.jpeg"/></Relationships>
</file>

<file path=word/_rels/footer5.xml.rels><?xml version="1.0" encoding="UTF-8" standalone="yes"?>
<Relationships xmlns="http://schemas.openxmlformats.org/package/2006/relationships"><Relationship Id="rId1" Type="http://schemas.openxmlformats.org/officeDocument/2006/relationships/image" Target="media/image7.jpeg"/></Relationships>
</file>

<file path=word/_rels/footer6.xml.rels><?xml version="1.0" encoding="UTF-8" standalone="yes"?>
<Relationships xmlns="http://schemas.openxmlformats.org/package/2006/relationships"><Relationship Id="rId1" Type="http://schemas.openxmlformats.org/officeDocument/2006/relationships/image" Target="media/image7.jpeg"/></Relationships>
</file>

<file path=word/_rels/footer7.xml.rels><?xml version="1.0" encoding="UTF-8" standalone="yes"?>
<Relationships xmlns="http://schemas.openxmlformats.org/package/2006/relationships"><Relationship Id="rId1" Type="http://schemas.openxmlformats.org/officeDocument/2006/relationships/image" Target="media/image7.jpeg"/></Relationships>
</file>

<file path=word/_rels/footer8.xml.rels><?xml version="1.0" encoding="UTF-8" standalone="yes"?>
<Relationships xmlns="http://schemas.openxmlformats.org/package/2006/relationships"><Relationship Id="rId1" Type="http://schemas.openxmlformats.org/officeDocument/2006/relationships/image" Target="media/image7.jpeg"/></Relationships>
</file>

<file path=word/_rels/footer9.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effectLst/>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42665FACE49534E9D98E4BC01C00C08" ma:contentTypeVersion="12" ma:contentTypeDescription="Create a new document." ma:contentTypeScope="" ma:versionID="13ade386a65424364d0b308d486ce0d4">
  <xsd:schema xmlns:xsd="http://www.w3.org/2001/XMLSchema" xmlns:xs="http://www.w3.org/2001/XMLSchema" xmlns:p="http://schemas.microsoft.com/office/2006/metadata/properties" xmlns:ns3="f771aa66-4034-43f8-a79f-ef844a406faf" xmlns:ns4="74c1b585-2cd6-4b56-8d17-1f6f6ca003d3" targetNamespace="http://schemas.microsoft.com/office/2006/metadata/properties" ma:root="true" ma:fieldsID="ee1fda1c6fac92c09c0f74240906dc98" ns3:_="" ns4:_="">
    <xsd:import namespace="f771aa66-4034-43f8-a79f-ef844a406faf"/>
    <xsd:import namespace="74c1b585-2cd6-4b56-8d17-1f6f6ca003d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71aa66-4034-43f8-a79f-ef844a406f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c1b585-2cd6-4b56-8d17-1f6f6ca003d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mMjAyMGQ3ZC03N2M4LTQyOTQtYTQyNy01OTBlZThlYjMzMjgiIG9yaWdpbj0idXNlclNlbGVjdGVkIiAvPjxVc2VyTmFtZT5DT1JQXHNpZmZlcm1hbnN0PC9Vc2VyTmFtZT48RGF0ZVRpbWU+MTIvMy8yMDIwIDY6NDE6MDYgUE08L0RhdGVUaW1lPjxMYWJlbFN0cmluZz5ObyBNYXJraW5nPC9MYWJlbFN0cmluZz48L2l0ZW0+PC9sYWJlbEhpc3Rvcnk+</Value>
</WrappedLabelHistory>
</file>

<file path=customXml/item5.xml><?xml version="1.0" encoding="utf-8"?>
<sisl xmlns:xsi="http://www.w3.org/2001/XMLSchema-instance" xmlns:xsd="http://www.w3.org/2001/XMLSchema" xmlns="http://www.boldonjames.com/2008/01/sie/internal/label" sislVersion="0" policy="f2020d7d-77c8-4294-a427-590ee8eb3328" origin="userSelected"/>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BCDCB2-CE79-47F9-871C-079F424DF23D}">
  <ds:schemaRefs>
    <ds:schemaRef ds:uri="http://schemas.microsoft.com/sharepoint/v3/contenttype/forms"/>
  </ds:schemaRefs>
</ds:datastoreItem>
</file>

<file path=customXml/itemProps2.xml><?xml version="1.0" encoding="utf-8"?>
<ds:datastoreItem xmlns:ds="http://schemas.openxmlformats.org/officeDocument/2006/customXml" ds:itemID="{64097D61-FC83-4EDF-97B2-08EEB322C6FD}">
  <ds:schemaRef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schemas.microsoft.com/office/2006/metadata/properties"/>
    <ds:schemaRef ds:uri="74c1b585-2cd6-4b56-8d17-1f6f6ca003d3"/>
    <ds:schemaRef ds:uri="f771aa66-4034-43f8-a79f-ef844a406faf"/>
    <ds:schemaRef ds:uri="http://purl.org/dc/terms/"/>
    <ds:schemaRef ds:uri="http://www.w3.org/XML/1998/namespace"/>
    <ds:schemaRef ds:uri="http://purl.org/dc/dcmitype/"/>
  </ds:schemaRefs>
</ds:datastoreItem>
</file>

<file path=customXml/itemProps3.xml><?xml version="1.0" encoding="utf-8"?>
<ds:datastoreItem xmlns:ds="http://schemas.openxmlformats.org/officeDocument/2006/customXml" ds:itemID="{C9A948CD-F989-4673-BE27-B475DCA4AF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71aa66-4034-43f8-a79f-ef844a406faf"/>
    <ds:schemaRef ds:uri="74c1b585-2cd6-4b56-8d17-1f6f6ca003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D7B42E-55E8-40AC-9C99-EE8BF903E079}">
  <ds:schemaRefs>
    <ds:schemaRef ds:uri="http://www.w3.org/2001/XMLSchema"/>
    <ds:schemaRef ds:uri="http://www.boldonjames.com/2016/02/Classifier/internal/wrappedLabelHistory"/>
  </ds:schemaRefs>
</ds:datastoreItem>
</file>

<file path=customXml/itemProps5.xml><?xml version="1.0" encoding="utf-8"?>
<ds:datastoreItem xmlns:ds="http://schemas.openxmlformats.org/officeDocument/2006/customXml" ds:itemID="{42AE65C5-20F8-4E97-93A3-ED2C371E93B7}">
  <ds:schemaRefs>
    <ds:schemaRef ds:uri="http://www.w3.org/2001/XMLSchema"/>
    <ds:schemaRef ds:uri="http://www.boldonjames.com/2008/01/sie/internal/label"/>
  </ds:schemaRefs>
</ds:datastoreItem>
</file>

<file path=customXml/itemProps6.xml><?xml version="1.0" encoding="utf-8"?>
<ds:datastoreItem xmlns:ds="http://schemas.openxmlformats.org/officeDocument/2006/customXml" ds:itemID="{B61CFEEC-ABD2-441C-9072-62C873B78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261</Pages>
  <Words>94653</Words>
  <Characters>539523</Characters>
  <Application>Microsoft Office Word</Application>
  <DocSecurity>0</DocSecurity>
  <Lines>4496</Lines>
  <Paragraphs>1265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Sifferman, Steven T.</dc:creator>
  <cp:keywords/>
  <dc:description/>
  <cp:lastModifiedBy>Sifferman, Steven T.</cp:lastModifiedBy>
  <cp:revision>5</cp:revision>
  <cp:lastPrinted>2020-06-23T22:39:00Z</cp:lastPrinted>
  <dcterms:created xsi:type="dcterms:W3CDTF">2020-12-11T18:01:00Z</dcterms:created>
  <dcterms:modified xsi:type="dcterms:W3CDTF">2020-12-11T18:59:00Z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0x010100A42665FACE49534E9D98E4BC01C00C08</vt:lpwstr>
  </property>
  <property fmtid="{D5CDD505-2E9C-101B-9397-08002B2CF9AE}" pid="3" name="docIndexRef">
    <vt:lpwstr>de31ffd3-4bfe-429a-b004-fef419eb927b</vt:lpwstr>
  </property>
  <property fmtid="{D5CDD505-2E9C-101B-9397-08002B2CF9AE}" pid="4" name="bjSaver">
    <vt:lpwstr>ioMPz2zHKd78vlrhvVwMPihuLF3DcMHo</vt:lpwstr>
  </property>
  <property fmtid="{D5CDD505-2E9C-101B-9397-08002B2CF9AE}" pid="5" name="bjDocumentSecurityLabel">
    <vt:lpwstr>No Marking</vt:lpwstr>
  </property>
  <property fmtid="{D5CDD505-2E9C-101B-9397-08002B2CF9AE}" pid="6" name="bjClsUserRVM">
    <vt:lpwstr>[]</vt:lpwstr>
  </property>
  <property fmtid="{D5CDD505-2E9C-101B-9397-08002B2CF9AE}" pid="7" name="bjLabelHistoryID">
    <vt:lpwstr>{2ED7B42E-55E8-40AC-9C99-EE8BF903E079}</vt:lpwstr>
  </property>
</Properties>
</file>