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71246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</w:t>
                            </w:r>
                            <w:r w:rsidR="00050C5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Training     </w:t>
                            </w:r>
                            <w:r w:rsidR="00C6217A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4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71246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</w:t>
                      </w:r>
                      <w:r w:rsidR="00050C5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Training     </w:t>
                      </w:r>
                      <w:r w:rsidR="00C6217A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4</w:t>
                      </w:r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5455E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ECDD" wp14:editId="68FAD085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C6217A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CONSTRUCTION AUTHORIZATION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KpF&#10;QVC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2052FB" w:rsidRPr="008466F9" w:rsidRDefault="00C6217A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CONSTRUCTION AUTHORIZATION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ABE47" wp14:editId="66B2AA4B">
                <wp:simplePos x="0" y="0"/>
                <wp:positionH relativeFrom="column">
                  <wp:posOffset>5755005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C6217A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1/20/2021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1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D8VETn3gAAAAsBAAAPAAAAAAAAAAAAAAAAAHwEAABkcnMvZG93bnJl&#10;di54bWxQSwUGAAAAAAQABADzAAAAhwUAAAAA&#10;" stroked="f">
                <v:textbox>
                  <w:txbxContent>
                    <w:p w:rsidR="002052FB" w:rsidRPr="00511B4C" w:rsidRDefault="00C6217A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1/20/2021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BA1E70" w:rsidRDefault="00AD5D17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87F1" wp14:editId="3344EC10">
                <wp:simplePos x="0" y="0"/>
                <wp:positionH relativeFrom="column">
                  <wp:posOffset>59055</wp:posOffset>
                </wp:positionH>
                <wp:positionV relativeFrom="paragraph">
                  <wp:posOffset>29301</wp:posOffset>
                </wp:positionV>
                <wp:extent cx="6685807" cy="7837715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7" cy="78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12" w:rsidRPr="00311CC2" w:rsidRDefault="00375A12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56E2" w:rsidRDefault="005B63B6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ENGINEERING CONSULTANTS SECTION (ECS)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C7374" w:rsidRDefault="004D42D3" w:rsidP="004D42D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D42D3">
                              <w:rPr>
                                <w:sz w:val="24"/>
                                <w:szCs w:val="24"/>
                              </w:rPr>
                              <w:t>ECS administers the processes and procedures for the fair and efficient advertisement, selection, negotiating, monitoring and management of professional services contracts for ADOT</w:t>
                            </w:r>
                            <w:r w:rsidR="00957D1E">
                              <w:rPr>
                                <w:sz w:val="24"/>
                                <w:szCs w:val="24"/>
                              </w:rPr>
                              <w:t xml:space="preserve"> which are exempt from the State Procurement Code (ARS 41-2501)</w:t>
                            </w:r>
                            <w:r w:rsidRPr="004D42D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D42D3" w:rsidRDefault="004D42D3" w:rsidP="00073B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ECS oversees both project specific contracts (single and multiphase) and on-call contracts. </w:t>
                            </w:r>
                          </w:p>
                          <w:p w:rsidR="008F20DD" w:rsidRDefault="008F20DD" w:rsidP="00073B3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ECS handles:</w:t>
                            </w:r>
                          </w:p>
                          <w:p w:rsidR="008F20DD" w:rsidRDefault="008F20DD" w:rsidP="008F20DD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</w:t>
                            </w:r>
                            <w:r w:rsidR="003F0E26">
                              <w:rPr>
                                <w:sz w:val="24"/>
                                <w:szCs w:val="24"/>
                              </w:rPr>
                              <w:t>ract initiation and selection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0E26" w:rsidRDefault="003F0E26" w:rsidP="008F20DD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Contract administration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01A6" w:rsidRPr="00486D46" w:rsidRDefault="003F0E26" w:rsidP="00486D4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Contract closeout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01A6" w:rsidRDefault="00A801A6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801A6" w:rsidRPr="00311CC2" w:rsidRDefault="00A801A6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670C" w:rsidRPr="00936ECE" w:rsidRDefault="00375A12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CONTRACTS AND SPECIFICATIONS</w:t>
                            </w:r>
                            <w:r w:rsidR="00131DC3">
                              <w:rPr>
                                <w:sz w:val="24"/>
                                <w:szCs w:val="24"/>
                              </w:rPr>
                              <w:t xml:space="preserve"> (C&amp;S)</w:t>
                            </w:r>
                            <w:r w:rsidR="007C1C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6D46" w:rsidRDefault="00875FD4" w:rsidP="00875F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Recapitulation sheets are a summary of project construction expenses, funding sources, participating agencies, bid award amount and project tracking codes. </w:t>
                            </w:r>
                          </w:p>
                          <w:p w:rsidR="00B80999" w:rsidRDefault="00875FD4" w:rsidP="00875FD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Indefinite Delivery Indefinite Quantity (IDIQ) contracts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80999" w:rsidRDefault="00B80999" w:rsidP="00B8099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low cost contract, task order may not exceed $2M/Year average. </w:t>
                            </w:r>
                          </w:p>
                          <w:p w:rsidR="00B80999" w:rsidRDefault="00B80999" w:rsidP="00B8099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Shall be awarded by competitive bidding. </w:t>
                            </w:r>
                          </w:p>
                          <w:p w:rsidR="00875FD4" w:rsidRPr="00B80999" w:rsidRDefault="00B80999" w:rsidP="00B80999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short term/2 year base contract. </w:t>
                            </w:r>
                            <w:r w:rsidR="00875FD4" w:rsidRPr="00B809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01A6" w:rsidRDefault="00A801A6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801A6" w:rsidRPr="00073B36" w:rsidRDefault="00A801A6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905" w:rsidRPr="00073B36" w:rsidRDefault="00375A12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MATERIALS CERTIFICATION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76F52" w:rsidRDefault="00076F52" w:rsidP="00076F5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Materials Acceptance Program includes:</w:t>
                            </w:r>
                          </w:p>
                          <w:p w:rsidR="00076F52" w:rsidRDefault="00076F52" w:rsidP="00076F5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Laboratory testing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6F52" w:rsidRDefault="00076F52" w:rsidP="00076F5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Field testing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76F52" w:rsidRDefault="00076F52" w:rsidP="00076F5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Certificates of Compliance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76F52" w:rsidRDefault="00076F52" w:rsidP="00076F5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Certificates of Analysis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6905" w:rsidRPr="00076F52" w:rsidRDefault="00076F52" w:rsidP="00076F52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Buy America certification</w:t>
                            </w:r>
                            <w:r w:rsidR="00B809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945156" w:rsidRDefault="002776A0" w:rsidP="00375A1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PLANS, SPECIFICATIONS AND ESTIMATES</w:t>
                            </w:r>
                            <w:r w:rsidR="00543144">
                              <w:rPr>
                                <w:sz w:val="24"/>
                                <w:szCs w:val="24"/>
                              </w:rPr>
                              <w:t xml:space="preserve"> (PS&amp;E)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75A12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01A6" w:rsidRPr="00A801A6" w:rsidRDefault="00BE1C6B" w:rsidP="00A801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A801A6" w:rsidRPr="00A801A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</w:t>
                              </w:r>
                            </w:hyperlink>
                            <w:hyperlink r:id="rId11" w:history="1">
                              <w:r w:rsidR="00A801A6" w:rsidRPr="00A801A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azdot.gov/sites/default/files/2019/05/certification-acceptance-manual.pdf</w:t>
                              </w:r>
                            </w:hyperlink>
                          </w:p>
                          <w:p w:rsidR="00682ADD" w:rsidRPr="00A801A6" w:rsidRDefault="00A801A6" w:rsidP="00A801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EFF7FF"/>
                              <w:rPr>
                                <w:sz w:val="24"/>
                                <w:szCs w:val="24"/>
                              </w:rPr>
                            </w:pPr>
                            <w:r w:rsidRPr="00A801A6">
                              <w:rPr>
                                <w:sz w:val="24"/>
                                <w:szCs w:val="24"/>
                              </w:rPr>
                              <w:t>CA must prepare &amp; ensure registered PE or LA signs &amp; seals the final PS&amp;E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801A6" w:rsidRDefault="00A801A6" w:rsidP="00A801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Final sealed plans should include the federal project number, project name and Arizona registered PE or LA sign and seal. </w:t>
                            </w:r>
                          </w:p>
                          <w:p w:rsidR="00A801A6" w:rsidRDefault="00A801A6" w:rsidP="00A801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Letter Requesting Federal Authorization</w:t>
                            </w:r>
                            <w:r w:rsidR="00BE1C6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01A6" w:rsidRDefault="00A801A6" w:rsidP="00A801A6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Needs to include railroad, design exception, and proprietary products statements as well as contract time. </w:t>
                            </w:r>
                          </w:p>
                          <w:p w:rsidR="00A801A6" w:rsidRDefault="00A801A6" w:rsidP="00A801A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Clearances</w:t>
                            </w:r>
                            <w:r w:rsidR="00BE1C6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01A6" w:rsidRDefault="00BE1C6B" w:rsidP="00A801A6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Right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Way</w:t>
                            </w:r>
                            <w:bookmarkStart w:id="0" w:name="_GoBack"/>
                            <w:bookmarkEnd w:id="0"/>
                            <w:r w:rsidR="00A801A6">
                              <w:rPr>
                                <w:sz w:val="24"/>
                                <w:szCs w:val="24"/>
                              </w:rPr>
                              <w:t xml:space="preserve"> (signed and approved by ADOT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801A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801A6" w:rsidRDefault="00A801A6" w:rsidP="00A801A6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Utility &amp; </w:t>
                            </w:r>
                            <w:r w:rsidR="00BE1C6B">
                              <w:rPr>
                                <w:sz w:val="24"/>
                                <w:szCs w:val="24"/>
                              </w:rPr>
                              <w:t xml:space="preserve">Railroad (required even when railroad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involvement and can be included as a statement in the utility clearance.)</w:t>
                            </w:r>
                          </w:p>
                          <w:p w:rsidR="00A801A6" w:rsidRPr="00B80999" w:rsidRDefault="00A801A6" w:rsidP="00B80999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NEPA approval that has been validated prior to PS&amp;E submittal. </w:t>
                            </w:r>
                          </w:p>
                          <w:p w:rsidR="007E614F" w:rsidRPr="00DC1D5F" w:rsidRDefault="007E614F" w:rsidP="00EB2F7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65pt;margin-top:2.3pt;width:526.45pt;height:6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" stroked="f">
                <v:textbox>
                  <w:txbxContent>
                    <w:p w:rsidR="00375A12" w:rsidRPr="00311CC2" w:rsidRDefault="00375A12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456E2" w:rsidRDefault="005B63B6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ENGINEERING CONSULTANTS SECTION (ECS)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C7374" w:rsidRDefault="004D42D3" w:rsidP="004D42D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D42D3">
                        <w:rPr>
                          <w:sz w:val="24"/>
                          <w:szCs w:val="24"/>
                        </w:rPr>
                        <w:t>ECS administers the processes and procedures for the fair and efficient advertisement, selection, negotiating, monitoring and management of professional services contracts for ADOT</w:t>
                      </w:r>
                      <w:r w:rsidR="00957D1E">
                        <w:rPr>
                          <w:sz w:val="24"/>
                          <w:szCs w:val="24"/>
                        </w:rPr>
                        <w:t xml:space="preserve"> which are exempt from the State Procurement Code (ARS 41-2501)</w:t>
                      </w:r>
                      <w:r w:rsidRPr="004D42D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D42D3" w:rsidRDefault="004D42D3" w:rsidP="00073B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ECS oversees both project specific contracts (single and multiphase) and on-call contracts. </w:t>
                      </w:r>
                    </w:p>
                    <w:p w:rsidR="008F20DD" w:rsidRDefault="008F20DD" w:rsidP="00073B3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ECS handles:</w:t>
                      </w:r>
                    </w:p>
                    <w:p w:rsidR="008F20DD" w:rsidRDefault="008F20DD" w:rsidP="008F20DD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</w:t>
                      </w:r>
                      <w:r w:rsidR="003F0E26">
                        <w:rPr>
                          <w:sz w:val="24"/>
                          <w:szCs w:val="24"/>
                        </w:rPr>
                        <w:t>ract initiation and selection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F0E26" w:rsidRDefault="003F0E26" w:rsidP="008F20DD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Contract administration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801A6" w:rsidRPr="00486D46" w:rsidRDefault="003F0E26" w:rsidP="00486D4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Contract closeout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801A6" w:rsidRDefault="00A801A6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801A6" w:rsidRPr="00311CC2" w:rsidRDefault="00A801A6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7A670C" w:rsidRPr="00936ECE" w:rsidRDefault="00375A12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CONTRACTS AND SPECIFICATIONS</w:t>
                      </w:r>
                      <w:r w:rsidR="00131DC3">
                        <w:rPr>
                          <w:sz w:val="24"/>
                          <w:szCs w:val="24"/>
                        </w:rPr>
                        <w:t xml:space="preserve"> (C&amp;S)</w:t>
                      </w:r>
                      <w:r w:rsidR="007C1CE9"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86D46" w:rsidRDefault="00875FD4" w:rsidP="00875F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Recapitulation sheets are a summary of project construction expenses, funding sources, participating agencies, bid award amount and project tracking codes. </w:t>
                      </w:r>
                    </w:p>
                    <w:p w:rsidR="00B80999" w:rsidRDefault="00875FD4" w:rsidP="00875FD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Indefinite Delivery Indefinite Quantity (IDIQ) contracts</w:t>
                      </w:r>
                      <w:r w:rsidR="00B80999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80999" w:rsidRDefault="00B80999" w:rsidP="00B8099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low cost contract, task order may not exceed $2M/Year average. </w:t>
                      </w:r>
                    </w:p>
                    <w:p w:rsidR="00B80999" w:rsidRDefault="00B80999" w:rsidP="00B8099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Shall be awarded by competitive bidding. </w:t>
                      </w:r>
                    </w:p>
                    <w:p w:rsidR="00875FD4" w:rsidRPr="00B80999" w:rsidRDefault="00B80999" w:rsidP="00B80999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short term/2 year base contract. </w:t>
                      </w:r>
                      <w:r w:rsidR="00875FD4" w:rsidRPr="00B8099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801A6" w:rsidRDefault="00A801A6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801A6" w:rsidRPr="00073B36" w:rsidRDefault="00A801A6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56905" w:rsidRPr="00073B36" w:rsidRDefault="00375A12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MATERIALS CERTIFICATION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</w:p>
                    <w:p w:rsidR="00076F52" w:rsidRDefault="00076F52" w:rsidP="00076F5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Materials Acceptance Program includes:</w:t>
                      </w:r>
                    </w:p>
                    <w:p w:rsidR="00076F52" w:rsidRDefault="00076F52" w:rsidP="00076F5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Laboratory testing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76F52" w:rsidRDefault="00076F52" w:rsidP="00076F5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Field testing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76F52" w:rsidRDefault="00076F52" w:rsidP="00076F5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Certificates of Compliance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76F52" w:rsidRDefault="00076F52" w:rsidP="00076F5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Certificates of Analysis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6905" w:rsidRPr="00076F52" w:rsidRDefault="00076F52" w:rsidP="00076F52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Buy America certification</w:t>
                      </w:r>
                      <w:r w:rsidR="00B8099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945156" w:rsidRDefault="002776A0" w:rsidP="00375A12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PLANS, SPECIFICATIONS AND ESTIMATES</w:t>
                      </w:r>
                      <w:r w:rsidR="00543144">
                        <w:rPr>
                          <w:sz w:val="24"/>
                          <w:szCs w:val="24"/>
                        </w:rPr>
                        <w:t xml:space="preserve"> (PS&amp;E)</w:t>
                      </w:r>
                      <w:r w:rsidR="00375A12">
                        <w:rPr>
                          <w:sz w:val="24"/>
                          <w:szCs w:val="24"/>
                        </w:rPr>
                        <w:tab/>
                      </w:r>
                      <w:r w:rsidR="00375A12">
                        <w:rPr>
                          <w:sz w:val="24"/>
                          <w:szCs w:val="24"/>
                        </w:rPr>
                        <w:tab/>
                      </w:r>
                      <w:r w:rsidR="00375A12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</w:p>
                    <w:p w:rsidR="00A801A6" w:rsidRPr="00A801A6" w:rsidRDefault="00BE1C6B" w:rsidP="00A801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A801A6" w:rsidRPr="00A801A6">
                          <w:rPr>
                            <w:rStyle w:val="Hyperlink"/>
                            <w:sz w:val="24"/>
                            <w:szCs w:val="24"/>
                          </w:rPr>
                          <w:t>https://</w:t>
                        </w:r>
                      </w:hyperlink>
                      <w:hyperlink r:id="rId13" w:history="1">
                        <w:r w:rsidR="00A801A6" w:rsidRPr="00A801A6">
                          <w:rPr>
                            <w:rStyle w:val="Hyperlink"/>
                            <w:sz w:val="24"/>
                            <w:szCs w:val="24"/>
                          </w:rPr>
                          <w:t>azdot.gov/sites/default/files/2019/05/certification-acceptance-manual.pdf</w:t>
                        </w:r>
                      </w:hyperlink>
                    </w:p>
                    <w:p w:rsidR="00682ADD" w:rsidRPr="00A801A6" w:rsidRDefault="00A801A6" w:rsidP="00A801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EFF7FF"/>
                        <w:rPr>
                          <w:sz w:val="24"/>
                          <w:szCs w:val="24"/>
                        </w:rPr>
                      </w:pPr>
                      <w:r w:rsidRPr="00A801A6">
                        <w:rPr>
                          <w:sz w:val="24"/>
                          <w:szCs w:val="24"/>
                        </w:rPr>
                        <w:t>CA must prepare &amp; ensure registered PE or LA signs &amp; seals the final PS&amp;E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A801A6" w:rsidRDefault="00A801A6" w:rsidP="00A801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Final sealed plans should include the federal project number, project name and Arizona registered PE or LA sign and seal. </w:t>
                      </w:r>
                    </w:p>
                    <w:p w:rsidR="00A801A6" w:rsidRDefault="00A801A6" w:rsidP="00A801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Letter Requesting Federal Authorization</w:t>
                      </w:r>
                      <w:r w:rsidR="00BE1C6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801A6" w:rsidRDefault="00A801A6" w:rsidP="00A801A6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Needs to include railroad, design exception, and proprietary products statements as well as contract time. </w:t>
                      </w:r>
                    </w:p>
                    <w:p w:rsidR="00A801A6" w:rsidRDefault="00A801A6" w:rsidP="00A801A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Clearances</w:t>
                      </w:r>
                      <w:r w:rsidR="00BE1C6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801A6" w:rsidRDefault="00BE1C6B" w:rsidP="00A801A6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Right of </w:t>
                      </w:r>
                      <w:r>
                        <w:rPr>
                          <w:sz w:val="24"/>
                          <w:szCs w:val="24"/>
                        </w:rPr>
                        <w:t>Way</w:t>
                      </w:r>
                      <w:bookmarkStart w:id="1" w:name="_GoBack"/>
                      <w:bookmarkEnd w:id="1"/>
                      <w:r w:rsidR="00A801A6">
                        <w:rPr>
                          <w:sz w:val="24"/>
                          <w:szCs w:val="24"/>
                        </w:rPr>
                        <w:t xml:space="preserve"> (signed and approved by ADOT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A801A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801A6" w:rsidRDefault="00A801A6" w:rsidP="00A801A6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Utility &amp; </w:t>
                      </w:r>
                      <w:r w:rsidR="00BE1C6B">
                        <w:rPr>
                          <w:sz w:val="24"/>
                          <w:szCs w:val="24"/>
                        </w:rPr>
                        <w:t xml:space="preserve">Railroad (required even when railroad </w:t>
                      </w:r>
                      <w:r>
                        <w:rPr>
                          <w:sz w:val="24"/>
                          <w:szCs w:val="24"/>
                        </w:rPr>
                        <w:t>involvement and can be included as a statement in the utility clearance.)</w:t>
                      </w:r>
                    </w:p>
                    <w:p w:rsidR="00A801A6" w:rsidRPr="00B80999" w:rsidRDefault="00A801A6" w:rsidP="00B80999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NEPA approval that has been validated prior to PS&amp;E submittal. </w:t>
                      </w:r>
                    </w:p>
                    <w:p w:rsidR="007E614F" w:rsidRPr="00DC1D5F" w:rsidRDefault="007E614F" w:rsidP="00EB2F7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1F54CC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1F54C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AEC"/>
    <w:multiLevelType w:val="hybridMultilevel"/>
    <w:tmpl w:val="110A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78D"/>
    <w:multiLevelType w:val="hybridMultilevel"/>
    <w:tmpl w:val="2E749F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4535873"/>
    <w:multiLevelType w:val="hybridMultilevel"/>
    <w:tmpl w:val="03948F20"/>
    <w:lvl w:ilvl="0" w:tplc="5A282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B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2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1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0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04838"/>
    <w:multiLevelType w:val="hybridMultilevel"/>
    <w:tmpl w:val="9EF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34AB"/>
    <w:multiLevelType w:val="hybridMultilevel"/>
    <w:tmpl w:val="84EE13E0"/>
    <w:lvl w:ilvl="0" w:tplc="E3D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D10925A">
      <w:start w:val="23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8C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DCE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B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CBA1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A76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81C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58E9"/>
    <w:multiLevelType w:val="hybridMultilevel"/>
    <w:tmpl w:val="6EB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C9"/>
    <w:multiLevelType w:val="hybridMultilevel"/>
    <w:tmpl w:val="2232204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9"/>
  </w:num>
  <w:num w:numId="15">
    <w:abstractNumId w:val="3"/>
  </w:num>
  <w:num w:numId="16">
    <w:abstractNumId w:val="4"/>
  </w:num>
  <w:num w:numId="17">
    <w:abstractNumId w:val="12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3B36"/>
    <w:rsid w:val="00075EBD"/>
    <w:rsid w:val="00076F52"/>
    <w:rsid w:val="00077AA9"/>
    <w:rsid w:val="0008169D"/>
    <w:rsid w:val="0009454D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4745"/>
    <w:rsid w:val="000E73EA"/>
    <w:rsid w:val="000F7A24"/>
    <w:rsid w:val="00106A30"/>
    <w:rsid w:val="00112BC8"/>
    <w:rsid w:val="0012140E"/>
    <w:rsid w:val="00130317"/>
    <w:rsid w:val="00130F17"/>
    <w:rsid w:val="00131DC3"/>
    <w:rsid w:val="001433F6"/>
    <w:rsid w:val="0016353D"/>
    <w:rsid w:val="00197096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52FB"/>
    <w:rsid w:val="002069A4"/>
    <w:rsid w:val="00222CDB"/>
    <w:rsid w:val="0022492A"/>
    <w:rsid w:val="0023228E"/>
    <w:rsid w:val="002456E2"/>
    <w:rsid w:val="002569BD"/>
    <w:rsid w:val="00262B64"/>
    <w:rsid w:val="00264927"/>
    <w:rsid w:val="002745E3"/>
    <w:rsid w:val="002776A0"/>
    <w:rsid w:val="002814B4"/>
    <w:rsid w:val="00284620"/>
    <w:rsid w:val="00291A94"/>
    <w:rsid w:val="00293C95"/>
    <w:rsid w:val="0029618B"/>
    <w:rsid w:val="002A29F8"/>
    <w:rsid w:val="002A5FF6"/>
    <w:rsid w:val="002A7F93"/>
    <w:rsid w:val="002C7B47"/>
    <w:rsid w:val="002E36C3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0E26"/>
    <w:rsid w:val="003F7C3E"/>
    <w:rsid w:val="00400385"/>
    <w:rsid w:val="00401754"/>
    <w:rsid w:val="00402853"/>
    <w:rsid w:val="004058BB"/>
    <w:rsid w:val="00406704"/>
    <w:rsid w:val="00415204"/>
    <w:rsid w:val="004277A0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86D46"/>
    <w:rsid w:val="004B0DEF"/>
    <w:rsid w:val="004B24B3"/>
    <w:rsid w:val="004D42D3"/>
    <w:rsid w:val="004F0F2F"/>
    <w:rsid w:val="004F2100"/>
    <w:rsid w:val="004F2D38"/>
    <w:rsid w:val="004F2EBB"/>
    <w:rsid w:val="004F5C1E"/>
    <w:rsid w:val="00511B4C"/>
    <w:rsid w:val="00517D17"/>
    <w:rsid w:val="00531291"/>
    <w:rsid w:val="00531A91"/>
    <w:rsid w:val="00535607"/>
    <w:rsid w:val="00543144"/>
    <w:rsid w:val="005455EB"/>
    <w:rsid w:val="00580A25"/>
    <w:rsid w:val="00581D07"/>
    <w:rsid w:val="00587A10"/>
    <w:rsid w:val="00590D72"/>
    <w:rsid w:val="005B16B1"/>
    <w:rsid w:val="005B63B6"/>
    <w:rsid w:val="005D020F"/>
    <w:rsid w:val="005D6A23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3636A"/>
    <w:rsid w:val="00640202"/>
    <w:rsid w:val="00646CF9"/>
    <w:rsid w:val="006575DC"/>
    <w:rsid w:val="00682ADD"/>
    <w:rsid w:val="00684584"/>
    <w:rsid w:val="006A0C62"/>
    <w:rsid w:val="006B25B8"/>
    <w:rsid w:val="006C0AAE"/>
    <w:rsid w:val="006F1FBD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90B62"/>
    <w:rsid w:val="00792B52"/>
    <w:rsid w:val="00797A96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26717"/>
    <w:rsid w:val="00827EED"/>
    <w:rsid w:val="00840EB0"/>
    <w:rsid w:val="008466F9"/>
    <w:rsid w:val="00850D4B"/>
    <w:rsid w:val="008520AD"/>
    <w:rsid w:val="00875F07"/>
    <w:rsid w:val="00875FD4"/>
    <w:rsid w:val="008764D6"/>
    <w:rsid w:val="008844FD"/>
    <w:rsid w:val="008879A2"/>
    <w:rsid w:val="008A3743"/>
    <w:rsid w:val="008B3B08"/>
    <w:rsid w:val="008C409A"/>
    <w:rsid w:val="008C774B"/>
    <w:rsid w:val="008E451C"/>
    <w:rsid w:val="008E5B37"/>
    <w:rsid w:val="008F20DD"/>
    <w:rsid w:val="008F3F94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57D1E"/>
    <w:rsid w:val="009632FA"/>
    <w:rsid w:val="00987FEC"/>
    <w:rsid w:val="0099406E"/>
    <w:rsid w:val="009960A0"/>
    <w:rsid w:val="009D1E30"/>
    <w:rsid w:val="009E580B"/>
    <w:rsid w:val="009E6FD9"/>
    <w:rsid w:val="009F0A50"/>
    <w:rsid w:val="00A0420E"/>
    <w:rsid w:val="00A06B05"/>
    <w:rsid w:val="00A06D12"/>
    <w:rsid w:val="00A12DDF"/>
    <w:rsid w:val="00A170E9"/>
    <w:rsid w:val="00A17D34"/>
    <w:rsid w:val="00A24D48"/>
    <w:rsid w:val="00A26BE7"/>
    <w:rsid w:val="00A5361F"/>
    <w:rsid w:val="00A605F4"/>
    <w:rsid w:val="00A66F80"/>
    <w:rsid w:val="00A801A6"/>
    <w:rsid w:val="00AA049D"/>
    <w:rsid w:val="00AA31E3"/>
    <w:rsid w:val="00AA7922"/>
    <w:rsid w:val="00AB7EC8"/>
    <w:rsid w:val="00AC6FFE"/>
    <w:rsid w:val="00AC7374"/>
    <w:rsid w:val="00AD5D17"/>
    <w:rsid w:val="00AE0F0C"/>
    <w:rsid w:val="00AE5C03"/>
    <w:rsid w:val="00AF19E7"/>
    <w:rsid w:val="00B1179E"/>
    <w:rsid w:val="00B200CA"/>
    <w:rsid w:val="00B31C9E"/>
    <w:rsid w:val="00B459A6"/>
    <w:rsid w:val="00B611B3"/>
    <w:rsid w:val="00B61518"/>
    <w:rsid w:val="00B67534"/>
    <w:rsid w:val="00B72B87"/>
    <w:rsid w:val="00B80999"/>
    <w:rsid w:val="00BA1E70"/>
    <w:rsid w:val="00BA365E"/>
    <w:rsid w:val="00BB3315"/>
    <w:rsid w:val="00BC0A63"/>
    <w:rsid w:val="00BC4004"/>
    <w:rsid w:val="00BD508E"/>
    <w:rsid w:val="00BD7137"/>
    <w:rsid w:val="00BE1C6B"/>
    <w:rsid w:val="00BE5362"/>
    <w:rsid w:val="00BE69AE"/>
    <w:rsid w:val="00BF3264"/>
    <w:rsid w:val="00C108A6"/>
    <w:rsid w:val="00C13C79"/>
    <w:rsid w:val="00C172C8"/>
    <w:rsid w:val="00C20DF8"/>
    <w:rsid w:val="00C322C9"/>
    <w:rsid w:val="00C51B3F"/>
    <w:rsid w:val="00C52388"/>
    <w:rsid w:val="00C6217A"/>
    <w:rsid w:val="00C62A77"/>
    <w:rsid w:val="00C63675"/>
    <w:rsid w:val="00C70566"/>
    <w:rsid w:val="00C74696"/>
    <w:rsid w:val="00C87959"/>
    <w:rsid w:val="00C9551C"/>
    <w:rsid w:val="00C96059"/>
    <w:rsid w:val="00CA6539"/>
    <w:rsid w:val="00CB4CA9"/>
    <w:rsid w:val="00CC73F6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4B40"/>
    <w:rsid w:val="00D81810"/>
    <w:rsid w:val="00D82F20"/>
    <w:rsid w:val="00D93C02"/>
    <w:rsid w:val="00DA1294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637A"/>
    <w:rsid w:val="00E2788D"/>
    <w:rsid w:val="00E46AAD"/>
    <w:rsid w:val="00E57B8E"/>
    <w:rsid w:val="00E606B8"/>
    <w:rsid w:val="00E83855"/>
    <w:rsid w:val="00E8514E"/>
    <w:rsid w:val="00EB0FA2"/>
    <w:rsid w:val="00EB2F0D"/>
    <w:rsid w:val="00EB2F70"/>
    <w:rsid w:val="00EB5CF7"/>
    <w:rsid w:val="00EC5E01"/>
    <w:rsid w:val="00EE5710"/>
    <w:rsid w:val="00F058E2"/>
    <w:rsid w:val="00F21E95"/>
    <w:rsid w:val="00F45A02"/>
    <w:rsid w:val="00F47D09"/>
    <w:rsid w:val="00F5339F"/>
    <w:rsid w:val="00F65C35"/>
    <w:rsid w:val="00F678FD"/>
    <w:rsid w:val="00F70055"/>
    <w:rsid w:val="00F7442A"/>
    <w:rsid w:val="00F75964"/>
    <w:rsid w:val="00FB090D"/>
    <w:rsid w:val="00FB346E"/>
    <w:rsid w:val="00FC0DD3"/>
    <w:rsid w:val="00FC7E68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8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zdot.gov/sites/default/files/2019/05/certification-acceptance-manual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zdot.gov/sites/default/files/2019/05/certification-acceptance-manu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zdot.gov/sites/default/files/2019/05/certification-acceptance-manua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zdot.gov/sites/default/files/2019/05/certification-acceptance-manu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7798-F7C4-405E-994E-58C714C6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264</cp:revision>
  <cp:lastPrinted>2019-08-05T16:36:00Z</cp:lastPrinted>
  <dcterms:created xsi:type="dcterms:W3CDTF">2019-10-07T17:24:00Z</dcterms:created>
  <dcterms:modified xsi:type="dcterms:W3CDTF">2021-01-15T19:12:00Z</dcterms:modified>
</cp:coreProperties>
</file>