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F4" w:rsidRDefault="00BA1E70">
      <w:pPr>
        <w:rPr>
          <w:noProof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A72E5A" wp14:editId="30A9EDE4">
                <wp:simplePos x="0" y="0"/>
                <wp:positionH relativeFrom="column">
                  <wp:posOffset>-171577</wp:posOffset>
                </wp:positionH>
                <wp:positionV relativeFrom="paragraph">
                  <wp:posOffset>10795</wp:posOffset>
                </wp:positionV>
                <wp:extent cx="6086246" cy="4667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246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Pr="00BA1E70" w:rsidRDefault="0071246B" w:rsidP="0006729E">
                            <w:pPr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Certification Acceptance</w:t>
                            </w:r>
                            <w:r w:rsidR="00050C56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Training     </w:t>
                            </w:r>
                            <w:r w:rsidR="001C09B7"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MODULE 5</w:t>
                            </w:r>
                            <w:r w:rsidR="002052FB" w:rsidRPr="00BA1E70"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</w:t>
                            </w:r>
                          </w:p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3.5pt;margin-top:.85pt;width:479.2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" filled="f" stroked="f" strokeweight=".5pt">
                <v:textbox>
                  <w:txbxContent>
                    <w:p w:rsidR="002052FB" w:rsidRPr="00BA1E70" w:rsidRDefault="0071246B" w:rsidP="0006729E">
                      <w:pPr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Certification Acceptance</w:t>
                      </w:r>
                      <w:r w:rsidR="00050C56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Training     </w:t>
                      </w:r>
                      <w:r w:rsidR="001C09B7"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MODULE 5</w:t>
                      </w:r>
                      <w:r w:rsidR="002052FB" w:rsidRPr="00BA1E70"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 </w:t>
                      </w:r>
                    </w:p>
                    <w:p w:rsidR="002052FB" w:rsidRDefault="002052FB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82816" behindDoc="1" locked="0" layoutInCell="1" allowOverlap="1" wp14:anchorId="26243272" wp14:editId="55B0004D">
            <wp:simplePos x="0" y="0"/>
            <wp:positionH relativeFrom="column">
              <wp:posOffset>5667375</wp:posOffset>
            </wp:positionH>
            <wp:positionV relativeFrom="paragraph">
              <wp:posOffset>113665</wp:posOffset>
            </wp:positionV>
            <wp:extent cx="1166495" cy="207010"/>
            <wp:effectExtent l="0" t="0" r="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DOT_2011_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C086F59" wp14:editId="4AA4A051">
                <wp:simplePos x="0" y="0"/>
                <wp:positionH relativeFrom="column">
                  <wp:posOffset>-151765</wp:posOffset>
                </wp:positionH>
                <wp:positionV relativeFrom="paragraph">
                  <wp:posOffset>-66675</wp:posOffset>
                </wp:positionV>
                <wp:extent cx="7162800" cy="5619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561975"/>
                        </a:xfrm>
                        <a:prstGeom prst="rect">
                          <a:avLst/>
                        </a:prstGeom>
                        <a:solidFill>
                          <a:srgbClr val="24366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95pt;margin-top:-5.25pt;width:564pt;height:4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" fillcolor="#24366f" stroked="f" strokeweight=".5pt">
                <v:textbox>
                  <w:txbxContent>
                    <w:p w:rsidR="002052FB" w:rsidRDefault="002052FB"/>
                  </w:txbxContent>
                </v:textbox>
              </v:shape>
            </w:pict>
          </mc:Fallback>
        </mc:AlternateContent>
      </w:r>
    </w:p>
    <w:p w:rsidR="00391DB3" w:rsidRDefault="005455EB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3BECDD" wp14:editId="68FAD085">
                <wp:simplePos x="0" y="0"/>
                <wp:positionH relativeFrom="column">
                  <wp:posOffset>-112395</wp:posOffset>
                </wp:positionH>
                <wp:positionV relativeFrom="paragraph">
                  <wp:posOffset>305847</wp:posOffset>
                </wp:positionV>
                <wp:extent cx="5492115" cy="4032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11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Pr="008466F9" w:rsidRDefault="001C09B7" w:rsidP="00753716">
                            <w:pPr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  <w:t xml:space="preserve">MEETING OTHER FEDERAL REQUIREMENTS </w:t>
                            </w:r>
                          </w:p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8.85pt;margin-top:24.1pt;width:432.45pt;height:3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" filled="f" stroked="f" strokeweight=".5pt">
                <v:textbox>
                  <w:txbxContent>
                    <w:p w:rsidR="002052FB" w:rsidRPr="008466F9" w:rsidRDefault="001C09B7" w:rsidP="00753716">
                      <w:pPr>
                        <w:rPr>
                          <w:b/>
                          <w:color w:val="7E3E6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7E3E6F"/>
                          <w:sz w:val="36"/>
                          <w:szCs w:val="36"/>
                        </w:rPr>
                        <w:t xml:space="preserve">MEETING OTHER FEDERAL REQUIREMENTS </w:t>
                      </w:r>
                    </w:p>
                    <w:p w:rsidR="002052FB" w:rsidRDefault="002052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8ABE47" wp14:editId="66B2AA4B">
                <wp:simplePos x="0" y="0"/>
                <wp:positionH relativeFrom="column">
                  <wp:posOffset>5755005</wp:posOffset>
                </wp:positionH>
                <wp:positionV relativeFrom="paragraph">
                  <wp:posOffset>305435</wp:posOffset>
                </wp:positionV>
                <wp:extent cx="1219200" cy="3746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FB" w:rsidRPr="00511B4C" w:rsidRDefault="001C09B7" w:rsidP="002E6563">
                            <w:pPr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</w:rPr>
                              <w:t>2/25</w:t>
                            </w:r>
                            <w:r w:rsidR="00C6217A">
                              <w:rPr>
                                <w:b/>
                                <w:color w:val="002060"/>
                                <w:sz w:val="36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53.15pt;margin-top:24.05pt;width:96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" stroked="f">
                <v:textbox>
                  <w:txbxContent>
                    <w:p w:rsidR="002052FB" w:rsidRPr="00511B4C" w:rsidRDefault="001C09B7" w:rsidP="002E6563">
                      <w:pPr>
                        <w:rPr>
                          <w:b/>
                          <w:color w:val="002060"/>
                          <w:sz w:val="36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</w:rPr>
                        <w:t>2/25</w:t>
                      </w:r>
                      <w:r w:rsidR="00C6217A">
                        <w:rPr>
                          <w:b/>
                          <w:color w:val="002060"/>
                          <w:sz w:val="36"/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</w:p>
    <w:p w:rsidR="00A605F4" w:rsidRPr="000B73AE" w:rsidRDefault="00A605F4">
      <w:pPr>
        <w:rPr>
          <w:sz w:val="12"/>
          <w:szCs w:val="12"/>
        </w:rPr>
      </w:pPr>
    </w:p>
    <w:p w:rsidR="00201F16" w:rsidRDefault="00201F16">
      <w:pPr>
        <w:pBdr>
          <w:bottom w:val="single" w:sz="12" w:space="1" w:color="auto"/>
        </w:pBdr>
      </w:pPr>
    </w:p>
    <w:p w:rsidR="00BA1E70" w:rsidRDefault="00AD5D17" w:rsidP="008466F9">
      <w:pPr>
        <w:jc w:val="center"/>
        <w:rPr>
          <w:sz w:val="36"/>
        </w:rPr>
      </w:pPr>
      <w:r w:rsidRPr="00300E2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D87F1" wp14:editId="3344EC10">
                <wp:simplePos x="0" y="0"/>
                <wp:positionH relativeFrom="column">
                  <wp:posOffset>59377</wp:posOffset>
                </wp:positionH>
                <wp:positionV relativeFrom="paragraph">
                  <wp:posOffset>29647</wp:posOffset>
                </wp:positionV>
                <wp:extent cx="6685807" cy="7659584"/>
                <wp:effectExtent l="0" t="0" r="127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807" cy="7659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A12" w:rsidRPr="00311CC2" w:rsidRDefault="00375A12" w:rsidP="00BE5362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</w:p>
                          <w:p w:rsidR="002456E2" w:rsidRDefault="004E7A7D" w:rsidP="00945156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CIVIL RIGHTS OFFICE (CRO)</w:t>
                            </w:r>
                            <w:r w:rsidR="005B63B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E4D87" w:rsidRPr="002E4D87" w:rsidRDefault="002E4D87" w:rsidP="002E4D8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CRO is responsible to ensure all of ADOTs FHWA funded programs and services fully comply with provisions of Title VI. </w:t>
                            </w:r>
                          </w:p>
                          <w:p w:rsidR="002E4D87" w:rsidRPr="006662F6" w:rsidRDefault="002E4D87" w:rsidP="002E4D8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is an On-Site Compliance Review?  An in person review of the Title VI process and procedures for the agency. Are the current process workin</w:t>
                            </w:r>
                            <w:r w:rsidR="006662F6">
                              <w:rPr>
                                <w:sz w:val="24"/>
                                <w:szCs w:val="24"/>
                              </w:rPr>
                              <w:t>g? Are they being implemented? We will 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dentify potential gaps in processes and procedures. </w:t>
                            </w:r>
                          </w:p>
                          <w:p w:rsidR="006662F6" w:rsidRPr="002E4D87" w:rsidRDefault="006662F6" w:rsidP="002E4D8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CRO will also conduct a Desk Review. Some item they review Title VI information dissemination, public meeting notices and accessibility of language assistance services.   </w:t>
                            </w:r>
                          </w:p>
                          <w:p w:rsidR="00A801A6" w:rsidRDefault="00A801A6" w:rsidP="00F21E95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E7A7D" w:rsidRPr="00311CC2" w:rsidRDefault="004E7A7D" w:rsidP="00F21E95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A670C" w:rsidRPr="00936ECE" w:rsidRDefault="004E7A7D" w:rsidP="007A670C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BUSINESS ENGAGEMENT AND COMPLIANCE OFFICE (BECO)</w:t>
                            </w:r>
                            <w:r w:rsidR="002E4D87">
                              <w:rPr>
                                <w:sz w:val="24"/>
                                <w:szCs w:val="24"/>
                              </w:rPr>
                              <w:t xml:space="preserve"> – Disadvantage Business Enterprise (DBE)</w:t>
                            </w:r>
                            <w:r w:rsidR="007C1CE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801A6" w:rsidRPr="002E4D87" w:rsidRDefault="002E4D87" w:rsidP="004E7A7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DBE Goal Assurance Form 310</w:t>
                            </w:r>
                            <w:r w:rsidR="007A0CC8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 (RC Only) – Each bidder must identify if it meets or does not meet the DBE goal. If the goal is not met, a Good Faith Effort (GFE) should be documented. These documents should be submitted with the bid and you cannot change the position after submittal. </w:t>
                            </w:r>
                          </w:p>
                          <w:p w:rsidR="009F7C9D" w:rsidRPr="009F7C9D" w:rsidRDefault="002E4D87" w:rsidP="004E7A7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Termination</w:t>
                            </w:r>
                            <w:r w:rsidR="009F7C9D">
                              <w:rPr>
                                <w:sz w:val="24"/>
                                <w:szCs w:val="24"/>
                              </w:rPr>
                              <w:t xml:space="preserve">/Substitution/Reduction of Work (TSR) – Prime must contact the PM/RE/BECO within 24 hours. Must state in writing notice and intent to terminate/substitute/reduce work. </w:t>
                            </w:r>
                          </w:p>
                          <w:p w:rsidR="002E4D87" w:rsidRPr="009F7C9D" w:rsidRDefault="009F7C9D" w:rsidP="004E7A7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Commer</w:t>
                            </w:r>
                            <w:r w:rsidR="007A0CC8">
                              <w:rPr>
                                <w:sz w:val="24"/>
                                <w:szCs w:val="24"/>
                              </w:rPr>
                              <w:t>cially Useful Function (CUF) – Prime 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ontractor ensures DBEs on the project are performing </w:t>
                            </w:r>
                            <w:r w:rsidR="007A0CC8">
                              <w:rPr>
                                <w:sz w:val="24"/>
                                <w:szCs w:val="24"/>
                              </w:rPr>
                              <w:t xml:space="preserve">contracted work.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Contractor receives credit only when the DBE </w:t>
                            </w:r>
                            <w:r w:rsidR="007A0CC8">
                              <w:rPr>
                                <w:sz w:val="24"/>
                                <w:szCs w:val="24"/>
                              </w:rPr>
                              <w:t xml:space="preserve">meets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CUF. </w:t>
                            </w:r>
                          </w:p>
                          <w:p w:rsidR="009F7C9D" w:rsidRPr="007A59D9" w:rsidRDefault="009F7C9D" w:rsidP="007A59D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Certification of Final DBE Payments (COP) </w:t>
                            </w:r>
                            <w:r w:rsidR="007A59D9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59D9">
                              <w:rPr>
                                <w:sz w:val="24"/>
                                <w:szCs w:val="24"/>
                              </w:rPr>
                              <w:t xml:space="preserve">Contractor submits Form 3110C to agency for all DBEs no later than 30 days after the DBE completes work. Contractor is not </w:t>
                            </w:r>
                            <w:r w:rsidR="00FD0F22">
                              <w:rPr>
                                <w:sz w:val="24"/>
                                <w:szCs w:val="24"/>
                              </w:rPr>
                              <w:t>released</w:t>
                            </w:r>
                            <w:r w:rsidR="007A59D9">
                              <w:rPr>
                                <w:sz w:val="24"/>
                                <w:szCs w:val="24"/>
                              </w:rPr>
                              <w:t xml:space="preserve"> from obligations of the contract. </w:t>
                            </w:r>
                          </w:p>
                          <w:p w:rsidR="00A801A6" w:rsidRDefault="00A801A6" w:rsidP="00073B3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E7A7D" w:rsidRPr="00073B36" w:rsidRDefault="004E7A7D" w:rsidP="00073B3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56905" w:rsidRPr="00073B36" w:rsidRDefault="004E7A7D" w:rsidP="00956905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PUBLIC OUTREACH RESPONSIBILITIES </w:t>
                            </w:r>
                            <w:r w:rsidR="00375A1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5690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56905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 w:rsidR="00956905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 w:rsidR="00956905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46909" w:rsidRPr="00546909" w:rsidRDefault="00546909" w:rsidP="004E7A7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Agencies must implement public involvement efforts in accordance with federal regulations/guidelines.</w:t>
                            </w:r>
                          </w:p>
                          <w:p w:rsidR="00375A12" w:rsidRPr="00584FB7" w:rsidRDefault="00546909" w:rsidP="004E7A7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Public hearing requirements include</w:t>
                            </w:r>
                            <w:r w:rsidR="00584FB7">
                              <w:rPr>
                                <w:sz w:val="24"/>
                                <w:szCs w:val="24"/>
                              </w:rPr>
                              <w:t xml:space="preserve"> 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 person </w:t>
                            </w:r>
                            <w:r w:rsidR="00584FB7">
                              <w:rPr>
                                <w:sz w:val="24"/>
                                <w:szCs w:val="24"/>
                              </w:rPr>
                              <w:t xml:space="preserve">meeting. There are some exceptions during the pandemic. Meetings should be held at convenient times/places. There should be a reasonable notice given to the general public. </w:t>
                            </w:r>
                          </w:p>
                          <w:p w:rsidR="00375A12" w:rsidRPr="00584FB7" w:rsidRDefault="00584FB7" w:rsidP="00584FB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Public outreach should follow Title VI requirements and considerations. Should also follow requirements for Environmental Justice (EJ), Limited English Proficiency (LEP) and the Americans with Disabilities Act (A</w:t>
                            </w:r>
                            <w:r w:rsidRPr="00584FB7">
                              <w:rPr>
                                <w:sz w:val="24"/>
                                <w:szCs w:val="24"/>
                              </w:rPr>
                              <w:t>DA)</w:t>
                            </w:r>
                          </w:p>
                          <w:p w:rsidR="00832745" w:rsidRDefault="00832745" w:rsidP="00375A12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84FB7" w:rsidRDefault="00584FB7" w:rsidP="00375A12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32745" w:rsidRPr="00073B36" w:rsidRDefault="00832745" w:rsidP="00832745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PUBLIC OUTREACH RESPONSIBILITIES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32745" w:rsidRPr="00832745" w:rsidRDefault="00832745" w:rsidP="008327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compliance review process consists of 4 phases. Planning, discovery, reporting and follow up.</w:t>
                            </w:r>
                          </w:p>
                          <w:p w:rsidR="00832745" w:rsidRPr="00832745" w:rsidRDefault="00832745" w:rsidP="008327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Planning – risk assessment, creating the review, project selection,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engagement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letter and entrance conference. </w:t>
                            </w:r>
                          </w:p>
                          <w:p w:rsidR="00832745" w:rsidRPr="00832745" w:rsidRDefault="00832745" w:rsidP="008327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Discovery – project research, document request, reviewing documents, construction site visit. </w:t>
                            </w:r>
                          </w:p>
                          <w:p w:rsidR="007A0CC8" w:rsidRPr="007A0CC8" w:rsidRDefault="00832745" w:rsidP="008327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Reporting – complete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="007A0CC8">
                              <w:rPr>
                                <w:sz w:val="24"/>
                                <w:szCs w:val="24"/>
                              </w:rPr>
                              <w:t>orkpapers</w:t>
                            </w:r>
                            <w:proofErr w:type="spellEnd"/>
                            <w:r w:rsidR="007A0CC8">
                              <w:rPr>
                                <w:sz w:val="24"/>
                                <w:szCs w:val="24"/>
                              </w:rPr>
                              <w:t xml:space="preserve">, draft report, exit conference, final report. </w:t>
                            </w:r>
                          </w:p>
                          <w:p w:rsidR="00832745" w:rsidRPr="00832745" w:rsidRDefault="007A0CC8" w:rsidP="008327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Follow up – monitoring and tracking. </w:t>
                            </w:r>
                            <w:r w:rsidR="008327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32745" w:rsidRPr="007A0CC8" w:rsidRDefault="00832745" w:rsidP="007A0CC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Corrective action contains 3 phases. Unsatisfactory performance, probation and suspension. </w:t>
                            </w:r>
                          </w:p>
                          <w:bookmarkEnd w:id="0"/>
                          <w:p w:rsidR="00570275" w:rsidRDefault="00570275" w:rsidP="00832745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.7pt;margin-top:2.35pt;width:526.45pt;height:60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" stroked="f">
                <v:textbox>
                  <w:txbxContent>
                    <w:p w:rsidR="00375A12" w:rsidRPr="00311CC2" w:rsidRDefault="00375A12" w:rsidP="00BE5362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bookmarkStart w:id="1" w:name="_GoBack"/>
                    </w:p>
                    <w:p w:rsidR="002456E2" w:rsidRDefault="004E7A7D" w:rsidP="00945156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CIVIL RIGHTS OFFICE (CRO)</w:t>
                      </w:r>
                      <w:r w:rsidR="005B63B6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2E4D87" w:rsidRPr="002E4D87" w:rsidRDefault="002E4D87" w:rsidP="002E4D8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CRO is responsible to ensure all of ADOTs FHWA funded programs and services fully comply with provisions of Title VI. </w:t>
                      </w:r>
                    </w:p>
                    <w:p w:rsidR="002E4D87" w:rsidRPr="006662F6" w:rsidRDefault="002E4D87" w:rsidP="002E4D8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is an On-Site Compliance Review?  An in person review of the Title VI process and procedures for the agency. Are the current process workin</w:t>
                      </w:r>
                      <w:r w:rsidR="006662F6">
                        <w:rPr>
                          <w:sz w:val="24"/>
                          <w:szCs w:val="24"/>
                        </w:rPr>
                        <w:t>g? Are they being implemented? We will i</w:t>
                      </w:r>
                      <w:r>
                        <w:rPr>
                          <w:sz w:val="24"/>
                          <w:szCs w:val="24"/>
                        </w:rPr>
                        <w:t xml:space="preserve">dentify potential gaps in processes and procedures. </w:t>
                      </w:r>
                    </w:p>
                    <w:p w:rsidR="006662F6" w:rsidRPr="002E4D87" w:rsidRDefault="006662F6" w:rsidP="002E4D8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CRO will also conduct a Desk Review. Some item they review Title VI information dissemination, public meeting notices and accessibility of language assistance services.   </w:t>
                      </w:r>
                    </w:p>
                    <w:p w:rsidR="00A801A6" w:rsidRDefault="00A801A6" w:rsidP="00F21E95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4E7A7D" w:rsidRPr="00311CC2" w:rsidRDefault="004E7A7D" w:rsidP="00F21E95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7A670C" w:rsidRPr="00936ECE" w:rsidRDefault="004E7A7D" w:rsidP="007A670C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BUSINESS ENGAGEMENT AND COMPLIANCE OFFICE (BECO)</w:t>
                      </w:r>
                      <w:r w:rsidR="002E4D87">
                        <w:rPr>
                          <w:sz w:val="24"/>
                          <w:szCs w:val="24"/>
                        </w:rPr>
                        <w:t xml:space="preserve"> – Disadvantage Business Enterprise (DBE)</w:t>
                      </w:r>
                      <w:r w:rsidR="007C1CE9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A801A6" w:rsidRPr="002E4D87" w:rsidRDefault="002E4D87" w:rsidP="004E7A7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DBE Goal Assurance Form 310</w:t>
                      </w:r>
                      <w:r w:rsidR="007A0CC8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C (RC Only) – Each bidder must identify if it meets or does not meet the DBE goal. If the goal is not met, a Good Faith Effort (GFE) should be documented. These documents should be submitted with the bid and you cannot change the position after submittal. </w:t>
                      </w:r>
                    </w:p>
                    <w:p w:rsidR="009F7C9D" w:rsidRPr="009F7C9D" w:rsidRDefault="002E4D87" w:rsidP="004E7A7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Termination</w:t>
                      </w:r>
                      <w:r w:rsidR="009F7C9D">
                        <w:rPr>
                          <w:sz w:val="24"/>
                          <w:szCs w:val="24"/>
                        </w:rPr>
                        <w:t xml:space="preserve">/Substitution/Reduction of Work (TSR) – Prime must contact the PM/RE/BECO within 24 hours. Must state in writing notice and intent to terminate/substitute/reduce work. </w:t>
                      </w:r>
                    </w:p>
                    <w:p w:rsidR="002E4D87" w:rsidRPr="009F7C9D" w:rsidRDefault="009F7C9D" w:rsidP="004E7A7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Commer</w:t>
                      </w:r>
                      <w:r w:rsidR="007A0CC8">
                        <w:rPr>
                          <w:sz w:val="24"/>
                          <w:szCs w:val="24"/>
                        </w:rPr>
                        <w:t>cially Useful Function (CUF) – Prime c</w:t>
                      </w:r>
                      <w:r>
                        <w:rPr>
                          <w:sz w:val="24"/>
                          <w:szCs w:val="24"/>
                        </w:rPr>
                        <w:t xml:space="preserve">ontractor ensures DBEs on the project are performing </w:t>
                      </w:r>
                      <w:r w:rsidR="007A0CC8">
                        <w:rPr>
                          <w:sz w:val="24"/>
                          <w:szCs w:val="24"/>
                        </w:rPr>
                        <w:t xml:space="preserve">contracted work. </w:t>
                      </w:r>
                      <w:r>
                        <w:rPr>
                          <w:sz w:val="24"/>
                          <w:szCs w:val="24"/>
                        </w:rPr>
                        <w:t xml:space="preserve"> Contractor receives credit only when the DBE </w:t>
                      </w:r>
                      <w:r w:rsidR="007A0CC8">
                        <w:rPr>
                          <w:sz w:val="24"/>
                          <w:szCs w:val="24"/>
                        </w:rPr>
                        <w:t xml:space="preserve">meets the </w:t>
                      </w:r>
                      <w:r>
                        <w:rPr>
                          <w:sz w:val="24"/>
                          <w:szCs w:val="24"/>
                        </w:rPr>
                        <w:t xml:space="preserve">CUF. </w:t>
                      </w:r>
                    </w:p>
                    <w:p w:rsidR="009F7C9D" w:rsidRPr="007A59D9" w:rsidRDefault="009F7C9D" w:rsidP="007A59D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Certification of Final DBE Payments (COP) </w:t>
                      </w:r>
                      <w:r w:rsidR="007A59D9">
                        <w:rPr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A59D9">
                        <w:rPr>
                          <w:sz w:val="24"/>
                          <w:szCs w:val="24"/>
                        </w:rPr>
                        <w:t xml:space="preserve">Contractor submits Form 3110C to agency for all DBEs no later than 30 days after the DBE completes work. Contractor is not </w:t>
                      </w:r>
                      <w:r w:rsidR="00FD0F22">
                        <w:rPr>
                          <w:sz w:val="24"/>
                          <w:szCs w:val="24"/>
                        </w:rPr>
                        <w:t>released</w:t>
                      </w:r>
                      <w:r w:rsidR="007A59D9">
                        <w:rPr>
                          <w:sz w:val="24"/>
                          <w:szCs w:val="24"/>
                        </w:rPr>
                        <w:t xml:space="preserve"> from obligations of the contract. </w:t>
                      </w:r>
                    </w:p>
                    <w:p w:rsidR="00A801A6" w:rsidRDefault="00A801A6" w:rsidP="00073B36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4E7A7D" w:rsidRPr="00073B36" w:rsidRDefault="004E7A7D" w:rsidP="00073B36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956905" w:rsidRPr="00073B36" w:rsidRDefault="004E7A7D" w:rsidP="00956905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PUBLIC OUTREACH RESPONSIBILITIES </w:t>
                      </w:r>
                      <w:r w:rsidR="00375A12">
                        <w:rPr>
                          <w:sz w:val="24"/>
                          <w:szCs w:val="24"/>
                        </w:rPr>
                        <w:tab/>
                      </w:r>
                      <w:r w:rsidR="00956905">
                        <w:rPr>
                          <w:sz w:val="24"/>
                          <w:szCs w:val="24"/>
                        </w:rPr>
                        <w:tab/>
                      </w:r>
                      <w:r w:rsidR="00956905"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 w:rsidR="00956905"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 w:rsidR="00956905"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</w:p>
                    <w:p w:rsidR="00546909" w:rsidRPr="00546909" w:rsidRDefault="00546909" w:rsidP="004E7A7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Agencies must implement public involvement efforts in accordance with federal regulations/guidelines.</w:t>
                      </w:r>
                    </w:p>
                    <w:p w:rsidR="00375A12" w:rsidRPr="00584FB7" w:rsidRDefault="00546909" w:rsidP="004E7A7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Public hearing requirements include</w:t>
                      </w:r>
                      <w:r w:rsidR="00584FB7">
                        <w:rPr>
                          <w:sz w:val="24"/>
                          <w:szCs w:val="24"/>
                        </w:rPr>
                        <w:t xml:space="preserve"> an</w:t>
                      </w:r>
                      <w:r>
                        <w:rPr>
                          <w:sz w:val="24"/>
                          <w:szCs w:val="24"/>
                        </w:rPr>
                        <w:t xml:space="preserve"> in person </w:t>
                      </w:r>
                      <w:r w:rsidR="00584FB7">
                        <w:rPr>
                          <w:sz w:val="24"/>
                          <w:szCs w:val="24"/>
                        </w:rPr>
                        <w:t xml:space="preserve">meeting. There are some exceptions during the pandemic. Meetings should be held at convenient times/places. There should be a reasonable notice given to the general public. </w:t>
                      </w:r>
                    </w:p>
                    <w:p w:rsidR="00375A12" w:rsidRPr="00584FB7" w:rsidRDefault="00584FB7" w:rsidP="00584FB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Public outreach should follow Title VI requirements and considerations. Should also follow requirements for Environmental Justice (EJ), Limited English Proficiency (LEP) and the Americans with Disabilities Act (A</w:t>
                      </w:r>
                      <w:r w:rsidRPr="00584FB7">
                        <w:rPr>
                          <w:sz w:val="24"/>
                          <w:szCs w:val="24"/>
                        </w:rPr>
                        <w:t>DA)</w:t>
                      </w:r>
                    </w:p>
                    <w:p w:rsidR="00832745" w:rsidRDefault="00832745" w:rsidP="00375A12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584FB7" w:rsidRDefault="00584FB7" w:rsidP="00375A12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832745" w:rsidRPr="00073B36" w:rsidRDefault="00832745" w:rsidP="00832745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PUBLIC OUTREACH RESPONSIBILITIES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</w:p>
                    <w:p w:rsidR="00832745" w:rsidRPr="00832745" w:rsidRDefault="00832745" w:rsidP="008327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compliance review process consists of 4 phases. Planning, discovery, reporting and follow up.</w:t>
                      </w:r>
                    </w:p>
                    <w:p w:rsidR="00832745" w:rsidRPr="00832745" w:rsidRDefault="00832745" w:rsidP="008327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Planning – risk assessment, creating the review, project selection,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engagement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letter and entrance conference. </w:t>
                      </w:r>
                    </w:p>
                    <w:p w:rsidR="00832745" w:rsidRPr="00832745" w:rsidRDefault="00832745" w:rsidP="008327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Discovery – project research, document request, reviewing documents, construction site visit. </w:t>
                      </w:r>
                    </w:p>
                    <w:p w:rsidR="007A0CC8" w:rsidRPr="007A0CC8" w:rsidRDefault="00832745" w:rsidP="008327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Reporting – complete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</w:t>
                      </w:r>
                      <w:r w:rsidR="007A0CC8">
                        <w:rPr>
                          <w:sz w:val="24"/>
                          <w:szCs w:val="24"/>
                        </w:rPr>
                        <w:t>orkpapers</w:t>
                      </w:r>
                      <w:proofErr w:type="spellEnd"/>
                      <w:r w:rsidR="007A0CC8">
                        <w:rPr>
                          <w:sz w:val="24"/>
                          <w:szCs w:val="24"/>
                        </w:rPr>
                        <w:t xml:space="preserve">, draft report, exit conference, final report. </w:t>
                      </w:r>
                    </w:p>
                    <w:p w:rsidR="00832745" w:rsidRPr="00832745" w:rsidRDefault="007A0CC8" w:rsidP="008327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Follow up – monitoring and tracking. </w:t>
                      </w:r>
                      <w:r w:rsidR="0083274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32745" w:rsidRPr="007A0CC8" w:rsidRDefault="00832745" w:rsidP="007A0CC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Corrective action contains 3 phases. Unsatisfactory performance, probation and suspension. </w:t>
                      </w:r>
                    </w:p>
                    <w:bookmarkEnd w:id="1"/>
                    <w:p w:rsidR="00570275" w:rsidRDefault="00570275" w:rsidP="00832745">
                      <w:pPr>
                        <w:pStyle w:val="ListParagraph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BA1E70" w:rsidRDefault="00BA1E70" w:rsidP="00C63675">
      <w:pPr>
        <w:rPr>
          <w:sz w:val="36"/>
        </w:rPr>
      </w:pPr>
    </w:p>
    <w:p w:rsidR="00BA1E70" w:rsidRDefault="00BA1E70" w:rsidP="00797A96">
      <w:pPr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FE2E50" w:rsidRDefault="00FE2E50" w:rsidP="008E451C">
      <w:pPr>
        <w:rPr>
          <w:sz w:val="32"/>
        </w:rPr>
      </w:pPr>
    </w:p>
    <w:p w:rsidR="00D364CA" w:rsidRDefault="00D364CA" w:rsidP="008E451C">
      <w:pPr>
        <w:rPr>
          <w:sz w:val="32"/>
        </w:rPr>
      </w:pPr>
    </w:p>
    <w:p w:rsidR="007C1CE9" w:rsidRDefault="007F726D" w:rsidP="008E451C">
      <w:pPr>
        <w:rPr>
          <w:noProof/>
        </w:rPr>
      </w:pPr>
      <w:r>
        <w:rPr>
          <w:sz w:val="32"/>
        </w:rPr>
        <w:t xml:space="preserve">   </w:t>
      </w:r>
    </w:p>
    <w:sectPr w:rsidR="007C1CE9" w:rsidSect="00300E2C">
      <w:footerReference w:type="default" r:id="rId10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FB" w:rsidRDefault="002052FB" w:rsidP="00300E2C">
      <w:pPr>
        <w:spacing w:after="0" w:line="240" w:lineRule="auto"/>
      </w:pPr>
      <w:r>
        <w:separator/>
      </w:r>
    </w:p>
  </w:endnote>
  <w:endnote w:type="continuationSeparator" w:id="0">
    <w:p w:rsidR="002052FB" w:rsidRDefault="002052FB" w:rsidP="0030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FB" w:rsidRDefault="002052FB">
    <w:pPr>
      <w:pStyle w:val="Footer"/>
    </w:pPr>
    <w:r w:rsidRPr="00D27B3B"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502FD" wp14:editId="19107BE1">
              <wp:simplePos x="0" y="0"/>
              <wp:positionH relativeFrom="column">
                <wp:posOffset>-323850</wp:posOffset>
              </wp:positionH>
              <wp:positionV relativeFrom="paragraph">
                <wp:posOffset>-90805</wp:posOffset>
              </wp:positionV>
              <wp:extent cx="7524750" cy="26670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66700"/>
                      </a:xfrm>
                      <a:prstGeom prst="rect">
                        <a:avLst/>
                      </a:prstGeom>
                      <a:solidFill>
                        <a:srgbClr val="6F1F60"/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52FB" w:rsidRPr="00700519" w:rsidRDefault="001F54CC" w:rsidP="00700519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The Certification Acceptance Training</w:t>
                          </w:r>
                          <w:r w:rsidR="002052FB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is facilitated </w:t>
                          </w:r>
                          <w:r w:rsidR="0070051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by 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ADOT Local Public Agency section </w:t>
                          </w:r>
                          <w:r w:rsidR="0070051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– 602-712-4873</w:t>
                          </w:r>
                        </w:p>
                        <w:p w:rsidR="002052FB" w:rsidRPr="00CC73F6" w:rsidRDefault="002052FB" w:rsidP="00F47D09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25.5pt;margin-top:-7.15pt;width:59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" fillcolor="#6f1f60" stroked="f" strokeweight="2pt">
              <v:textbox>
                <w:txbxContent>
                  <w:p w:rsidR="002052FB" w:rsidRPr="00700519" w:rsidRDefault="001F54CC" w:rsidP="00700519">
                    <w:pPr>
                      <w:pStyle w:val="Footer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The Certification Acceptance Training</w:t>
                    </w:r>
                    <w:r w:rsidR="002052FB">
                      <w:rPr>
                        <w:color w:val="FFFFFF" w:themeColor="background1"/>
                        <w:sz w:val="18"/>
                        <w:szCs w:val="18"/>
                      </w:rPr>
                      <w:t xml:space="preserve"> is facilitated </w:t>
                    </w:r>
                    <w:r w:rsidR="00700519">
                      <w:rPr>
                        <w:color w:val="FFFFFF" w:themeColor="background1"/>
                        <w:sz w:val="18"/>
                        <w:szCs w:val="18"/>
                      </w:rPr>
                      <w:t xml:space="preserve">by 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ADOT Local Public Agency section </w:t>
                    </w:r>
                    <w:r w:rsidR="00700519">
                      <w:rPr>
                        <w:color w:val="FFFFFF" w:themeColor="background1"/>
                        <w:sz w:val="18"/>
                        <w:szCs w:val="18"/>
                      </w:rPr>
                      <w:t>– 602-712-4873</w:t>
                    </w:r>
                  </w:p>
                  <w:p w:rsidR="002052FB" w:rsidRPr="00CC73F6" w:rsidRDefault="002052FB" w:rsidP="00F47D09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052FB" w:rsidRDefault="00205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FB" w:rsidRDefault="002052FB" w:rsidP="00300E2C">
      <w:pPr>
        <w:spacing w:after="0" w:line="240" w:lineRule="auto"/>
      </w:pPr>
      <w:r>
        <w:separator/>
      </w:r>
    </w:p>
  </w:footnote>
  <w:footnote w:type="continuationSeparator" w:id="0">
    <w:p w:rsidR="002052FB" w:rsidRDefault="002052FB" w:rsidP="0030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8B4"/>
    <w:multiLevelType w:val="multilevel"/>
    <w:tmpl w:val="42E4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51AEC"/>
    <w:multiLevelType w:val="hybridMultilevel"/>
    <w:tmpl w:val="2F6A4E98"/>
    <w:lvl w:ilvl="0" w:tplc="8A28B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9648C"/>
    <w:multiLevelType w:val="hybridMultilevel"/>
    <w:tmpl w:val="3E908848"/>
    <w:lvl w:ilvl="0" w:tplc="2AC8B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0578D"/>
    <w:multiLevelType w:val="hybridMultilevel"/>
    <w:tmpl w:val="2E749F0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4535873"/>
    <w:multiLevelType w:val="hybridMultilevel"/>
    <w:tmpl w:val="03948F20"/>
    <w:lvl w:ilvl="0" w:tplc="5A282F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66B8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E29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E13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C92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FA14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1207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4291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8B6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5040F5"/>
    <w:multiLevelType w:val="hybridMultilevel"/>
    <w:tmpl w:val="4FE0C4AE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5114B"/>
    <w:multiLevelType w:val="hybridMultilevel"/>
    <w:tmpl w:val="51C2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04838"/>
    <w:multiLevelType w:val="hybridMultilevel"/>
    <w:tmpl w:val="94A28E2C"/>
    <w:lvl w:ilvl="0" w:tplc="D182E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111EB"/>
    <w:multiLevelType w:val="multilevel"/>
    <w:tmpl w:val="3A3A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0A315E"/>
    <w:multiLevelType w:val="hybridMultilevel"/>
    <w:tmpl w:val="AF0E25D8"/>
    <w:lvl w:ilvl="0" w:tplc="9B3CC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36C23434">
      <w:start w:val="1"/>
      <w:numFmt w:val="bullet"/>
      <w:lvlText w:val="o"/>
      <w:lvlJc w:val="left"/>
      <w:pPr>
        <w:ind w:left="1080" w:hanging="360"/>
      </w:pPr>
      <w:rPr>
        <w:rFonts w:ascii="Symbol" w:hAnsi="Symbol" w:cs="Courier New" w:hint="default"/>
        <w:sz w:val="22"/>
        <w:szCs w:val="22"/>
      </w:rPr>
    </w:lvl>
    <w:lvl w:ilvl="2" w:tplc="F794B2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6B3D00"/>
    <w:multiLevelType w:val="hybridMultilevel"/>
    <w:tmpl w:val="AD58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41CFB"/>
    <w:multiLevelType w:val="hybridMultilevel"/>
    <w:tmpl w:val="5838C08C"/>
    <w:lvl w:ilvl="0" w:tplc="2AC8B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F0AFD"/>
    <w:multiLevelType w:val="hybridMultilevel"/>
    <w:tmpl w:val="92BE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A34AB"/>
    <w:multiLevelType w:val="hybridMultilevel"/>
    <w:tmpl w:val="84EE13E0"/>
    <w:lvl w:ilvl="0" w:tplc="E3DCE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0D10925A">
      <w:start w:val="237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0C0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B8C4C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FDCE6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FB6B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CBA1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BA76F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381C0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4">
    <w:nsid w:val="4E0E394B"/>
    <w:multiLevelType w:val="multilevel"/>
    <w:tmpl w:val="7F6C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C32786"/>
    <w:multiLevelType w:val="hybridMultilevel"/>
    <w:tmpl w:val="F4E0E5F0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D58E9"/>
    <w:multiLevelType w:val="hybridMultilevel"/>
    <w:tmpl w:val="6EB8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85E36"/>
    <w:multiLevelType w:val="hybridMultilevel"/>
    <w:tmpl w:val="08A02288"/>
    <w:lvl w:ilvl="0" w:tplc="35624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E8528B"/>
    <w:multiLevelType w:val="hybridMultilevel"/>
    <w:tmpl w:val="D13A2C0A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C0088"/>
    <w:multiLevelType w:val="hybridMultilevel"/>
    <w:tmpl w:val="72B2703C"/>
    <w:lvl w:ilvl="0" w:tplc="2E061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D2EC9"/>
    <w:multiLevelType w:val="hybridMultilevel"/>
    <w:tmpl w:val="2232204A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15"/>
  </w:num>
  <w:num w:numId="8">
    <w:abstractNumId w:val="17"/>
  </w:num>
  <w:num w:numId="9">
    <w:abstractNumId w:val="18"/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  <w:num w:numId="14">
    <w:abstractNumId w:val="20"/>
  </w:num>
  <w:num w:numId="15">
    <w:abstractNumId w:val="3"/>
  </w:num>
  <w:num w:numId="16">
    <w:abstractNumId w:val="4"/>
  </w:num>
  <w:num w:numId="17">
    <w:abstractNumId w:val="13"/>
  </w:num>
  <w:num w:numId="18">
    <w:abstractNumId w:val="7"/>
  </w:num>
  <w:num w:numId="19">
    <w:abstractNumId w:val="1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56"/>
    <w:rsid w:val="00001479"/>
    <w:rsid w:val="00012682"/>
    <w:rsid w:val="00013688"/>
    <w:rsid w:val="0003750B"/>
    <w:rsid w:val="0004209D"/>
    <w:rsid w:val="00042794"/>
    <w:rsid w:val="00042F97"/>
    <w:rsid w:val="00050C56"/>
    <w:rsid w:val="000548CF"/>
    <w:rsid w:val="00062927"/>
    <w:rsid w:val="0006729E"/>
    <w:rsid w:val="000709DB"/>
    <w:rsid w:val="00072733"/>
    <w:rsid w:val="00073B36"/>
    <w:rsid w:val="00075EBD"/>
    <w:rsid w:val="00076F52"/>
    <w:rsid w:val="00077AA9"/>
    <w:rsid w:val="0008169D"/>
    <w:rsid w:val="0009454D"/>
    <w:rsid w:val="000A1541"/>
    <w:rsid w:val="000A5187"/>
    <w:rsid w:val="000A588B"/>
    <w:rsid w:val="000A6424"/>
    <w:rsid w:val="000B6058"/>
    <w:rsid w:val="000B73AE"/>
    <w:rsid w:val="000D21F3"/>
    <w:rsid w:val="000E069B"/>
    <w:rsid w:val="000E254B"/>
    <w:rsid w:val="000E4745"/>
    <w:rsid w:val="000E73EA"/>
    <w:rsid w:val="000F7A24"/>
    <w:rsid w:val="00106A30"/>
    <w:rsid w:val="00112BC8"/>
    <w:rsid w:val="0012140E"/>
    <w:rsid w:val="00130317"/>
    <w:rsid w:val="00130F17"/>
    <w:rsid w:val="00131DC3"/>
    <w:rsid w:val="001433F6"/>
    <w:rsid w:val="00144D2A"/>
    <w:rsid w:val="0016353D"/>
    <w:rsid w:val="00197096"/>
    <w:rsid w:val="00197256"/>
    <w:rsid w:val="001C09B7"/>
    <w:rsid w:val="001C25A2"/>
    <w:rsid w:val="001C6080"/>
    <w:rsid w:val="001D2AD8"/>
    <w:rsid w:val="001E6A92"/>
    <w:rsid w:val="001E6E50"/>
    <w:rsid w:val="001F436F"/>
    <w:rsid w:val="001F54CC"/>
    <w:rsid w:val="00201F16"/>
    <w:rsid w:val="00202647"/>
    <w:rsid w:val="002052FB"/>
    <w:rsid w:val="002069A4"/>
    <w:rsid w:val="00222CDB"/>
    <w:rsid w:val="0022492A"/>
    <w:rsid w:val="0023228E"/>
    <w:rsid w:val="002456E2"/>
    <w:rsid w:val="002569BD"/>
    <w:rsid w:val="00262B64"/>
    <w:rsid w:val="00264927"/>
    <w:rsid w:val="002745E3"/>
    <w:rsid w:val="002776A0"/>
    <w:rsid w:val="002814B4"/>
    <w:rsid w:val="00284620"/>
    <w:rsid w:val="00291A94"/>
    <w:rsid w:val="00293C95"/>
    <w:rsid w:val="0029618B"/>
    <w:rsid w:val="002A29F8"/>
    <w:rsid w:val="002A5FF6"/>
    <w:rsid w:val="002A7F93"/>
    <w:rsid w:val="002C7B47"/>
    <w:rsid w:val="002E36C3"/>
    <w:rsid w:val="002E4D87"/>
    <w:rsid w:val="002E6563"/>
    <w:rsid w:val="002F4DCF"/>
    <w:rsid w:val="002F63E6"/>
    <w:rsid w:val="00300E2C"/>
    <w:rsid w:val="003024A4"/>
    <w:rsid w:val="00311CC2"/>
    <w:rsid w:val="00312AA5"/>
    <w:rsid w:val="003213B8"/>
    <w:rsid w:val="0032341B"/>
    <w:rsid w:val="00333FCE"/>
    <w:rsid w:val="00342A46"/>
    <w:rsid w:val="00355F0E"/>
    <w:rsid w:val="00362227"/>
    <w:rsid w:val="00374A4C"/>
    <w:rsid w:val="00375A12"/>
    <w:rsid w:val="00376153"/>
    <w:rsid w:val="003802AA"/>
    <w:rsid w:val="00384FA7"/>
    <w:rsid w:val="00391DB3"/>
    <w:rsid w:val="00392A16"/>
    <w:rsid w:val="003A5437"/>
    <w:rsid w:val="003C0C34"/>
    <w:rsid w:val="003D2522"/>
    <w:rsid w:val="003D7639"/>
    <w:rsid w:val="003F0E26"/>
    <w:rsid w:val="003F7C3E"/>
    <w:rsid w:val="00400385"/>
    <w:rsid w:val="00401754"/>
    <w:rsid w:val="00402853"/>
    <w:rsid w:val="004058BB"/>
    <w:rsid w:val="00406704"/>
    <w:rsid w:val="00415204"/>
    <w:rsid w:val="004277A0"/>
    <w:rsid w:val="004375DD"/>
    <w:rsid w:val="004445B4"/>
    <w:rsid w:val="00450273"/>
    <w:rsid w:val="00450FBA"/>
    <w:rsid w:val="00455737"/>
    <w:rsid w:val="00470202"/>
    <w:rsid w:val="004753D8"/>
    <w:rsid w:val="00483A0F"/>
    <w:rsid w:val="00484E13"/>
    <w:rsid w:val="00486D46"/>
    <w:rsid w:val="004B0DEF"/>
    <w:rsid w:val="004B24B3"/>
    <w:rsid w:val="004D42D3"/>
    <w:rsid w:val="004E7A7D"/>
    <w:rsid w:val="004F0F2F"/>
    <w:rsid w:val="004F2100"/>
    <w:rsid w:val="004F2D38"/>
    <w:rsid w:val="004F2EBB"/>
    <w:rsid w:val="004F5C1E"/>
    <w:rsid w:val="00511B4C"/>
    <w:rsid w:val="00517D17"/>
    <w:rsid w:val="00531291"/>
    <w:rsid w:val="00531A91"/>
    <w:rsid w:val="00535607"/>
    <w:rsid w:val="00543144"/>
    <w:rsid w:val="005455EB"/>
    <w:rsid w:val="00546909"/>
    <w:rsid w:val="00570275"/>
    <w:rsid w:val="00580A25"/>
    <w:rsid w:val="00581D07"/>
    <w:rsid w:val="00584FB7"/>
    <w:rsid w:val="00587A10"/>
    <w:rsid w:val="00590D72"/>
    <w:rsid w:val="005B16B1"/>
    <w:rsid w:val="005B63B6"/>
    <w:rsid w:val="005D020F"/>
    <w:rsid w:val="005D6A23"/>
    <w:rsid w:val="005F28B6"/>
    <w:rsid w:val="005F2C19"/>
    <w:rsid w:val="005F3727"/>
    <w:rsid w:val="006052C9"/>
    <w:rsid w:val="00605C19"/>
    <w:rsid w:val="00606113"/>
    <w:rsid w:val="0061493D"/>
    <w:rsid w:val="00614E61"/>
    <w:rsid w:val="00615015"/>
    <w:rsid w:val="0063636A"/>
    <w:rsid w:val="00640202"/>
    <w:rsid w:val="00646CF9"/>
    <w:rsid w:val="006575DC"/>
    <w:rsid w:val="006662F6"/>
    <w:rsid w:val="00682ADD"/>
    <w:rsid w:val="00684584"/>
    <w:rsid w:val="006A0C62"/>
    <w:rsid w:val="006B25B8"/>
    <w:rsid w:val="006C0AAE"/>
    <w:rsid w:val="006F1FBD"/>
    <w:rsid w:val="00700519"/>
    <w:rsid w:val="007071D7"/>
    <w:rsid w:val="00710373"/>
    <w:rsid w:val="0071246B"/>
    <w:rsid w:val="00717BF2"/>
    <w:rsid w:val="0072344F"/>
    <w:rsid w:val="00732096"/>
    <w:rsid w:val="0075185D"/>
    <w:rsid w:val="00753716"/>
    <w:rsid w:val="00753803"/>
    <w:rsid w:val="00761309"/>
    <w:rsid w:val="00762F3D"/>
    <w:rsid w:val="00767A7E"/>
    <w:rsid w:val="00774CAA"/>
    <w:rsid w:val="00777853"/>
    <w:rsid w:val="00790B62"/>
    <w:rsid w:val="00792B52"/>
    <w:rsid w:val="00797A96"/>
    <w:rsid w:val="007A0CC8"/>
    <w:rsid w:val="007A59D9"/>
    <w:rsid w:val="007A670C"/>
    <w:rsid w:val="007B183E"/>
    <w:rsid w:val="007C1CE9"/>
    <w:rsid w:val="007C7C8C"/>
    <w:rsid w:val="007E15B9"/>
    <w:rsid w:val="007E614F"/>
    <w:rsid w:val="007F41D7"/>
    <w:rsid w:val="007F726D"/>
    <w:rsid w:val="008100C8"/>
    <w:rsid w:val="00812B9E"/>
    <w:rsid w:val="00826717"/>
    <w:rsid w:val="00827EED"/>
    <w:rsid w:val="00832745"/>
    <w:rsid w:val="00840EB0"/>
    <w:rsid w:val="008466F9"/>
    <w:rsid w:val="00850D4B"/>
    <w:rsid w:val="008520AD"/>
    <w:rsid w:val="0085500A"/>
    <w:rsid w:val="00875F07"/>
    <w:rsid w:val="00875FD4"/>
    <w:rsid w:val="008764D6"/>
    <w:rsid w:val="008844FD"/>
    <w:rsid w:val="008879A2"/>
    <w:rsid w:val="008A3743"/>
    <w:rsid w:val="008B3B08"/>
    <w:rsid w:val="008C409A"/>
    <w:rsid w:val="008C774B"/>
    <w:rsid w:val="008E451C"/>
    <w:rsid w:val="008E5B37"/>
    <w:rsid w:val="008F20DD"/>
    <w:rsid w:val="008F3F94"/>
    <w:rsid w:val="00907615"/>
    <w:rsid w:val="00915091"/>
    <w:rsid w:val="00920574"/>
    <w:rsid w:val="00926CA5"/>
    <w:rsid w:val="0093419B"/>
    <w:rsid w:val="009363C6"/>
    <w:rsid w:val="00936ECE"/>
    <w:rsid w:val="00945156"/>
    <w:rsid w:val="00955B56"/>
    <w:rsid w:val="00956905"/>
    <w:rsid w:val="00957D1E"/>
    <w:rsid w:val="009632FA"/>
    <w:rsid w:val="00987FEC"/>
    <w:rsid w:val="0099406E"/>
    <w:rsid w:val="009960A0"/>
    <w:rsid w:val="009D1E30"/>
    <w:rsid w:val="009E580B"/>
    <w:rsid w:val="009E6FD9"/>
    <w:rsid w:val="009F0A50"/>
    <w:rsid w:val="009F7C9D"/>
    <w:rsid w:val="00A0420E"/>
    <w:rsid w:val="00A06B05"/>
    <w:rsid w:val="00A06D12"/>
    <w:rsid w:val="00A12DDF"/>
    <w:rsid w:val="00A170E9"/>
    <w:rsid w:val="00A17D34"/>
    <w:rsid w:val="00A24D48"/>
    <w:rsid w:val="00A26BE7"/>
    <w:rsid w:val="00A5361F"/>
    <w:rsid w:val="00A605F4"/>
    <w:rsid w:val="00A66F80"/>
    <w:rsid w:val="00A801A6"/>
    <w:rsid w:val="00AA049D"/>
    <w:rsid w:val="00AA31E3"/>
    <w:rsid w:val="00AA7922"/>
    <w:rsid w:val="00AB7EC8"/>
    <w:rsid w:val="00AC6FFE"/>
    <w:rsid w:val="00AC7374"/>
    <w:rsid w:val="00AD5D17"/>
    <w:rsid w:val="00AE0F0C"/>
    <w:rsid w:val="00AE5C03"/>
    <w:rsid w:val="00AF19E7"/>
    <w:rsid w:val="00B1179E"/>
    <w:rsid w:val="00B200CA"/>
    <w:rsid w:val="00B31C9E"/>
    <w:rsid w:val="00B459A6"/>
    <w:rsid w:val="00B611B3"/>
    <w:rsid w:val="00B61518"/>
    <w:rsid w:val="00B67534"/>
    <w:rsid w:val="00B72B87"/>
    <w:rsid w:val="00B80999"/>
    <w:rsid w:val="00BA1E70"/>
    <w:rsid w:val="00BA365E"/>
    <w:rsid w:val="00BB3315"/>
    <w:rsid w:val="00BC0A63"/>
    <w:rsid w:val="00BC4004"/>
    <w:rsid w:val="00BD1B22"/>
    <w:rsid w:val="00BD508E"/>
    <w:rsid w:val="00BD7137"/>
    <w:rsid w:val="00BE1C6B"/>
    <w:rsid w:val="00BE5362"/>
    <w:rsid w:val="00BE69AE"/>
    <w:rsid w:val="00BF3264"/>
    <w:rsid w:val="00C108A6"/>
    <w:rsid w:val="00C13C79"/>
    <w:rsid w:val="00C172C8"/>
    <w:rsid w:val="00C20DF8"/>
    <w:rsid w:val="00C322C9"/>
    <w:rsid w:val="00C51B3F"/>
    <w:rsid w:val="00C52388"/>
    <w:rsid w:val="00C6217A"/>
    <w:rsid w:val="00C62A77"/>
    <w:rsid w:val="00C63675"/>
    <w:rsid w:val="00C70566"/>
    <w:rsid w:val="00C74696"/>
    <w:rsid w:val="00C87959"/>
    <w:rsid w:val="00C9551C"/>
    <w:rsid w:val="00C96059"/>
    <w:rsid w:val="00CA6539"/>
    <w:rsid w:val="00CB4CA9"/>
    <w:rsid w:val="00CC73F6"/>
    <w:rsid w:val="00CF156F"/>
    <w:rsid w:val="00D058B6"/>
    <w:rsid w:val="00D22C89"/>
    <w:rsid w:val="00D27B3B"/>
    <w:rsid w:val="00D3052F"/>
    <w:rsid w:val="00D34396"/>
    <w:rsid w:val="00D364CA"/>
    <w:rsid w:val="00D405A3"/>
    <w:rsid w:val="00D545D3"/>
    <w:rsid w:val="00D64B40"/>
    <w:rsid w:val="00D81810"/>
    <w:rsid w:val="00D82F20"/>
    <w:rsid w:val="00D93C02"/>
    <w:rsid w:val="00DA1294"/>
    <w:rsid w:val="00DA2E7A"/>
    <w:rsid w:val="00DA4416"/>
    <w:rsid w:val="00DB1E4F"/>
    <w:rsid w:val="00DC1D5F"/>
    <w:rsid w:val="00DC5B35"/>
    <w:rsid w:val="00DC6CC1"/>
    <w:rsid w:val="00DD5E83"/>
    <w:rsid w:val="00DE168E"/>
    <w:rsid w:val="00DF4969"/>
    <w:rsid w:val="00E0637A"/>
    <w:rsid w:val="00E2788D"/>
    <w:rsid w:val="00E46AAD"/>
    <w:rsid w:val="00E57B8E"/>
    <w:rsid w:val="00E606B8"/>
    <w:rsid w:val="00E83855"/>
    <w:rsid w:val="00E8514E"/>
    <w:rsid w:val="00EB0FA2"/>
    <w:rsid w:val="00EB2F0D"/>
    <w:rsid w:val="00EB2F70"/>
    <w:rsid w:val="00EB5CF7"/>
    <w:rsid w:val="00EC5E01"/>
    <w:rsid w:val="00EE5710"/>
    <w:rsid w:val="00F058E2"/>
    <w:rsid w:val="00F21E95"/>
    <w:rsid w:val="00F45A02"/>
    <w:rsid w:val="00F47D09"/>
    <w:rsid w:val="00F5339F"/>
    <w:rsid w:val="00F65C35"/>
    <w:rsid w:val="00F678FD"/>
    <w:rsid w:val="00F70055"/>
    <w:rsid w:val="00F7442A"/>
    <w:rsid w:val="00F75964"/>
    <w:rsid w:val="00FB090D"/>
    <w:rsid w:val="00FB346E"/>
    <w:rsid w:val="00FC0DD3"/>
    <w:rsid w:val="00FC7E68"/>
    <w:rsid w:val="00FD0F22"/>
    <w:rsid w:val="00FE0EC3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/>
    <w:rsid w:val="00300E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496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36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/>
    <w:rsid w:val="00300E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496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3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2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728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8319-E04A-445B-8CA0-1B0B7832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Catapano T</dc:creator>
  <cp:lastModifiedBy>Jennifer Catapano T</cp:lastModifiedBy>
  <cp:revision>276</cp:revision>
  <cp:lastPrinted>2019-08-05T16:36:00Z</cp:lastPrinted>
  <dcterms:created xsi:type="dcterms:W3CDTF">2019-10-07T17:24:00Z</dcterms:created>
  <dcterms:modified xsi:type="dcterms:W3CDTF">2021-02-24T22:32:00Z</dcterms:modified>
</cp:coreProperties>
</file>